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F9BFE" w14:textId="7E763451" w:rsidR="007F1775" w:rsidRDefault="000F083E">
      <w:pPr>
        <w:rPr>
          <w:vanish/>
        </w:rPr>
      </w:pPr>
      <w:r>
        <w:rPr>
          <w:rFonts w:ascii="宋体" w:eastAsia="宋体" w:hAnsi="宋体" w:cs="宋体"/>
        </w:rPr>
        <w:t xml:space="preserve"> </w:t>
      </w:r>
      <w:r>
        <w:rPr>
          <w:rFonts w:ascii="宋体" w:eastAsia="宋体" w:hAnsi="宋体" w:cs="宋体"/>
          <w:vanish/>
        </w:rPr>
        <w:t>false2022Q1000132680112/31http://fasb.org/us-gaap/2021-01-31#AccruedLiabilitiesCurrenthttp://fasb.org/us-gaap/2021-01-31#AccruedLiabilitiesCurrenthttp://fasb.org/us-gaap/2021-01-31#OperatingLeaseLiabilityNoncurrenthttp://fasb.org/us-gaap/2021-01-31#OtherLi</w:t>
      </w:r>
      <w:r>
        <w:rPr>
          <w:rFonts w:ascii="宋体" w:eastAsia="宋体" w:hAnsi="宋体" w:cs="宋体"/>
          <w:vanish/>
        </w:rPr>
        <w:t>abilitiesNoncurrent00013268012022-01-012022-03-310001326801us-gaap:CommonClassAMember2022-04-22xbrli:shares0001326801us-gaap:CommonClassBMember2022-04-2200013268012022-03-31iso4217:USD00013268012021-12-31iso4217:USDxbrli:shares0001326801us-gaap:CommonClass</w:t>
      </w:r>
      <w:r>
        <w:rPr>
          <w:rFonts w:ascii="宋体" w:eastAsia="宋体" w:hAnsi="宋体" w:cs="宋体"/>
          <w:vanish/>
        </w:rPr>
        <w:t>AMember2021-12-310001326801us-gaap:CommonClassAMember2022-03-310001326801us-gaap:CommonClassBMember2021-12-310001326801us-gaap:CommonClassBMember2022-03-3100013268012021-01-012021-03-310001326801us-gaap:CostOfSalesMember2022-01-012022-03-310001326801us-gaa</w:t>
      </w:r>
      <w:r>
        <w:rPr>
          <w:rFonts w:ascii="宋体" w:eastAsia="宋体" w:hAnsi="宋体" w:cs="宋体"/>
          <w:vanish/>
        </w:rPr>
        <w:t>p:CostOfSalesMember2021-01-012021-03-310001326801us-gaap:ResearchAndDevelopmentExpenseMember2022-01-012022-03-310001326801us-gaap:ResearchAndDevelopmentExpenseMember2021-01-012021-03-310001326801us-gaap:SellingAndMarketingExpenseMember2022-01-012022-03-310</w:t>
      </w:r>
      <w:r>
        <w:rPr>
          <w:rFonts w:ascii="宋体" w:eastAsia="宋体" w:hAnsi="宋体" w:cs="宋体"/>
          <w:vanish/>
        </w:rPr>
        <w:t>001326801us-gaap:SellingAndMarketingExpenseMember2021-01-012021-03-310001326801us-gaap:GeneralAndAdministrativeExpenseMember2022-01-012022-03-310001326801us-gaap:GeneralAndAdministrativeExpenseMember2021-01-012021-03-310001326801us-gaap:CommonStockMember20</w:t>
      </w:r>
      <w:r>
        <w:rPr>
          <w:rFonts w:ascii="宋体" w:eastAsia="宋体" w:hAnsi="宋体" w:cs="宋体"/>
          <w:vanish/>
        </w:rPr>
        <w:t>21-12-310001326801us-gaap:AdditionalPaidInCapitalMember2021-12-310001326801us-gaap:AccumulatedOtherComprehensiveIncomeMember2021-12-310001326801us-gaap:RetainedEarningsMember2021-12-310001326801us-gaap:CommonStockMember2020-12-310001326801us-gaap:Additiona</w:t>
      </w:r>
      <w:r>
        <w:rPr>
          <w:rFonts w:ascii="宋体" w:eastAsia="宋体" w:hAnsi="宋体" w:cs="宋体"/>
          <w:vanish/>
        </w:rPr>
        <w:t>lPaidInCapitalMember2020-12-310001326801us-gaap:AccumulatedOtherComprehensiveIncomeMember2020-12-310001326801us-gaap:RetainedEarningsMember2020-12-3100013268012020-12-310001326801us-gaap:CommonStockMember2022-01-012022-03-310001326801us-gaap:CommonStockMem</w:t>
      </w:r>
      <w:r>
        <w:rPr>
          <w:rFonts w:ascii="宋体" w:eastAsia="宋体" w:hAnsi="宋体" w:cs="宋体"/>
          <w:vanish/>
        </w:rPr>
        <w:t>ber2021-01-012021-03-310001326801us-gaap:AdditionalPaidInCapitalMember2022-01-012022-03-310001326801us-gaap:RetainedEarningsMember2022-01-012022-03-310001326801us-gaap:AdditionalPaidInCapitalMember2021-01-012021-03-310001326801us-gaap:RetainedEarningsMembe</w:t>
      </w:r>
      <w:r>
        <w:rPr>
          <w:rFonts w:ascii="宋体" w:eastAsia="宋体" w:hAnsi="宋体" w:cs="宋体"/>
          <w:vanish/>
        </w:rPr>
        <w:t>r2021-01-012021-03-310001326801us-gaap:AccumulatedOtherComprehensiveIncomeMember2022-01-012022-03-310001326801us-gaap:AccumulatedOtherComprehensiveIncomeMember2021-01-012021-03-310001326801us-gaap:CommonStockMember2022-03-310001326801us-gaap:AdditionalPaid</w:t>
      </w:r>
      <w:r>
        <w:rPr>
          <w:rFonts w:ascii="宋体" w:eastAsia="宋体" w:hAnsi="宋体" w:cs="宋体"/>
          <w:vanish/>
        </w:rPr>
        <w:t>InCapitalMember2022-03-310001326801us-gaap:AccumulatedOtherComprehensiveIncomeMember2022-03-310001326801us-gaap:RetainedEarningsMember2022-03-310001326801us-gaap:CommonStockMember2021-03-310001326801us-gaap:AdditionalPaidInCapitalMember2021-03-310001326801</w:t>
      </w:r>
      <w:r>
        <w:rPr>
          <w:rFonts w:ascii="宋体" w:eastAsia="宋体" w:hAnsi="宋体" w:cs="宋体"/>
          <w:vanish/>
        </w:rPr>
        <w:t>us-gaap:AccumulatedOtherComprehensiveIncomeMember2021-03-310001326801us-gaap:RetainedEarningsMember2021-03-3100013268012021-03-310001326801us-gaap:PrepaidExpensesAndOtherCurrentAssetsMember2022-03-310001326801us-gaap:PrepaidExpensesAndOtherCurrentAssetsMem</w:t>
      </w:r>
      <w:r>
        <w:rPr>
          <w:rFonts w:ascii="宋体" w:eastAsia="宋体" w:hAnsi="宋体" w:cs="宋体"/>
          <w:vanish/>
        </w:rPr>
        <w:t>ber2021-03-310001326801us-gaap:OtherAssetsMember2022-03-310001326801us-gaap:OtherAssetsMember2021-03-310001326801us-gaap:AdvertisingMembermeta:FamilyOfAppsMember2022-01-012022-03-310001326801us-gaap:AdvertisingMembermeta:FamilyOfAppsMember2021-01-012021-03</w:t>
      </w:r>
      <w:r>
        <w:rPr>
          <w:rFonts w:ascii="宋体" w:eastAsia="宋体" w:hAnsi="宋体" w:cs="宋体"/>
          <w:vanish/>
        </w:rPr>
        <w:t>-310001326801meta:FamilyOfAppsMemberus-gaap:ServiceOtherMember2022-01-012022-03-310001326801meta:FamilyOfAppsMemberus-gaap:ServiceOtherMember2021-01-012021-03-310001326801meta:FamilyOfAppsMember2022-01-012022-03-310001326801meta:FamilyOfAppsMember2021-01-0</w:t>
      </w:r>
      <w:r>
        <w:rPr>
          <w:rFonts w:ascii="宋体" w:eastAsia="宋体" w:hAnsi="宋体" w:cs="宋体"/>
          <w:vanish/>
        </w:rPr>
        <w:t>12021-03-310001326801meta:RealityLabsMember2022-01-012022-03-310001326801meta:RealityLabsMember2021-01-012021-03-310001326801meta:USCanadaMember2022-01-012022-03-310001326801meta:USCanadaMember2021-01-012021-03-310001326801srt:EuropeMember2022-01-012022-03</w:t>
      </w:r>
      <w:r>
        <w:rPr>
          <w:rFonts w:ascii="宋体" w:eastAsia="宋体" w:hAnsi="宋体" w:cs="宋体"/>
          <w:vanish/>
        </w:rPr>
        <w:t>-310001326801srt:EuropeMember2021-01-012021-03-310001326801srt:AsiaPacificMember2022-01-012022-03-310001326801srt:AsiaPacificMember2021-01-012021-03-310001326801meta:RestOfWorldMember2022-01-012022-03-310001326801meta:RestOfWorldMember2021-01-012021-03-310</w:t>
      </w:r>
      <w:r>
        <w:rPr>
          <w:rFonts w:ascii="宋体" w:eastAsia="宋体" w:hAnsi="宋体" w:cs="宋体"/>
          <w:vanish/>
        </w:rPr>
        <w:t>001326801country:US2022-01-012022-03-310001326801country:US2021-01-012021-03-310001326801us-gaap:RestrictedStockUnitsRSUMember2022-01-012022-03-310001326801us-gaap:CommonClassAMember2022-01-012022-03-310001326801us-gaap:CommonClassBMember2022-01-012022-03-</w:t>
      </w:r>
      <w:r>
        <w:rPr>
          <w:rFonts w:ascii="宋体" w:eastAsia="宋体" w:hAnsi="宋体" w:cs="宋体"/>
          <w:vanish/>
        </w:rPr>
        <w:t>310001326801us-gaap:CommonClassAMember2021-01-012021-03-310001326801us-gaap:CommonClassBMember2021-01-012021-03-310001326801us-gaap:CashMember2022-03-310001326801us-gaap:CashMember2021-12-310001326801us-gaap:MoneyMarketFundsMember2022-03-310001326801us-gaa</w:t>
      </w:r>
      <w:r>
        <w:rPr>
          <w:rFonts w:ascii="宋体" w:eastAsia="宋体" w:hAnsi="宋体" w:cs="宋体"/>
          <w:vanish/>
        </w:rPr>
        <w:t>p:MoneyMarketFundsMember2021-12-310001326801us-gaap:USGovernmentDebtSecuritiesMember2022-03-310001326801us-gaap:USGovernmentDebtSecuritiesMember2021-12-310001326801us-gaap:USGovernmentAgenciesDebtSecuritiesMember2022-03-310001326801us-gaap:USGovernmentAgen</w:t>
      </w:r>
      <w:r>
        <w:rPr>
          <w:rFonts w:ascii="宋体" w:eastAsia="宋体" w:hAnsi="宋体" w:cs="宋体"/>
          <w:vanish/>
        </w:rPr>
        <w:t>ciesDebtSecuritiesMember2021-12-310001326801us-gaap:BankTimeDepositsMember2022-03-310001326801us-gaap:BankTimeDepositsMember2021-12-310001326801us-gaap:CorporateDebtSecuritiesMember2022-03-310001326801us-gaap:CorporateDebtSecuritiesMember2021-12-3100013268</w:t>
      </w:r>
      <w:r>
        <w:rPr>
          <w:rFonts w:ascii="宋体" w:eastAsia="宋体" w:hAnsi="宋体" w:cs="宋体"/>
          <w:vanish/>
        </w:rPr>
        <w:t>01us-gaap:USGovernmentDebtSecuritiesMember2022-03-310001326801us-gaap:USGovernmentDebtSecuritiesMember2021-12-310001326801us-gaap:USGovernmentAgenciesDebtSecuritiesMember2022-03-310001326801us-gaap:USGovernmentAgenciesDebtSecuritiesMember2021-12-3100013268</w:t>
      </w:r>
      <w:r>
        <w:rPr>
          <w:rFonts w:ascii="宋体" w:eastAsia="宋体" w:hAnsi="宋体" w:cs="宋体"/>
          <w:vanish/>
        </w:rPr>
        <w:t>01us-gaap:CorporateDebtSecuritiesMember2022-03-310001326801us-gaap:CorporateDebtSecuritiesMember2021-12-310001326801us-gaap:USGovernmentDebtSecuritiesMemberus-gaap:AvailableforsaleSecuritiesMember2022-03-310001326801us-gaap:USGovernmentAgenciesDebtSecuriti</w:t>
      </w:r>
      <w:r>
        <w:rPr>
          <w:rFonts w:ascii="宋体" w:eastAsia="宋体" w:hAnsi="宋体" w:cs="宋体"/>
          <w:vanish/>
        </w:rPr>
        <w:t>esMemberus-gaap:AvailableforsaleSecuritiesMember2022-03-310001326801us-gaap:CorporateDebtSecuritiesMemberus-gaap:AvailableforsaleSecuritiesMember2022-03-310001326801us-gaap:AvailableforsaleSecuritiesMember2022-03-310001326801us-gaap:MoneyMarketFundsMemberu</w:t>
      </w:r>
      <w:r>
        <w:rPr>
          <w:rFonts w:ascii="宋体" w:eastAsia="宋体" w:hAnsi="宋体" w:cs="宋体"/>
          <w:vanish/>
        </w:rPr>
        <w:t>s-gaap:FairValueInputsLevel1Member2022-03-310001326801us-gaap:MoneyMarketFundsMemberus-gaap:FairValueInputsLevel2Member2022-03-310001326801us-gaap:USGovernmentDebtSecuritiesMemberus-gaap:FairValueInputsLevel1Member2022-03-310001326801us-gaap:USGovernmentDe</w:t>
      </w:r>
      <w:r>
        <w:rPr>
          <w:rFonts w:ascii="宋体" w:eastAsia="宋体" w:hAnsi="宋体" w:cs="宋体"/>
          <w:vanish/>
        </w:rPr>
        <w:t>btSecuritiesMemberus-gaap:FairValueInputsLevel2Member2022-03-310001326801us-gaap:FairValueInputsLevel1Memberus-gaap:BankTimeDepositsMember2022-03-310001326801us-gaap:BankTimeDepositsMemberus-gaap:FairValueInputsLevel2Member2022-03-310001326801us-gaap:Corpo</w:t>
      </w:r>
      <w:r>
        <w:rPr>
          <w:rFonts w:ascii="宋体" w:eastAsia="宋体" w:hAnsi="宋体" w:cs="宋体"/>
          <w:vanish/>
        </w:rPr>
        <w:t>rateDebtSecuritiesMemberus-gaap:FairValueInputsLevel1Member2022-03-310001326801us-gaap:CorporateDebtSecuritiesMemberus-gaap:FairValueInputsLevel2Member2022-03-310001326801us-gaap:USGovernmentDebtSecuritiesMemberus-gaap:FairValueInputsLevel1Member2022-03-31</w:t>
      </w:r>
      <w:r>
        <w:rPr>
          <w:rFonts w:ascii="宋体" w:eastAsia="宋体" w:hAnsi="宋体" w:cs="宋体"/>
          <w:vanish/>
        </w:rPr>
        <w:t>0001326801us-gaap:USGovernmentDebtSecuritiesMemberus-gaap:FairValueInputsLevel2Member2022-03-310001326801us-gaap:USGovernmentAgenciesDebtSecuritiesMemberus-gaap:FairValueInputsLevel1Member2022-03-310001326801us-gaap:USGovernmentAgenciesDebtSecuritiesMember</w:t>
      </w:r>
      <w:r>
        <w:rPr>
          <w:rFonts w:ascii="宋体" w:eastAsia="宋体" w:hAnsi="宋体" w:cs="宋体"/>
          <w:vanish/>
        </w:rPr>
        <w:t>us-gaap:FairValueInputsLevel2Member2022-03-310001326801us-gaap:CorporateDebtSecuritiesMemberus-gaap:FairValueInputsLevel1Member2022-03-310001326801us-gaap:CorporateDebtSecuritiesMemberus-gaap:FairValueInputsLevel2Member2022-03-310001326801us-gaap:FairValue</w:t>
      </w:r>
      <w:r>
        <w:rPr>
          <w:rFonts w:ascii="宋体" w:eastAsia="宋体" w:hAnsi="宋体" w:cs="宋体"/>
          <w:vanish/>
        </w:rPr>
        <w:t>InputsLevel1Member2022-03-310001326801us-gaap:FairValueInputsLevel2Member2022-03-310001326801us-gaap:MoneyMarketFundsMemberus-gaap:FairValueInputsLevel1Member2021-12-310001326801us-gaap:MoneyMarketFundsMemberus-gaap:FairValueInputsLevel2Member2021-12-31000</w:t>
      </w:r>
      <w:r>
        <w:rPr>
          <w:rFonts w:ascii="宋体" w:eastAsia="宋体" w:hAnsi="宋体" w:cs="宋体"/>
          <w:vanish/>
        </w:rPr>
        <w:t>1326801us-gaap:USGovernmentDebtSecuritiesMemberus-gaap:FairValueInputsLevel1Member2021-12-310001326801us-gaap:USGovernmentDebtSecuritiesMemberus-gaap:FairValueInputsLevel2Member2021-12-310001326801us-gaap:USGovernmentAgenciesDebtSecuritiesMemberus-gaap:Fai</w:t>
      </w:r>
      <w:r>
        <w:rPr>
          <w:rFonts w:ascii="宋体" w:eastAsia="宋体" w:hAnsi="宋体" w:cs="宋体"/>
          <w:vanish/>
        </w:rPr>
        <w:t>rValueInputsLevel1Member2021-12-310001326801us-gaap:USGovernmentAgenciesDebtSecuritiesMemberus-gaap:FairValueInputsLevel2Member2021-12-310001326801us-gaap:FairValueInputsLevel1Memberus-gaap:BankTimeDepositsMember2021-12-310001326801us-gaap:BankTimeDeposits</w:t>
      </w:r>
      <w:r>
        <w:rPr>
          <w:rFonts w:ascii="宋体" w:eastAsia="宋体" w:hAnsi="宋体" w:cs="宋体"/>
          <w:vanish/>
        </w:rPr>
        <w:t>Memberus-gaap:FairValueInputsLevel2Member2021-12-310001326801us-gaap:CorporateDebtSecuritiesMemberus-gaap:FairValueInputsLevel1Member2021-12-310001326801us-gaap:CorporateDebtSecuritiesMemberus-gaap:FairValueInputsLevel2Member2021-12-310001326801us-gaap:USG</w:t>
      </w:r>
      <w:r>
        <w:rPr>
          <w:rFonts w:ascii="宋体" w:eastAsia="宋体" w:hAnsi="宋体" w:cs="宋体"/>
          <w:vanish/>
        </w:rPr>
        <w:t>overnmentDebtSecuritiesMemberus-gaap:FairValueInputsLevel1Member2021-12-310001326801us-gaap:USGovernmentDebtSecuritiesMemberus-gaap:FairValueInputsLevel2Member2021-12-310001326801us-gaap:USGovernmentAgenciesDebtSecuritiesMemberus-gaap:FairValueInputsLevel1</w:t>
      </w:r>
      <w:r>
        <w:rPr>
          <w:rFonts w:ascii="宋体" w:eastAsia="宋体" w:hAnsi="宋体" w:cs="宋体"/>
          <w:vanish/>
        </w:rPr>
        <w:t>Member2021-12-310001326801us-gaap:USGovernmentAgenciesDebtSecuritiesMemberus-gaap:FairValueInputsLevel2Member2021-12-310001326801us-gaap:CorporateDebtSecuritiesMemberus-gaap:FairValueInputsLevel1Member2021-12-310001326801us-gaap:CorporateDebtSecuritiesMemb</w:t>
      </w:r>
      <w:r>
        <w:rPr>
          <w:rFonts w:ascii="宋体" w:eastAsia="宋体" w:hAnsi="宋体" w:cs="宋体"/>
          <w:vanish/>
        </w:rPr>
        <w:t>erus-gaap:FairValueInputsLevel2Member2021-12-310001326801us-gaap:FairValueInputsLevel1Member2021-12-310001326801us-gaap:FairValueInputsLevel2Member2021-12-310001326801us-gaap:FairValueInputsLevel3Member2022-03-310001326801us-gaap:LandMember2022-03-31000132</w:t>
      </w:r>
      <w:r>
        <w:rPr>
          <w:rFonts w:ascii="宋体" w:eastAsia="宋体" w:hAnsi="宋体" w:cs="宋体"/>
          <w:vanish/>
        </w:rPr>
        <w:t>6801us-gaap:LandMember2021-12-310001326801meta:ServersAndNetworkAssetsMember2022-03-310001326801meta:ServersAndNetworkAssetsMember2021-12-310001326801us-gaap:BuildingMember2022-03-310001326801us-gaap:BuildingMember2021-12-310001326801us-gaap:LeaseholdImpro</w:t>
      </w:r>
      <w:r>
        <w:rPr>
          <w:rFonts w:ascii="宋体" w:eastAsia="宋体" w:hAnsi="宋体" w:cs="宋体"/>
          <w:vanish/>
        </w:rPr>
        <w:t>vementsMember2022-03-310001326801us-gaap:LeaseholdImprovementsMember2021-12-310001326801meta:EquipmentAndOtherMember2022-03-310001326801meta:EquipmentAndOtherMember2021-12-310001326801us-gaap:ConstructionInProgressMember2022-03-310001326801us-gaap:Construc</w:t>
      </w:r>
      <w:r>
        <w:rPr>
          <w:rFonts w:ascii="宋体" w:eastAsia="宋体" w:hAnsi="宋体" w:cs="宋体"/>
          <w:vanish/>
        </w:rPr>
        <w:t>tionInProgressMember2021-12-31xbrli:pure0001326801srt:MinimumMember2022-01-012022-03-310001326801srt:MaximumMember2022-01-012022-03-310001326801meta:SeveralBusinessAcquisitionsMember2022-01-012022-03-310001326801meta:SeveralBusinessAcquisitionsMember2022-0</w:t>
      </w:r>
      <w:r>
        <w:rPr>
          <w:rFonts w:ascii="宋体" w:eastAsia="宋体" w:hAnsi="宋体" w:cs="宋体"/>
          <w:vanish/>
        </w:rPr>
        <w:t>3-310001326801meta:FamilyOfAppsMember2021-12-310001326801meta:RealityLabsMember2021-12-310001326801meta:FamilyOfAppsMember2022-03-310001326801meta:RealityLabsMember2022-03-310001326801us-gaap:TechnologyBasedIntangibleAssetsMember2022-01-012022-03-310001326</w:t>
      </w:r>
      <w:r>
        <w:rPr>
          <w:rFonts w:ascii="宋体" w:eastAsia="宋体" w:hAnsi="宋体" w:cs="宋体"/>
          <w:vanish/>
        </w:rPr>
        <w:t>801us-gaap:TechnologyBasedIntangibleAssetsMember2022-03-310001326801us-gaap:TechnologyBasedIntangibleAssetsMember2021-12-310001326801us-gaap:PatentsMember2022-01-012022-03-310001326801us-gaap:PatentsMember2022-03-310001326801us-gaap:PatentsMember2021-12-31</w:t>
      </w:r>
      <w:r>
        <w:rPr>
          <w:rFonts w:ascii="宋体" w:eastAsia="宋体" w:hAnsi="宋体" w:cs="宋体"/>
          <w:vanish/>
        </w:rPr>
        <w:t>0001326801us-gaap:TradeNamesMember2022-01-012022-03-310001326801us-gaap:TradeNamesMember2022-03-310001326801us-gaap:TradeNamesMember2021-12-310001326801us-gaap:OtherIntangibleAssetsMember2022-01-012022-03-310001326801us-gaap:OtherIntangibleAssetsMember2022</w:t>
      </w:r>
      <w:r>
        <w:rPr>
          <w:rFonts w:ascii="宋体" w:eastAsia="宋体" w:hAnsi="宋体" w:cs="宋体"/>
          <w:vanish/>
        </w:rPr>
        <w:t>-03-310001326801us-gaap:OtherIntangibleAssetsMember2021-12-3100013268012018-07-272018-07-27meta:claim0001326801meta:UnitedStatesFederalTradeCommissionInquiryMember2020-04-012020-04-30meta:plan0001326801meta:EquityIncentivePlan2012Member2022-01-010001326801</w:t>
      </w:r>
      <w:r>
        <w:rPr>
          <w:rFonts w:ascii="宋体" w:eastAsia="宋体" w:hAnsi="宋体" w:cs="宋体"/>
          <w:vanish/>
        </w:rPr>
        <w:t>meta:EquityIncentivePlan2012Member2022-01-012022-03-310001326801us-gaap:RestrictedStockUnitsRSUMember2021-12-310001326801us-gaap:RestrictedStockUnitsRSUMember2022-01-012022-03-310001326801us-gaap:RestrictedStockUnitsRSUMember2022-03-310001326801us-gaap:Res</w:t>
      </w:r>
      <w:r>
        <w:rPr>
          <w:rFonts w:ascii="宋体" w:eastAsia="宋体" w:hAnsi="宋体" w:cs="宋体"/>
          <w:vanish/>
        </w:rPr>
        <w:t>trictedStockUnitsRSUMember2021-01-012021-03-310001326801us-gaap:InternalRevenueServiceIRSMemberus-gaap:TaxYear2010Member2016-07-012016-07-310001326801meta:TaxYears2011Through2013Memberus-gaap:InternalRevenueServiceIRSMember2018-03-012018-03-310001326801met</w:t>
      </w:r>
      <w:r>
        <w:rPr>
          <w:rFonts w:ascii="宋体" w:eastAsia="宋体" w:hAnsi="宋体" w:cs="宋体"/>
          <w:vanish/>
        </w:rPr>
        <w:t>a:TaxYears2011Through2013Memberus-gaap:InternalRevenueServiceIRSMember2018-03-31meta:noticemeta:reportable_segment0001326801country:US2022-03-310001326801country:US2021-12-310001326801us-gaap:NonUsMember2022-03-310001326801us-gaap:NonUsMember2021-12-31</w:t>
      </w:r>
    </w:p>
    <w:p w14:paraId="0B2F9BFF" w14:textId="77777777" w:rsidR="007F1775" w:rsidRDefault="007F1775"/>
    <w:p w14:paraId="0B2F9C00" w14:textId="77777777" w:rsidR="007F1775" w:rsidRDefault="000F083E">
      <w:pPr>
        <w:jc w:val="center"/>
      </w:pPr>
      <w:r>
        <w:rPr>
          <w:rFonts w:ascii="Times New Roman" w:eastAsia="宋体" w:hAnsi="Times New Roman"/>
          <w:b/>
          <w:bCs/>
          <w:color w:val="000000"/>
          <w:sz w:val="28"/>
          <w:szCs w:val="28"/>
        </w:rPr>
        <w:t>UN</w:t>
      </w:r>
      <w:r>
        <w:rPr>
          <w:rFonts w:ascii="Times New Roman" w:eastAsia="宋体" w:hAnsi="Times New Roman"/>
          <w:b/>
          <w:bCs/>
          <w:color w:val="000000"/>
          <w:sz w:val="28"/>
          <w:szCs w:val="28"/>
        </w:rPr>
        <w:t>ITED STATES</w:t>
      </w:r>
    </w:p>
    <w:p w14:paraId="0B2F9C01" w14:textId="77777777" w:rsidR="007F1775" w:rsidRDefault="000F083E">
      <w:pPr>
        <w:jc w:val="center"/>
      </w:pPr>
      <w:r>
        <w:rPr>
          <w:rFonts w:ascii="Times New Roman" w:eastAsia="宋体" w:hAnsi="Times New Roman"/>
          <w:b/>
          <w:bCs/>
          <w:color w:val="000000"/>
          <w:sz w:val="28"/>
          <w:szCs w:val="28"/>
        </w:rPr>
        <w:t>SECURITIES AND EXCHANGE COMMISSION</w:t>
      </w:r>
    </w:p>
    <w:p w14:paraId="0B2F9C02" w14:textId="77777777" w:rsidR="007F1775" w:rsidRDefault="000F083E">
      <w:pPr>
        <w:jc w:val="center"/>
      </w:pPr>
      <w:r>
        <w:rPr>
          <w:rFonts w:ascii="Times New Roman" w:eastAsia="宋体" w:hAnsi="Times New Roman"/>
          <w:b/>
          <w:bCs/>
          <w:color w:val="000000"/>
          <w:sz w:val="28"/>
          <w:szCs w:val="28"/>
        </w:rPr>
        <w:t>Washington, D.C. 20549</w:t>
      </w:r>
    </w:p>
    <w:p w14:paraId="0B2F9C03" w14:textId="77777777" w:rsidR="007F1775" w:rsidRDefault="000F083E">
      <w:pPr>
        <w:jc w:val="center"/>
      </w:pPr>
      <w:r>
        <w:rPr>
          <w:rFonts w:ascii="Times New Roman" w:eastAsia="宋体" w:hAnsi="Times New Roman"/>
          <w:color w:val="000000"/>
          <w:sz w:val="20"/>
          <w:szCs w:val="20"/>
        </w:rPr>
        <w:t>____________________________________________ </w:t>
      </w:r>
    </w:p>
    <w:p w14:paraId="0B2F9C04" w14:textId="77777777" w:rsidR="007F1775" w:rsidRDefault="007F1775">
      <w:pPr>
        <w:jc w:val="center"/>
      </w:pPr>
    </w:p>
    <w:p w14:paraId="0B2F9C05" w14:textId="77777777" w:rsidR="007F1775" w:rsidRDefault="000F083E">
      <w:pPr>
        <w:jc w:val="center"/>
      </w:pPr>
      <w:r>
        <w:rPr>
          <w:rFonts w:ascii="Times New Roman" w:eastAsia="宋体" w:hAnsi="Times New Roman"/>
          <w:b/>
          <w:bCs/>
          <w:color w:val="000000"/>
          <w:sz w:val="40"/>
          <w:szCs w:val="40"/>
        </w:rPr>
        <w:t xml:space="preserve">FORM 10-Q </w:t>
      </w:r>
    </w:p>
    <w:p w14:paraId="0B2F9C06" w14:textId="77777777" w:rsidR="007F1775" w:rsidRDefault="000F083E">
      <w:pPr>
        <w:jc w:val="center"/>
      </w:pPr>
      <w:r>
        <w:rPr>
          <w:rFonts w:ascii="Times New Roman" w:eastAsia="宋体" w:hAnsi="Times New Roman"/>
          <w:color w:val="000000"/>
          <w:sz w:val="20"/>
          <w:szCs w:val="20"/>
        </w:rPr>
        <w:t>____________________________________________ </w:t>
      </w:r>
    </w:p>
    <w:p w14:paraId="0B2F9C07" w14:textId="77777777" w:rsidR="007F1775" w:rsidRDefault="000F083E">
      <w:r>
        <w:rPr>
          <w:rFonts w:ascii="Times New Roman" w:eastAsia="宋体" w:hAnsi="Times New Roman"/>
          <w:color w:val="000000"/>
          <w:sz w:val="16"/>
          <w:szCs w:val="16"/>
        </w:rPr>
        <w:t>(Mark One)</w:t>
      </w:r>
    </w:p>
    <w:p w14:paraId="0B2F9C08" w14:textId="77777777" w:rsidR="007F1775" w:rsidRDefault="000F083E">
      <w:r>
        <w:rPr>
          <w:rFonts w:ascii="Arial Unicode MS" w:eastAsia="Arial Unicode MS" w:hAnsi="Arial Unicode MS" w:cs="Arial Unicode MS"/>
          <w:color w:val="000000"/>
        </w:rPr>
        <w:t>☒</w:t>
      </w:r>
      <w:r>
        <w:rPr>
          <w:rFonts w:ascii="Arial Unicode MS" w:eastAsia="Arial Unicode MS" w:hAnsi="Arial Unicode MS" w:cs="Arial Unicode MS" w:hint="eastAsia"/>
          <w:color w:val="000000"/>
          <w:sz w:val="20"/>
          <w:szCs w:val="20"/>
        </w:rPr>
        <w:t> </w:t>
      </w:r>
      <w:r>
        <w:rPr>
          <w:rFonts w:ascii="Wingdings" w:eastAsia="宋体" w:hAnsi="Wingdings" w:cs="Wingdings"/>
          <w:b/>
          <w:bCs/>
          <w:color w:val="000000"/>
        </w:rPr>
        <w:t xml:space="preserve"> </w:t>
      </w:r>
      <w:r>
        <w:rPr>
          <w:rFonts w:ascii="Times New Roman" w:eastAsia="宋体" w:hAnsi="Times New Roman"/>
          <w:b/>
          <w:bCs/>
          <w:color w:val="000000"/>
          <w:sz w:val="20"/>
          <w:szCs w:val="20"/>
        </w:rPr>
        <w:t>QUARTERLY REPORT PURSUANT TO SECTION 13 OR 15(d) OF THE SECURITIES E</w:t>
      </w:r>
      <w:r>
        <w:rPr>
          <w:rFonts w:ascii="Times New Roman" w:eastAsia="宋体" w:hAnsi="Times New Roman"/>
          <w:b/>
          <w:bCs/>
          <w:color w:val="000000"/>
          <w:sz w:val="20"/>
          <w:szCs w:val="20"/>
        </w:rPr>
        <w:t>XCHANGE ACT OF 1934</w:t>
      </w:r>
    </w:p>
    <w:p w14:paraId="0B2F9C09" w14:textId="77777777" w:rsidR="007F1775" w:rsidRDefault="000F083E">
      <w:pPr>
        <w:jc w:val="center"/>
      </w:pPr>
      <w:r>
        <w:rPr>
          <w:rFonts w:ascii="Times New Roman" w:eastAsia="宋体" w:hAnsi="Times New Roman"/>
          <w:b/>
          <w:bCs/>
          <w:color w:val="000000"/>
          <w:sz w:val="20"/>
          <w:szCs w:val="20"/>
        </w:rPr>
        <w:t xml:space="preserve">For the quarterly period ended March 31, 2022 </w:t>
      </w:r>
    </w:p>
    <w:p w14:paraId="0B2F9C0A" w14:textId="77777777" w:rsidR="007F1775" w:rsidRDefault="000F083E">
      <w:pPr>
        <w:jc w:val="center"/>
      </w:pPr>
      <w:r>
        <w:rPr>
          <w:rFonts w:ascii="Times New Roman" w:eastAsia="宋体" w:hAnsi="Times New Roman"/>
          <w:b/>
          <w:bCs/>
          <w:color w:val="000000"/>
          <w:sz w:val="20"/>
          <w:szCs w:val="20"/>
        </w:rPr>
        <w:t>or</w:t>
      </w:r>
    </w:p>
    <w:p w14:paraId="0B2F9C0B" w14:textId="77777777" w:rsidR="007F1775" w:rsidRDefault="000F083E">
      <w:r>
        <w:rPr>
          <w:rFonts w:ascii="Arial Unicode MS" w:eastAsia="Arial Unicode MS" w:hAnsi="Arial Unicode MS" w:cs="Arial Unicode MS" w:hint="eastAsia"/>
          <w:color w:val="000000"/>
        </w:rPr>
        <w:t>☐</w:t>
      </w:r>
      <w:r>
        <w:rPr>
          <w:rFonts w:ascii="Wingdings" w:eastAsia="宋体" w:hAnsi="Wingdings" w:cs="Wingdings"/>
          <w:b/>
          <w:bCs/>
          <w:color w:val="000000"/>
        </w:rPr>
        <w:t xml:space="preserve"> </w:t>
      </w:r>
      <w:r>
        <w:rPr>
          <w:rFonts w:ascii="Times New Roman" w:eastAsia="宋体" w:hAnsi="Times New Roman"/>
          <w:b/>
          <w:bCs/>
          <w:color w:val="000000"/>
          <w:sz w:val="20"/>
          <w:szCs w:val="20"/>
        </w:rPr>
        <w:t>TRANSITION REPORT PURSUANT TO SECTION 13 OR 15(d) OF THE SECURITIES EXCHANGE ACT OF 1934</w:t>
      </w:r>
    </w:p>
    <w:p w14:paraId="0B2F9C0C" w14:textId="77777777" w:rsidR="007F1775" w:rsidRDefault="000F083E">
      <w:pPr>
        <w:jc w:val="center"/>
      </w:pPr>
      <w:r>
        <w:rPr>
          <w:rFonts w:ascii="Times New Roman" w:eastAsia="宋体" w:hAnsi="Times New Roman"/>
          <w:b/>
          <w:bCs/>
          <w:color w:val="000000"/>
          <w:sz w:val="20"/>
          <w:szCs w:val="20"/>
        </w:rPr>
        <w:t>For the transition period from            to            </w:t>
      </w:r>
    </w:p>
    <w:p w14:paraId="0B2F9C0D" w14:textId="77777777" w:rsidR="007F1775" w:rsidRDefault="000F083E">
      <w:pPr>
        <w:jc w:val="center"/>
      </w:pPr>
      <w:r>
        <w:rPr>
          <w:rFonts w:ascii="Times New Roman" w:eastAsia="宋体" w:hAnsi="Times New Roman"/>
          <w:b/>
          <w:bCs/>
          <w:color w:val="000000"/>
          <w:sz w:val="20"/>
          <w:szCs w:val="20"/>
        </w:rPr>
        <w:t xml:space="preserve">Commission File Number: 001-35551 </w:t>
      </w:r>
    </w:p>
    <w:p w14:paraId="0B2F9C0E" w14:textId="77777777" w:rsidR="007F1775" w:rsidRDefault="000F083E">
      <w:pPr>
        <w:jc w:val="center"/>
      </w:pPr>
      <w:r>
        <w:rPr>
          <w:rFonts w:ascii="Times New Roman" w:eastAsia="宋体" w:hAnsi="Times New Roman"/>
          <w:color w:val="000000"/>
          <w:sz w:val="20"/>
          <w:szCs w:val="20"/>
        </w:rPr>
        <w:t>____________________________________________ </w:t>
      </w:r>
    </w:p>
    <w:p w14:paraId="0B2F9C0F" w14:textId="77777777" w:rsidR="007F1775" w:rsidRDefault="000F083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60" wp14:editId="0B2FBF61">
            <wp:extent cx="304800" cy="304800"/>
            <wp:effectExtent l="0" t="0" r="0" b="0"/>
            <wp:docPr id="56"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B2F9C10" w14:textId="77777777" w:rsidR="007F1775" w:rsidRDefault="000F083E">
      <w:pPr>
        <w:jc w:val="center"/>
      </w:pPr>
      <w:r>
        <w:rPr>
          <w:rFonts w:ascii="Times New Roman" w:eastAsia="宋体" w:hAnsi="Times New Roman"/>
          <w:b/>
          <w:bCs/>
          <w:color w:val="000000"/>
          <w:sz w:val="40"/>
          <w:szCs w:val="40"/>
        </w:rPr>
        <w:t>Meta Platforms, Inc.</w:t>
      </w:r>
      <w:r>
        <w:rPr>
          <w:rFonts w:ascii="Times New Roman" w:eastAsia="宋体" w:hAnsi="Times New Roman"/>
          <w:b/>
          <w:bCs/>
          <w:color w:val="000000"/>
          <w:sz w:val="48"/>
          <w:szCs w:val="48"/>
        </w:rPr>
        <w:t xml:space="preserve"> </w:t>
      </w:r>
    </w:p>
    <w:p w14:paraId="0B2F9C11" w14:textId="77777777" w:rsidR="007F1775" w:rsidRDefault="000F083E">
      <w:pPr>
        <w:jc w:val="center"/>
      </w:pPr>
      <w:r>
        <w:rPr>
          <w:rFonts w:ascii="Times New Roman" w:eastAsia="宋体" w:hAnsi="Times New Roman"/>
          <w:b/>
          <w:bCs/>
          <w:color w:val="000000"/>
          <w:sz w:val="20"/>
          <w:szCs w:val="20"/>
        </w:rPr>
        <w:t>(Exact name of registrant as specified in its charter)</w:t>
      </w:r>
    </w:p>
    <w:p w14:paraId="0B2F9C12" w14:textId="77777777" w:rsidR="007F1775" w:rsidRDefault="000F083E">
      <w:pPr>
        <w:jc w:val="center"/>
      </w:pPr>
      <w:r>
        <w:rPr>
          <w:rFonts w:ascii="Times New Roman" w:eastAsia="宋体" w:hAnsi="Times New Roman"/>
          <w:color w:val="000000"/>
          <w:sz w:val="20"/>
          <w:szCs w:val="20"/>
        </w:rPr>
        <w:t>____________________________________________ </w:t>
      </w:r>
    </w:p>
    <w:tbl>
      <w:tblPr>
        <w:tblW w:w="5000" w:type="pct"/>
        <w:tblCellMar>
          <w:top w:w="15" w:type="dxa"/>
          <w:left w:w="15" w:type="dxa"/>
          <w:bottom w:w="15" w:type="dxa"/>
          <w:right w:w="15" w:type="dxa"/>
        </w:tblCellMar>
        <w:tblLook w:val="04A0" w:firstRow="1" w:lastRow="0" w:firstColumn="1" w:lastColumn="0" w:noHBand="0" w:noVBand="1"/>
      </w:tblPr>
      <w:tblGrid>
        <w:gridCol w:w="69"/>
        <w:gridCol w:w="4000"/>
        <w:gridCol w:w="36"/>
        <w:gridCol w:w="70"/>
        <w:gridCol w:w="4125"/>
        <w:gridCol w:w="36"/>
      </w:tblGrid>
      <w:tr w:rsidR="007F1775" w14:paraId="0B2F9C19" w14:textId="77777777">
        <w:tc>
          <w:tcPr>
            <w:tcW w:w="50" w:type="pct"/>
            <w:shd w:val="clear" w:color="auto" w:fill="auto"/>
            <w:vAlign w:val="bottom"/>
          </w:tcPr>
          <w:p w14:paraId="0B2F9C13" w14:textId="77777777" w:rsidR="007F1775" w:rsidRDefault="007F1775">
            <w:pPr>
              <w:rPr>
                <w:rFonts w:ascii="宋体"/>
              </w:rPr>
            </w:pPr>
          </w:p>
        </w:tc>
        <w:tc>
          <w:tcPr>
            <w:tcW w:w="2407" w:type="pct"/>
            <w:shd w:val="clear" w:color="auto" w:fill="auto"/>
            <w:vAlign w:val="bottom"/>
          </w:tcPr>
          <w:p w14:paraId="0B2F9C14" w14:textId="77777777" w:rsidR="007F1775" w:rsidRDefault="007F1775">
            <w:pPr>
              <w:rPr>
                <w:rFonts w:ascii="宋体"/>
              </w:rPr>
            </w:pPr>
          </w:p>
        </w:tc>
        <w:tc>
          <w:tcPr>
            <w:tcW w:w="5" w:type="pct"/>
            <w:shd w:val="clear" w:color="auto" w:fill="auto"/>
            <w:vAlign w:val="bottom"/>
          </w:tcPr>
          <w:p w14:paraId="0B2F9C15" w14:textId="77777777" w:rsidR="007F1775" w:rsidRDefault="007F1775">
            <w:pPr>
              <w:rPr>
                <w:rFonts w:ascii="宋体"/>
              </w:rPr>
            </w:pPr>
          </w:p>
        </w:tc>
        <w:tc>
          <w:tcPr>
            <w:tcW w:w="50" w:type="pct"/>
            <w:shd w:val="clear" w:color="auto" w:fill="auto"/>
            <w:vAlign w:val="bottom"/>
          </w:tcPr>
          <w:p w14:paraId="0B2F9C16" w14:textId="77777777" w:rsidR="007F1775" w:rsidRDefault="007F1775">
            <w:pPr>
              <w:rPr>
                <w:rFonts w:ascii="宋体"/>
              </w:rPr>
            </w:pPr>
          </w:p>
        </w:tc>
        <w:tc>
          <w:tcPr>
            <w:tcW w:w="2482" w:type="pct"/>
            <w:shd w:val="clear" w:color="auto" w:fill="auto"/>
            <w:vAlign w:val="bottom"/>
          </w:tcPr>
          <w:p w14:paraId="0B2F9C17" w14:textId="77777777" w:rsidR="007F1775" w:rsidRDefault="007F1775">
            <w:pPr>
              <w:rPr>
                <w:rFonts w:ascii="宋体"/>
              </w:rPr>
            </w:pPr>
          </w:p>
        </w:tc>
        <w:tc>
          <w:tcPr>
            <w:tcW w:w="5" w:type="pct"/>
            <w:shd w:val="clear" w:color="auto" w:fill="auto"/>
            <w:vAlign w:val="bottom"/>
          </w:tcPr>
          <w:p w14:paraId="0B2F9C18" w14:textId="77777777" w:rsidR="007F1775" w:rsidRDefault="007F1775">
            <w:pPr>
              <w:rPr>
                <w:rFonts w:ascii="宋体"/>
              </w:rPr>
            </w:pPr>
          </w:p>
        </w:tc>
      </w:tr>
      <w:tr w:rsidR="007F1775" w14:paraId="0B2F9C1C" w14:textId="77777777">
        <w:tc>
          <w:tcPr>
            <w:tcW w:w="0" w:type="auto"/>
            <w:gridSpan w:val="3"/>
            <w:shd w:val="clear" w:color="auto" w:fill="auto"/>
            <w:tcMar>
              <w:top w:w="40" w:type="dxa"/>
              <w:left w:w="20" w:type="dxa"/>
              <w:bottom w:w="40" w:type="dxa"/>
              <w:right w:w="20" w:type="dxa"/>
            </w:tcMar>
          </w:tcPr>
          <w:p w14:paraId="0B2F9C1A" w14:textId="77777777" w:rsidR="007F1775" w:rsidRDefault="000F083E">
            <w:pPr>
              <w:jc w:val="center"/>
              <w:textAlignment w:val="top"/>
            </w:pPr>
            <w:r>
              <w:rPr>
                <w:rFonts w:ascii="Times New Roman" w:eastAsia="宋体" w:hAnsi="Times New Roman"/>
                <w:b/>
                <w:bCs/>
                <w:color w:val="000000"/>
                <w:sz w:val="20"/>
                <w:szCs w:val="20"/>
              </w:rPr>
              <w:t>Delaware</w:t>
            </w:r>
          </w:p>
        </w:tc>
        <w:tc>
          <w:tcPr>
            <w:tcW w:w="0" w:type="auto"/>
            <w:gridSpan w:val="3"/>
            <w:shd w:val="clear" w:color="auto" w:fill="auto"/>
            <w:tcMar>
              <w:top w:w="40" w:type="dxa"/>
              <w:left w:w="20" w:type="dxa"/>
              <w:bottom w:w="40" w:type="dxa"/>
              <w:right w:w="20" w:type="dxa"/>
            </w:tcMar>
          </w:tcPr>
          <w:p w14:paraId="0B2F9C1B" w14:textId="77777777" w:rsidR="007F1775" w:rsidRDefault="000F083E">
            <w:pPr>
              <w:jc w:val="center"/>
              <w:textAlignment w:val="top"/>
            </w:pPr>
            <w:r>
              <w:rPr>
                <w:rFonts w:ascii="Times New Roman" w:eastAsia="宋体" w:hAnsi="Times New Roman"/>
                <w:b/>
                <w:bCs/>
                <w:color w:val="000000"/>
                <w:sz w:val="20"/>
                <w:szCs w:val="20"/>
              </w:rPr>
              <w:t>20-1665019</w:t>
            </w:r>
          </w:p>
        </w:tc>
      </w:tr>
      <w:tr w:rsidR="007F1775" w14:paraId="0B2F9C1F" w14:textId="77777777">
        <w:tc>
          <w:tcPr>
            <w:tcW w:w="0" w:type="auto"/>
            <w:gridSpan w:val="3"/>
            <w:shd w:val="clear" w:color="auto" w:fill="auto"/>
            <w:tcMar>
              <w:top w:w="40" w:type="dxa"/>
              <w:left w:w="20" w:type="dxa"/>
              <w:bottom w:w="40" w:type="dxa"/>
              <w:right w:w="20" w:type="dxa"/>
            </w:tcMar>
          </w:tcPr>
          <w:p w14:paraId="0B2F9C1D" w14:textId="77777777" w:rsidR="007F1775" w:rsidRDefault="000F083E">
            <w:pPr>
              <w:jc w:val="center"/>
              <w:textAlignment w:val="top"/>
            </w:pPr>
            <w:r>
              <w:rPr>
                <w:rFonts w:ascii="Times New Roman" w:eastAsia="宋体" w:hAnsi="Times New Roman"/>
                <w:b/>
                <w:bCs/>
                <w:color w:val="000000"/>
                <w:sz w:val="16"/>
                <w:szCs w:val="16"/>
              </w:rPr>
              <w:t>(State or other jurisdiction of incorporation or organization)</w:t>
            </w:r>
          </w:p>
        </w:tc>
        <w:tc>
          <w:tcPr>
            <w:tcW w:w="0" w:type="auto"/>
            <w:gridSpan w:val="3"/>
            <w:shd w:val="clear" w:color="auto" w:fill="auto"/>
            <w:tcMar>
              <w:top w:w="40" w:type="dxa"/>
              <w:left w:w="20" w:type="dxa"/>
              <w:bottom w:w="40" w:type="dxa"/>
              <w:right w:w="20" w:type="dxa"/>
            </w:tcMar>
          </w:tcPr>
          <w:p w14:paraId="0B2F9C1E" w14:textId="77777777" w:rsidR="007F1775" w:rsidRDefault="000F083E">
            <w:pPr>
              <w:jc w:val="center"/>
              <w:textAlignment w:val="top"/>
            </w:pPr>
            <w:r>
              <w:rPr>
                <w:rFonts w:ascii="Times New Roman" w:eastAsia="宋体" w:hAnsi="Times New Roman"/>
                <w:b/>
                <w:bCs/>
                <w:color w:val="000000"/>
                <w:sz w:val="16"/>
                <w:szCs w:val="16"/>
              </w:rPr>
              <w:t>(I.R.S. Employer Identification Number)</w:t>
            </w:r>
          </w:p>
        </w:tc>
      </w:tr>
    </w:tbl>
    <w:p w14:paraId="0B2F9C20" w14:textId="77777777" w:rsidR="007F1775" w:rsidRDefault="000F083E">
      <w:pPr>
        <w:jc w:val="center"/>
      </w:pPr>
      <w:r>
        <w:rPr>
          <w:rFonts w:ascii="Times New Roman" w:eastAsia="宋体" w:hAnsi="Times New Roman"/>
          <w:b/>
          <w:bCs/>
          <w:color w:val="000000"/>
          <w:sz w:val="20"/>
          <w:szCs w:val="20"/>
        </w:rPr>
        <w:t xml:space="preserve">1601 Willow Road, Menlo Park, California 94025 </w:t>
      </w:r>
    </w:p>
    <w:p w14:paraId="0B2F9C21" w14:textId="77777777" w:rsidR="007F1775" w:rsidRDefault="000F083E">
      <w:pPr>
        <w:jc w:val="center"/>
      </w:pPr>
      <w:r>
        <w:rPr>
          <w:rFonts w:ascii="Times New Roman" w:eastAsia="宋体" w:hAnsi="Times New Roman"/>
          <w:b/>
          <w:bCs/>
          <w:color w:val="000000"/>
          <w:sz w:val="16"/>
          <w:szCs w:val="16"/>
        </w:rPr>
        <w:t>(Address of principal executive offices and Zip Code)</w:t>
      </w:r>
    </w:p>
    <w:p w14:paraId="0B2F9C22" w14:textId="77777777" w:rsidR="007F1775" w:rsidRDefault="007F1775">
      <w:pPr>
        <w:jc w:val="center"/>
      </w:pPr>
    </w:p>
    <w:p w14:paraId="0B2F9C23" w14:textId="77777777" w:rsidR="007F1775" w:rsidRDefault="000F083E">
      <w:pPr>
        <w:jc w:val="center"/>
      </w:pPr>
      <w:r>
        <w:rPr>
          <w:rFonts w:ascii="Times New Roman" w:eastAsia="宋体" w:hAnsi="Times New Roman"/>
          <w:b/>
          <w:bCs/>
          <w:color w:val="000000"/>
          <w:sz w:val="20"/>
          <w:szCs w:val="20"/>
        </w:rPr>
        <w:t xml:space="preserve">(650) 543-4800 </w:t>
      </w:r>
    </w:p>
    <w:p w14:paraId="0B2F9C24" w14:textId="77777777" w:rsidR="007F1775" w:rsidRDefault="000F083E">
      <w:pPr>
        <w:jc w:val="center"/>
      </w:pPr>
      <w:r>
        <w:rPr>
          <w:rFonts w:ascii="Times New Roman" w:eastAsia="宋体" w:hAnsi="Times New Roman"/>
          <w:b/>
          <w:bCs/>
          <w:color w:val="000000"/>
          <w:sz w:val="16"/>
          <w:szCs w:val="16"/>
        </w:rPr>
        <w:t>(Registrant's telephone number, including area code)</w:t>
      </w:r>
    </w:p>
    <w:p w14:paraId="0B2F9C25" w14:textId="77777777" w:rsidR="007F1775" w:rsidRDefault="000F083E">
      <w:pPr>
        <w:jc w:val="center"/>
      </w:pPr>
      <w:r>
        <w:rPr>
          <w:rFonts w:ascii="Times New Roman" w:eastAsia="宋体" w:hAnsi="Times New Roman"/>
          <w:color w:val="000000"/>
          <w:sz w:val="20"/>
          <w:szCs w:val="20"/>
        </w:rPr>
        <w:t> ____________________________________________</w:t>
      </w:r>
    </w:p>
    <w:p w14:paraId="0B2F9C26" w14:textId="77777777" w:rsidR="007F1775" w:rsidRDefault="007F1775"/>
    <w:p w14:paraId="0B2F9C27" w14:textId="77777777" w:rsidR="007F1775" w:rsidRDefault="000F083E">
      <w:r>
        <w:rPr>
          <w:rFonts w:ascii="Times New Roman" w:eastAsia="宋体" w:hAnsi="Times New Roman"/>
          <w:color w:val="000000"/>
          <w:sz w:val="20"/>
          <w:szCs w:val="20"/>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80"/>
        <w:gridCol w:w="37"/>
        <w:gridCol w:w="69"/>
        <w:gridCol w:w="1431"/>
        <w:gridCol w:w="37"/>
        <w:gridCol w:w="69"/>
        <w:gridCol w:w="1619"/>
        <w:gridCol w:w="36"/>
        <w:gridCol w:w="70"/>
        <w:gridCol w:w="3283"/>
        <w:gridCol w:w="36"/>
      </w:tblGrid>
      <w:tr w:rsidR="007F1775" w14:paraId="0B2F9C34" w14:textId="77777777">
        <w:trPr>
          <w:jc w:val="center"/>
        </w:trPr>
        <w:tc>
          <w:tcPr>
            <w:tcW w:w="50" w:type="pct"/>
            <w:shd w:val="clear" w:color="auto" w:fill="auto"/>
            <w:vAlign w:val="bottom"/>
          </w:tcPr>
          <w:p w14:paraId="0B2F9C28" w14:textId="77777777" w:rsidR="007F1775" w:rsidRDefault="007F1775">
            <w:pPr>
              <w:rPr>
                <w:rFonts w:ascii="宋体"/>
              </w:rPr>
            </w:pPr>
          </w:p>
        </w:tc>
        <w:tc>
          <w:tcPr>
            <w:tcW w:w="956" w:type="pct"/>
            <w:shd w:val="clear" w:color="auto" w:fill="auto"/>
            <w:vAlign w:val="bottom"/>
          </w:tcPr>
          <w:p w14:paraId="0B2F9C29" w14:textId="77777777" w:rsidR="007F1775" w:rsidRDefault="007F1775">
            <w:pPr>
              <w:rPr>
                <w:rFonts w:ascii="宋体"/>
              </w:rPr>
            </w:pPr>
          </w:p>
        </w:tc>
        <w:tc>
          <w:tcPr>
            <w:tcW w:w="5" w:type="pct"/>
            <w:shd w:val="clear" w:color="auto" w:fill="auto"/>
            <w:vAlign w:val="bottom"/>
          </w:tcPr>
          <w:p w14:paraId="0B2F9C2A" w14:textId="77777777" w:rsidR="007F1775" w:rsidRDefault="007F1775">
            <w:pPr>
              <w:rPr>
                <w:rFonts w:ascii="宋体"/>
              </w:rPr>
            </w:pPr>
          </w:p>
        </w:tc>
        <w:tc>
          <w:tcPr>
            <w:tcW w:w="50" w:type="pct"/>
            <w:shd w:val="clear" w:color="auto" w:fill="auto"/>
            <w:vAlign w:val="bottom"/>
          </w:tcPr>
          <w:p w14:paraId="0B2F9C2B" w14:textId="77777777" w:rsidR="007F1775" w:rsidRDefault="007F1775">
            <w:pPr>
              <w:rPr>
                <w:rFonts w:ascii="宋体"/>
              </w:rPr>
            </w:pPr>
          </w:p>
        </w:tc>
        <w:tc>
          <w:tcPr>
            <w:tcW w:w="867" w:type="pct"/>
            <w:shd w:val="clear" w:color="auto" w:fill="auto"/>
            <w:vAlign w:val="bottom"/>
          </w:tcPr>
          <w:p w14:paraId="0B2F9C2C" w14:textId="77777777" w:rsidR="007F1775" w:rsidRDefault="007F1775">
            <w:pPr>
              <w:rPr>
                <w:rFonts w:ascii="宋体"/>
              </w:rPr>
            </w:pPr>
          </w:p>
        </w:tc>
        <w:tc>
          <w:tcPr>
            <w:tcW w:w="5" w:type="pct"/>
            <w:shd w:val="clear" w:color="auto" w:fill="auto"/>
            <w:vAlign w:val="bottom"/>
          </w:tcPr>
          <w:p w14:paraId="0B2F9C2D" w14:textId="77777777" w:rsidR="007F1775" w:rsidRDefault="007F1775">
            <w:pPr>
              <w:rPr>
                <w:rFonts w:ascii="宋体"/>
              </w:rPr>
            </w:pPr>
          </w:p>
        </w:tc>
        <w:tc>
          <w:tcPr>
            <w:tcW w:w="50" w:type="pct"/>
            <w:shd w:val="clear" w:color="auto" w:fill="auto"/>
            <w:vAlign w:val="bottom"/>
          </w:tcPr>
          <w:p w14:paraId="0B2F9C2E" w14:textId="77777777" w:rsidR="007F1775" w:rsidRDefault="007F1775">
            <w:pPr>
              <w:rPr>
                <w:rFonts w:ascii="宋体"/>
              </w:rPr>
            </w:pPr>
          </w:p>
        </w:tc>
        <w:tc>
          <w:tcPr>
            <w:tcW w:w="979" w:type="pct"/>
            <w:shd w:val="clear" w:color="auto" w:fill="auto"/>
            <w:vAlign w:val="bottom"/>
          </w:tcPr>
          <w:p w14:paraId="0B2F9C2F" w14:textId="77777777" w:rsidR="007F1775" w:rsidRDefault="007F1775">
            <w:pPr>
              <w:rPr>
                <w:rFonts w:ascii="宋体"/>
              </w:rPr>
            </w:pPr>
          </w:p>
        </w:tc>
        <w:tc>
          <w:tcPr>
            <w:tcW w:w="5" w:type="pct"/>
            <w:shd w:val="clear" w:color="auto" w:fill="auto"/>
            <w:vAlign w:val="bottom"/>
          </w:tcPr>
          <w:p w14:paraId="0B2F9C30" w14:textId="77777777" w:rsidR="007F1775" w:rsidRDefault="007F1775">
            <w:pPr>
              <w:rPr>
                <w:rFonts w:ascii="宋体"/>
              </w:rPr>
            </w:pPr>
          </w:p>
        </w:tc>
        <w:tc>
          <w:tcPr>
            <w:tcW w:w="50" w:type="pct"/>
            <w:shd w:val="clear" w:color="auto" w:fill="auto"/>
            <w:vAlign w:val="bottom"/>
          </w:tcPr>
          <w:p w14:paraId="0B2F9C31" w14:textId="77777777" w:rsidR="007F1775" w:rsidRDefault="007F1775">
            <w:pPr>
              <w:rPr>
                <w:rFonts w:ascii="宋体"/>
              </w:rPr>
            </w:pPr>
          </w:p>
        </w:tc>
        <w:tc>
          <w:tcPr>
            <w:tcW w:w="1976" w:type="pct"/>
            <w:shd w:val="clear" w:color="auto" w:fill="auto"/>
            <w:vAlign w:val="bottom"/>
          </w:tcPr>
          <w:p w14:paraId="0B2F9C32" w14:textId="77777777" w:rsidR="007F1775" w:rsidRDefault="007F1775">
            <w:pPr>
              <w:rPr>
                <w:rFonts w:ascii="宋体"/>
              </w:rPr>
            </w:pPr>
          </w:p>
        </w:tc>
        <w:tc>
          <w:tcPr>
            <w:tcW w:w="5" w:type="pct"/>
            <w:shd w:val="clear" w:color="auto" w:fill="auto"/>
            <w:vAlign w:val="bottom"/>
          </w:tcPr>
          <w:p w14:paraId="0B2F9C33" w14:textId="77777777" w:rsidR="007F1775" w:rsidRDefault="007F1775">
            <w:pPr>
              <w:rPr>
                <w:rFonts w:ascii="宋体"/>
              </w:rPr>
            </w:pPr>
          </w:p>
        </w:tc>
      </w:tr>
      <w:tr w:rsidR="007F1775" w14:paraId="0B2F9C38" w14:textId="77777777">
        <w:trPr>
          <w:jc w:val="center"/>
        </w:trPr>
        <w:tc>
          <w:tcPr>
            <w:tcW w:w="0" w:type="auto"/>
            <w:gridSpan w:val="6"/>
            <w:shd w:val="clear" w:color="auto" w:fill="auto"/>
            <w:tcMar>
              <w:top w:w="40" w:type="dxa"/>
              <w:left w:w="20" w:type="dxa"/>
              <w:bottom w:w="40" w:type="dxa"/>
              <w:right w:w="20" w:type="dxa"/>
            </w:tcMar>
            <w:vAlign w:val="center"/>
          </w:tcPr>
          <w:p w14:paraId="0B2F9C35" w14:textId="77777777" w:rsidR="007F1775" w:rsidRDefault="000F083E">
            <w:pPr>
              <w:jc w:val="center"/>
              <w:textAlignment w:val="center"/>
            </w:pPr>
            <w:r>
              <w:rPr>
                <w:rFonts w:ascii="Times New Roman" w:eastAsia="宋体" w:hAnsi="Times New Roman"/>
                <w:color w:val="000000"/>
                <w:sz w:val="20"/>
                <w:szCs w:val="20"/>
              </w:rPr>
              <w:t>Title of each class</w:t>
            </w:r>
          </w:p>
        </w:tc>
        <w:tc>
          <w:tcPr>
            <w:tcW w:w="0" w:type="auto"/>
            <w:gridSpan w:val="3"/>
            <w:shd w:val="clear" w:color="auto" w:fill="auto"/>
            <w:tcMar>
              <w:top w:w="40" w:type="dxa"/>
              <w:left w:w="20" w:type="dxa"/>
              <w:bottom w:w="40" w:type="dxa"/>
              <w:right w:w="20" w:type="dxa"/>
            </w:tcMar>
            <w:vAlign w:val="center"/>
          </w:tcPr>
          <w:p w14:paraId="0B2F9C36" w14:textId="77777777" w:rsidR="007F1775" w:rsidRDefault="000F083E">
            <w:pPr>
              <w:jc w:val="center"/>
              <w:textAlignment w:val="center"/>
            </w:pPr>
            <w:r>
              <w:rPr>
                <w:rFonts w:ascii="Times New Roman" w:eastAsia="宋体" w:hAnsi="Times New Roman"/>
                <w:color w:val="000000"/>
                <w:sz w:val="20"/>
                <w:szCs w:val="20"/>
              </w:rPr>
              <w:t>Trading symbol(s)</w:t>
            </w:r>
          </w:p>
        </w:tc>
        <w:tc>
          <w:tcPr>
            <w:tcW w:w="0" w:type="auto"/>
            <w:gridSpan w:val="3"/>
            <w:shd w:val="clear" w:color="auto" w:fill="auto"/>
            <w:tcMar>
              <w:top w:w="40" w:type="dxa"/>
              <w:left w:w="20" w:type="dxa"/>
              <w:bottom w:w="40" w:type="dxa"/>
              <w:right w:w="20" w:type="dxa"/>
            </w:tcMar>
            <w:vAlign w:val="center"/>
          </w:tcPr>
          <w:p w14:paraId="0B2F9C37" w14:textId="77777777" w:rsidR="007F1775" w:rsidRDefault="000F083E">
            <w:pPr>
              <w:jc w:val="center"/>
              <w:textAlignment w:val="center"/>
            </w:pPr>
            <w:r>
              <w:rPr>
                <w:rFonts w:ascii="Times New Roman" w:eastAsia="宋体" w:hAnsi="Times New Roman"/>
                <w:color w:val="000000"/>
                <w:sz w:val="20"/>
                <w:szCs w:val="20"/>
              </w:rPr>
              <w:t>Name of each exchange on which registered</w:t>
            </w:r>
          </w:p>
        </w:tc>
      </w:tr>
      <w:tr w:rsidR="007F1775" w14:paraId="0B2F9C3C" w14:textId="77777777">
        <w:trPr>
          <w:jc w:val="center"/>
        </w:trPr>
        <w:tc>
          <w:tcPr>
            <w:tcW w:w="0" w:type="auto"/>
            <w:gridSpan w:val="6"/>
            <w:shd w:val="clear" w:color="auto" w:fill="auto"/>
            <w:tcMar>
              <w:top w:w="40" w:type="dxa"/>
              <w:left w:w="20" w:type="dxa"/>
              <w:bottom w:w="40" w:type="dxa"/>
              <w:right w:w="20" w:type="dxa"/>
            </w:tcMar>
            <w:vAlign w:val="center"/>
          </w:tcPr>
          <w:p w14:paraId="0B2F9C39" w14:textId="77777777" w:rsidR="007F1775" w:rsidRDefault="000F083E">
            <w:pPr>
              <w:jc w:val="center"/>
              <w:textAlignment w:val="center"/>
            </w:pPr>
            <w:r>
              <w:rPr>
                <w:rFonts w:ascii="Times New Roman" w:eastAsia="宋体" w:hAnsi="Times New Roman"/>
                <w:color w:val="000000"/>
                <w:sz w:val="20"/>
                <w:szCs w:val="20"/>
              </w:rPr>
              <w:t>Class A Common Stock, $0.000006 par value</w:t>
            </w:r>
          </w:p>
        </w:tc>
        <w:tc>
          <w:tcPr>
            <w:tcW w:w="0" w:type="auto"/>
            <w:gridSpan w:val="3"/>
            <w:shd w:val="clear" w:color="auto" w:fill="auto"/>
            <w:tcMar>
              <w:top w:w="40" w:type="dxa"/>
              <w:left w:w="20" w:type="dxa"/>
              <w:bottom w:w="40" w:type="dxa"/>
              <w:right w:w="20" w:type="dxa"/>
            </w:tcMar>
            <w:vAlign w:val="center"/>
          </w:tcPr>
          <w:p w14:paraId="0B2F9C3A" w14:textId="77777777" w:rsidR="007F1775" w:rsidRDefault="000F083E">
            <w:pPr>
              <w:jc w:val="center"/>
              <w:textAlignment w:val="center"/>
            </w:pPr>
            <w:r>
              <w:rPr>
                <w:rFonts w:ascii="Times New Roman" w:eastAsia="宋体" w:hAnsi="Times New Roman"/>
                <w:color w:val="000000"/>
                <w:sz w:val="20"/>
                <w:szCs w:val="20"/>
              </w:rPr>
              <w:t>FB</w:t>
            </w:r>
          </w:p>
        </w:tc>
        <w:tc>
          <w:tcPr>
            <w:tcW w:w="0" w:type="auto"/>
            <w:gridSpan w:val="3"/>
            <w:shd w:val="clear" w:color="auto" w:fill="auto"/>
            <w:tcMar>
              <w:top w:w="40" w:type="dxa"/>
              <w:left w:w="20" w:type="dxa"/>
              <w:bottom w:w="40" w:type="dxa"/>
              <w:right w:w="20" w:type="dxa"/>
            </w:tcMar>
            <w:vAlign w:val="center"/>
          </w:tcPr>
          <w:p w14:paraId="0B2F9C3B" w14:textId="77777777" w:rsidR="007F1775" w:rsidRDefault="000F083E">
            <w:pPr>
              <w:jc w:val="center"/>
              <w:textAlignment w:val="center"/>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Nasdaq Stock Market LLC</w:t>
            </w:r>
          </w:p>
        </w:tc>
      </w:tr>
    </w:tbl>
    <w:p w14:paraId="0B2F9C3D" w14:textId="77777777" w:rsidR="007F1775" w:rsidRDefault="007F1775">
      <w:pPr>
        <w:jc w:val="both"/>
      </w:pPr>
    </w:p>
    <w:p w14:paraId="0B2F9C3E" w14:textId="77777777" w:rsidR="007F1775" w:rsidRDefault="000F083E">
      <w:pPr>
        <w:jc w:val="both"/>
      </w:pPr>
      <w:r>
        <w:rPr>
          <w:rFonts w:ascii="Times New Roman" w:eastAsia="宋体" w:hAnsi="Times New Roman"/>
          <w:color w:val="000000"/>
          <w:sz w:val="16"/>
          <w:szCs w:val="16"/>
        </w:rPr>
        <w:t>Indicate by check mark whether the registrant (1) has filed all reports required to be filed by Section 13 or 15(d) of the Securities Exchange Act of 1934 (Exchange Act) during the preceding 12 months (or for such shorter period t</w:t>
      </w:r>
      <w:r>
        <w:rPr>
          <w:rFonts w:ascii="Times New Roman" w:eastAsia="宋体" w:hAnsi="Times New Roman"/>
          <w:color w:val="000000"/>
          <w:sz w:val="16"/>
          <w:szCs w:val="16"/>
        </w:rPr>
        <w:t>hat the registrant was required to file such reports), and (2) has been subject to such filing requirements for the past 90 days.    Yes  ☒    No  ☐  </w:t>
      </w:r>
    </w:p>
    <w:p w14:paraId="0B2F9C3F" w14:textId="77777777" w:rsidR="007F1775" w:rsidRDefault="000F083E">
      <w:pPr>
        <w:jc w:val="both"/>
      </w:pPr>
      <w:r>
        <w:rPr>
          <w:rFonts w:ascii="Times New Roman" w:eastAsia="宋体" w:hAnsi="Times New Roman"/>
          <w:color w:val="000000"/>
          <w:sz w:val="16"/>
          <w:szCs w:val="16"/>
        </w:rPr>
        <w:t>Indicate by check mark whether the registrant has submitted electronically every Interactive Data File re</w:t>
      </w:r>
      <w:r>
        <w:rPr>
          <w:rFonts w:ascii="Times New Roman" w:eastAsia="宋体" w:hAnsi="Times New Roman"/>
          <w:color w:val="000000"/>
          <w:sz w:val="16"/>
          <w:szCs w:val="16"/>
        </w:rPr>
        <w:t>quired to be submitted pursuant to Rule 405 of Regulation S-T (§ 232.405 of this chapter) during the preceding 12 months (or for such shorter period that the registrant was required to submit such files).    Yes  ☒    No  ☐</w:t>
      </w:r>
    </w:p>
    <w:p w14:paraId="0B2F9C40" w14:textId="77777777" w:rsidR="007F1775" w:rsidRDefault="000F083E">
      <w:pPr>
        <w:jc w:val="both"/>
      </w:pPr>
      <w:r>
        <w:rPr>
          <w:rFonts w:ascii="Times New Roman" w:eastAsia="宋体" w:hAnsi="Times New Roman"/>
          <w:color w:val="000000"/>
          <w:sz w:val="16"/>
          <w:szCs w:val="16"/>
        </w:rPr>
        <w:t>Indicate by check mark whether t</w:t>
      </w:r>
      <w:r>
        <w:rPr>
          <w:rFonts w:ascii="Times New Roman" w:eastAsia="宋体" w:hAnsi="Times New Roman"/>
          <w:color w:val="000000"/>
          <w:sz w:val="16"/>
          <w:szCs w:val="16"/>
        </w:rPr>
        <w:t>he registrant is a large accelerated filer, an accelerated filer, a non-accelerated filer, a smaller reporting company, or an emerging growth company. See the definitions of "large accelerated filer," "accelerated filer," "smaller reporting company," and "</w:t>
      </w:r>
      <w:r>
        <w:rPr>
          <w:rFonts w:ascii="Times New Roman" w:eastAsia="宋体" w:hAnsi="Times New Roman"/>
          <w:color w:val="000000"/>
          <w:sz w:val="16"/>
          <w:szCs w:val="16"/>
        </w:rPr>
        <w:t xml:space="preserve">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56"/>
        <w:gridCol w:w="1518"/>
        <w:gridCol w:w="37"/>
        <w:gridCol w:w="36"/>
        <w:gridCol w:w="36"/>
        <w:gridCol w:w="36"/>
        <w:gridCol w:w="37"/>
        <w:gridCol w:w="4322"/>
        <w:gridCol w:w="36"/>
        <w:gridCol w:w="80"/>
        <w:gridCol w:w="1741"/>
        <w:gridCol w:w="36"/>
        <w:gridCol w:w="36"/>
        <w:gridCol w:w="36"/>
        <w:gridCol w:w="36"/>
        <w:gridCol w:w="37"/>
        <w:gridCol w:w="184"/>
        <w:gridCol w:w="36"/>
      </w:tblGrid>
      <w:tr w:rsidR="007F1775" w14:paraId="0B2F9C53" w14:textId="77777777">
        <w:tc>
          <w:tcPr>
            <w:tcW w:w="50" w:type="pct"/>
            <w:shd w:val="clear" w:color="auto" w:fill="auto"/>
            <w:vAlign w:val="bottom"/>
          </w:tcPr>
          <w:p w14:paraId="0B2F9C41" w14:textId="77777777" w:rsidR="007F1775" w:rsidRDefault="007F1775">
            <w:pPr>
              <w:rPr>
                <w:rFonts w:ascii="宋体"/>
              </w:rPr>
            </w:pPr>
          </w:p>
        </w:tc>
        <w:tc>
          <w:tcPr>
            <w:tcW w:w="927" w:type="pct"/>
            <w:shd w:val="clear" w:color="auto" w:fill="auto"/>
            <w:vAlign w:val="bottom"/>
          </w:tcPr>
          <w:p w14:paraId="0B2F9C42" w14:textId="77777777" w:rsidR="007F1775" w:rsidRDefault="007F1775">
            <w:pPr>
              <w:rPr>
                <w:rFonts w:ascii="宋体"/>
              </w:rPr>
            </w:pPr>
          </w:p>
        </w:tc>
        <w:tc>
          <w:tcPr>
            <w:tcW w:w="5" w:type="pct"/>
            <w:shd w:val="clear" w:color="auto" w:fill="auto"/>
            <w:vAlign w:val="bottom"/>
          </w:tcPr>
          <w:p w14:paraId="0B2F9C43" w14:textId="77777777" w:rsidR="007F1775" w:rsidRDefault="007F1775">
            <w:pPr>
              <w:rPr>
                <w:rFonts w:ascii="宋体"/>
              </w:rPr>
            </w:pPr>
          </w:p>
        </w:tc>
        <w:tc>
          <w:tcPr>
            <w:tcW w:w="5" w:type="pct"/>
            <w:shd w:val="clear" w:color="auto" w:fill="auto"/>
            <w:vAlign w:val="bottom"/>
          </w:tcPr>
          <w:p w14:paraId="0B2F9C44" w14:textId="77777777" w:rsidR="007F1775" w:rsidRDefault="007F1775">
            <w:pPr>
              <w:rPr>
                <w:rFonts w:ascii="宋体"/>
              </w:rPr>
            </w:pPr>
          </w:p>
        </w:tc>
        <w:tc>
          <w:tcPr>
            <w:tcW w:w="27" w:type="pct"/>
            <w:shd w:val="clear" w:color="auto" w:fill="auto"/>
            <w:vAlign w:val="bottom"/>
          </w:tcPr>
          <w:p w14:paraId="0B2F9C45" w14:textId="77777777" w:rsidR="007F1775" w:rsidRDefault="007F1775">
            <w:pPr>
              <w:rPr>
                <w:rFonts w:ascii="宋体"/>
              </w:rPr>
            </w:pPr>
          </w:p>
        </w:tc>
        <w:tc>
          <w:tcPr>
            <w:tcW w:w="5" w:type="pct"/>
            <w:shd w:val="clear" w:color="auto" w:fill="auto"/>
            <w:vAlign w:val="bottom"/>
          </w:tcPr>
          <w:p w14:paraId="0B2F9C46" w14:textId="77777777" w:rsidR="007F1775" w:rsidRDefault="007F1775">
            <w:pPr>
              <w:rPr>
                <w:rFonts w:ascii="宋体"/>
              </w:rPr>
            </w:pPr>
          </w:p>
        </w:tc>
        <w:tc>
          <w:tcPr>
            <w:tcW w:w="50" w:type="pct"/>
            <w:shd w:val="clear" w:color="auto" w:fill="auto"/>
            <w:vAlign w:val="bottom"/>
          </w:tcPr>
          <w:p w14:paraId="0B2F9C47" w14:textId="77777777" w:rsidR="007F1775" w:rsidRDefault="007F1775">
            <w:pPr>
              <w:rPr>
                <w:rFonts w:ascii="宋体"/>
              </w:rPr>
            </w:pPr>
          </w:p>
        </w:tc>
        <w:tc>
          <w:tcPr>
            <w:tcW w:w="2608" w:type="pct"/>
            <w:shd w:val="clear" w:color="auto" w:fill="auto"/>
            <w:vAlign w:val="bottom"/>
          </w:tcPr>
          <w:p w14:paraId="0B2F9C48" w14:textId="77777777" w:rsidR="007F1775" w:rsidRDefault="007F1775">
            <w:pPr>
              <w:rPr>
                <w:rFonts w:ascii="宋体"/>
              </w:rPr>
            </w:pPr>
          </w:p>
        </w:tc>
        <w:tc>
          <w:tcPr>
            <w:tcW w:w="5" w:type="pct"/>
            <w:shd w:val="clear" w:color="auto" w:fill="auto"/>
            <w:vAlign w:val="bottom"/>
          </w:tcPr>
          <w:p w14:paraId="0B2F9C49" w14:textId="77777777" w:rsidR="007F1775" w:rsidRDefault="007F1775">
            <w:pPr>
              <w:rPr>
                <w:rFonts w:ascii="宋体"/>
              </w:rPr>
            </w:pPr>
          </w:p>
        </w:tc>
        <w:tc>
          <w:tcPr>
            <w:tcW w:w="50" w:type="pct"/>
            <w:shd w:val="clear" w:color="auto" w:fill="auto"/>
            <w:vAlign w:val="bottom"/>
          </w:tcPr>
          <w:p w14:paraId="0B2F9C4A" w14:textId="77777777" w:rsidR="007F1775" w:rsidRDefault="007F1775">
            <w:pPr>
              <w:rPr>
                <w:rFonts w:ascii="宋体"/>
              </w:rPr>
            </w:pPr>
          </w:p>
        </w:tc>
        <w:tc>
          <w:tcPr>
            <w:tcW w:w="1075" w:type="pct"/>
            <w:shd w:val="clear" w:color="auto" w:fill="auto"/>
            <w:vAlign w:val="bottom"/>
          </w:tcPr>
          <w:p w14:paraId="0B2F9C4B" w14:textId="77777777" w:rsidR="007F1775" w:rsidRDefault="007F1775">
            <w:pPr>
              <w:rPr>
                <w:rFonts w:ascii="宋体"/>
              </w:rPr>
            </w:pPr>
          </w:p>
        </w:tc>
        <w:tc>
          <w:tcPr>
            <w:tcW w:w="5" w:type="pct"/>
            <w:shd w:val="clear" w:color="auto" w:fill="auto"/>
            <w:vAlign w:val="bottom"/>
          </w:tcPr>
          <w:p w14:paraId="0B2F9C4C" w14:textId="77777777" w:rsidR="007F1775" w:rsidRDefault="007F1775">
            <w:pPr>
              <w:rPr>
                <w:rFonts w:ascii="宋体"/>
              </w:rPr>
            </w:pPr>
          </w:p>
        </w:tc>
        <w:tc>
          <w:tcPr>
            <w:tcW w:w="5" w:type="pct"/>
            <w:shd w:val="clear" w:color="auto" w:fill="auto"/>
            <w:vAlign w:val="bottom"/>
          </w:tcPr>
          <w:p w14:paraId="0B2F9C4D" w14:textId="77777777" w:rsidR="007F1775" w:rsidRDefault="007F1775">
            <w:pPr>
              <w:rPr>
                <w:rFonts w:ascii="宋体"/>
              </w:rPr>
            </w:pPr>
          </w:p>
        </w:tc>
        <w:tc>
          <w:tcPr>
            <w:tcW w:w="27" w:type="pct"/>
            <w:shd w:val="clear" w:color="auto" w:fill="auto"/>
            <w:vAlign w:val="bottom"/>
          </w:tcPr>
          <w:p w14:paraId="0B2F9C4E" w14:textId="77777777" w:rsidR="007F1775" w:rsidRDefault="007F1775">
            <w:pPr>
              <w:rPr>
                <w:rFonts w:ascii="宋体"/>
              </w:rPr>
            </w:pPr>
          </w:p>
        </w:tc>
        <w:tc>
          <w:tcPr>
            <w:tcW w:w="5" w:type="pct"/>
            <w:shd w:val="clear" w:color="auto" w:fill="auto"/>
            <w:vAlign w:val="bottom"/>
          </w:tcPr>
          <w:p w14:paraId="0B2F9C4F" w14:textId="77777777" w:rsidR="007F1775" w:rsidRDefault="007F1775">
            <w:pPr>
              <w:rPr>
                <w:rFonts w:ascii="宋体"/>
              </w:rPr>
            </w:pPr>
          </w:p>
        </w:tc>
        <w:tc>
          <w:tcPr>
            <w:tcW w:w="5" w:type="pct"/>
            <w:shd w:val="clear" w:color="auto" w:fill="auto"/>
            <w:vAlign w:val="bottom"/>
          </w:tcPr>
          <w:p w14:paraId="0B2F9C50" w14:textId="77777777" w:rsidR="007F1775" w:rsidRDefault="007F1775">
            <w:pPr>
              <w:rPr>
                <w:rFonts w:ascii="宋体"/>
              </w:rPr>
            </w:pPr>
          </w:p>
        </w:tc>
        <w:tc>
          <w:tcPr>
            <w:tcW w:w="138" w:type="pct"/>
            <w:shd w:val="clear" w:color="auto" w:fill="auto"/>
            <w:vAlign w:val="bottom"/>
          </w:tcPr>
          <w:p w14:paraId="0B2F9C51" w14:textId="77777777" w:rsidR="007F1775" w:rsidRDefault="007F1775">
            <w:pPr>
              <w:rPr>
                <w:rFonts w:ascii="宋体"/>
              </w:rPr>
            </w:pPr>
          </w:p>
        </w:tc>
        <w:tc>
          <w:tcPr>
            <w:tcW w:w="5" w:type="pct"/>
            <w:shd w:val="clear" w:color="auto" w:fill="auto"/>
            <w:vAlign w:val="bottom"/>
          </w:tcPr>
          <w:p w14:paraId="0B2F9C52" w14:textId="77777777" w:rsidR="007F1775" w:rsidRDefault="007F1775">
            <w:pPr>
              <w:rPr>
                <w:rFonts w:ascii="宋体"/>
              </w:rPr>
            </w:pPr>
          </w:p>
        </w:tc>
      </w:tr>
      <w:tr w:rsidR="007F1775" w14:paraId="0B2F9C5A" w14:textId="77777777">
        <w:tc>
          <w:tcPr>
            <w:tcW w:w="0" w:type="auto"/>
            <w:gridSpan w:val="3"/>
            <w:shd w:val="clear" w:color="auto" w:fill="auto"/>
            <w:tcMar>
              <w:top w:w="40" w:type="dxa"/>
              <w:left w:w="20" w:type="dxa"/>
              <w:bottom w:w="40" w:type="dxa"/>
              <w:right w:w="20" w:type="dxa"/>
            </w:tcMar>
            <w:vAlign w:val="center"/>
          </w:tcPr>
          <w:p w14:paraId="0B2F9C54" w14:textId="77777777" w:rsidR="007F1775" w:rsidRDefault="000F083E">
            <w:pPr>
              <w:textAlignment w:val="center"/>
            </w:pPr>
            <w:r>
              <w:rPr>
                <w:rFonts w:ascii="Times New Roman" w:eastAsia="宋体" w:hAnsi="Times New Roman"/>
                <w:color w:val="000000"/>
                <w:sz w:val="16"/>
                <w:szCs w:val="16"/>
              </w:rPr>
              <w:t>Large accelerated filer</w:t>
            </w:r>
          </w:p>
        </w:tc>
        <w:tc>
          <w:tcPr>
            <w:tcW w:w="0" w:type="auto"/>
            <w:gridSpan w:val="3"/>
            <w:shd w:val="clear" w:color="auto" w:fill="auto"/>
            <w:tcMar>
              <w:top w:w="0" w:type="dxa"/>
              <w:left w:w="20" w:type="dxa"/>
              <w:bottom w:w="0" w:type="dxa"/>
              <w:right w:w="20" w:type="dxa"/>
            </w:tcMar>
            <w:vAlign w:val="bottom"/>
          </w:tcPr>
          <w:p w14:paraId="0B2F9C55"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9C56" w14:textId="77777777" w:rsidR="007F1775" w:rsidRDefault="000F083E">
            <w:pPr>
              <w:textAlignment w:val="center"/>
            </w:pPr>
            <w:r>
              <w:rPr>
                <w:rFonts w:ascii="Times New Roman" w:eastAsia="宋体" w:hAnsi="Times New Roman"/>
                <w:color w:val="000000"/>
                <w:sz w:val="16"/>
                <w:szCs w:val="16"/>
              </w:rPr>
              <w:t>☒</w:t>
            </w:r>
          </w:p>
        </w:tc>
        <w:tc>
          <w:tcPr>
            <w:tcW w:w="0" w:type="auto"/>
            <w:gridSpan w:val="3"/>
            <w:shd w:val="clear" w:color="auto" w:fill="auto"/>
            <w:tcMar>
              <w:top w:w="40" w:type="dxa"/>
              <w:left w:w="20" w:type="dxa"/>
              <w:bottom w:w="40" w:type="dxa"/>
              <w:right w:w="20" w:type="dxa"/>
            </w:tcMar>
            <w:vAlign w:val="center"/>
          </w:tcPr>
          <w:p w14:paraId="0B2F9C57" w14:textId="77777777" w:rsidR="007F1775" w:rsidRDefault="000F083E">
            <w:pPr>
              <w:textAlignment w:val="center"/>
            </w:pPr>
            <w:r>
              <w:rPr>
                <w:rFonts w:ascii="Times New Roman" w:eastAsia="宋体" w:hAnsi="Times New Roman"/>
                <w:color w:val="000000"/>
                <w:sz w:val="16"/>
                <w:szCs w:val="16"/>
              </w:rPr>
              <w:t>Accelerated filer</w:t>
            </w:r>
          </w:p>
        </w:tc>
        <w:tc>
          <w:tcPr>
            <w:tcW w:w="0" w:type="auto"/>
            <w:gridSpan w:val="3"/>
            <w:shd w:val="clear" w:color="auto" w:fill="auto"/>
            <w:tcMar>
              <w:top w:w="0" w:type="dxa"/>
              <w:left w:w="20" w:type="dxa"/>
              <w:bottom w:w="0" w:type="dxa"/>
              <w:right w:w="20" w:type="dxa"/>
            </w:tcMar>
            <w:vAlign w:val="bottom"/>
          </w:tcPr>
          <w:p w14:paraId="0B2F9C58"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9C59" w14:textId="77777777" w:rsidR="007F1775" w:rsidRDefault="000F083E">
            <w:pPr>
              <w:textAlignment w:val="bottom"/>
            </w:pPr>
            <w:r>
              <w:rPr>
                <w:rFonts w:ascii="Times New Roman" w:eastAsia="宋体" w:hAnsi="Times New Roman"/>
                <w:color w:val="000000"/>
                <w:sz w:val="16"/>
                <w:szCs w:val="16"/>
              </w:rPr>
              <w:t>☐</w:t>
            </w:r>
          </w:p>
        </w:tc>
      </w:tr>
      <w:tr w:rsidR="007F1775" w14:paraId="0B2F9C61" w14:textId="77777777">
        <w:tc>
          <w:tcPr>
            <w:tcW w:w="0" w:type="auto"/>
            <w:gridSpan w:val="3"/>
            <w:shd w:val="clear" w:color="auto" w:fill="auto"/>
            <w:tcMar>
              <w:top w:w="40" w:type="dxa"/>
              <w:left w:w="20" w:type="dxa"/>
              <w:bottom w:w="40" w:type="dxa"/>
              <w:right w:w="20" w:type="dxa"/>
            </w:tcMar>
            <w:vAlign w:val="center"/>
          </w:tcPr>
          <w:p w14:paraId="0B2F9C5B" w14:textId="77777777" w:rsidR="007F1775" w:rsidRDefault="000F083E">
            <w:pPr>
              <w:textAlignment w:val="center"/>
            </w:pPr>
            <w:r>
              <w:rPr>
                <w:rFonts w:ascii="Times New Roman" w:eastAsia="宋体" w:hAnsi="Times New Roman"/>
                <w:color w:val="000000"/>
                <w:sz w:val="16"/>
                <w:szCs w:val="16"/>
              </w:rPr>
              <w:t>Non-accelerated filer</w:t>
            </w:r>
          </w:p>
        </w:tc>
        <w:tc>
          <w:tcPr>
            <w:tcW w:w="0" w:type="auto"/>
            <w:gridSpan w:val="3"/>
            <w:shd w:val="clear" w:color="auto" w:fill="auto"/>
            <w:tcMar>
              <w:top w:w="0" w:type="dxa"/>
              <w:left w:w="20" w:type="dxa"/>
              <w:bottom w:w="0" w:type="dxa"/>
              <w:right w:w="20" w:type="dxa"/>
            </w:tcMar>
            <w:vAlign w:val="bottom"/>
          </w:tcPr>
          <w:p w14:paraId="0B2F9C5C"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9C5D" w14:textId="77777777" w:rsidR="007F1775" w:rsidRDefault="000F083E">
            <w:pPr>
              <w:textAlignment w:val="center"/>
            </w:pPr>
            <w:r>
              <w:rPr>
                <w:rFonts w:ascii="Times New Roman" w:eastAsia="宋体" w:hAnsi="Times New Roman"/>
                <w:color w:val="000000"/>
                <w:sz w:val="16"/>
                <w:szCs w:val="16"/>
              </w:rPr>
              <w:t>☐</w:t>
            </w:r>
          </w:p>
        </w:tc>
        <w:tc>
          <w:tcPr>
            <w:tcW w:w="0" w:type="auto"/>
            <w:gridSpan w:val="3"/>
            <w:shd w:val="clear" w:color="auto" w:fill="auto"/>
            <w:tcMar>
              <w:top w:w="40" w:type="dxa"/>
              <w:left w:w="20" w:type="dxa"/>
              <w:bottom w:w="40" w:type="dxa"/>
              <w:right w:w="20" w:type="dxa"/>
            </w:tcMar>
            <w:vAlign w:val="center"/>
          </w:tcPr>
          <w:p w14:paraId="0B2F9C5E" w14:textId="77777777" w:rsidR="007F1775" w:rsidRDefault="000F083E">
            <w:pPr>
              <w:textAlignment w:val="center"/>
            </w:pPr>
            <w:r>
              <w:rPr>
                <w:rFonts w:ascii="Times New Roman" w:eastAsia="宋体" w:hAnsi="Times New Roman"/>
                <w:color w:val="000000"/>
                <w:sz w:val="16"/>
                <w:szCs w:val="16"/>
              </w:rPr>
              <w:t>Smaller reporting company</w:t>
            </w:r>
          </w:p>
        </w:tc>
        <w:tc>
          <w:tcPr>
            <w:tcW w:w="0" w:type="auto"/>
            <w:gridSpan w:val="3"/>
            <w:shd w:val="clear" w:color="auto" w:fill="auto"/>
            <w:tcMar>
              <w:top w:w="0" w:type="dxa"/>
              <w:left w:w="20" w:type="dxa"/>
              <w:bottom w:w="0" w:type="dxa"/>
              <w:right w:w="20" w:type="dxa"/>
            </w:tcMar>
            <w:vAlign w:val="bottom"/>
          </w:tcPr>
          <w:p w14:paraId="0B2F9C5F"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9C60" w14:textId="77777777" w:rsidR="007F1775" w:rsidRDefault="000F083E">
            <w:pPr>
              <w:textAlignment w:val="bottom"/>
            </w:pPr>
            <w:r>
              <w:rPr>
                <w:rFonts w:ascii="Times New Roman" w:eastAsia="宋体" w:hAnsi="Times New Roman"/>
                <w:color w:val="000000"/>
                <w:sz w:val="16"/>
                <w:szCs w:val="16"/>
              </w:rPr>
              <w:t>☐</w:t>
            </w:r>
          </w:p>
        </w:tc>
      </w:tr>
      <w:tr w:rsidR="007F1775" w14:paraId="0B2F9C68" w14:textId="77777777">
        <w:tc>
          <w:tcPr>
            <w:tcW w:w="0" w:type="auto"/>
            <w:gridSpan w:val="3"/>
            <w:shd w:val="clear" w:color="auto" w:fill="auto"/>
            <w:tcMar>
              <w:top w:w="0" w:type="dxa"/>
              <w:left w:w="20" w:type="dxa"/>
              <w:bottom w:w="0" w:type="dxa"/>
              <w:right w:w="20" w:type="dxa"/>
            </w:tcMar>
            <w:vAlign w:val="bottom"/>
          </w:tcPr>
          <w:p w14:paraId="0B2F9C6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6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64"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9C65" w14:textId="77777777" w:rsidR="007F1775" w:rsidRDefault="000F083E">
            <w:pPr>
              <w:textAlignment w:val="center"/>
            </w:pPr>
            <w:r>
              <w:rPr>
                <w:rFonts w:ascii="Times New Roman" w:eastAsia="宋体" w:hAnsi="Times New Roman"/>
                <w:color w:val="000000"/>
                <w:sz w:val="16"/>
                <w:szCs w:val="16"/>
              </w:rPr>
              <w:t>Emerging growth company</w:t>
            </w:r>
          </w:p>
        </w:tc>
        <w:tc>
          <w:tcPr>
            <w:tcW w:w="0" w:type="auto"/>
            <w:gridSpan w:val="3"/>
            <w:shd w:val="clear" w:color="auto" w:fill="auto"/>
            <w:tcMar>
              <w:top w:w="0" w:type="dxa"/>
              <w:left w:w="20" w:type="dxa"/>
              <w:bottom w:w="0" w:type="dxa"/>
              <w:right w:w="20" w:type="dxa"/>
            </w:tcMar>
            <w:vAlign w:val="bottom"/>
          </w:tcPr>
          <w:p w14:paraId="0B2F9C66"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9C67" w14:textId="77777777" w:rsidR="007F1775" w:rsidRDefault="000F083E">
            <w:pPr>
              <w:textAlignment w:val="bottom"/>
            </w:pPr>
            <w:r>
              <w:rPr>
                <w:rFonts w:ascii="Times New Roman" w:eastAsia="宋体" w:hAnsi="Times New Roman"/>
                <w:color w:val="000000"/>
                <w:sz w:val="16"/>
                <w:szCs w:val="16"/>
              </w:rPr>
              <w:t>☐</w:t>
            </w:r>
          </w:p>
        </w:tc>
      </w:tr>
      <w:tr w:rsidR="007F1775" w14:paraId="0B2F9C6F" w14:textId="77777777">
        <w:trPr>
          <w:hidden/>
        </w:trPr>
        <w:tc>
          <w:tcPr>
            <w:tcW w:w="0" w:type="auto"/>
            <w:gridSpan w:val="3"/>
            <w:shd w:val="clear" w:color="auto" w:fill="auto"/>
            <w:vAlign w:val="bottom"/>
          </w:tcPr>
          <w:p w14:paraId="0B2F9C69" w14:textId="77777777" w:rsidR="007F1775" w:rsidRDefault="007F1775">
            <w:pPr>
              <w:rPr>
                <w:rFonts w:ascii="宋体"/>
                <w:vanish/>
              </w:rPr>
            </w:pPr>
          </w:p>
        </w:tc>
        <w:tc>
          <w:tcPr>
            <w:tcW w:w="0" w:type="auto"/>
            <w:gridSpan w:val="3"/>
            <w:shd w:val="clear" w:color="auto" w:fill="auto"/>
            <w:vAlign w:val="bottom"/>
          </w:tcPr>
          <w:p w14:paraId="0B2F9C6A" w14:textId="77777777" w:rsidR="007F1775" w:rsidRDefault="007F1775">
            <w:pPr>
              <w:rPr>
                <w:rFonts w:ascii="宋体"/>
                <w:vanish/>
              </w:rPr>
            </w:pPr>
          </w:p>
        </w:tc>
        <w:tc>
          <w:tcPr>
            <w:tcW w:w="0" w:type="auto"/>
            <w:gridSpan w:val="3"/>
            <w:shd w:val="clear" w:color="auto" w:fill="auto"/>
            <w:vAlign w:val="bottom"/>
          </w:tcPr>
          <w:p w14:paraId="0B2F9C6B" w14:textId="77777777" w:rsidR="007F1775" w:rsidRDefault="007F1775">
            <w:pPr>
              <w:rPr>
                <w:rFonts w:ascii="宋体"/>
                <w:vanish/>
              </w:rPr>
            </w:pPr>
          </w:p>
        </w:tc>
        <w:tc>
          <w:tcPr>
            <w:tcW w:w="0" w:type="auto"/>
            <w:gridSpan w:val="3"/>
            <w:shd w:val="clear" w:color="auto" w:fill="auto"/>
            <w:vAlign w:val="bottom"/>
          </w:tcPr>
          <w:p w14:paraId="0B2F9C6C" w14:textId="77777777" w:rsidR="007F1775" w:rsidRDefault="007F1775">
            <w:pPr>
              <w:rPr>
                <w:rFonts w:ascii="宋体"/>
                <w:vanish/>
              </w:rPr>
            </w:pPr>
          </w:p>
        </w:tc>
        <w:tc>
          <w:tcPr>
            <w:tcW w:w="0" w:type="auto"/>
            <w:gridSpan w:val="3"/>
            <w:shd w:val="clear" w:color="auto" w:fill="auto"/>
            <w:vAlign w:val="bottom"/>
          </w:tcPr>
          <w:p w14:paraId="0B2F9C6D" w14:textId="77777777" w:rsidR="007F1775" w:rsidRDefault="007F1775">
            <w:pPr>
              <w:rPr>
                <w:rFonts w:ascii="宋体"/>
                <w:vanish/>
              </w:rPr>
            </w:pPr>
          </w:p>
        </w:tc>
        <w:tc>
          <w:tcPr>
            <w:tcW w:w="0" w:type="auto"/>
            <w:gridSpan w:val="3"/>
            <w:shd w:val="clear" w:color="auto" w:fill="auto"/>
            <w:vAlign w:val="bottom"/>
          </w:tcPr>
          <w:p w14:paraId="0B2F9C6E" w14:textId="77777777" w:rsidR="007F1775" w:rsidRDefault="007F1775">
            <w:pPr>
              <w:rPr>
                <w:rFonts w:ascii="宋体"/>
                <w:vanish/>
              </w:rPr>
            </w:pPr>
          </w:p>
        </w:tc>
      </w:tr>
      <w:tr w:rsidR="007F1775" w14:paraId="0B2F9C73" w14:textId="77777777">
        <w:tc>
          <w:tcPr>
            <w:tcW w:w="0" w:type="auto"/>
            <w:gridSpan w:val="12"/>
            <w:shd w:val="clear" w:color="auto" w:fill="auto"/>
            <w:tcMar>
              <w:top w:w="40" w:type="dxa"/>
              <w:left w:w="20" w:type="dxa"/>
              <w:bottom w:w="40" w:type="dxa"/>
              <w:right w:w="20" w:type="dxa"/>
            </w:tcMar>
            <w:vAlign w:val="center"/>
          </w:tcPr>
          <w:p w14:paraId="0B2F9C70" w14:textId="77777777" w:rsidR="007F1775" w:rsidRDefault="000F083E">
            <w:pPr>
              <w:jc w:val="both"/>
              <w:textAlignment w:val="center"/>
            </w:pPr>
            <w:r>
              <w:rPr>
                <w:rFonts w:ascii="Times New Roman" w:eastAsia="宋体" w:hAnsi="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p>
        </w:tc>
        <w:tc>
          <w:tcPr>
            <w:tcW w:w="0" w:type="auto"/>
            <w:gridSpan w:val="3"/>
            <w:shd w:val="clear" w:color="auto" w:fill="auto"/>
            <w:tcMar>
              <w:top w:w="0" w:type="dxa"/>
              <w:left w:w="20" w:type="dxa"/>
              <w:bottom w:w="0" w:type="dxa"/>
              <w:right w:w="20" w:type="dxa"/>
            </w:tcMar>
            <w:vAlign w:val="bottom"/>
          </w:tcPr>
          <w:p w14:paraId="0B2F9C71"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9C72" w14:textId="77777777" w:rsidR="007F1775" w:rsidRDefault="000F083E">
            <w:pPr>
              <w:textAlignment w:val="center"/>
            </w:pPr>
            <w:r>
              <w:rPr>
                <w:rFonts w:ascii="Times New Roman" w:eastAsia="宋体" w:hAnsi="Times New Roman"/>
                <w:color w:val="000000"/>
                <w:sz w:val="16"/>
                <w:szCs w:val="16"/>
              </w:rPr>
              <w:t>☐</w:t>
            </w:r>
          </w:p>
        </w:tc>
      </w:tr>
    </w:tbl>
    <w:p w14:paraId="0B2F9C74" w14:textId="77777777" w:rsidR="007F1775" w:rsidRDefault="000F083E">
      <w:r>
        <w:rPr>
          <w:rFonts w:ascii="Times New Roman" w:eastAsia="宋体" w:hAnsi="Times New Roman"/>
          <w:color w:val="000000"/>
          <w:sz w:val="16"/>
          <w:szCs w:val="16"/>
        </w:rPr>
        <w:t>Indicate by check mark whether the registrant is a shell company (as defined in Rule 12b-2 of the Exchange Act). Yes ☐ No ☒</w:t>
      </w:r>
    </w:p>
    <w:p w14:paraId="0B2F9C75" w14:textId="77777777" w:rsidR="007F1775" w:rsidRDefault="000F083E">
      <w:pPr>
        <w:jc w:val="both"/>
      </w:pPr>
      <w:r>
        <w:rPr>
          <w:rFonts w:ascii="Times New Roman" w:eastAsia="宋体" w:hAnsi="Times New Roman"/>
          <w:color w:val="000000"/>
          <w:sz w:val="16"/>
          <w:szCs w:val="16"/>
        </w:rPr>
        <w:t>Indicate the number of shares outstanding of each of the issuer's classes of Common Stock, as of the latest practicable date.</w:t>
      </w:r>
    </w:p>
    <w:tbl>
      <w:tblPr>
        <w:tblW w:w="5000" w:type="pct"/>
        <w:tblCellMar>
          <w:top w:w="15" w:type="dxa"/>
          <w:left w:w="15" w:type="dxa"/>
          <w:bottom w:w="15" w:type="dxa"/>
          <w:right w:w="15" w:type="dxa"/>
        </w:tblCellMar>
        <w:tblLook w:val="04A0" w:firstRow="1" w:lastRow="0" w:firstColumn="1" w:lastColumn="0" w:noHBand="0" w:noVBand="1"/>
      </w:tblPr>
      <w:tblGrid>
        <w:gridCol w:w="69"/>
        <w:gridCol w:w="1543"/>
        <w:gridCol w:w="37"/>
        <w:gridCol w:w="69"/>
        <w:gridCol w:w="1543"/>
        <w:gridCol w:w="36"/>
        <w:gridCol w:w="69"/>
        <w:gridCol w:w="2215"/>
        <w:gridCol w:w="37"/>
        <w:gridCol w:w="69"/>
        <w:gridCol w:w="2612"/>
        <w:gridCol w:w="37"/>
      </w:tblGrid>
      <w:tr w:rsidR="007F1775" w14:paraId="0B2F9C82" w14:textId="77777777">
        <w:tc>
          <w:tcPr>
            <w:tcW w:w="50" w:type="pct"/>
            <w:shd w:val="clear" w:color="auto" w:fill="auto"/>
            <w:vAlign w:val="bottom"/>
          </w:tcPr>
          <w:p w14:paraId="0B2F9C76" w14:textId="77777777" w:rsidR="007F1775" w:rsidRDefault="007F1775">
            <w:pPr>
              <w:rPr>
                <w:rFonts w:ascii="宋体"/>
              </w:rPr>
            </w:pPr>
          </w:p>
        </w:tc>
        <w:tc>
          <w:tcPr>
            <w:tcW w:w="934" w:type="pct"/>
            <w:shd w:val="clear" w:color="auto" w:fill="auto"/>
            <w:vAlign w:val="bottom"/>
          </w:tcPr>
          <w:p w14:paraId="0B2F9C77" w14:textId="77777777" w:rsidR="007F1775" w:rsidRDefault="007F1775">
            <w:pPr>
              <w:rPr>
                <w:rFonts w:ascii="宋体"/>
              </w:rPr>
            </w:pPr>
          </w:p>
        </w:tc>
        <w:tc>
          <w:tcPr>
            <w:tcW w:w="5" w:type="pct"/>
            <w:shd w:val="clear" w:color="auto" w:fill="auto"/>
            <w:vAlign w:val="bottom"/>
          </w:tcPr>
          <w:p w14:paraId="0B2F9C78" w14:textId="77777777" w:rsidR="007F1775" w:rsidRDefault="007F1775">
            <w:pPr>
              <w:rPr>
                <w:rFonts w:ascii="宋体"/>
              </w:rPr>
            </w:pPr>
          </w:p>
        </w:tc>
        <w:tc>
          <w:tcPr>
            <w:tcW w:w="50" w:type="pct"/>
            <w:shd w:val="clear" w:color="auto" w:fill="auto"/>
            <w:vAlign w:val="bottom"/>
          </w:tcPr>
          <w:p w14:paraId="0B2F9C79" w14:textId="77777777" w:rsidR="007F1775" w:rsidRDefault="007F1775">
            <w:pPr>
              <w:rPr>
                <w:rFonts w:ascii="宋体"/>
              </w:rPr>
            </w:pPr>
          </w:p>
        </w:tc>
        <w:tc>
          <w:tcPr>
            <w:tcW w:w="934" w:type="pct"/>
            <w:shd w:val="clear" w:color="auto" w:fill="auto"/>
            <w:vAlign w:val="bottom"/>
          </w:tcPr>
          <w:p w14:paraId="0B2F9C7A" w14:textId="77777777" w:rsidR="007F1775" w:rsidRDefault="007F1775">
            <w:pPr>
              <w:rPr>
                <w:rFonts w:ascii="宋体"/>
              </w:rPr>
            </w:pPr>
          </w:p>
        </w:tc>
        <w:tc>
          <w:tcPr>
            <w:tcW w:w="5" w:type="pct"/>
            <w:shd w:val="clear" w:color="auto" w:fill="auto"/>
            <w:vAlign w:val="bottom"/>
          </w:tcPr>
          <w:p w14:paraId="0B2F9C7B" w14:textId="77777777" w:rsidR="007F1775" w:rsidRDefault="007F1775">
            <w:pPr>
              <w:rPr>
                <w:rFonts w:ascii="宋体"/>
              </w:rPr>
            </w:pPr>
          </w:p>
        </w:tc>
        <w:tc>
          <w:tcPr>
            <w:tcW w:w="50" w:type="pct"/>
            <w:shd w:val="clear" w:color="auto" w:fill="auto"/>
            <w:vAlign w:val="bottom"/>
          </w:tcPr>
          <w:p w14:paraId="0B2F9C7C" w14:textId="77777777" w:rsidR="007F1775" w:rsidRDefault="007F1775">
            <w:pPr>
              <w:rPr>
                <w:rFonts w:ascii="宋体"/>
              </w:rPr>
            </w:pPr>
          </w:p>
        </w:tc>
        <w:tc>
          <w:tcPr>
            <w:tcW w:w="1336" w:type="pct"/>
            <w:shd w:val="clear" w:color="auto" w:fill="auto"/>
            <w:vAlign w:val="bottom"/>
          </w:tcPr>
          <w:p w14:paraId="0B2F9C7D" w14:textId="77777777" w:rsidR="007F1775" w:rsidRDefault="007F1775">
            <w:pPr>
              <w:rPr>
                <w:rFonts w:ascii="宋体"/>
              </w:rPr>
            </w:pPr>
          </w:p>
        </w:tc>
        <w:tc>
          <w:tcPr>
            <w:tcW w:w="5" w:type="pct"/>
            <w:shd w:val="clear" w:color="auto" w:fill="auto"/>
            <w:vAlign w:val="bottom"/>
          </w:tcPr>
          <w:p w14:paraId="0B2F9C7E" w14:textId="77777777" w:rsidR="007F1775" w:rsidRDefault="007F1775">
            <w:pPr>
              <w:rPr>
                <w:rFonts w:ascii="宋体"/>
              </w:rPr>
            </w:pPr>
          </w:p>
        </w:tc>
        <w:tc>
          <w:tcPr>
            <w:tcW w:w="50" w:type="pct"/>
            <w:shd w:val="clear" w:color="auto" w:fill="auto"/>
            <w:vAlign w:val="bottom"/>
          </w:tcPr>
          <w:p w14:paraId="0B2F9C7F" w14:textId="77777777" w:rsidR="007F1775" w:rsidRDefault="007F1775">
            <w:pPr>
              <w:rPr>
                <w:rFonts w:ascii="宋体"/>
              </w:rPr>
            </w:pPr>
          </w:p>
        </w:tc>
        <w:tc>
          <w:tcPr>
            <w:tcW w:w="1574" w:type="pct"/>
            <w:shd w:val="clear" w:color="auto" w:fill="auto"/>
            <w:vAlign w:val="bottom"/>
          </w:tcPr>
          <w:p w14:paraId="0B2F9C80" w14:textId="77777777" w:rsidR="007F1775" w:rsidRDefault="007F1775">
            <w:pPr>
              <w:rPr>
                <w:rFonts w:ascii="宋体"/>
              </w:rPr>
            </w:pPr>
          </w:p>
        </w:tc>
        <w:tc>
          <w:tcPr>
            <w:tcW w:w="5" w:type="pct"/>
            <w:shd w:val="clear" w:color="auto" w:fill="auto"/>
            <w:vAlign w:val="bottom"/>
          </w:tcPr>
          <w:p w14:paraId="0B2F9C81" w14:textId="77777777" w:rsidR="007F1775" w:rsidRDefault="007F1775">
            <w:pPr>
              <w:rPr>
                <w:rFonts w:ascii="宋体"/>
              </w:rPr>
            </w:pPr>
          </w:p>
        </w:tc>
      </w:tr>
      <w:tr w:rsidR="007F1775" w14:paraId="0B2F9C85" w14:textId="77777777">
        <w:tc>
          <w:tcPr>
            <w:tcW w:w="0" w:type="auto"/>
            <w:gridSpan w:val="6"/>
            <w:shd w:val="clear" w:color="auto" w:fill="auto"/>
            <w:tcMar>
              <w:top w:w="40" w:type="dxa"/>
              <w:left w:w="20" w:type="dxa"/>
              <w:bottom w:w="40" w:type="dxa"/>
              <w:right w:w="20" w:type="dxa"/>
            </w:tcMar>
            <w:vAlign w:val="bottom"/>
          </w:tcPr>
          <w:p w14:paraId="0B2F9C83" w14:textId="77777777" w:rsidR="007F1775" w:rsidRDefault="000F083E">
            <w:pPr>
              <w:jc w:val="center"/>
              <w:textAlignment w:val="bottom"/>
            </w:pPr>
            <w:r>
              <w:rPr>
                <w:rFonts w:ascii="Times New Roman" w:eastAsia="宋体" w:hAnsi="Times New Roman"/>
                <w:b/>
                <w:bCs/>
                <w:color w:val="000000"/>
                <w:sz w:val="18"/>
                <w:szCs w:val="18"/>
              </w:rPr>
              <w:t>Class</w:t>
            </w:r>
          </w:p>
        </w:tc>
        <w:tc>
          <w:tcPr>
            <w:tcW w:w="0" w:type="auto"/>
            <w:gridSpan w:val="6"/>
            <w:shd w:val="clear" w:color="auto" w:fill="auto"/>
            <w:tcMar>
              <w:top w:w="40" w:type="dxa"/>
              <w:left w:w="20" w:type="dxa"/>
              <w:bottom w:w="40" w:type="dxa"/>
              <w:right w:w="20" w:type="dxa"/>
            </w:tcMar>
            <w:vAlign w:val="bottom"/>
          </w:tcPr>
          <w:p w14:paraId="0B2F9C84" w14:textId="77777777" w:rsidR="007F1775" w:rsidRDefault="000F083E">
            <w:pPr>
              <w:jc w:val="center"/>
              <w:textAlignment w:val="bottom"/>
            </w:pPr>
            <w:r>
              <w:rPr>
                <w:rFonts w:ascii="Times New Roman" w:eastAsia="宋体" w:hAnsi="Times New Roman"/>
                <w:b/>
                <w:bCs/>
                <w:color w:val="000000"/>
                <w:sz w:val="18"/>
                <w:szCs w:val="18"/>
              </w:rPr>
              <w:t>Number of Shares Outstanding</w:t>
            </w:r>
          </w:p>
        </w:tc>
      </w:tr>
      <w:tr w:rsidR="007F1775" w14:paraId="0B2F9C8B" w14:textId="77777777">
        <w:tc>
          <w:tcPr>
            <w:tcW w:w="0" w:type="auto"/>
            <w:gridSpan w:val="3"/>
            <w:shd w:val="clear" w:color="auto" w:fill="auto"/>
            <w:tcMar>
              <w:top w:w="40" w:type="dxa"/>
              <w:left w:w="20" w:type="dxa"/>
              <w:bottom w:w="40" w:type="dxa"/>
              <w:right w:w="20" w:type="dxa"/>
            </w:tcMar>
            <w:vAlign w:val="center"/>
          </w:tcPr>
          <w:p w14:paraId="0B2F9C86" w14:textId="77777777" w:rsidR="007F1775" w:rsidRDefault="000F083E">
            <w:pPr>
              <w:jc w:val="right"/>
              <w:textAlignment w:val="center"/>
            </w:pPr>
            <w:r>
              <w:rPr>
                <w:rFonts w:ascii="Times New Roman" w:eastAsia="宋体" w:hAnsi="Times New Roman"/>
                <w:color w:val="000000"/>
                <w:sz w:val="18"/>
                <w:szCs w:val="18"/>
              </w:rPr>
              <w:t xml:space="preserve">Class A Common Stock </w:t>
            </w:r>
          </w:p>
        </w:tc>
        <w:tc>
          <w:tcPr>
            <w:tcW w:w="0" w:type="auto"/>
            <w:gridSpan w:val="3"/>
            <w:shd w:val="clear" w:color="auto" w:fill="auto"/>
            <w:tcMar>
              <w:top w:w="40" w:type="dxa"/>
              <w:left w:w="140" w:type="dxa"/>
              <w:bottom w:w="40" w:type="dxa"/>
              <w:right w:w="20" w:type="dxa"/>
            </w:tcMar>
            <w:vAlign w:val="center"/>
          </w:tcPr>
          <w:p w14:paraId="0B2F9C87" w14:textId="77777777" w:rsidR="007F1775" w:rsidRDefault="000F083E">
            <w:pPr>
              <w:textAlignment w:val="center"/>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center"/>
          </w:tcPr>
          <w:p w14:paraId="0B2F9C88" w14:textId="77777777" w:rsidR="007F1775" w:rsidRDefault="000F083E">
            <w:pPr>
              <w:jc w:val="right"/>
              <w:textAlignment w:val="center"/>
            </w:pPr>
            <w:r>
              <w:rPr>
                <w:rFonts w:ascii="Times New Roman" w:eastAsia="宋体" w:hAnsi="Times New Roman"/>
                <w:color w:val="000000"/>
                <w:sz w:val="18"/>
                <w:szCs w:val="18"/>
              </w:rPr>
              <w:t>2,293,518,778 </w:t>
            </w:r>
          </w:p>
        </w:tc>
        <w:tc>
          <w:tcPr>
            <w:tcW w:w="0" w:type="auto"/>
            <w:shd w:val="clear" w:color="auto" w:fill="auto"/>
            <w:tcMar>
              <w:top w:w="40" w:type="dxa"/>
              <w:left w:w="0" w:type="dxa"/>
              <w:bottom w:w="40" w:type="dxa"/>
              <w:right w:w="20" w:type="dxa"/>
            </w:tcMar>
            <w:vAlign w:val="center"/>
          </w:tcPr>
          <w:p w14:paraId="0B2F9C89" w14:textId="77777777" w:rsidR="007F1775" w:rsidRDefault="007F1775">
            <w:pPr>
              <w:jc w:val="right"/>
              <w:rPr>
                <w:rFonts w:ascii="宋体"/>
              </w:rPr>
            </w:pPr>
          </w:p>
        </w:tc>
        <w:tc>
          <w:tcPr>
            <w:tcW w:w="0" w:type="auto"/>
            <w:gridSpan w:val="3"/>
            <w:shd w:val="clear" w:color="auto" w:fill="auto"/>
            <w:tcMar>
              <w:top w:w="40" w:type="dxa"/>
              <w:left w:w="20" w:type="dxa"/>
              <w:bottom w:w="40" w:type="dxa"/>
              <w:right w:w="20" w:type="dxa"/>
            </w:tcMar>
            <w:vAlign w:val="center"/>
          </w:tcPr>
          <w:p w14:paraId="0B2F9C8A" w14:textId="77777777" w:rsidR="007F1775" w:rsidRDefault="000F083E">
            <w:pPr>
              <w:textAlignment w:val="center"/>
            </w:pPr>
            <w:r>
              <w:rPr>
                <w:rFonts w:ascii="Times New Roman" w:eastAsia="宋体" w:hAnsi="Times New Roman"/>
                <w:color w:val="000000"/>
                <w:sz w:val="18"/>
                <w:szCs w:val="18"/>
              </w:rPr>
              <w:t>shares outstanding as of April 22, 2022</w:t>
            </w:r>
          </w:p>
        </w:tc>
      </w:tr>
      <w:tr w:rsidR="007F1775" w14:paraId="0B2F9C91" w14:textId="77777777">
        <w:tc>
          <w:tcPr>
            <w:tcW w:w="0" w:type="auto"/>
            <w:gridSpan w:val="3"/>
            <w:shd w:val="clear" w:color="auto" w:fill="auto"/>
            <w:tcMar>
              <w:top w:w="40" w:type="dxa"/>
              <w:left w:w="20" w:type="dxa"/>
              <w:bottom w:w="40" w:type="dxa"/>
              <w:right w:w="20" w:type="dxa"/>
            </w:tcMar>
            <w:vAlign w:val="center"/>
          </w:tcPr>
          <w:p w14:paraId="0B2F9C8C" w14:textId="77777777" w:rsidR="007F1775" w:rsidRDefault="000F083E">
            <w:pPr>
              <w:jc w:val="right"/>
              <w:textAlignment w:val="center"/>
            </w:pPr>
            <w:r>
              <w:rPr>
                <w:rFonts w:ascii="Times New Roman" w:eastAsia="宋体" w:hAnsi="Times New Roman"/>
                <w:color w:val="000000"/>
                <w:sz w:val="18"/>
                <w:szCs w:val="18"/>
              </w:rPr>
              <w:t xml:space="preserve">Class B Common Stock </w:t>
            </w:r>
          </w:p>
        </w:tc>
        <w:tc>
          <w:tcPr>
            <w:tcW w:w="0" w:type="auto"/>
            <w:gridSpan w:val="3"/>
            <w:shd w:val="clear" w:color="auto" w:fill="auto"/>
            <w:tcMar>
              <w:top w:w="40" w:type="dxa"/>
              <w:left w:w="140" w:type="dxa"/>
              <w:bottom w:w="40" w:type="dxa"/>
              <w:right w:w="20" w:type="dxa"/>
            </w:tcMar>
            <w:vAlign w:val="center"/>
          </w:tcPr>
          <w:p w14:paraId="0B2F9C8D" w14:textId="77777777" w:rsidR="007F1775" w:rsidRDefault="000F083E">
            <w:pPr>
              <w:textAlignment w:val="center"/>
            </w:pPr>
            <w:r>
              <w:rPr>
                <w:rFonts w:ascii="Times New Roman" w:eastAsia="宋体" w:hAnsi="Times New Roman"/>
                <w:color w:val="000000"/>
                <w:sz w:val="18"/>
                <w:szCs w:val="18"/>
              </w:rPr>
              <w:t>$0.000006 par value</w:t>
            </w:r>
          </w:p>
        </w:tc>
        <w:tc>
          <w:tcPr>
            <w:tcW w:w="0" w:type="auto"/>
            <w:gridSpan w:val="2"/>
            <w:shd w:val="clear" w:color="auto" w:fill="auto"/>
            <w:tcMar>
              <w:top w:w="40" w:type="dxa"/>
              <w:left w:w="20" w:type="dxa"/>
              <w:bottom w:w="40" w:type="dxa"/>
              <w:right w:w="0" w:type="dxa"/>
            </w:tcMar>
            <w:vAlign w:val="center"/>
          </w:tcPr>
          <w:p w14:paraId="0B2F9C8E" w14:textId="77777777" w:rsidR="007F1775" w:rsidRDefault="000F083E">
            <w:pPr>
              <w:jc w:val="right"/>
              <w:textAlignment w:val="center"/>
            </w:pPr>
            <w:r>
              <w:rPr>
                <w:rFonts w:ascii="Times New Roman" w:eastAsia="宋体" w:hAnsi="Times New Roman"/>
                <w:color w:val="000000"/>
                <w:sz w:val="18"/>
                <w:szCs w:val="18"/>
              </w:rPr>
              <w:t>412,804,609 </w:t>
            </w:r>
          </w:p>
        </w:tc>
        <w:tc>
          <w:tcPr>
            <w:tcW w:w="0" w:type="auto"/>
            <w:shd w:val="clear" w:color="auto" w:fill="auto"/>
            <w:tcMar>
              <w:top w:w="40" w:type="dxa"/>
              <w:left w:w="0" w:type="dxa"/>
              <w:bottom w:w="40" w:type="dxa"/>
              <w:right w:w="20" w:type="dxa"/>
            </w:tcMar>
            <w:vAlign w:val="center"/>
          </w:tcPr>
          <w:p w14:paraId="0B2F9C8F" w14:textId="77777777" w:rsidR="007F1775" w:rsidRDefault="007F1775">
            <w:pPr>
              <w:jc w:val="right"/>
              <w:rPr>
                <w:rFonts w:ascii="宋体"/>
              </w:rPr>
            </w:pPr>
          </w:p>
        </w:tc>
        <w:tc>
          <w:tcPr>
            <w:tcW w:w="0" w:type="auto"/>
            <w:gridSpan w:val="3"/>
            <w:shd w:val="clear" w:color="auto" w:fill="auto"/>
            <w:tcMar>
              <w:top w:w="40" w:type="dxa"/>
              <w:left w:w="20" w:type="dxa"/>
              <w:bottom w:w="40" w:type="dxa"/>
              <w:right w:w="20" w:type="dxa"/>
            </w:tcMar>
            <w:vAlign w:val="center"/>
          </w:tcPr>
          <w:p w14:paraId="0B2F9C90" w14:textId="77777777" w:rsidR="007F1775" w:rsidRDefault="000F083E">
            <w:pPr>
              <w:textAlignment w:val="center"/>
            </w:pPr>
            <w:r>
              <w:rPr>
                <w:rFonts w:ascii="Times New Roman" w:eastAsia="宋体" w:hAnsi="Times New Roman"/>
                <w:color w:val="000000"/>
                <w:sz w:val="18"/>
                <w:szCs w:val="18"/>
              </w:rPr>
              <w:t>shares outstanding as of April 22, 2022</w:t>
            </w:r>
          </w:p>
        </w:tc>
      </w:tr>
    </w:tbl>
    <w:p w14:paraId="0B2F9C92" w14:textId="77777777" w:rsidR="007F1775" w:rsidRDefault="007F1775"/>
    <w:p w14:paraId="0B2F9C93" w14:textId="77777777" w:rsidR="007F1775" w:rsidRDefault="007F1775"/>
    <w:p w14:paraId="0B2F9C94" w14:textId="77777777" w:rsidR="007F1775" w:rsidRDefault="000F083E">
      <w:r>
        <w:pict w14:anchorId="0B2FBF62">
          <v:rect id="_x0000_i1025" style="width:415.3pt;height:1.5pt" o:hralign="center" o:hrstd="t" o:hr="t" fillcolor="#a0a0a0" stroked="f"/>
        </w:pict>
      </w:r>
    </w:p>
    <w:p w14:paraId="0B2F9C95" w14:textId="77777777" w:rsidR="007F1775" w:rsidRDefault="007F1775"/>
    <w:p w14:paraId="0B2F9C96" w14:textId="77777777" w:rsidR="007F1775" w:rsidRDefault="000F083E">
      <w:pPr>
        <w:jc w:val="center"/>
      </w:pPr>
      <w:r>
        <w:rPr>
          <w:rFonts w:ascii="Times New Roman" w:eastAsia="宋体" w:hAnsi="Times New Roman"/>
          <w:b/>
          <w:bCs/>
          <w:color w:val="000000"/>
          <w:sz w:val="22"/>
          <w:szCs w:val="22"/>
        </w:rPr>
        <w:t xml:space="preserve">Meta Platforms, Inc. </w:t>
      </w:r>
    </w:p>
    <w:p w14:paraId="0B2F9C97" w14:textId="77777777" w:rsidR="007F1775" w:rsidRDefault="007F1775">
      <w:pPr>
        <w:jc w:val="center"/>
      </w:pPr>
    </w:p>
    <w:p w14:paraId="0B2F9C98" w14:textId="77777777" w:rsidR="007F1775" w:rsidRDefault="000F083E">
      <w:pPr>
        <w:jc w:val="center"/>
      </w:pPr>
      <w:r>
        <w:rPr>
          <w:rFonts w:ascii="Times New Roman" w:eastAsia="宋体" w:hAnsi="Times New Roman"/>
          <w:b/>
          <w:bCs/>
          <w:color w:val="000000"/>
          <w:sz w:val="22"/>
          <w:szCs w:val="22"/>
        </w:rPr>
        <w:t>Form 10-Q</w:t>
      </w:r>
    </w:p>
    <w:p w14:paraId="0B2F9C99" w14:textId="77777777" w:rsidR="007F1775" w:rsidRDefault="000F083E">
      <w:pPr>
        <w:jc w:val="center"/>
      </w:pPr>
      <w:r>
        <w:rPr>
          <w:rFonts w:ascii="Times New Roman" w:eastAsia="宋体" w:hAnsi="Times New Roman"/>
          <w:b/>
          <w:bCs/>
          <w:color w:val="000000"/>
          <w:sz w:val="20"/>
          <w:szCs w:val="20"/>
        </w:rPr>
        <w:t>For the Quarterly Period Ended March 31, 2022</w:t>
      </w:r>
    </w:p>
    <w:p w14:paraId="0B2F9C9A" w14:textId="77777777" w:rsidR="007F1775" w:rsidRDefault="007F1775">
      <w:pPr>
        <w:jc w:val="center"/>
      </w:pPr>
    </w:p>
    <w:p w14:paraId="0B2F9C9B" w14:textId="77777777" w:rsidR="007F1775" w:rsidRDefault="000F083E">
      <w:pPr>
        <w:jc w:val="center"/>
      </w:pPr>
      <w:r>
        <w:rPr>
          <w:rFonts w:ascii="Times New Roman" w:eastAsia="宋体" w:hAnsi="Times New Roman"/>
          <w:b/>
          <w:bCs/>
          <w:color w:val="000000"/>
          <w:sz w:val="20"/>
          <w:szCs w:val="20"/>
        </w:rPr>
        <w:t>TABLE OF CONTENTS</w:t>
      </w:r>
    </w:p>
    <w:p w14:paraId="0B2F9C9C" w14:textId="77777777" w:rsidR="007F1775" w:rsidRDefault="007F1775">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92"/>
        <w:gridCol w:w="650"/>
        <w:gridCol w:w="38"/>
        <w:gridCol w:w="44"/>
        <w:gridCol w:w="6943"/>
        <w:gridCol w:w="36"/>
        <w:gridCol w:w="69"/>
        <w:gridCol w:w="428"/>
        <w:gridCol w:w="36"/>
      </w:tblGrid>
      <w:tr w:rsidR="007F1775" w14:paraId="0B2F9CA6" w14:textId="77777777">
        <w:tc>
          <w:tcPr>
            <w:tcW w:w="50" w:type="pct"/>
            <w:shd w:val="clear" w:color="auto" w:fill="auto"/>
            <w:vAlign w:val="bottom"/>
          </w:tcPr>
          <w:p w14:paraId="0B2F9C9D" w14:textId="77777777" w:rsidR="007F1775" w:rsidRDefault="007F1775">
            <w:pPr>
              <w:rPr>
                <w:rFonts w:ascii="宋体"/>
              </w:rPr>
            </w:pPr>
          </w:p>
        </w:tc>
        <w:tc>
          <w:tcPr>
            <w:tcW w:w="354" w:type="pct"/>
            <w:shd w:val="clear" w:color="auto" w:fill="auto"/>
            <w:vAlign w:val="bottom"/>
          </w:tcPr>
          <w:p w14:paraId="0B2F9C9E" w14:textId="77777777" w:rsidR="007F1775" w:rsidRDefault="007F1775">
            <w:pPr>
              <w:rPr>
                <w:rFonts w:ascii="宋体"/>
              </w:rPr>
            </w:pPr>
          </w:p>
        </w:tc>
        <w:tc>
          <w:tcPr>
            <w:tcW w:w="5" w:type="pct"/>
            <w:shd w:val="clear" w:color="auto" w:fill="auto"/>
            <w:vAlign w:val="bottom"/>
          </w:tcPr>
          <w:p w14:paraId="0B2F9C9F" w14:textId="77777777" w:rsidR="007F1775" w:rsidRDefault="007F1775">
            <w:pPr>
              <w:rPr>
                <w:rFonts w:ascii="宋体"/>
              </w:rPr>
            </w:pPr>
          </w:p>
        </w:tc>
        <w:tc>
          <w:tcPr>
            <w:tcW w:w="50" w:type="pct"/>
            <w:shd w:val="clear" w:color="auto" w:fill="auto"/>
            <w:vAlign w:val="bottom"/>
          </w:tcPr>
          <w:p w14:paraId="0B2F9CA0" w14:textId="77777777" w:rsidR="007F1775" w:rsidRDefault="007F1775">
            <w:pPr>
              <w:rPr>
                <w:rFonts w:ascii="宋体"/>
              </w:rPr>
            </w:pPr>
          </w:p>
        </w:tc>
        <w:tc>
          <w:tcPr>
            <w:tcW w:w="4186" w:type="pct"/>
            <w:shd w:val="clear" w:color="auto" w:fill="auto"/>
            <w:vAlign w:val="bottom"/>
          </w:tcPr>
          <w:p w14:paraId="0B2F9CA1" w14:textId="77777777" w:rsidR="007F1775" w:rsidRDefault="007F1775">
            <w:pPr>
              <w:rPr>
                <w:rFonts w:ascii="宋体"/>
              </w:rPr>
            </w:pPr>
          </w:p>
        </w:tc>
        <w:tc>
          <w:tcPr>
            <w:tcW w:w="5" w:type="pct"/>
            <w:shd w:val="clear" w:color="auto" w:fill="auto"/>
            <w:vAlign w:val="bottom"/>
          </w:tcPr>
          <w:p w14:paraId="0B2F9CA2" w14:textId="77777777" w:rsidR="007F1775" w:rsidRDefault="007F1775">
            <w:pPr>
              <w:rPr>
                <w:rFonts w:ascii="宋体"/>
              </w:rPr>
            </w:pPr>
          </w:p>
        </w:tc>
        <w:tc>
          <w:tcPr>
            <w:tcW w:w="50" w:type="pct"/>
            <w:shd w:val="clear" w:color="auto" w:fill="auto"/>
            <w:vAlign w:val="bottom"/>
          </w:tcPr>
          <w:p w14:paraId="0B2F9CA3" w14:textId="77777777" w:rsidR="007F1775" w:rsidRDefault="007F1775">
            <w:pPr>
              <w:rPr>
                <w:rFonts w:ascii="宋体"/>
              </w:rPr>
            </w:pPr>
          </w:p>
        </w:tc>
        <w:tc>
          <w:tcPr>
            <w:tcW w:w="294" w:type="pct"/>
            <w:shd w:val="clear" w:color="auto" w:fill="auto"/>
            <w:vAlign w:val="bottom"/>
          </w:tcPr>
          <w:p w14:paraId="0B2F9CA4" w14:textId="77777777" w:rsidR="007F1775" w:rsidRDefault="007F1775">
            <w:pPr>
              <w:rPr>
                <w:rFonts w:ascii="宋体"/>
              </w:rPr>
            </w:pPr>
          </w:p>
        </w:tc>
        <w:tc>
          <w:tcPr>
            <w:tcW w:w="5" w:type="pct"/>
            <w:shd w:val="clear" w:color="auto" w:fill="auto"/>
            <w:vAlign w:val="bottom"/>
          </w:tcPr>
          <w:p w14:paraId="0B2F9CA5" w14:textId="77777777" w:rsidR="007F1775" w:rsidRDefault="007F1775">
            <w:pPr>
              <w:rPr>
                <w:rFonts w:ascii="宋体"/>
              </w:rPr>
            </w:pPr>
          </w:p>
        </w:tc>
      </w:tr>
      <w:tr w:rsidR="007F1775" w14:paraId="0B2F9CAA" w14:textId="77777777">
        <w:tc>
          <w:tcPr>
            <w:tcW w:w="0" w:type="auto"/>
            <w:gridSpan w:val="3"/>
            <w:shd w:val="clear" w:color="auto" w:fill="auto"/>
            <w:tcMar>
              <w:top w:w="40" w:type="dxa"/>
              <w:left w:w="20" w:type="dxa"/>
              <w:bottom w:w="40" w:type="dxa"/>
              <w:right w:w="20" w:type="dxa"/>
            </w:tcMar>
            <w:vAlign w:val="center"/>
          </w:tcPr>
          <w:p w14:paraId="0B2F9CA7" w14:textId="77777777" w:rsidR="007F1775" w:rsidRDefault="000F083E">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0B2F9CA8" w14:textId="77777777" w:rsidR="007F1775" w:rsidRDefault="000F083E">
            <w:pPr>
              <w:textAlignment w:val="center"/>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center"/>
          </w:tcPr>
          <w:p w14:paraId="0B2F9CA9" w14:textId="77777777" w:rsidR="007F1775" w:rsidRDefault="000F083E">
            <w:pPr>
              <w:jc w:val="center"/>
              <w:textAlignment w:val="center"/>
            </w:pPr>
            <w:r>
              <w:rPr>
                <w:rFonts w:ascii="Times New Roman" w:eastAsia="宋体" w:hAnsi="Times New Roman"/>
                <w:color w:val="000000"/>
                <w:sz w:val="20"/>
                <w:szCs w:val="20"/>
                <w:u w:val="single"/>
              </w:rPr>
              <w:t>Page </w:t>
            </w:r>
          </w:p>
        </w:tc>
      </w:tr>
      <w:tr w:rsidR="007F1775" w14:paraId="0B2F9CAD" w14:textId="77777777">
        <w:trPr>
          <w:trHeight w:val="60"/>
        </w:trPr>
        <w:tc>
          <w:tcPr>
            <w:tcW w:w="0" w:type="auto"/>
            <w:gridSpan w:val="6"/>
            <w:shd w:val="clear" w:color="auto" w:fill="auto"/>
            <w:tcMar>
              <w:top w:w="0" w:type="dxa"/>
              <w:left w:w="20" w:type="dxa"/>
              <w:bottom w:w="0" w:type="dxa"/>
              <w:right w:w="20" w:type="dxa"/>
            </w:tcMar>
            <w:vAlign w:val="bottom"/>
          </w:tcPr>
          <w:p w14:paraId="0B2F9CA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AC" w14:textId="77777777" w:rsidR="007F1775" w:rsidRDefault="007F1775">
            <w:pPr>
              <w:rPr>
                <w:rFonts w:ascii="宋体"/>
              </w:rPr>
            </w:pPr>
          </w:p>
        </w:tc>
      </w:tr>
      <w:tr w:rsidR="007F1775" w14:paraId="0B2F9CB0" w14:textId="77777777">
        <w:tc>
          <w:tcPr>
            <w:tcW w:w="0" w:type="auto"/>
            <w:gridSpan w:val="6"/>
            <w:shd w:val="clear" w:color="auto" w:fill="auto"/>
            <w:tcMar>
              <w:top w:w="40" w:type="dxa"/>
              <w:left w:w="20" w:type="dxa"/>
              <w:bottom w:w="40" w:type="dxa"/>
              <w:right w:w="20" w:type="dxa"/>
            </w:tcMar>
            <w:vAlign w:val="center"/>
          </w:tcPr>
          <w:p w14:paraId="0B2F9CAE"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7" w:anchor="iea70e328caa94cefb76a9db6ed6338fc_10" w:history="1">
              <w:r>
                <w:rPr>
                  <w:rStyle w:val="a5"/>
                  <w:rFonts w:ascii="Times New Roman" w:eastAsia="宋体" w:hAnsi="Times New Roman"/>
                  <w:sz w:val="20"/>
                  <w:szCs w:val="20"/>
                </w:rPr>
                <w:t>Note About Forward-Looking Statements</w:t>
              </w:r>
            </w:hyperlink>
          </w:p>
        </w:tc>
        <w:tc>
          <w:tcPr>
            <w:tcW w:w="0" w:type="auto"/>
            <w:gridSpan w:val="3"/>
            <w:shd w:val="clear" w:color="auto" w:fill="auto"/>
            <w:tcMar>
              <w:top w:w="40" w:type="dxa"/>
              <w:left w:w="20" w:type="dxa"/>
              <w:bottom w:w="40" w:type="dxa"/>
              <w:right w:w="20" w:type="dxa"/>
            </w:tcMar>
            <w:vAlign w:val="center"/>
          </w:tcPr>
          <w:p w14:paraId="0B2F9CAF"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8" w:anchor="iea70e328caa94cefb76a9db6ed6338fc_10" w:history="1">
              <w:r>
                <w:rPr>
                  <w:rStyle w:val="a5"/>
                  <w:rFonts w:ascii="Times New Roman" w:eastAsia="宋体" w:hAnsi="Times New Roman"/>
                  <w:sz w:val="20"/>
                  <w:szCs w:val="20"/>
                </w:rPr>
                <w:t>3</w:t>
              </w:r>
            </w:hyperlink>
          </w:p>
        </w:tc>
      </w:tr>
      <w:tr w:rsidR="007F1775" w14:paraId="0B2F9CB3" w14:textId="77777777">
        <w:trPr>
          <w:trHeight w:val="60"/>
        </w:trPr>
        <w:tc>
          <w:tcPr>
            <w:tcW w:w="0" w:type="auto"/>
            <w:gridSpan w:val="6"/>
            <w:shd w:val="clear" w:color="auto" w:fill="auto"/>
            <w:tcMar>
              <w:top w:w="0" w:type="dxa"/>
              <w:left w:w="20" w:type="dxa"/>
              <w:bottom w:w="0" w:type="dxa"/>
              <w:right w:w="20" w:type="dxa"/>
            </w:tcMar>
            <w:vAlign w:val="bottom"/>
          </w:tcPr>
          <w:p w14:paraId="0B2F9CB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B2" w14:textId="77777777" w:rsidR="007F1775" w:rsidRDefault="007F1775">
            <w:pPr>
              <w:rPr>
                <w:rFonts w:ascii="宋体"/>
              </w:rPr>
            </w:pPr>
          </w:p>
        </w:tc>
      </w:tr>
      <w:tr w:rsidR="007F1775" w14:paraId="0B2F9CB6" w14:textId="77777777">
        <w:tc>
          <w:tcPr>
            <w:tcW w:w="0" w:type="auto"/>
            <w:gridSpan w:val="6"/>
            <w:shd w:val="clear" w:color="auto" w:fill="auto"/>
            <w:tcMar>
              <w:top w:w="40" w:type="dxa"/>
              <w:left w:w="20" w:type="dxa"/>
              <w:bottom w:w="40" w:type="dxa"/>
              <w:right w:w="20" w:type="dxa"/>
            </w:tcMar>
            <w:vAlign w:val="center"/>
          </w:tcPr>
          <w:p w14:paraId="0B2F9CB4" w14:textId="77777777" w:rsidR="007F1775" w:rsidRDefault="000F083E">
            <w:pPr>
              <w:pBdr>
                <w:top w:val="none" w:sz="0" w:space="0" w:color="auto"/>
                <w:left w:val="none" w:sz="0" w:space="0" w:color="auto"/>
                <w:bottom w:val="none" w:sz="0" w:space="0" w:color="auto"/>
                <w:right w:val="none" w:sz="0" w:space="0" w:color="auto"/>
              </w:pBdr>
              <w:textAlignment w:val="center"/>
            </w:pPr>
            <w:hyperlink r:id="rId9" w:anchor="iea70e328caa94cefb76a9db6ed6338fc_13" w:history="1">
              <w:r>
                <w:rPr>
                  <w:rStyle w:val="a5"/>
                  <w:rFonts w:ascii="Times New Roman" w:eastAsia="宋体" w:hAnsi="Times New Roman"/>
                  <w:sz w:val="20"/>
                  <w:szCs w:val="20"/>
                </w:rPr>
                <w:t>Limitations of Key Metrics and Other Data</w:t>
              </w:r>
            </w:hyperlink>
          </w:p>
        </w:tc>
        <w:tc>
          <w:tcPr>
            <w:tcW w:w="0" w:type="auto"/>
            <w:gridSpan w:val="3"/>
            <w:shd w:val="clear" w:color="auto" w:fill="auto"/>
            <w:tcMar>
              <w:top w:w="40" w:type="dxa"/>
              <w:left w:w="20" w:type="dxa"/>
              <w:bottom w:w="40" w:type="dxa"/>
              <w:right w:w="20" w:type="dxa"/>
            </w:tcMar>
            <w:vAlign w:val="center"/>
          </w:tcPr>
          <w:p w14:paraId="0B2F9CB5"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10" w:anchor="iea70e328caa94cefb76a9db6ed6338fc_13" w:history="1">
              <w:r>
                <w:rPr>
                  <w:rStyle w:val="a5"/>
                  <w:rFonts w:ascii="Times New Roman" w:eastAsia="宋体" w:hAnsi="Times New Roman"/>
                  <w:sz w:val="20"/>
                  <w:szCs w:val="20"/>
                </w:rPr>
                <w:t>4</w:t>
              </w:r>
            </w:hyperlink>
          </w:p>
        </w:tc>
      </w:tr>
      <w:tr w:rsidR="007F1775" w14:paraId="0B2F9CB9" w14:textId="77777777">
        <w:trPr>
          <w:trHeight w:val="60"/>
        </w:trPr>
        <w:tc>
          <w:tcPr>
            <w:tcW w:w="0" w:type="auto"/>
            <w:gridSpan w:val="6"/>
            <w:shd w:val="clear" w:color="auto" w:fill="auto"/>
            <w:tcMar>
              <w:top w:w="0" w:type="dxa"/>
              <w:left w:w="20" w:type="dxa"/>
              <w:bottom w:w="0" w:type="dxa"/>
              <w:right w:w="20" w:type="dxa"/>
            </w:tcMar>
            <w:vAlign w:val="bottom"/>
          </w:tcPr>
          <w:p w14:paraId="0B2F9CB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B8" w14:textId="77777777" w:rsidR="007F1775" w:rsidRDefault="007F1775">
            <w:pPr>
              <w:rPr>
                <w:rFonts w:ascii="宋体"/>
              </w:rPr>
            </w:pPr>
          </w:p>
        </w:tc>
      </w:tr>
      <w:tr w:rsidR="007F1775" w14:paraId="0B2F9CBC" w14:textId="77777777">
        <w:tc>
          <w:tcPr>
            <w:tcW w:w="0" w:type="auto"/>
            <w:gridSpan w:val="6"/>
            <w:shd w:val="clear" w:color="auto" w:fill="auto"/>
            <w:tcMar>
              <w:top w:w="40" w:type="dxa"/>
              <w:left w:w="20" w:type="dxa"/>
              <w:bottom w:w="40" w:type="dxa"/>
              <w:right w:w="20" w:type="dxa"/>
            </w:tcMar>
            <w:vAlign w:val="center"/>
          </w:tcPr>
          <w:p w14:paraId="0B2F9CBA"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11" w:anchor="iea70e328caa94cefb76a9db6ed6338fc_16" w:history="1">
              <w:r>
                <w:rPr>
                  <w:rStyle w:val="a5"/>
                  <w:rFonts w:ascii="Times New Roman" w:eastAsia="宋体" w:hAnsi="Times New Roman"/>
                  <w:sz w:val="20"/>
                  <w:szCs w:val="20"/>
                </w:rPr>
                <w:t>PART I—FINANCIAL INFORMATION</w:t>
              </w:r>
            </w:hyperlink>
          </w:p>
        </w:tc>
        <w:tc>
          <w:tcPr>
            <w:tcW w:w="0" w:type="auto"/>
            <w:gridSpan w:val="3"/>
            <w:shd w:val="clear" w:color="auto" w:fill="auto"/>
            <w:tcMar>
              <w:top w:w="40" w:type="dxa"/>
              <w:left w:w="20" w:type="dxa"/>
              <w:bottom w:w="40" w:type="dxa"/>
              <w:right w:w="20" w:type="dxa"/>
            </w:tcMar>
            <w:vAlign w:val="center"/>
          </w:tcPr>
          <w:p w14:paraId="0B2F9CBB"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12" w:anchor="iea70e328caa94cefb76a9db6ed6338fc_16" w:history="1">
              <w:r>
                <w:rPr>
                  <w:rStyle w:val="a5"/>
                  <w:rFonts w:ascii="Times New Roman" w:eastAsia="宋体" w:hAnsi="Times New Roman"/>
                  <w:sz w:val="20"/>
                  <w:szCs w:val="20"/>
                </w:rPr>
                <w:t>7</w:t>
              </w:r>
            </w:hyperlink>
          </w:p>
        </w:tc>
      </w:tr>
      <w:tr w:rsidR="007F1775" w14:paraId="0B2F9CC0" w14:textId="77777777">
        <w:trPr>
          <w:trHeight w:val="60"/>
        </w:trPr>
        <w:tc>
          <w:tcPr>
            <w:tcW w:w="0" w:type="auto"/>
            <w:gridSpan w:val="3"/>
            <w:shd w:val="clear" w:color="auto" w:fill="auto"/>
            <w:tcMar>
              <w:top w:w="0" w:type="dxa"/>
              <w:left w:w="20" w:type="dxa"/>
              <w:bottom w:w="0" w:type="dxa"/>
              <w:right w:w="20" w:type="dxa"/>
            </w:tcMar>
            <w:vAlign w:val="bottom"/>
          </w:tcPr>
          <w:p w14:paraId="0B2F9CB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B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BF" w14:textId="77777777" w:rsidR="007F1775" w:rsidRDefault="007F1775">
            <w:pPr>
              <w:rPr>
                <w:rFonts w:ascii="宋体"/>
              </w:rPr>
            </w:pPr>
          </w:p>
        </w:tc>
      </w:tr>
      <w:tr w:rsidR="007F1775" w14:paraId="0B2F9CC4" w14:textId="77777777">
        <w:tc>
          <w:tcPr>
            <w:tcW w:w="0" w:type="auto"/>
            <w:gridSpan w:val="3"/>
            <w:shd w:val="clear" w:color="auto" w:fill="auto"/>
            <w:tcMar>
              <w:top w:w="40" w:type="dxa"/>
              <w:left w:w="20" w:type="dxa"/>
              <w:bottom w:w="40" w:type="dxa"/>
              <w:right w:w="20" w:type="dxa"/>
            </w:tcMar>
            <w:vAlign w:val="center"/>
          </w:tcPr>
          <w:p w14:paraId="0B2F9CC1" w14:textId="77777777" w:rsidR="007F1775" w:rsidRDefault="000F083E">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0B2F9CC2"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13" w:anchor="iea70e328caa94cefb76a9db6ed6338fc_19"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vAlign w:val="center"/>
          </w:tcPr>
          <w:p w14:paraId="0B2F9CC3"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14" w:anchor="iea70e328caa94cefb76a9db6ed6338fc_19" w:history="1">
              <w:r>
                <w:rPr>
                  <w:rStyle w:val="a5"/>
                  <w:rFonts w:ascii="Times New Roman" w:eastAsia="宋体" w:hAnsi="Times New Roman"/>
                  <w:sz w:val="20"/>
                  <w:szCs w:val="20"/>
                </w:rPr>
                <w:t>7</w:t>
              </w:r>
            </w:hyperlink>
          </w:p>
        </w:tc>
      </w:tr>
      <w:tr w:rsidR="007F1775" w14:paraId="0B2F9CC8" w14:textId="77777777">
        <w:trPr>
          <w:trHeight w:val="60"/>
        </w:trPr>
        <w:tc>
          <w:tcPr>
            <w:tcW w:w="0" w:type="auto"/>
            <w:gridSpan w:val="3"/>
            <w:shd w:val="clear" w:color="auto" w:fill="auto"/>
            <w:tcMar>
              <w:top w:w="0" w:type="dxa"/>
              <w:left w:w="20" w:type="dxa"/>
              <w:bottom w:w="0" w:type="dxa"/>
              <w:right w:w="20" w:type="dxa"/>
            </w:tcMar>
            <w:vAlign w:val="bottom"/>
          </w:tcPr>
          <w:p w14:paraId="0B2F9CC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C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C7" w14:textId="77777777" w:rsidR="007F1775" w:rsidRDefault="007F1775">
            <w:pPr>
              <w:rPr>
                <w:rFonts w:ascii="宋体"/>
              </w:rPr>
            </w:pPr>
          </w:p>
        </w:tc>
      </w:tr>
      <w:tr w:rsidR="007F1775" w14:paraId="0B2F9CCC" w14:textId="77777777">
        <w:tc>
          <w:tcPr>
            <w:tcW w:w="0" w:type="auto"/>
            <w:gridSpan w:val="3"/>
            <w:shd w:val="clear" w:color="auto" w:fill="auto"/>
            <w:tcMar>
              <w:top w:w="0" w:type="dxa"/>
              <w:left w:w="20" w:type="dxa"/>
              <w:bottom w:w="0" w:type="dxa"/>
              <w:right w:w="20" w:type="dxa"/>
            </w:tcMar>
            <w:vAlign w:val="bottom"/>
          </w:tcPr>
          <w:p w14:paraId="0B2F9CC9"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9CCA"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15" w:anchor="iea70e328caa94cefb76a9db6ed6338fc_22" w:history="1">
              <w:r>
                <w:rPr>
                  <w:rStyle w:val="a5"/>
                  <w:rFonts w:ascii="Times New Roman" w:eastAsia="宋体" w:hAnsi="Times New Roman"/>
                  <w:sz w:val="20"/>
                  <w:szCs w:val="20"/>
                </w:rPr>
                <w:t>Condensed Consolidated Balance Sheets—</w:t>
              </w:r>
            </w:hyperlink>
            <w:hyperlink r:id="rId16" w:anchor="iea70e328caa94cefb76a9db6ed6338fc_22" w:history="1">
              <w:r>
                <w:rPr>
                  <w:rStyle w:val="a5"/>
                  <w:rFonts w:ascii="Times New Roman" w:eastAsia="宋体" w:hAnsi="Times New Roman"/>
                  <w:sz w:val="20"/>
                  <w:szCs w:val="20"/>
                </w:rPr>
                <w:t>March</w:t>
              </w:r>
            </w:hyperlink>
            <w:hyperlink r:id="rId17" w:anchor="iea70e328caa94cefb76a9db6ed6338fc_22" w:history="1">
              <w:r>
                <w:rPr>
                  <w:rStyle w:val="a5"/>
                  <w:rFonts w:ascii="Times New Roman" w:eastAsia="宋体" w:hAnsi="Times New Roman"/>
                  <w:sz w:val="20"/>
                  <w:szCs w:val="20"/>
                </w:rPr>
                <w:t xml:space="preserve"> 3</w:t>
              </w:r>
            </w:hyperlink>
            <w:hyperlink r:id="rId18" w:anchor="iea70e328caa94cefb76a9db6ed6338fc_22" w:history="1">
              <w:r>
                <w:rPr>
                  <w:rStyle w:val="a5"/>
                  <w:rFonts w:ascii="Times New Roman" w:eastAsia="宋体" w:hAnsi="Times New Roman"/>
                  <w:sz w:val="20"/>
                  <w:szCs w:val="20"/>
                </w:rPr>
                <w:t>1</w:t>
              </w:r>
            </w:hyperlink>
            <w:hyperlink r:id="rId19" w:anchor="iea70e328caa94cefb76a9db6ed6338fc_22" w:history="1">
              <w:r>
                <w:rPr>
                  <w:rStyle w:val="a5"/>
                  <w:rFonts w:ascii="Times New Roman" w:eastAsia="宋体" w:hAnsi="Times New Roman"/>
                  <w:sz w:val="20"/>
                  <w:szCs w:val="20"/>
                </w:rPr>
                <w:t>, 202</w:t>
              </w:r>
            </w:hyperlink>
            <w:hyperlink r:id="rId20" w:anchor="iea70e328caa94cefb76a9db6ed6338fc_22" w:history="1">
              <w:r>
                <w:rPr>
                  <w:rStyle w:val="a5"/>
                  <w:rFonts w:ascii="Times New Roman" w:eastAsia="宋体" w:hAnsi="Times New Roman"/>
                  <w:sz w:val="20"/>
                  <w:szCs w:val="20"/>
                </w:rPr>
                <w:t>2</w:t>
              </w:r>
            </w:hyperlink>
            <w:hyperlink r:id="rId21" w:anchor="iea70e328caa94cefb76a9db6ed6338fc_22" w:history="1">
              <w:r>
                <w:rPr>
                  <w:rStyle w:val="a5"/>
                  <w:rFonts w:ascii="Times New Roman" w:eastAsia="宋体" w:hAnsi="Times New Roman"/>
                  <w:sz w:val="20"/>
                  <w:szCs w:val="20"/>
                </w:rPr>
                <w:t xml:space="preserve"> and December 31,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0B2F9CCB"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22" w:anchor="iea70e328caa94cefb76a9db6ed6338fc_22" w:history="1">
              <w:r>
                <w:rPr>
                  <w:rStyle w:val="a5"/>
                  <w:rFonts w:ascii="Times New Roman" w:eastAsia="宋体" w:hAnsi="Times New Roman"/>
                  <w:sz w:val="20"/>
                  <w:szCs w:val="20"/>
                </w:rPr>
                <w:t>7</w:t>
              </w:r>
            </w:hyperlink>
          </w:p>
        </w:tc>
      </w:tr>
      <w:tr w:rsidR="007F1775" w14:paraId="0B2F9CD0" w14:textId="77777777">
        <w:trPr>
          <w:trHeight w:val="60"/>
        </w:trPr>
        <w:tc>
          <w:tcPr>
            <w:tcW w:w="0" w:type="auto"/>
            <w:gridSpan w:val="3"/>
            <w:shd w:val="clear" w:color="auto" w:fill="auto"/>
            <w:tcMar>
              <w:top w:w="0" w:type="dxa"/>
              <w:left w:w="20" w:type="dxa"/>
              <w:bottom w:w="0" w:type="dxa"/>
              <w:right w:w="20" w:type="dxa"/>
            </w:tcMar>
            <w:vAlign w:val="bottom"/>
          </w:tcPr>
          <w:p w14:paraId="0B2F9CC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C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CF" w14:textId="77777777" w:rsidR="007F1775" w:rsidRDefault="007F1775">
            <w:pPr>
              <w:rPr>
                <w:rFonts w:ascii="宋体"/>
              </w:rPr>
            </w:pPr>
          </w:p>
        </w:tc>
      </w:tr>
      <w:tr w:rsidR="007F1775" w14:paraId="0B2F9CD4" w14:textId="77777777">
        <w:tc>
          <w:tcPr>
            <w:tcW w:w="0" w:type="auto"/>
            <w:gridSpan w:val="3"/>
            <w:shd w:val="clear" w:color="auto" w:fill="auto"/>
            <w:tcMar>
              <w:top w:w="0" w:type="dxa"/>
              <w:left w:w="20" w:type="dxa"/>
              <w:bottom w:w="0" w:type="dxa"/>
              <w:right w:w="20" w:type="dxa"/>
            </w:tcMar>
            <w:vAlign w:val="bottom"/>
          </w:tcPr>
          <w:p w14:paraId="0B2F9CD1"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9CD2"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23" w:anchor="iea70e328caa94cefb76a9db6ed6338fc_25" w:history="1">
              <w:r>
                <w:rPr>
                  <w:rStyle w:val="a5"/>
                  <w:rFonts w:ascii="Times New Roman" w:eastAsia="宋体" w:hAnsi="Times New Roman"/>
                  <w:sz w:val="20"/>
                  <w:szCs w:val="20"/>
                </w:rPr>
                <w:t>Condensed Consolidated Statements of Income—for the three</w:t>
              </w:r>
            </w:hyperlink>
            <w:hyperlink r:id="rId24" w:anchor="iea70e328caa94cefb76a9db6ed6338fc_25" w:history="1">
              <w:r>
                <w:rPr>
                  <w:rStyle w:val="a5"/>
                  <w:rFonts w:ascii="Times New Roman" w:eastAsia="宋体" w:hAnsi="Times New Roman"/>
                  <w:sz w:val="20"/>
                  <w:szCs w:val="20"/>
                </w:rPr>
                <w:t xml:space="preserve"> months ended </w:t>
              </w:r>
            </w:hyperlink>
            <w:hyperlink r:id="rId25" w:anchor="iea70e328caa94cefb76a9db6ed6338fc_25" w:history="1">
              <w:r>
                <w:rPr>
                  <w:rStyle w:val="a5"/>
                  <w:rFonts w:ascii="Times New Roman" w:eastAsia="宋体" w:hAnsi="Times New Roman"/>
                  <w:sz w:val="20"/>
                  <w:szCs w:val="20"/>
                </w:rPr>
                <w:t>March</w:t>
              </w:r>
            </w:hyperlink>
            <w:hyperlink r:id="rId26" w:anchor="iea70e328caa94cefb76a9db6ed6338fc_25" w:history="1">
              <w:r>
                <w:rPr>
                  <w:rStyle w:val="a5"/>
                  <w:rFonts w:ascii="Times New Roman" w:eastAsia="宋体" w:hAnsi="Times New Roman"/>
                  <w:sz w:val="20"/>
                  <w:szCs w:val="20"/>
                </w:rPr>
                <w:t xml:space="preserve"> 3</w:t>
              </w:r>
            </w:hyperlink>
            <w:hyperlink r:id="rId27" w:anchor="iea70e328caa94cefb76a9db6ed6338fc_25" w:history="1">
              <w:r>
                <w:rPr>
                  <w:rStyle w:val="a5"/>
                  <w:rFonts w:ascii="Times New Roman" w:eastAsia="宋体" w:hAnsi="Times New Roman"/>
                  <w:sz w:val="20"/>
                  <w:szCs w:val="20"/>
                </w:rPr>
                <w:t>1</w:t>
              </w:r>
            </w:hyperlink>
            <w:hyperlink r:id="rId28" w:anchor="iea70e328caa94cefb76a9db6ed6338fc_25" w:history="1">
              <w:r>
                <w:rPr>
                  <w:rStyle w:val="a5"/>
                  <w:rFonts w:ascii="Times New Roman" w:eastAsia="宋体" w:hAnsi="Times New Roman"/>
                  <w:sz w:val="20"/>
                  <w:szCs w:val="20"/>
                </w:rPr>
                <w:t>, 202</w:t>
              </w:r>
            </w:hyperlink>
            <w:hyperlink r:id="rId29" w:anchor="iea70e328caa94cefb76a9db6ed6338fc_25" w:history="1">
              <w:r>
                <w:rPr>
                  <w:rStyle w:val="a5"/>
                  <w:rFonts w:ascii="Times New Roman" w:eastAsia="宋体" w:hAnsi="Times New Roman"/>
                  <w:sz w:val="20"/>
                  <w:szCs w:val="20"/>
                </w:rPr>
                <w:t>2</w:t>
              </w:r>
            </w:hyperlink>
            <w:hyperlink r:id="rId30" w:anchor="iea70e328caa94cefb76a9db6ed6338fc_25" w:history="1">
              <w:r>
                <w:rPr>
                  <w:rStyle w:val="a5"/>
                  <w:rFonts w:ascii="Times New Roman" w:eastAsia="宋体" w:hAnsi="Times New Roman"/>
                  <w:sz w:val="20"/>
                  <w:szCs w:val="20"/>
                </w:rPr>
                <w:t xml:space="preserve">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0B2F9CD3"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31" w:anchor="iea70e328caa94cefb76a9db6ed6338fc_25" w:history="1">
              <w:r>
                <w:rPr>
                  <w:rStyle w:val="a5"/>
                  <w:rFonts w:ascii="Times New Roman" w:eastAsia="宋体" w:hAnsi="Times New Roman"/>
                  <w:sz w:val="20"/>
                  <w:szCs w:val="20"/>
                </w:rPr>
                <w:t>8</w:t>
              </w:r>
            </w:hyperlink>
          </w:p>
        </w:tc>
      </w:tr>
      <w:tr w:rsidR="007F1775" w14:paraId="0B2F9CD8" w14:textId="77777777">
        <w:trPr>
          <w:trHeight w:val="60"/>
        </w:trPr>
        <w:tc>
          <w:tcPr>
            <w:tcW w:w="0" w:type="auto"/>
            <w:gridSpan w:val="3"/>
            <w:shd w:val="clear" w:color="auto" w:fill="auto"/>
            <w:tcMar>
              <w:top w:w="0" w:type="dxa"/>
              <w:left w:w="20" w:type="dxa"/>
              <w:bottom w:w="0" w:type="dxa"/>
              <w:right w:w="20" w:type="dxa"/>
            </w:tcMar>
            <w:vAlign w:val="bottom"/>
          </w:tcPr>
          <w:p w14:paraId="0B2F9CD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D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D7" w14:textId="77777777" w:rsidR="007F1775" w:rsidRDefault="007F1775">
            <w:pPr>
              <w:rPr>
                <w:rFonts w:ascii="宋体"/>
              </w:rPr>
            </w:pPr>
          </w:p>
        </w:tc>
      </w:tr>
      <w:tr w:rsidR="007F1775" w14:paraId="0B2F9CDC" w14:textId="77777777">
        <w:tc>
          <w:tcPr>
            <w:tcW w:w="0" w:type="auto"/>
            <w:gridSpan w:val="3"/>
            <w:shd w:val="clear" w:color="auto" w:fill="auto"/>
            <w:tcMar>
              <w:top w:w="0" w:type="dxa"/>
              <w:left w:w="20" w:type="dxa"/>
              <w:bottom w:w="0" w:type="dxa"/>
              <w:right w:w="20" w:type="dxa"/>
            </w:tcMar>
            <w:vAlign w:val="bottom"/>
          </w:tcPr>
          <w:p w14:paraId="0B2F9CD9"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9CDA"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32" w:anchor="iea70e328caa94cefb76a9db6ed6338fc_28" w:history="1">
              <w:r>
                <w:rPr>
                  <w:rStyle w:val="a5"/>
                  <w:rFonts w:ascii="Times New Roman" w:eastAsia="宋体" w:hAnsi="Times New Roman"/>
                  <w:sz w:val="20"/>
                  <w:szCs w:val="20"/>
                </w:rPr>
                <w:t>Condensed Consolidated Statements of Comprehensive Income—for the three</w:t>
              </w:r>
            </w:hyperlink>
            <w:hyperlink r:id="rId33" w:anchor="iea70e328caa94cefb76a9db6ed6338fc_28" w:history="1">
              <w:r>
                <w:rPr>
                  <w:rStyle w:val="a5"/>
                  <w:rFonts w:ascii="Times New Roman" w:eastAsia="宋体" w:hAnsi="Times New Roman"/>
                  <w:sz w:val="20"/>
                  <w:szCs w:val="20"/>
                </w:rPr>
                <w:t xml:space="preserve"> months ended </w:t>
              </w:r>
            </w:hyperlink>
            <w:hyperlink r:id="rId34" w:anchor="iea70e328caa94cefb76a9db6ed6338fc_28" w:history="1">
              <w:r>
                <w:rPr>
                  <w:rStyle w:val="a5"/>
                  <w:rFonts w:ascii="Times New Roman" w:eastAsia="宋体" w:hAnsi="Times New Roman"/>
                  <w:sz w:val="20"/>
                  <w:szCs w:val="20"/>
                </w:rPr>
                <w:t>March</w:t>
              </w:r>
            </w:hyperlink>
            <w:hyperlink r:id="rId35" w:anchor="iea70e328caa94cefb76a9db6ed6338fc_28" w:history="1">
              <w:r>
                <w:rPr>
                  <w:rStyle w:val="a5"/>
                  <w:rFonts w:ascii="Times New Roman" w:eastAsia="宋体" w:hAnsi="Times New Roman"/>
                  <w:sz w:val="20"/>
                  <w:szCs w:val="20"/>
                </w:rPr>
                <w:t xml:space="preserve"> 3</w:t>
              </w:r>
            </w:hyperlink>
            <w:hyperlink r:id="rId36" w:anchor="iea70e328caa94cefb76a9db6ed6338fc_28" w:history="1">
              <w:r>
                <w:rPr>
                  <w:rStyle w:val="a5"/>
                  <w:rFonts w:ascii="Times New Roman" w:eastAsia="宋体" w:hAnsi="Times New Roman"/>
                  <w:sz w:val="20"/>
                  <w:szCs w:val="20"/>
                </w:rPr>
                <w:t>1</w:t>
              </w:r>
            </w:hyperlink>
            <w:hyperlink r:id="rId37" w:anchor="iea70e328caa94cefb76a9db6ed6338fc_28" w:history="1">
              <w:r>
                <w:rPr>
                  <w:rStyle w:val="a5"/>
                  <w:rFonts w:ascii="Times New Roman" w:eastAsia="宋体" w:hAnsi="Times New Roman"/>
                  <w:sz w:val="20"/>
                  <w:szCs w:val="20"/>
                </w:rPr>
                <w:t>, 202</w:t>
              </w:r>
            </w:hyperlink>
            <w:hyperlink r:id="rId38" w:anchor="iea70e328caa94cefb76a9db6ed6338fc_28" w:history="1">
              <w:r>
                <w:rPr>
                  <w:rStyle w:val="a5"/>
                  <w:rFonts w:ascii="Times New Roman" w:eastAsia="宋体" w:hAnsi="Times New Roman"/>
                  <w:sz w:val="20"/>
                  <w:szCs w:val="20"/>
                </w:rPr>
                <w:t>2</w:t>
              </w:r>
            </w:hyperlink>
            <w:hyperlink r:id="rId39" w:anchor="iea70e328caa94cefb76a9db6ed6338fc_28" w:history="1">
              <w:r>
                <w:rPr>
                  <w:rStyle w:val="a5"/>
                  <w:rFonts w:ascii="Times New Roman" w:eastAsia="宋体" w:hAnsi="Times New Roman"/>
                  <w:sz w:val="20"/>
                  <w:szCs w:val="20"/>
                </w:rPr>
                <w:t xml:space="preserve">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0B2F9CDB"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40" w:anchor="iea70e328caa94cefb76a9db6ed6338fc_28" w:history="1">
              <w:r>
                <w:rPr>
                  <w:rStyle w:val="a5"/>
                  <w:rFonts w:ascii="Times New Roman" w:eastAsia="宋体" w:hAnsi="Times New Roman"/>
                  <w:sz w:val="20"/>
                  <w:szCs w:val="20"/>
                </w:rPr>
                <w:t>9</w:t>
              </w:r>
            </w:hyperlink>
          </w:p>
        </w:tc>
      </w:tr>
      <w:tr w:rsidR="007F1775" w14:paraId="0B2F9CE0" w14:textId="77777777">
        <w:trPr>
          <w:trHeight w:val="60"/>
        </w:trPr>
        <w:tc>
          <w:tcPr>
            <w:tcW w:w="0" w:type="auto"/>
            <w:gridSpan w:val="3"/>
            <w:shd w:val="clear" w:color="auto" w:fill="auto"/>
            <w:tcMar>
              <w:top w:w="0" w:type="dxa"/>
              <w:left w:w="20" w:type="dxa"/>
              <w:bottom w:w="0" w:type="dxa"/>
              <w:right w:w="20" w:type="dxa"/>
            </w:tcMar>
            <w:vAlign w:val="bottom"/>
          </w:tcPr>
          <w:p w14:paraId="0B2F9CD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D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DF" w14:textId="77777777" w:rsidR="007F1775" w:rsidRDefault="007F1775">
            <w:pPr>
              <w:rPr>
                <w:rFonts w:ascii="宋体"/>
              </w:rPr>
            </w:pPr>
          </w:p>
        </w:tc>
      </w:tr>
      <w:tr w:rsidR="007F1775" w14:paraId="0B2F9CE4" w14:textId="77777777">
        <w:tc>
          <w:tcPr>
            <w:tcW w:w="0" w:type="auto"/>
            <w:gridSpan w:val="3"/>
            <w:shd w:val="clear" w:color="auto" w:fill="auto"/>
            <w:tcMar>
              <w:top w:w="0" w:type="dxa"/>
              <w:left w:w="20" w:type="dxa"/>
              <w:bottom w:w="0" w:type="dxa"/>
              <w:right w:w="20" w:type="dxa"/>
            </w:tcMar>
            <w:vAlign w:val="bottom"/>
          </w:tcPr>
          <w:p w14:paraId="0B2F9CE1"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9CE2"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41" w:anchor="iea70e328caa94cefb76a9db6ed6338fc_31" w:history="1">
              <w:r>
                <w:rPr>
                  <w:rStyle w:val="a5"/>
                  <w:rFonts w:ascii="Times New Roman" w:eastAsia="宋体" w:hAnsi="Times New Roman"/>
                  <w:sz w:val="20"/>
                  <w:szCs w:val="20"/>
                </w:rPr>
                <w:t xml:space="preserve">Condensed Consolidated Statements of Stockholders' Equity—for the three </w:t>
              </w:r>
            </w:hyperlink>
            <w:hyperlink r:id="rId42" w:anchor="iea70e328caa94cefb76a9db6ed6338fc_31" w:history="1">
              <w:r>
                <w:rPr>
                  <w:rStyle w:val="a5"/>
                  <w:rFonts w:ascii="Times New Roman" w:eastAsia="宋体" w:hAnsi="Times New Roman"/>
                  <w:sz w:val="20"/>
                  <w:szCs w:val="20"/>
                </w:rPr>
                <w:t xml:space="preserve">months ended </w:t>
              </w:r>
            </w:hyperlink>
            <w:hyperlink r:id="rId43" w:anchor="iea70e328caa94cefb76a9db6ed6338fc_31" w:history="1">
              <w:r>
                <w:rPr>
                  <w:rStyle w:val="a5"/>
                  <w:rFonts w:ascii="Times New Roman" w:eastAsia="宋体" w:hAnsi="Times New Roman"/>
                  <w:sz w:val="20"/>
                  <w:szCs w:val="20"/>
                </w:rPr>
                <w:t>March</w:t>
              </w:r>
            </w:hyperlink>
            <w:hyperlink r:id="rId44" w:anchor="iea70e328caa94cefb76a9db6ed6338fc_31" w:history="1">
              <w:r>
                <w:rPr>
                  <w:rStyle w:val="a5"/>
                  <w:rFonts w:ascii="Times New Roman" w:eastAsia="宋体" w:hAnsi="Times New Roman"/>
                  <w:sz w:val="20"/>
                  <w:szCs w:val="20"/>
                </w:rPr>
                <w:t xml:space="preserve"> 3</w:t>
              </w:r>
            </w:hyperlink>
            <w:hyperlink r:id="rId45" w:anchor="iea70e328caa94cefb76a9db6ed6338fc_31" w:history="1">
              <w:r>
                <w:rPr>
                  <w:rStyle w:val="a5"/>
                  <w:rFonts w:ascii="Times New Roman" w:eastAsia="宋体" w:hAnsi="Times New Roman"/>
                  <w:sz w:val="20"/>
                  <w:szCs w:val="20"/>
                </w:rPr>
                <w:t>1</w:t>
              </w:r>
            </w:hyperlink>
            <w:hyperlink r:id="rId46" w:anchor="iea70e328caa94cefb76a9db6ed6338fc_31" w:history="1">
              <w:r>
                <w:rPr>
                  <w:rStyle w:val="a5"/>
                  <w:rFonts w:ascii="Times New Roman" w:eastAsia="宋体" w:hAnsi="Times New Roman"/>
                  <w:sz w:val="20"/>
                  <w:szCs w:val="20"/>
                </w:rPr>
                <w:t>, 202</w:t>
              </w:r>
            </w:hyperlink>
            <w:hyperlink r:id="rId47" w:anchor="iea70e328caa94cefb76a9db6ed6338fc_31" w:history="1">
              <w:r>
                <w:rPr>
                  <w:rStyle w:val="a5"/>
                  <w:rFonts w:ascii="Times New Roman" w:eastAsia="宋体" w:hAnsi="Times New Roman"/>
                  <w:sz w:val="20"/>
                  <w:szCs w:val="20"/>
                </w:rPr>
                <w:t>2</w:t>
              </w:r>
            </w:hyperlink>
            <w:hyperlink r:id="rId48" w:anchor="iea70e328caa94cefb76a9db6ed6338fc_31" w:history="1">
              <w:r>
                <w:rPr>
                  <w:rStyle w:val="a5"/>
                  <w:rFonts w:ascii="Times New Roman" w:eastAsia="宋体" w:hAnsi="Times New Roman"/>
                  <w:sz w:val="20"/>
                  <w:szCs w:val="20"/>
                </w:rPr>
                <w:t xml:space="preserve">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0B2F9CE3"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49" w:anchor="iea70e328caa94cefb76a9db6ed6338fc_31" w:history="1">
              <w:r>
                <w:rPr>
                  <w:rStyle w:val="a5"/>
                  <w:rFonts w:ascii="Times New Roman" w:eastAsia="宋体" w:hAnsi="Times New Roman"/>
                  <w:sz w:val="20"/>
                  <w:szCs w:val="20"/>
                </w:rPr>
                <w:t>10</w:t>
              </w:r>
            </w:hyperlink>
          </w:p>
        </w:tc>
      </w:tr>
      <w:tr w:rsidR="007F1775" w14:paraId="0B2F9CE8" w14:textId="77777777">
        <w:trPr>
          <w:trHeight w:val="60"/>
        </w:trPr>
        <w:tc>
          <w:tcPr>
            <w:tcW w:w="0" w:type="auto"/>
            <w:gridSpan w:val="3"/>
            <w:shd w:val="clear" w:color="auto" w:fill="auto"/>
            <w:tcMar>
              <w:top w:w="0" w:type="dxa"/>
              <w:left w:w="20" w:type="dxa"/>
              <w:bottom w:w="0" w:type="dxa"/>
              <w:right w:w="20" w:type="dxa"/>
            </w:tcMar>
            <w:vAlign w:val="bottom"/>
          </w:tcPr>
          <w:p w14:paraId="0B2F9CE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E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E7" w14:textId="77777777" w:rsidR="007F1775" w:rsidRDefault="007F1775">
            <w:pPr>
              <w:rPr>
                <w:rFonts w:ascii="宋体"/>
              </w:rPr>
            </w:pPr>
          </w:p>
        </w:tc>
      </w:tr>
      <w:tr w:rsidR="007F1775" w14:paraId="0B2F9CEC" w14:textId="77777777">
        <w:tc>
          <w:tcPr>
            <w:tcW w:w="0" w:type="auto"/>
            <w:gridSpan w:val="3"/>
            <w:shd w:val="clear" w:color="auto" w:fill="auto"/>
            <w:tcMar>
              <w:top w:w="0" w:type="dxa"/>
              <w:left w:w="20" w:type="dxa"/>
              <w:bottom w:w="0" w:type="dxa"/>
              <w:right w:w="20" w:type="dxa"/>
            </w:tcMar>
            <w:vAlign w:val="bottom"/>
          </w:tcPr>
          <w:p w14:paraId="0B2F9CE9"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9CEA"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50" w:anchor="iea70e328caa94cefb76a9db6ed6338fc_34" w:history="1">
              <w:r>
                <w:rPr>
                  <w:rStyle w:val="a5"/>
                  <w:rFonts w:ascii="Times New Roman" w:eastAsia="宋体" w:hAnsi="Times New Roman"/>
                  <w:sz w:val="20"/>
                  <w:szCs w:val="20"/>
                </w:rPr>
                <w:t xml:space="preserve">Condensed Consolidated Statements of Cash Flows—for the </w:t>
              </w:r>
            </w:hyperlink>
            <w:hyperlink r:id="rId51" w:anchor="iea70e328caa94cefb76a9db6ed6338fc_34" w:history="1">
              <w:r>
                <w:rPr>
                  <w:rStyle w:val="a5"/>
                  <w:rFonts w:ascii="Times New Roman" w:eastAsia="宋体" w:hAnsi="Times New Roman"/>
                  <w:sz w:val="20"/>
                  <w:szCs w:val="20"/>
                </w:rPr>
                <w:t>three</w:t>
              </w:r>
            </w:hyperlink>
            <w:hyperlink r:id="rId52" w:anchor="iea70e328caa94cefb76a9db6ed6338fc_34" w:history="1">
              <w:r>
                <w:rPr>
                  <w:rStyle w:val="a5"/>
                  <w:rFonts w:ascii="Times New Roman" w:eastAsia="宋体" w:hAnsi="Times New Roman"/>
                  <w:sz w:val="20"/>
                  <w:szCs w:val="20"/>
                </w:rPr>
                <w:t xml:space="preserve"> months ended </w:t>
              </w:r>
            </w:hyperlink>
            <w:hyperlink r:id="rId53" w:anchor="iea70e328caa94cefb76a9db6ed6338fc_34" w:history="1">
              <w:r>
                <w:rPr>
                  <w:rStyle w:val="a5"/>
                  <w:rFonts w:ascii="Times New Roman" w:eastAsia="宋体" w:hAnsi="Times New Roman"/>
                  <w:sz w:val="20"/>
                  <w:szCs w:val="20"/>
                </w:rPr>
                <w:t>March</w:t>
              </w:r>
            </w:hyperlink>
            <w:hyperlink r:id="rId54" w:anchor="iea70e328caa94cefb76a9db6ed6338fc_34" w:history="1">
              <w:r>
                <w:rPr>
                  <w:rStyle w:val="a5"/>
                  <w:rFonts w:ascii="Times New Roman" w:eastAsia="宋体" w:hAnsi="Times New Roman"/>
                  <w:sz w:val="20"/>
                  <w:szCs w:val="20"/>
                </w:rPr>
                <w:t xml:space="preserve"> 3</w:t>
              </w:r>
            </w:hyperlink>
            <w:hyperlink r:id="rId55" w:anchor="iea70e328caa94cefb76a9db6ed6338fc_34" w:history="1">
              <w:r>
                <w:rPr>
                  <w:rStyle w:val="a5"/>
                  <w:rFonts w:ascii="Times New Roman" w:eastAsia="宋体" w:hAnsi="Times New Roman"/>
                  <w:sz w:val="20"/>
                  <w:szCs w:val="20"/>
                </w:rPr>
                <w:t>1</w:t>
              </w:r>
            </w:hyperlink>
            <w:hyperlink r:id="rId56" w:anchor="iea70e328caa94cefb76a9db6ed6338fc_34" w:history="1">
              <w:r>
                <w:rPr>
                  <w:rStyle w:val="a5"/>
                  <w:rFonts w:ascii="Times New Roman" w:eastAsia="宋体" w:hAnsi="Times New Roman"/>
                  <w:sz w:val="20"/>
                  <w:szCs w:val="20"/>
                </w:rPr>
                <w:t>, 202</w:t>
              </w:r>
            </w:hyperlink>
            <w:hyperlink r:id="rId57" w:anchor="iea70e328caa94cefb76a9db6ed6338fc_34" w:history="1">
              <w:r>
                <w:rPr>
                  <w:rStyle w:val="a5"/>
                  <w:rFonts w:ascii="Times New Roman" w:eastAsia="宋体" w:hAnsi="Times New Roman"/>
                  <w:sz w:val="20"/>
                  <w:szCs w:val="20"/>
                </w:rPr>
                <w:t>2</w:t>
              </w:r>
            </w:hyperlink>
            <w:hyperlink r:id="rId58" w:anchor="iea70e328caa94cefb76a9db6ed6338fc_34" w:history="1">
              <w:r>
                <w:rPr>
                  <w:rStyle w:val="a5"/>
                  <w:rFonts w:ascii="Times New Roman" w:eastAsia="宋体" w:hAnsi="Times New Roman"/>
                  <w:sz w:val="20"/>
                  <w:szCs w:val="20"/>
                </w:rPr>
                <w:t xml:space="preserve"> and 20</w:t>
              </w:r>
            </w:hyperlink>
            <w:r>
              <w:rPr>
                <w:rFonts w:ascii="Times New Roman" w:eastAsia="宋体" w:hAnsi="Times New Roman"/>
                <w:color w:val="0000FF"/>
                <w:sz w:val="20"/>
                <w:szCs w:val="20"/>
                <w:u w:val="single"/>
              </w:rPr>
              <w:t>21</w:t>
            </w:r>
          </w:p>
        </w:tc>
        <w:tc>
          <w:tcPr>
            <w:tcW w:w="0" w:type="auto"/>
            <w:gridSpan w:val="3"/>
            <w:shd w:val="clear" w:color="auto" w:fill="auto"/>
            <w:tcMar>
              <w:top w:w="40" w:type="dxa"/>
              <w:left w:w="20" w:type="dxa"/>
              <w:bottom w:w="40" w:type="dxa"/>
              <w:right w:w="20" w:type="dxa"/>
            </w:tcMar>
            <w:vAlign w:val="center"/>
          </w:tcPr>
          <w:p w14:paraId="0B2F9CEB"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59" w:anchor="iea70e328caa94cefb76a9db6ed6338fc_34" w:history="1">
              <w:r>
                <w:rPr>
                  <w:rStyle w:val="a5"/>
                  <w:rFonts w:ascii="Times New Roman" w:eastAsia="宋体" w:hAnsi="Times New Roman"/>
                  <w:sz w:val="20"/>
                  <w:szCs w:val="20"/>
                </w:rPr>
                <w:t>11</w:t>
              </w:r>
            </w:hyperlink>
          </w:p>
        </w:tc>
      </w:tr>
      <w:tr w:rsidR="007F1775" w14:paraId="0B2F9CF0" w14:textId="77777777">
        <w:trPr>
          <w:trHeight w:val="60"/>
        </w:trPr>
        <w:tc>
          <w:tcPr>
            <w:tcW w:w="0" w:type="auto"/>
            <w:gridSpan w:val="3"/>
            <w:shd w:val="clear" w:color="auto" w:fill="auto"/>
            <w:tcMar>
              <w:top w:w="0" w:type="dxa"/>
              <w:left w:w="20" w:type="dxa"/>
              <w:bottom w:w="0" w:type="dxa"/>
              <w:right w:w="20" w:type="dxa"/>
            </w:tcMar>
            <w:vAlign w:val="bottom"/>
          </w:tcPr>
          <w:p w14:paraId="0B2F9CE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E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EF" w14:textId="77777777" w:rsidR="007F1775" w:rsidRDefault="007F1775">
            <w:pPr>
              <w:rPr>
                <w:rFonts w:ascii="宋体"/>
              </w:rPr>
            </w:pPr>
          </w:p>
        </w:tc>
      </w:tr>
      <w:tr w:rsidR="007F1775" w14:paraId="0B2F9CF4" w14:textId="77777777">
        <w:tc>
          <w:tcPr>
            <w:tcW w:w="0" w:type="auto"/>
            <w:gridSpan w:val="3"/>
            <w:shd w:val="clear" w:color="auto" w:fill="auto"/>
            <w:tcMar>
              <w:top w:w="0" w:type="dxa"/>
              <w:left w:w="20" w:type="dxa"/>
              <w:bottom w:w="0" w:type="dxa"/>
              <w:right w:w="20" w:type="dxa"/>
            </w:tcMar>
            <w:vAlign w:val="bottom"/>
          </w:tcPr>
          <w:p w14:paraId="0B2F9CF1"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9CF2"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60" w:anchor="iea70e328caa94cefb76a9db6ed6338fc_37" w:history="1">
              <w:r>
                <w:rPr>
                  <w:rStyle w:val="a5"/>
                  <w:rFonts w:ascii="Times New Roman" w:eastAsia="宋体" w:hAnsi="Times New Roman"/>
                  <w:sz w:val="20"/>
                  <w:szCs w:val="20"/>
                </w:rPr>
                <w:t>Notes to Condensed Consolidated Financial Statements</w:t>
              </w:r>
            </w:hyperlink>
          </w:p>
        </w:tc>
        <w:tc>
          <w:tcPr>
            <w:tcW w:w="0" w:type="auto"/>
            <w:gridSpan w:val="3"/>
            <w:shd w:val="clear" w:color="auto" w:fill="auto"/>
            <w:tcMar>
              <w:top w:w="40" w:type="dxa"/>
              <w:left w:w="20" w:type="dxa"/>
              <w:bottom w:w="40" w:type="dxa"/>
              <w:right w:w="20" w:type="dxa"/>
            </w:tcMar>
            <w:vAlign w:val="center"/>
          </w:tcPr>
          <w:p w14:paraId="0B2F9CF3"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61" w:anchor="iea70e328caa94cefb76a9db6ed6338fc_37" w:history="1">
              <w:r>
                <w:rPr>
                  <w:rStyle w:val="a5"/>
                  <w:rFonts w:ascii="Times New Roman" w:eastAsia="宋体" w:hAnsi="Times New Roman"/>
                  <w:sz w:val="20"/>
                  <w:szCs w:val="20"/>
                </w:rPr>
                <w:t>13</w:t>
              </w:r>
            </w:hyperlink>
          </w:p>
        </w:tc>
      </w:tr>
      <w:tr w:rsidR="007F1775" w14:paraId="0B2F9CF8" w14:textId="77777777">
        <w:trPr>
          <w:trHeight w:val="60"/>
        </w:trPr>
        <w:tc>
          <w:tcPr>
            <w:tcW w:w="0" w:type="auto"/>
            <w:gridSpan w:val="3"/>
            <w:shd w:val="clear" w:color="auto" w:fill="auto"/>
            <w:tcMar>
              <w:top w:w="0" w:type="dxa"/>
              <w:left w:w="20" w:type="dxa"/>
              <w:bottom w:w="0" w:type="dxa"/>
              <w:right w:w="20" w:type="dxa"/>
            </w:tcMar>
            <w:vAlign w:val="bottom"/>
          </w:tcPr>
          <w:p w14:paraId="0B2F9CF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F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F7" w14:textId="77777777" w:rsidR="007F1775" w:rsidRDefault="007F1775">
            <w:pPr>
              <w:rPr>
                <w:rFonts w:ascii="宋体"/>
              </w:rPr>
            </w:pPr>
          </w:p>
        </w:tc>
      </w:tr>
      <w:tr w:rsidR="007F1775" w14:paraId="0B2F9CFC" w14:textId="77777777">
        <w:tc>
          <w:tcPr>
            <w:tcW w:w="0" w:type="auto"/>
            <w:gridSpan w:val="3"/>
            <w:shd w:val="clear" w:color="auto" w:fill="auto"/>
            <w:tcMar>
              <w:top w:w="40" w:type="dxa"/>
              <w:left w:w="20" w:type="dxa"/>
              <w:bottom w:w="40" w:type="dxa"/>
              <w:right w:w="20" w:type="dxa"/>
            </w:tcMar>
            <w:vAlign w:val="center"/>
          </w:tcPr>
          <w:p w14:paraId="0B2F9CF9" w14:textId="77777777" w:rsidR="007F1775" w:rsidRDefault="000F083E">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0B2F9CFA"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62" w:anchor="iea70e328caa94cefb76a9db6ed6338fc_82"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center"/>
          </w:tcPr>
          <w:p w14:paraId="0B2F9CFB"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63" w:anchor="iea70e328caa94cefb76a9db6ed6338fc_82" w:history="1">
              <w:r>
                <w:rPr>
                  <w:rStyle w:val="a5"/>
                  <w:rFonts w:ascii="Times New Roman" w:eastAsia="宋体" w:hAnsi="Times New Roman"/>
                  <w:sz w:val="20"/>
                  <w:szCs w:val="20"/>
                </w:rPr>
                <w:t>28</w:t>
              </w:r>
            </w:hyperlink>
          </w:p>
        </w:tc>
      </w:tr>
      <w:tr w:rsidR="007F1775" w14:paraId="0B2F9D00" w14:textId="77777777">
        <w:trPr>
          <w:trHeight w:val="60"/>
        </w:trPr>
        <w:tc>
          <w:tcPr>
            <w:tcW w:w="0" w:type="auto"/>
            <w:gridSpan w:val="3"/>
            <w:shd w:val="clear" w:color="auto" w:fill="auto"/>
            <w:tcMar>
              <w:top w:w="0" w:type="dxa"/>
              <w:left w:w="20" w:type="dxa"/>
              <w:bottom w:w="0" w:type="dxa"/>
              <w:right w:w="20" w:type="dxa"/>
            </w:tcMar>
            <w:vAlign w:val="bottom"/>
          </w:tcPr>
          <w:p w14:paraId="0B2F9CF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F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CFF" w14:textId="77777777" w:rsidR="007F1775" w:rsidRDefault="007F1775">
            <w:pPr>
              <w:rPr>
                <w:rFonts w:ascii="宋体"/>
              </w:rPr>
            </w:pPr>
          </w:p>
        </w:tc>
      </w:tr>
      <w:tr w:rsidR="007F1775" w14:paraId="0B2F9D04" w14:textId="77777777">
        <w:tc>
          <w:tcPr>
            <w:tcW w:w="0" w:type="auto"/>
            <w:gridSpan w:val="3"/>
            <w:shd w:val="clear" w:color="auto" w:fill="auto"/>
            <w:tcMar>
              <w:top w:w="40" w:type="dxa"/>
              <w:left w:w="20" w:type="dxa"/>
              <w:bottom w:w="40" w:type="dxa"/>
              <w:right w:w="20" w:type="dxa"/>
            </w:tcMar>
            <w:vAlign w:val="center"/>
          </w:tcPr>
          <w:p w14:paraId="0B2F9D01" w14:textId="77777777" w:rsidR="007F1775" w:rsidRDefault="000F083E">
            <w:pPr>
              <w:jc w:val="both"/>
              <w:textAlignment w:val="center"/>
            </w:pPr>
            <w:r>
              <w:rPr>
                <w:rFonts w:ascii="Times New Roman" w:eastAsia="宋体" w:hAnsi="Times New Roman"/>
                <w:color w:val="000000"/>
                <w:sz w:val="20"/>
                <w:szCs w:val="20"/>
              </w:rPr>
              <w:t>Item 3.</w:t>
            </w:r>
          </w:p>
        </w:tc>
        <w:tc>
          <w:tcPr>
            <w:tcW w:w="0" w:type="auto"/>
            <w:gridSpan w:val="3"/>
            <w:shd w:val="clear" w:color="auto" w:fill="auto"/>
            <w:tcMar>
              <w:top w:w="40" w:type="dxa"/>
              <w:left w:w="20" w:type="dxa"/>
              <w:bottom w:w="40" w:type="dxa"/>
              <w:right w:w="20" w:type="dxa"/>
            </w:tcMar>
            <w:vAlign w:val="center"/>
          </w:tcPr>
          <w:p w14:paraId="0B2F9D02"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64" w:anchor="iea70e328caa94cefb76a9db6ed6338fc_106" w:history="1">
              <w:r>
                <w:rPr>
                  <w:rStyle w:val="a5"/>
                  <w:rFonts w:ascii="Times New Roman" w:eastAsia="宋体" w:hAnsi="Times New Roman"/>
                  <w:sz w:val="20"/>
                  <w:szCs w:val="20"/>
                </w:rPr>
                <w:t>Quantitative and Qualitative Disclosures About Market Risk</w:t>
              </w:r>
            </w:hyperlink>
          </w:p>
        </w:tc>
        <w:tc>
          <w:tcPr>
            <w:tcW w:w="0" w:type="auto"/>
            <w:gridSpan w:val="3"/>
            <w:shd w:val="clear" w:color="auto" w:fill="auto"/>
            <w:tcMar>
              <w:top w:w="40" w:type="dxa"/>
              <w:left w:w="20" w:type="dxa"/>
              <w:bottom w:w="40" w:type="dxa"/>
              <w:right w:w="20" w:type="dxa"/>
            </w:tcMar>
            <w:vAlign w:val="center"/>
          </w:tcPr>
          <w:p w14:paraId="0B2F9D03"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65" w:anchor="iea70e328caa94cefb76a9db6ed6338fc_106" w:history="1">
              <w:r>
                <w:rPr>
                  <w:rStyle w:val="a5"/>
                  <w:rFonts w:ascii="Times New Roman" w:eastAsia="宋体" w:hAnsi="Times New Roman"/>
                  <w:sz w:val="20"/>
                  <w:szCs w:val="20"/>
                </w:rPr>
                <w:t>46</w:t>
              </w:r>
            </w:hyperlink>
          </w:p>
        </w:tc>
      </w:tr>
      <w:tr w:rsidR="007F1775" w14:paraId="0B2F9D08" w14:textId="77777777">
        <w:trPr>
          <w:trHeight w:val="60"/>
        </w:trPr>
        <w:tc>
          <w:tcPr>
            <w:tcW w:w="0" w:type="auto"/>
            <w:gridSpan w:val="3"/>
            <w:shd w:val="clear" w:color="auto" w:fill="auto"/>
            <w:tcMar>
              <w:top w:w="0" w:type="dxa"/>
              <w:left w:w="20" w:type="dxa"/>
              <w:bottom w:w="0" w:type="dxa"/>
              <w:right w:w="20" w:type="dxa"/>
            </w:tcMar>
            <w:vAlign w:val="bottom"/>
          </w:tcPr>
          <w:p w14:paraId="0B2F9D0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0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07" w14:textId="77777777" w:rsidR="007F1775" w:rsidRDefault="007F1775">
            <w:pPr>
              <w:rPr>
                <w:rFonts w:ascii="宋体"/>
              </w:rPr>
            </w:pPr>
          </w:p>
        </w:tc>
      </w:tr>
      <w:tr w:rsidR="007F1775" w14:paraId="0B2F9D0C" w14:textId="77777777">
        <w:tc>
          <w:tcPr>
            <w:tcW w:w="0" w:type="auto"/>
            <w:gridSpan w:val="3"/>
            <w:shd w:val="clear" w:color="auto" w:fill="auto"/>
            <w:tcMar>
              <w:top w:w="40" w:type="dxa"/>
              <w:left w:w="20" w:type="dxa"/>
              <w:bottom w:w="40" w:type="dxa"/>
              <w:right w:w="20" w:type="dxa"/>
            </w:tcMar>
            <w:vAlign w:val="center"/>
          </w:tcPr>
          <w:p w14:paraId="0B2F9D09" w14:textId="77777777" w:rsidR="007F1775" w:rsidRDefault="000F083E">
            <w:pPr>
              <w:jc w:val="both"/>
              <w:textAlignment w:val="center"/>
            </w:pPr>
            <w:r>
              <w:rPr>
                <w:rFonts w:ascii="Times New Roman" w:eastAsia="宋体" w:hAnsi="Times New Roman"/>
                <w:color w:val="000000"/>
                <w:sz w:val="20"/>
                <w:szCs w:val="20"/>
              </w:rPr>
              <w:t>Item 4.</w:t>
            </w:r>
          </w:p>
        </w:tc>
        <w:tc>
          <w:tcPr>
            <w:tcW w:w="0" w:type="auto"/>
            <w:gridSpan w:val="3"/>
            <w:shd w:val="clear" w:color="auto" w:fill="auto"/>
            <w:tcMar>
              <w:top w:w="40" w:type="dxa"/>
              <w:left w:w="20" w:type="dxa"/>
              <w:bottom w:w="40" w:type="dxa"/>
              <w:right w:w="20" w:type="dxa"/>
            </w:tcMar>
            <w:vAlign w:val="center"/>
          </w:tcPr>
          <w:p w14:paraId="0B2F9D0A"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66" w:anchor="iea70e328caa94cefb76a9db6ed6338fc_109"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vAlign w:val="center"/>
          </w:tcPr>
          <w:p w14:paraId="0B2F9D0B"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67" w:anchor="iea70e328caa94cefb76a9db6ed6338fc_109" w:history="1">
              <w:r>
                <w:rPr>
                  <w:rStyle w:val="a5"/>
                  <w:rFonts w:ascii="Times New Roman" w:eastAsia="宋体" w:hAnsi="Times New Roman"/>
                  <w:sz w:val="20"/>
                  <w:szCs w:val="20"/>
                </w:rPr>
                <w:t>47</w:t>
              </w:r>
            </w:hyperlink>
          </w:p>
        </w:tc>
      </w:tr>
      <w:tr w:rsidR="007F1775" w14:paraId="0B2F9D0F" w14:textId="77777777">
        <w:trPr>
          <w:trHeight w:val="60"/>
        </w:trPr>
        <w:tc>
          <w:tcPr>
            <w:tcW w:w="0" w:type="auto"/>
            <w:gridSpan w:val="6"/>
            <w:shd w:val="clear" w:color="auto" w:fill="auto"/>
            <w:tcMar>
              <w:top w:w="0" w:type="dxa"/>
              <w:left w:w="20" w:type="dxa"/>
              <w:bottom w:w="0" w:type="dxa"/>
              <w:right w:w="20" w:type="dxa"/>
            </w:tcMar>
            <w:vAlign w:val="bottom"/>
          </w:tcPr>
          <w:p w14:paraId="0B2F9D0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0E" w14:textId="77777777" w:rsidR="007F1775" w:rsidRDefault="007F1775">
            <w:pPr>
              <w:rPr>
                <w:rFonts w:ascii="宋体"/>
              </w:rPr>
            </w:pPr>
          </w:p>
        </w:tc>
      </w:tr>
      <w:tr w:rsidR="007F1775" w14:paraId="0B2F9D12" w14:textId="77777777">
        <w:tc>
          <w:tcPr>
            <w:tcW w:w="0" w:type="auto"/>
            <w:gridSpan w:val="6"/>
            <w:shd w:val="clear" w:color="auto" w:fill="auto"/>
            <w:tcMar>
              <w:top w:w="40" w:type="dxa"/>
              <w:left w:w="20" w:type="dxa"/>
              <w:bottom w:w="40" w:type="dxa"/>
              <w:right w:w="20" w:type="dxa"/>
            </w:tcMar>
            <w:vAlign w:val="center"/>
          </w:tcPr>
          <w:p w14:paraId="0B2F9D10"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68" w:anchor="iea70e328caa94cefb76a9db6ed6338fc_112" w:history="1">
              <w:r>
                <w:rPr>
                  <w:rStyle w:val="a5"/>
                  <w:rFonts w:ascii="Times New Roman" w:eastAsia="宋体" w:hAnsi="Times New Roman"/>
                  <w:sz w:val="20"/>
                  <w:szCs w:val="20"/>
                </w:rPr>
                <w:t>PART II—OTHER INFORMATION</w:t>
              </w:r>
            </w:hyperlink>
          </w:p>
        </w:tc>
        <w:tc>
          <w:tcPr>
            <w:tcW w:w="0" w:type="auto"/>
            <w:gridSpan w:val="3"/>
            <w:shd w:val="clear" w:color="auto" w:fill="auto"/>
            <w:tcMar>
              <w:top w:w="40" w:type="dxa"/>
              <w:left w:w="20" w:type="dxa"/>
              <w:bottom w:w="40" w:type="dxa"/>
              <w:right w:w="20" w:type="dxa"/>
            </w:tcMar>
            <w:vAlign w:val="center"/>
          </w:tcPr>
          <w:p w14:paraId="0B2F9D11"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69" w:anchor="iea70e328caa94cefb76a9db6ed6338fc_112" w:history="1">
              <w:r>
                <w:rPr>
                  <w:rStyle w:val="a5"/>
                  <w:rFonts w:ascii="Times New Roman" w:eastAsia="宋体" w:hAnsi="Times New Roman"/>
                  <w:sz w:val="20"/>
                  <w:szCs w:val="20"/>
                </w:rPr>
                <w:t>48</w:t>
              </w:r>
            </w:hyperlink>
          </w:p>
        </w:tc>
      </w:tr>
      <w:tr w:rsidR="007F1775" w14:paraId="0B2F9D16" w14:textId="77777777">
        <w:trPr>
          <w:trHeight w:val="60"/>
        </w:trPr>
        <w:tc>
          <w:tcPr>
            <w:tcW w:w="0" w:type="auto"/>
            <w:gridSpan w:val="3"/>
            <w:shd w:val="clear" w:color="auto" w:fill="auto"/>
            <w:tcMar>
              <w:top w:w="0" w:type="dxa"/>
              <w:left w:w="20" w:type="dxa"/>
              <w:bottom w:w="0" w:type="dxa"/>
              <w:right w:w="20" w:type="dxa"/>
            </w:tcMar>
            <w:vAlign w:val="bottom"/>
          </w:tcPr>
          <w:p w14:paraId="0B2F9D1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1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15" w14:textId="77777777" w:rsidR="007F1775" w:rsidRDefault="007F1775">
            <w:pPr>
              <w:rPr>
                <w:rFonts w:ascii="宋体"/>
              </w:rPr>
            </w:pPr>
          </w:p>
        </w:tc>
      </w:tr>
      <w:tr w:rsidR="007F1775" w14:paraId="0B2F9D1A" w14:textId="77777777">
        <w:tc>
          <w:tcPr>
            <w:tcW w:w="0" w:type="auto"/>
            <w:gridSpan w:val="3"/>
            <w:shd w:val="clear" w:color="auto" w:fill="auto"/>
            <w:tcMar>
              <w:top w:w="40" w:type="dxa"/>
              <w:left w:w="20" w:type="dxa"/>
              <w:bottom w:w="40" w:type="dxa"/>
              <w:right w:w="20" w:type="dxa"/>
            </w:tcMar>
            <w:vAlign w:val="center"/>
          </w:tcPr>
          <w:p w14:paraId="0B2F9D17" w14:textId="77777777" w:rsidR="007F1775" w:rsidRDefault="000F083E">
            <w:pPr>
              <w:jc w:val="both"/>
              <w:textAlignment w:val="center"/>
            </w:pPr>
            <w:r>
              <w:rPr>
                <w:rFonts w:ascii="Times New Roman" w:eastAsia="宋体" w:hAnsi="Times New Roman"/>
                <w:color w:val="000000"/>
                <w:sz w:val="20"/>
                <w:szCs w:val="20"/>
              </w:rPr>
              <w:t>Item 1.</w:t>
            </w:r>
          </w:p>
        </w:tc>
        <w:tc>
          <w:tcPr>
            <w:tcW w:w="0" w:type="auto"/>
            <w:gridSpan w:val="3"/>
            <w:shd w:val="clear" w:color="auto" w:fill="auto"/>
            <w:tcMar>
              <w:top w:w="40" w:type="dxa"/>
              <w:left w:w="20" w:type="dxa"/>
              <w:bottom w:w="40" w:type="dxa"/>
              <w:right w:w="20" w:type="dxa"/>
            </w:tcMar>
            <w:vAlign w:val="center"/>
          </w:tcPr>
          <w:p w14:paraId="0B2F9D18"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70" w:anchor="iea70e328caa94cefb76a9db6ed6338fc_115"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center"/>
          </w:tcPr>
          <w:p w14:paraId="0B2F9D19"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71" w:anchor="iea70e328caa94cefb76a9db6ed6338fc_115" w:history="1">
              <w:r>
                <w:rPr>
                  <w:rStyle w:val="a5"/>
                  <w:rFonts w:ascii="Times New Roman" w:eastAsia="宋体" w:hAnsi="Times New Roman"/>
                  <w:sz w:val="20"/>
                  <w:szCs w:val="20"/>
                </w:rPr>
                <w:t>48</w:t>
              </w:r>
            </w:hyperlink>
          </w:p>
        </w:tc>
      </w:tr>
      <w:tr w:rsidR="007F1775" w14:paraId="0B2F9D1E" w14:textId="77777777">
        <w:trPr>
          <w:trHeight w:val="60"/>
        </w:trPr>
        <w:tc>
          <w:tcPr>
            <w:tcW w:w="0" w:type="auto"/>
            <w:gridSpan w:val="3"/>
            <w:shd w:val="clear" w:color="auto" w:fill="auto"/>
            <w:tcMar>
              <w:top w:w="0" w:type="dxa"/>
              <w:left w:w="20" w:type="dxa"/>
              <w:bottom w:w="0" w:type="dxa"/>
              <w:right w:w="20" w:type="dxa"/>
            </w:tcMar>
            <w:vAlign w:val="bottom"/>
          </w:tcPr>
          <w:p w14:paraId="0B2F9D1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1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1D" w14:textId="77777777" w:rsidR="007F1775" w:rsidRDefault="007F1775">
            <w:pPr>
              <w:rPr>
                <w:rFonts w:ascii="宋体"/>
              </w:rPr>
            </w:pPr>
          </w:p>
        </w:tc>
      </w:tr>
      <w:tr w:rsidR="007F1775" w14:paraId="0B2F9D22" w14:textId="77777777">
        <w:tc>
          <w:tcPr>
            <w:tcW w:w="0" w:type="auto"/>
            <w:gridSpan w:val="3"/>
            <w:shd w:val="clear" w:color="auto" w:fill="auto"/>
            <w:tcMar>
              <w:top w:w="40" w:type="dxa"/>
              <w:left w:w="20" w:type="dxa"/>
              <w:bottom w:w="40" w:type="dxa"/>
              <w:right w:w="20" w:type="dxa"/>
            </w:tcMar>
            <w:vAlign w:val="center"/>
          </w:tcPr>
          <w:p w14:paraId="0B2F9D1F" w14:textId="77777777" w:rsidR="007F1775" w:rsidRDefault="000F083E">
            <w:pPr>
              <w:jc w:val="both"/>
              <w:textAlignment w:val="center"/>
            </w:pPr>
            <w:r>
              <w:rPr>
                <w:rFonts w:ascii="Times New Roman" w:eastAsia="宋体" w:hAnsi="Times New Roman"/>
                <w:color w:val="000000"/>
                <w:sz w:val="20"/>
                <w:szCs w:val="20"/>
              </w:rPr>
              <w:t>Item 1A.</w:t>
            </w:r>
          </w:p>
        </w:tc>
        <w:tc>
          <w:tcPr>
            <w:tcW w:w="0" w:type="auto"/>
            <w:gridSpan w:val="3"/>
            <w:shd w:val="clear" w:color="auto" w:fill="auto"/>
            <w:tcMar>
              <w:top w:w="40" w:type="dxa"/>
              <w:left w:w="20" w:type="dxa"/>
              <w:bottom w:w="40" w:type="dxa"/>
              <w:right w:w="20" w:type="dxa"/>
            </w:tcMar>
            <w:vAlign w:val="center"/>
          </w:tcPr>
          <w:p w14:paraId="0B2F9D20"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72" w:anchor="iea70e328caa94cefb76a9db6ed6338fc_118"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center"/>
          </w:tcPr>
          <w:p w14:paraId="0B2F9D21"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73" w:anchor="iea70e328caa94cefb76a9db6ed6338fc_118" w:history="1">
              <w:r>
                <w:rPr>
                  <w:rStyle w:val="a5"/>
                  <w:rFonts w:ascii="Times New Roman" w:eastAsia="宋体" w:hAnsi="Times New Roman"/>
                  <w:sz w:val="20"/>
                  <w:szCs w:val="20"/>
                </w:rPr>
                <w:t>51</w:t>
              </w:r>
            </w:hyperlink>
          </w:p>
        </w:tc>
      </w:tr>
      <w:tr w:rsidR="007F1775" w14:paraId="0B2F9D26" w14:textId="77777777">
        <w:trPr>
          <w:trHeight w:val="60"/>
        </w:trPr>
        <w:tc>
          <w:tcPr>
            <w:tcW w:w="0" w:type="auto"/>
            <w:gridSpan w:val="3"/>
            <w:shd w:val="clear" w:color="auto" w:fill="auto"/>
            <w:tcMar>
              <w:top w:w="0" w:type="dxa"/>
              <w:left w:w="20" w:type="dxa"/>
              <w:bottom w:w="0" w:type="dxa"/>
              <w:right w:w="20" w:type="dxa"/>
            </w:tcMar>
            <w:vAlign w:val="bottom"/>
          </w:tcPr>
          <w:p w14:paraId="0B2F9D2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2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25" w14:textId="77777777" w:rsidR="007F1775" w:rsidRDefault="007F1775">
            <w:pPr>
              <w:rPr>
                <w:rFonts w:ascii="宋体"/>
              </w:rPr>
            </w:pPr>
          </w:p>
        </w:tc>
      </w:tr>
      <w:tr w:rsidR="007F1775" w14:paraId="0B2F9D2A" w14:textId="77777777">
        <w:tc>
          <w:tcPr>
            <w:tcW w:w="0" w:type="auto"/>
            <w:gridSpan w:val="3"/>
            <w:shd w:val="clear" w:color="auto" w:fill="auto"/>
            <w:tcMar>
              <w:top w:w="40" w:type="dxa"/>
              <w:left w:w="20" w:type="dxa"/>
              <w:bottom w:w="40" w:type="dxa"/>
              <w:right w:w="20" w:type="dxa"/>
            </w:tcMar>
            <w:vAlign w:val="center"/>
          </w:tcPr>
          <w:p w14:paraId="0B2F9D27" w14:textId="77777777" w:rsidR="007F1775" w:rsidRDefault="000F083E">
            <w:pPr>
              <w:jc w:val="both"/>
              <w:textAlignment w:val="center"/>
            </w:pPr>
            <w:r>
              <w:rPr>
                <w:rFonts w:ascii="Times New Roman" w:eastAsia="宋体" w:hAnsi="Times New Roman"/>
                <w:color w:val="000000"/>
                <w:sz w:val="20"/>
                <w:szCs w:val="20"/>
              </w:rPr>
              <w:t>Item 2.</w:t>
            </w:r>
          </w:p>
        </w:tc>
        <w:tc>
          <w:tcPr>
            <w:tcW w:w="0" w:type="auto"/>
            <w:gridSpan w:val="3"/>
            <w:shd w:val="clear" w:color="auto" w:fill="auto"/>
            <w:tcMar>
              <w:top w:w="40" w:type="dxa"/>
              <w:left w:w="20" w:type="dxa"/>
              <w:bottom w:w="40" w:type="dxa"/>
              <w:right w:w="20" w:type="dxa"/>
            </w:tcMar>
            <w:vAlign w:val="center"/>
          </w:tcPr>
          <w:p w14:paraId="0B2F9D28"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74" w:anchor="iea70e328caa94cefb76a9db6ed6338fc_121"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center"/>
          </w:tcPr>
          <w:p w14:paraId="0B2F9D29"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75" w:anchor="iea70e328caa94cefb76a9db6ed6338fc_121" w:history="1">
              <w:r>
                <w:rPr>
                  <w:rStyle w:val="a5"/>
                  <w:rFonts w:ascii="Times New Roman" w:eastAsia="宋体" w:hAnsi="Times New Roman"/>
                  <w:sz w:val="20"/>
                  <w:szCs w:val="20"/>
                </w:rPr>
                <w:t>85</w:t>
              </w:r>
            </w:hyperlink>
          </w:p>
        </w:tc>
      </w:tr>
      <w:tr w:rsidR="007F1775" w14:paraId="0B2F9D2E" w14:textId="77777777">
        <w:trPr>
          <w:trHeight w:val="60"/>
        </w:trPr>
        <w:tc>
          <w:tcPr>
            <w:tcW w:w="0" w:type="auto"/>
            <w:gridSpan w:val="3"/>
            <w:shd w:val="clear" w:color="auto" w:fill="auto"/>
            <w:tcMar>
              <w:top w:w="0" w:type="dxa"/>
              <w:left w:w="20" w:type="dxa"/>
              <w:bottom w:w="0" w:type="dxa"/>
              <w:right w:w="20" w:type="dxa"/>
            </w:tcMar>
            <w:vAlign w:val="bottom"/>
          </w:tcPr>
          <w:p w14:paraId="0B2F9D2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2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2D" w14:textId="77777777" w:rsidR="007F1775" w:rsidRDefault="007F1775">
            <w:pPr>
              <w:rPr>
                <w:rFonts w:ascii="宋体"/>
              </w:rPr>
            </w:pPr>
          </w:p>
        </w:tc>
      </w:tr>
      <w:tr w:rsidR="007F1775" w14:paraId="0B2F9D32" w14:textId="77777777">
        <w:tc>
          <w:tcPr>
            <w:tcW w:w="0" w:type="auto"/>
            <w:gridSpan w:val="3"/>
            <w:shd w:val="clear" w:color="auto" w:fill="auto"/>
            <w:tcMar>
              <w:top w:w="40" w:type="dxa"/>
              <w:left w:w="20" w:type="dxa"/>
              <w:bottom w:w="40" w:type="dxa"/>
              <w:right w:w="20" w:type="dxa"/>
            </w:tcMar>
            <w:vAlign w:val="center"/>
          </w:tcPr>
          <w:p w14:paraId="0B2F9D2F" w14:textId="77777777" w:rsidR="007F1775" w:rsidRDefault="000F083E">
            <w:pPr>
              <w:jc w:val="both"/>
              <w:textAlignment w:val="center"/>
            </w:pPr>
            <w:r>
              <w:rPr>
                <w:rFonts w:ascii="Times New Roman" w:eastAsia="宋体" w:hAnsi="Times New Roman"/>
                <w:color w:val="000000"/>
                <w:sz w:val="20"/>
                <w:szCs w:val="20"/>
              </w:rPr>
              <w:t>Item 6.</w:t>
            </w:r>
          </w:p>
        </w:tc>
        <w:tc>
          <w:tcPr>
            <w:tcW w:w="0" w:type="auto"/>
            <w:gridSpan w:val="3"/>
            <w:shd w:val="clear" w:color="auto" w:fill="auto"/>
            <w:tcMar>
              <w:top w:w="40" w:type="dxa"/>
              <w:left w:w="20" w:type="dxa"/>
              <w:bottom w:w="40" w:type="dxa"/>
              <w:right w:w="20" w:type="dxa"/>
            </w:tcMar>
            <w:vAlign w:val="center"/>
          </w:tcPr>
          <w:p w14:paraId="0B2F9D30"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76" w:anchor="iea70e328caa94cefb76a9db6ed6338fc_124"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center"/>
          </w:tcPr>
          <w:p w14:paraId="0B2F9D31"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77" w:anchor="iea70e328caa94cefb76a9db6ed6338fc_124" w:history="1">
              <w:r>
                <w:rPr>
                  <w:rStyle w:val="a5"/>
                  <w:rFonts w:ascii="Times New Roman" w:eastAsia="宋体" w:hAnsi="Times New Roman"/>
                  <w:sz w:val="20"/>
                  <w:szCs w:val="20"/>
                </w:rPr>
                <w:t>86</w:t>
              </w:r>
            </w:hyperlink>
          </w:p>
        </w:tc>
      </w:tr>
      <w:tr w:rsidR="007F1775" w14:paraId="0B2F9D35" w14:textId="77777777">
        <w:trPr>
          <w:trHeight w:val="60"/>
        </w:trPr>
        <w:tc>
          <w:tcPr>
            <w:tcW w:w="0" w:type="auto"/>
            <w:gridSpan w:val="6"/>
            <w:shd w:val="clear" w:color="auto" w:fill="auto"/>
            <w:tcMar>
              <w:top w:w="0" w:type="dxa"/>
              <w:left w:w="20" w:type="dxa"/>
              <w:bottom w:w="0" w:type="dxa"/>
              <w:right w:w="20" w:type="dxa"/>
            </w:tcMar>
            <w:vAlign w:val="bottom"/>
          </w:tcPr>
          <w:p w14:paraId="0B2F9D3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9D34" w14:textId="77777777" w:rsidR="007F1775" w:rsidRDefault="007F1775">
            <w:pPr>
              <w:rPr>
                <w:rFonts w:ascii="宋体"/>
              </w:rPr>
            </w:pPr>
          </w:p>
        </w:tc>
      </w:tr>
      <w:tr w:rsidR="007F1775" w14:paraId="0B2F9D38" w14:textId="77777777">
        <w:tc>
          <w:tcPr>
            <w:tcW w:w="0" w:type="auto"/>
            <w:gridSpan w:val="6"/>
            <w:shd w:val="clear" w:color="auto" w:fill="auto"/>
            <w:tcMar>
              <w:top w:w="40" w:type="dxa"/>
              <w:left w:w="20" w:type="dxa"/>
              <w:bottom w:w="40" w:type="dxa"/>
              <w:right w:w="20" w:type="dxa"/>
            </w:tcMar>
            <w:vAlign w:val="center"/>
          </w:tcPr>
          <w:p w14:paraId="0B2F9D36" w14:textId="77777777" w:rsidR="007F1775" w:rsidRDefault="000F083E">
            <w:pPr>
              <w:pBdr>
                <w:top w:val="none" w:sz="0" w:space="0" w:color="auto"/>
                <w:left w:val="none" w:sz="0" w:space="0" w:color="auto"/>
                <w:bottom w:val="none" w:sz="0" w:space="0" w:color="auto"/>
                <w:right w:val="none" w:sz="0" w:space="0" w:color="auto"/>
              </w:pBdr>
              <w:jc w:val="both"/>
              <w:textAlignment w:val="center"/>
            </w:pPr>
            <w:hyperlink r:id="rId78" w:anchor="iea70e328caa94cefb76a9db6ed6338fc_127" w:history="1">
              <w:r>
                <w:rPr>
                  <w:rStyle w:val="a5"/>
                  <w:rFonts w:ascii="Times New Roman" w:eastAsia="宋体" w:hAnsi="Times New Roman"/>
                  <w:sz w:val="20"/>
                  <w:szCs w:val="20"/>
                </w:rPr>
                <w:t>SIGNATURES</w:t>
              </w:r>
            </w:hyperlink>
          </w:p>
        </w:tc>
        <w:tc>
          <w:tcPr>
            <w:tcW w:w="0" w:type="auto"/>
            <w:gridSpan w:val="3"/>
            <w:shd w:val="clear" w:color="auto" w:fill="auto"/>
            <w:tcMar>
              <w:top w:w="40" w:type="dxa"/>
              <w:left w:w="20" w:type="dxa"/>
              <w:bottom w:w="40" w:type="dxa"/>
              <w:right w:w="20" w:type="dxa"/>
            </w:tcMar>
            <w:vAlign w:val="center"/>
          </w:tcPr>
          <w:p w14:paraId="0B2F9D37" w14:textId="77777777" w:rsidR="007F1775" w:rsidRDefault="000F083E">
            <w:pPr>
              <w:pBdr>
                <w:top w:val="none" w:sz="0" w:space="0" w:color="auto"/>
                <w:left w:val="none" w:sz="0" w:space="0" w:color="auto"/>
                <w:bottom w:val="none" w:sz="0" w:space="0" w:color="auto"/>
                <w:right w:val="none" w:sz="0" w:space="0" w:color="auto"/>
              </w:pBdr>
              <w:jc w:val="center"/>
              <w:textAlignment w:val="center"/>
            </w:pPr>
            <w:hyperlink r:id="rId79" w:anchor="iea70e328caa94cefb76a9db6ed6338fc_127" w:history="1">
              <w:r>
                <w:rPr>
                  <w:rStyle w:val="a5"/>
                  <w:rFonts w:ascii="Times New Roman" w:eastAsia="宋体" w:hAnsi="Times New Roman"/>
                  <w:sz w:val="20"/>
                  <w:szCs w:val="20"/>
                </w:rPr>
                <w:t>87</w:t>
              </w:r>
            </w:hyperlink>
          </w:p>
        </w:tc>
      </w:tr>
    </w:tbl>
    <w:p w14:paraId="0B2F9D39" w14:textId="77777777" w:rsidR="007F1775" w:rsidRDefault="000F083E">
      <w:pPr>
        <w:jc w:val="center"/>
      </w:pPr>
      <w:r>
        <w:rPr>
          <w:rFonts w:ascii="Times New Roman" w:eastAsia="宋体" w:hAnsi="Times New Roman"/>
          <w:color w:val="000000"/>
          <w:sz w:val="20"/>
          <w:szCs w:val="20"/>
        </w:rPr>
        <w:t>2</w:t>
      </w:r>
    </w:p>
    <w:p w14:paraId="0B2F9D3A" w14:textId="77777777" w:rsidR="007F1775" w:rsidRDefault="000F083E">
      <w:r>
        <w:pict w14:anchorId="0B2FBF63">
          <v:rect id="_x0000_i1026" style="width:415.3pt;height:1.5pt" o:hralign="center" o:hrstd="t" o:hr="t" fillcolor="#a0a0a0" stroked="f"/>
        </w:pict>
      </w:r>
    </w:p>
    <w:p w14:paraId="0B2F9D3B" w14:textId="77777777" w:rsidR="007F1775" w:rsidRDefault="007F1775"/>
    <w:p w14:paraId="0B2F9D3C" w14:textId="77777777" w:rsidR="007F1775" w:rsidRDefault="007F1775"/>
    <w:p w14:paraId="0B2F9D3D" w14:textId="77777777" w:rsidR="007F1775" w:rsidRDefault="000F083E">
      <w:hyperlink r:id="rId80" w:anchor="iea70e328caa94cefb76a9db6ed6338fc_7" w:history="1">
        <w:r>
          <w:rPr>
            <w:rStyle w:val="a5"/>
            <w:rFonts w:ascii="Times New Roman" w:eastAsia="宋体" w:hAnsi="Times New Roman"/>
            <w:sz w:val="20"/>
            <w:szCs w:val="20"/>
          </w:rPr>
          <w:t>Table of Contents</w:t>
        </w:r>
      </w:hyperlink>
    </w:p>
    <w:p w14:paraId="0B2F9D3E" w14:textId="77777777" w:rsidR="007F1775" w:rsidRDefault="000F083E">
      <w:pPr>
        <w:jc w:val="center"/>
      </w:pPr>
      <w:r>
        <w:rPr>
          <w:rFonts w:ascii="Times New Roman" w:eastAsia="宋体" w:hAnsi="Times New Roman"/>
          <w:b/>
          <w:bCs/>
          <w:color w:val="000000"/>
          <w:sz w:val="20"/>
          <w:szCs w:val="20"/>
        </w:rPr>
        <w:t>NOTE ABOUT FORWARD-LOOKING STATEMENTS</w:t>
      </w:r>
    </w:p>
    <w:p w14:paraId="0B2F9D3F" w14:textId="77777777" w:rsidR="007F1775" w:rsidRDefault="007F1775">
      <w:pPr>
        <w:ind w:firstLine="495"/>
        <w:jc w:val="both"/>
      </w:pPr>
    </w:p>
    <w:p w14:paraId="0B2F9D40" w14:textId="77777777" w:rsidR="007F1775" w:rsidRDefault="000F083E">
      <w:pPr>
        <w:ind w:firstLine="540"/>
        <w:jc w:val="both"/>
      </w:pPr>
      <w:r>
        <w:rPr>
          <w:rFonts w:ascii="Times New Roman" w:eastAsia="宋体" w:hAnsi="Times New Roman"/>
          <w:color w:val="000000"/>
          <w:sz w:val="20"/>
          <w:szCs w:val="20"/>
        </w:rPr>
        <w:t>This Quarterly Report on Form 10-Q contains fo</w:t>
      </w:r>
      <w:r>
        <w:rPr>
          <w:rFonts w:ascii="Times New Roman" w:eastAsia="宋体" w:hAnsi="Times New Roman"/>
          <w:color w:val="000000"/>
          <w:sz w:val="20"/>
          <w:szCs w:val="20"/>
        </w:rPr>
        <w:t xml:space="preserve">rward-looking statements. All statements contained in this Quarterly Report on Form 10-Q other than statements of historical fact, including statements regarding our future results of operations and financial position, our business strategy and plans, and </w:t>
      </w:r>
      <w:r>
        <w:rPr>
          <w:rFonts w:ascii="Times New Roman" w:eastAsia="宋体" w:hAnsi="Times New Roman"/>
          <w:color w:val="000000"/>
          <w:sz w:val="20"/>
          <w:szCs w:val="20"/>
        </w:rPr>
        <w:t>our objectives for future operations, are forward-looking statements. The words "believe," "may," "will," "estimate," "continue," "anticipate," "intend," "expect," and similar expressions are intended to identify forward-looking statements. We have based t</w:t>
      </w:r>
      <w:r>
        <w:rPr>
          <w:rFonts w:ascii="Times New Roman" w:eastAsia="宋体" w:hAnsi="Times New Roman"/>
          <w:color w:val="000000"/>
          <w:sz w:val="20"/>
          <w:szCs w:val="20"/>
        </w:rPr>
        <w:t>hese forward-looking statements largely on our current expectations and projections about future events and trends that we believe may affect our financial condition, results of operations, business strategy, short-term and long-term business operations an</w:t>
      </w:r>
      <w:r>
        <w:rPr>
          <w:rFonts w:ascii="Times New Roman" w:eastAsia="宋体" w:hAnsi="Times New Roman"/>
          <w:color w:val="000000"/>
          <w:sz w:val="20"/>
          <w:szCs w:val="20"/>
        </w:rPr>
        <w:t>d objectives, and financial needs. These forward-looking statements are subject to a number of risks, uncertainties and assumptions, including those described in Part II, Item 1A, "Risk Factors" in this Quarterly Report on Form 10-Q. Moreover, we operate i</w:t>
      </w:r>
      <w:r>
        <w:rPr>
          <w:rFonts w:ascii="Times New Roman" w:eastAsia="宋体" w:hAnsi="Times New Roman"/>
          <w:color w:val="000000"/>
          <w:sz w:val="20"/>
          <w:szCs w:val="20"/>
        </w:rPr>
        <w:t>n a very competitive and rapidly changing environment. New risks emerge from time to time. It is not possible for our management to predict all risks, nor can we assess the impact of all factors on our business or the extent to which any factor, or combina</w:t>
      </w:r>
      <w:r>
        <w:rPr>
          <w:rFonts w:ascii="Times New Roman" w:eastAsia="宋体" w:hAnsi="Times New Roman"/>
          <w:color w:val="000000"/>
          <w:sz w:val="20"/>
          <w:szCs w:val="20"/>
        </w:rPr>
        <w:t>tion of factors, may cause actual results to differ materially from those contained in any forward-looking statements we may make. In light of these risks, uncertainties and assumptions, the future events and trends discussed in this Quarterly Report on Fo</w:t>
      </w:r>
      <w:r>
        <w:rPr>
          <w:rFonts w:ascii="Times New Roman" w:eastAsia="宋体" w:hAnsi="Times New Roman"/>
          <w:color w:val="000000"/>
          <w:sz w:val="20"/>
          <w:szCs w:val="20"/>
        </w:rPr>
        <w:t>rm 10-Q may not occur and actual results could differ materially and adversely from those anticipated or implied in the forward</w:t>
      </w:r>
      <w:r>
        <w:rPr>
          <w:rFonts w:ascii="Times New Roman" w:eastAsia="宋体" w:hAnsi="Times New Roman"/>
          <w:color w:val="000000"/>
          <w:sz w:val="20"/>
          <w:szCs w:val="20"/>
        </w:rPr>
        <w:noBreakHyphen/>
        <w:t>looking statements.</w:t>
      </w:r>
    </w:p>
    <w:p w14:paraId="0B2F9D41" w14:textId="77777777" w:rsidR="007F1775" w:rsidRDefault="007F1775">
      <w:pPr>
        <w:ind w:firstLine="540"/>
        <w:jc w:val="both"/>
      </w:pPr>
    </w:p>
    <w:p w14:paraId="0B2F9D42" w14:textId="77777777" w:rsidR="007F1775" w:rsidRDefault="000F083E">
      <w:pPr>
        <w:ind w:firstLine="540"/>
        <w:jc w:val="both"/>
      </w:pPr>
      <w:r>
        <w:rPr>
          <w:rFonts w:ascii="Times New Roman" w:eastAsia="宋体" w:hAnsi="Times New Roman"/>
          <w:color w:val="000000"/>
          <w:sz w:val="20"/>
          <w:szCs w:val="20"/>
        </w:rPr>
        <w:t>We undertake no obligation to revise or publicly release the results of any revision to these forward-looki</w:t>
      </w:r>
      <w:r>
        <w:rPr>
          <w:rFonts w:ascii="Times New Roman" w:eastAsia="宋体" w:hAnsi="Times New Roman"/>
          <w:color w:val="000000"/>
          <w:sz w:val="20"/>
          <w:szCs w:val="20"/>
        </w:rPr>
        <w:t>ng statements, except as required by law. Given these risks and uncertainties, readers are cautioned not to place undue reliance on such forward</w:t>
      </w:r>
      <w:r>
        <w:rPr>
          <w:rFonts w:ascii="Times New Roman" w:eastAsia="宋体" w:hAnsi="Times New Roman"/>
          <w:color w:val="000000"/>
          <w:sz w:val="20"/>
          <w:szCs w:val="20"/>
        </w:rPr>
        <w:noBreakHyphen/>
        <w:t>looking statements.</w:t>
      </w:r>
    </w:p>
    <w:p w14:paraId="0B2F9D43" w14:textId="77777777" w:rsidR="007F1775" w:rsidRDefault="007F1775">
      <w:pPr>
        <w:ind w:firstLine="495"/>
        <w:jc w:val="both"/>
      </w:pPr>
    </w:p>
    <w:p w14:paraId="0B2F9D44" w14:textId="77777777" w:rsidR="007F1775" w:rsidRDefault="000F083E">
      <w:pPr>
        <w:ind w:firstLine="540"/>
        <w:jc w:val="both"/>
      </w:pPr>
      <w:r>
        <w:rPr>
          <w:rFonts w:ascii="Times New Roman" w:eastAsia="宋体" w:hAnsi="Times New Roman"/>
          <w:color w:val="000000"/>
          <w:sz w:val="20"/>
          <w:szCs w:val="20"/>
        </w:rPr>
        <w:t>In October 2021, we changed our corporate name from Facebook, Inc. to Meta Platforms, Inc.</w:t>
      </w:r>
      <w:r>
        <w:rPr>
          <w:rFonts w:ascii="Times New Roman" w:eastAsia="宋体" w:hAnsi="Times New Roman"/>
          <w:color w:val="000000"/>
          <w:sz w:val="20"/>
          <w:szCs w:val="20"/>
        </w:rPr>
        <w:t xml:space="preserve"> We will not distinguish between our prior and current corporate name and will refer to our current corporate name throughout this Quarterly Report on Form 10-Q. As such, unless expressly indicated or the context requires otherwise, the terms "Meta," "comp</w:t>
      </w:r>
      <w:r>
        <w:rPr>
          <w:rFonts w:ascii="Times New Roman" w:eastAsia="宋体" w:hAnsi="Times New Roman"/>
          <w:color w:val="000000"/>
          <w:sz w:val="20"/>
          <w:szCs w:val="20"/>
        </w:rPr>
        <w:t>any," "we," "us," and "our" in this document refer to Meta Platforms, Inc., a Delaware corporation, and, where appropriate, its subsidiaries. The term "Family" refers to our Facebook, Instagram, Messenger, and WhatsApp products. For references to accessing</w:t>
      </w:r>
      <w:r>
        <w:rPr>
          <w:rFonts w:ascii="Times New Roman" w:eastAsia="宋体" w:hAnsi="Times New Roman"/>
          <w:color w:val="000000"/>
          <w:sz w:val="20"/>
          <w:szCs w:val="20"/>
        </w:rPr>
        <w:t xml:space="preserve"> Meta's products on the "web" or via a "website," such terms refer to accessing such products on personal computers. For references to accessing Meta's products on "mobile," such term refers to accessing such products via a mobile application or via a mobi</w:t>
      </w:r>
      <w:r>
        <w:rPr>
          <w:rFonts w:ascii="Times New Roman" w:eastAsia="宋体" w:hAnsi="Times New Roman"/>
          <w:color w:val="000000"/>
          <w:sz w:val="20"/>
          <w:szCs w:val="20"/>
        </w:rPr>
        <w:t>le-optimized version of our websites such as m.facebook.com, whether on a mobile phone or tablet.</w:t>
      </w:r>
    </w:p>
    <w:p w14:paraId="0B2F9D45" w14:textId="77777777" w:rsidR="007F1775" w:rsidRDefault="000F083E">
      <w:pPr>
        <w:jc w:val="center"/>
      </w:pPr>
      <w:r>
        <w:rPr>
          <w:rFonts w:ascii="Times New Roman" w:eastAsia="宋体" w:hAnsi="Times New Roman"/>
          <w:color w:val="000000"/>
          <w:sz w:val="20"/>
          <w:szCs w:val="20"/>
        </w:rPr>
        <w:t>3</w:t>
      </w:r>
    </w:p>
    <w:p w14:paraId="0B2F9D46" w14:textId="77777777" w:rsidR="007F1775" w:rsidRDefault="000F083E">
      <w:r>
        <w:pict w14:anchorId="0B2FBF64">
          <v:rect id="_x0000_i1027" style="width:415.3pt;height:1.5pt" o:hralign="center" o:hrstd="t" o:hr="t" fillcolor="#a0a0a0" stroked="f"/>
        </w:pict>
      </w:r>
    </w:p>
    <w:p w14:paraId="0B2F9D47" w14:textId="77777777" w:rsidR="007F1775" w:rsidRDefault="007F1775"/>
    <w:p w14:paraId="0B2F9D48" w14:textId="77777777" w:rsidR="007F1775" w:rsidRDefault="007F1775"/>
    <w:p w14:paraId="0B2F9D49" w14:textId="77777777" w:rsidR="007F1775" w:rsidRDefault="000F083E">
      <w:hyperlink r:id="rId81" w:anchor="iea70e328caa94cefb76a9db6ed6338fc_7" w:history="1">
        <w:r>
          <w:rPr>
            <w:rStyle w:val="a5"/>
            <w:rFonts w:ascii="Times New Roman" w:eastAsia="宋体" w:hAnsi="Times New Roman"/>
            <w:sz w:val="20"/>
            <w:szCs w:val="20"/>
          </w:rPr>
          <w:t>Ta</w:t>
        </w:r>
        <w:r>
          <w:rPr>
            <w:rStyle w:val="a5"/>
            <w:rFonts w:ascii="Times New Roman" w:eastAsia="宋体" w:hAnsi="Times New Roman"/>
            <w:sz w:val="20"/>
            <w:szCs w:val="20"/>
          </w:rPr>
          <w:t>ble of Contents</w:t>
        </w:r>
      </w:hyperlink>
    </w:p>
    <w:p w14:paraId="0B2F9D4A" w14:textId="77777777" w:rsidR="007F1775" w:rsidRDefault="000F083E">
      <w:pPr>
        <w:jc w:val="center"/>
      </w:pPr>
      <w:r>
        <w:rPr>
          <w:rFonts w:ascii="Times New Roman" w:eastAsia="宋体" w:hAnsi="Times New Roman"/>
          <w:b/>
          <w:bCs/>
          <w:color w:val="000000"/>
          <w:sz w:val="20"/>
          <w:szCs w:val="20"/>
        </w:rPr>
        <w:t>LIMITATIONS OF KEY METRICS AND OTHER DATA</w:t>
      </w:r>
    </w:p>
    <w:p w14:paraId="0B2F9D4B" w14:textId="77777777" w:rsidR="007F1775" w:rsidRDefault="007F1775">
      <w:pPr>
        <w:ind w:firstLine="540"/>
        <w:jc w:val="both"/>
      </w:pPr>
    </w:p>
    <w:p w14:paraId="0B2F9D4C" w14:textId="77777777" w:rsidR="007F1775" w:rsidRDefault="000F083E">
      <w:pPr>
        <w:ind w:firstLine="540"/>
        <w:jc w:val="both"/>
      </w:pPr>
      <w:r>
        <w:rPr>
          <w:rFonts w:ascii="Times New Roman" w:eastAsia="宋体" w:hAnsi="Times New Roman"/>
          <w:color w:val="000000"/>
          <w:sz w:val="20"/>
          <w:szCs w:val="20"/>
        </w:rPr>
        <w:t xml:space="preserve">The numbers for our key metrics are calculated using internal company data based on the activity of user accounts. We have historically reported the numbers of our daily active users </w:t>
      </w:r>
      <w:r>
        <w:rPr>
          <w:rFonts w:ascii="Times New Roman" w:eastAsia="宋体" w:hAnsi="Times New Roman"/>
          <w:color w:val="000000"/>
          <w:sz w:val="20"/>
          <w:szCs w:val="20"/>
        </w:rPr>
        <w:t xml:space="preserve">(DAUs), monthly active users (MAUs), and average revenue per user (ARPU) (collectively, our "Facebook metrics") based on user activity only on Facebook and Messenger and not on our other products. Beginning with our Annual Report on Form 10-K for the year </w:t>
      </w:r>
      <w:r>
        <w:rPr>
          <w:rFonts w:ascii="Times New Roman" w:eastAsia="宋体" w:hAnsi="Times New Roman"/>
          <w:color w:val="000000"/>
          <w:sz w:val="20"/>
          <w:szCs w:val="20"/>
        </w:rPr>
        <w:t>ended December 31, 2019, we also report our estimates of the numbers of our daily active people (DAP), monthly active people (MAP), and average revenue per person (ARPP) (collectively, our "Family metrics") based on the activity of users who visited at lea</w:t>
      </w:r>
      <w:r>
        <w:rPr>
          <w:rFonts w:ascii="Times New Roman" w:eastAsia="宋体" w:hAnsi="Times New Roman"/>
          <w:color w:val="000000"/>
          <w:sz w:val="20"/>
          <w:szCs w:val="20"/>
        </w:rPr>
        <w:t>st one of Facebook, Instagram, Messenger, and WhatsApp (collectively, our "Family" of products) during the applicable period of measurement. We believe our Family metrics better reflect the size of our community and the fact that many people are using more</w:t>
      </w:r>
      <w:r>
        <w:rPr>
          <w:rFonts w:ascii="Times New Roman" w:eastAsia="宋体" w:hAnsi="Times New Roman"/>
          <w:color w:val="000000"/>
          <w:sz w:val="20"/>
          <w:szCs w:val="20"/>
        </w:rPr>
        <w:t xml:space="preserve"> than one of our products. As a result, over time we intend to report our Family metrics as key metrics in place of DAUs, MAUs, and ARPU in our periodic reports filed with the Securities and Exchange Commission.</w:t>
      </w:r>
    </w:p>
    <w:p w14:paraId="0B2F9D4D" w14:textId="77777777" w:rsidR="007F1775" w:rsidRDefault="007F1775">
      <w:pPr>
        <w:ind w:firstLine="540"/>
        <w:jc w:val="both"/>
      </w:pPr>
    </w:p>
    <w:p w14:paraId="0B2F9D4E" w14:textId="77777777" w:rsidR="007F1775" w:rsidRDefault="000F083E">
      <w:pPr>
        <w:ind w:firstLine="540"/>
        <w:jc w:val="both"/>
      </w:pPr>
      <w:r>
        <w:rPr>
          <w:rFonts w:ascii="Times New Roman" w:eastAsia="宋体" w:hAnsi="Times New Roman"/>
          <w:color w:val="000000"/>
          <w:sz w:val="20"/>
          <w:szCs w:val="20"/>
        </w:rPr>
        <w:t>While these numbers are based on what we be</w:t>
      </w:r>
      <w:r>
        <w:rPr>
          <w:rFonts w:ascii="Times New Roman" w:eastAsia="宋体" w:hAnsi="Times New Roman"/>
          <w:color w:val="000000"/>
          <w:sz w:val="20"/>
          <w:szCs w:val="20"/>
        </w:rPr>
        <w:t>lieve to be reasonable estimates of our user base for the applicable period of measurement, there are inherent challenges in measuring usage of our products across large online and mobile populations around the world. The methodologies used to measure thes</w:t>
      </w:r>
      <w:r>
        <w:rPr>
          <w:rFonts w:ascii="Times New Roman" w:eastAsia="宋体" w:hAnsi="Times New Roman"/>
          <w:color w:val="000000"/>
          <w:sz w:val="20"/>
          <w:szCs w:val="20"/>
        </w:rPr>
        <w:t>e metrics require significant judgment and are also susceptible to algorithm or other technical errors. In addition, we are continually seeking to improve our estimates of our user base, and such estimates may change due to improvements or changes in our m</w:t>
      </w:r>
      <w:r>
        <w:rPr>
          <w:rFonts w:ascii="Times New Roman" w:eastAsia="宋体" w:hAnsi="Times New Roman"/>
          <w:color w:val="000000"/>
          <w:sz w:val="20"/>
          <w:szCs w:val="20"/>
        </w:rPr>
        <w:t>ethodology. We regularly review our processes for calculating these metrics, and from time to time we discover inaccuracies in our metrics or make adjustments to improve their accuracy, which can result in adjustments to our historical metrics. Our ability</w:t>
      </w:r>
      <w:r>
        <w:rPr>
          <w:rFonts w:ascii="Times New Roman" w:eastAsia="宋体" w:hAnsi="Times New Roman"/>
          <w:color w:val="000000"/>
          <w:sz w:val="20"/>
          <w:szCs w:val="20"/>
        </w:rPr>
        <w:t xml:space="preserve"> to recalculate our historical metrics may be impacted by data limitations or other factors that require us to apply different methodologies for such adjustments. We generally do not intend to update previously disclosed Family metrics for any such inaccur</w:t>
      </w:r>
      <w:r>
        <w:rPr>
          <w:rFonts w:ascii="Times New Roman" w:eastAsia="宋体" w:hAnsi="Times New Roman"/>
          <w:color w:val="000000"/>
          <w:sz w:val="20"/>
          <w:szCs w:val="20"/>
        </w:rPr>
        <w:t>acies or adjustments that are within the error margins disclosed below.</w:t>
      </w:r>
    </w:p>
    <w:p w14:paraId="0B2F9D4F" w14:textId="77777777" w:rsidR="007F1775" w:rsidRDefault="007F1775">
      <w:pPr>
        <w:ind w:firstLine="540"/>
        <w:jc w:val="both"/>
      </w:pPr>
    </w:p>
    <w:p w14:paraId="0B2F9D50" w14:textId="77777777" w:rsidR="007F1775" w:rsidRDefault="000F083E">
      <w:pPr>
        <w:ind w:firstLine="540"/>
        <w:jc w:val="both"/>
      </w:pPr>
      <w:r>
        <w:rPr>
          <w:rFonts w:ascii="Times New Roman" w:eastAsia="宋体" w:hAnsi="Times New Roman"/>
          <w:color w:val="000000"/>
          <w:sz w:val="20"/>
          <w:szCs w:val="20"/>
        </w:rPr>
        <w:t>In addition, our Family metrics and Facebook metrics estimates will differ from estimates published by third parties due to differences in methodology.</w:t>
      </w:r>
    </w:p>
    <w:p w14:paraId="0B2F9D51" w14:textId="77777777" w:rsidR="007F1775" w:rsidRDefault="007F1775">
      <w:pPr>
        <w:ind w:firstLine="540"/>
        <w:jc w:val="both"/>
      </w:pPr>
    </w:p>
    <w:p w14:paraId="0B2F9D52" w14:textId="77777777" w:rsidR="007F1775" w:rsidRDefault="000F083E">
      <w:pPr>
        <w:jc w:val="both"/>
      </w:pPr>
      <w:r>
        <w:rPr>
          <w:rFonts w:ascii="Times New Roman" w:eastAsia="宋体" w:hAnsi="Times New Roman"/>
          <w:b/>
          <w:bCs/>
          <w:color w:val="000000"/>
          <w:sz w:val="20"/>
          <w:szCs w:val="20"/>
        </w:rPr>
        <w:t>Family Metrics</w:t>
      </w:r>
    </w:p>
    <w:p w14:paraId="0B2F9D53" w14:textId="77777777" w:rsidR="007F1775" w:rsidRDefault="007F1775">
      <w:pPr>
        <w:ind w:firstLine="540"/>
        <w:jc w:val="both"/>
      </w:pPr>
    </w:p>
    <w:p w14:paraId="0B2F9D54" w14:textId="77777777" w:rsidR="007F1775" w:rsidRDefault="000F083E">
      <w:pPr>
        <w:ind w:firstLine="540"/>
        <w:jc w:val="both"/>
      </w:pPr>
      <w:r>
        <w:rPr>
          <w:rFonts w:ascii="Times New Roman" w:eastAsia="宋体" w:hAnsi="Times New Roman"/>
          <w:color w:val="000000"/>
          <w:sz w:val="20"/>
          <w:szCs w:val="20"/>
        </w:rPr>
        <w:t>Many people in</w:t>
      </w:r>
      <w:r>
        <w:rPr>
          <w:rFonts w:ascii="Times New Roman" w:eastAsia="宋体" w:hAnsi="Times New Roman"/>
          <w:color w:val="000000"/>
          <w:sz w:val="20"/>
          <w:szCs w:val="20"/>
        </w:rPr>
        <w:t xml:space="preserve"> our community have user accounts on more than one of our products, and some people have multiple user accounts within an individual product. Accordingly, for our Family metrics, we do not seek to count the total number of user accounts across our products</w:t>
      </w:r>
      <w:r>
        <w:rPr>
          <w:rFonts w:ascii="Times New Roman" w:eastAsia="宋体" w:hAnsi="Times New Roman"/>
          <w:color w:val="000000"/>
          <w:sz w:val="20"/>
          <w:szCs w:val="20"/>
        </w:rPr>
        <w:t xml:space="preserve"> because we believe that would not reflect the actual size of our community. Rather, our Family metrics represent our estimates of the number of unique people using at least one of Facebook, Instagram, Messenger, and WhatsApp. We do not require people to u</w:t>
      </w:r>
      <w:r>
        <w:rPr>
          <w:rFonts w:ascii="Times New Roman" w:eastAsia="宋体" w:hAnsi="Times New Roman"/>
          <w:color w:val="000000"/>
          <w:sz w:val="20"/>
          <w:szCs w:val="20"/>
        </w:rPr>
        <w:t xml:space="preserve">se a common identifier or link their accounts to use multiple products in our Family, and therefore must seek to attribute multiple user accounts within and across products to individual people. To calculate these metrics, we rely upon complex techniques, </w:t>
      </w:r>
      <w:r>
        <w:rPr>
          <w:rFonts w:ascii="Times New Roman" w:eastAsia="宋体" w:hAnsi="Times New Roman"/>
          <w:color w:val="000000"/>
          <w:sz w:val="20"/>
          <w:szCs w:val="20"/>
        </w:rPr>
        <w:t>algorithms and machine learning models that seek to count the individual people behind user accounts, including by matching multiple user accounts within an individual product and across multiple products when we believe they are attributable to a single p</w:t>
      </w:r>
      <w:r>
        <w:rPr>
          <w:rFonts w:ascii="Times New Roman" w:eastAsia="宋体" w:hAnsi="Times New Roman"/>
          <w:color w:val="000000"/>
          <w:sz w:val="20"/>
          <w:szCs w:val="20"/>
        </w:rPr>
        <w:t>erson, and counting such group of accounts as one person. These techniques and models require significant judgment, are subject to data and other limitations discussed below, and inherently are subject to statistical variances and uncertainties. We estimat</w:t>
      </w:r>
      <w:r>
        <w:rPr>
          <w:rFonts w:ascii="Times New Roman" w:eastAsia="宋体" w:hAnsi="Times New Roman"/>
          <w:color w:val="000000"/>
          <w:sz w:val="20"/>
          <w:szCs w:val="20"/>
        </w:rPr>
        <w:t>e the potential error in our Family metrics primarily based on user survey data, which itself is subject to error as well. While we expect the error margin for our Family metrics to vary from period to period, we estimate that such margin generally will be</w:t>
      </w:r>
      <w:r>
        <w:rPr>
          <w:rFonts w:ascii="Times New Roman" w:eastAsia="宋体" w:hAnsi="Times New Roman"/>
          <w:color w:val="000000"/>
          <w:sz w:val="20"/>
          <w:szCs w:val="20"/>
        </w:rPr>
        <w:t xml:space="preserve"> approximately 3% of our worldwide MAP. At our scale, it is very difficult to attribute multiple user accounts within and across products to individual people, and it is possible that the actual numbers of unique people using our products may vary signific</w:t>
      </w:r>
      <w:r>
        <w:rPr>
          <w:rFonts w:ascii="Times New Roman" w:eastAsia="宋体" w:hAnsi="Times New Roman"/>
          <w:color w:val="000000"/>
          <w:sz w:val="20"/>
          <w:szCs w:val="20"/>
        </w:rPr>
        <w:t>antly from our estimates, potentially beyond our estimated error margins. As a result, it is also possible that our Family metrics may indicate changes or trends in user numbers that do not match actual changes or trends.</w:t>
      </w:r>
    </w:p>
    <w:p w14:paraId="0B2F9D55" w14:textId="77777777" w:rsidR="007F1775" w:rsidRDefault="007F1775">
      <w:pPr>
        <w:ind w:firstLine="540"/>
        <w:jc w:val="both"/>
      </w:pPr>
    </w:p>
    <w:p w14:paraId="0B2F9D56" w14:textId="77777777" w:rsidR="007F1775" w:rsidRDefault="000F083E">
      <w:pPr>
        <w:ind w:firstLine="540"/>
        <w:jc w:val="both"/>
      </w:pPr>
      <w:r>
        <w:rPr>
          <w:rFonts w:ascii="Times New Roman" w:eastAsia="宋体" w:hAnsi="Times New Roman"/>
          <w:color w:val="000000"/>
          <w:sz w:val="20"/>
          <w:szCs w:val="20"/>
        </w:rPr>
        <w:t>To calculate our estimates of Fam</w:t>
      </w:r>
      <w:r>
        <w:rPr>
          <w:rFonts w:ascii="Times New Roman" w:eastAsia="宋体" w:hAnsi="Times New Roman"/>
          <w:color w:val="000000"/>
          <w:sz w:val="20"/>
          <w:szCs w:val="20"/>
        </w:rPr>
        <w:t>ily DAP and MAP, we currently use a series of machine learning models that are developed based on internal reviews of limited samples of user accounts and calibrated against user survey data. We apply significant judgment in designing these models and calc</w:t>
      </w:r>
      <w:r>
        <w:rPr>
          <w:rFonts w:ascii="Times New Roman" w:eastAsia="宋体" w:hAnsi="Times New Roman"/>
          <w:color w:val="000000"/>
          <w:sz w:val="20"/>
          <w:szCs w:val="20"/>
        </w:rPr>
        <w:t>ulating these estimates. For example, to match user accounts within individual products and across multiple products, we use data signals such as similar device information, IP addresses, and user names. We also calibrate our models against data from perio</w:t>
      </w:r>
      <w:r>
        <w:rPr>
          <w:rFonts w:ascii="Times New Roman" w:eastAsia="宋体" w:hAnsi="Times New Roman"/>
          <w:color w:val="000000"/>
          <w:sz w:val="20"/>
          <w:szCs w:val="20"/>
        </w:rPr>
        <w:t>dic user surveys of varying sizes and frequency across our products, which are inherently subject to error. The timing and results of such user surveys have in the past contributed, and may in the future contribute, to changes in our reported Family metric</w:t>
      </w:r>
      <w:r>
        <w:rPr>
          <w:rFonts w:ascii="Times New Roman" w:eastAsia="宋体" w:hAnsi="Times New Roman"/>
          <w:color w:val="000000"/>
          <w:sz w:val="20"/>
          <w:szCs w:val="20"/>
        </w:rPr>
        <w:t xml:space="preserve">s from period to period. In addition, our data limitations may affect our understanding of certain details of our business and increase the risk of error for our Family metrics estimates. </w:t>
      </w:r>
    </w:p>
    <w:p w14:paraId="0B2F9D57" w14:textId="77777777" w:rsidR="007F1775" w:rsidRDefault="000F083E">
      <w:pPr>
        <w:jc w:val="center"/>
      </w:pPr>
      <w:r>
        <w:rPr>
          <w:rFonts w:ascii="Times New Roman" w:eastAsia="宋体" w:hAnsi="Times New Roman"/>
          <w:color w:val="000000"/>
          <w:sz w:val="20"/>
          <w:szCs w:val="20"/>
        </w:rPr>
        <w:t>4</w:t>
      </w:r>
    </w:p>
    <w:p w14:paraId="0B2F9D58" w14:textId="77777777" w:rsidR="007F1775" w:rsidRDefault="000F083E">
      <w:r>
        <w:pict w14:anchorId="0B2FBF65">
          <v:rect id="_x0000_i1028" style="width:415.3pt;height:1.5pt" o:hralign="center" o:hrstd="t" o:hr="t" fillcolor="#a0a0a0" stroked="f"/>
        </w:pict>
      </w:r>
    </w:p>
    <w:p w14:paraId="0B2F9D59" w14:textId="77777777" w:rsidR="007F1775" w:rsidRDefault="007F1775"/>
    <w:p w14:paraId="0B2F9D5A" w14:textId="77777777" w:rsidR="007F1775" w:rsidRDefault="007F1775"/>
    <w:p w14:paraId="0B2F9D5B" w14:textId="77777777" w:rsidR="007F1775" w:rsidRDefault="000F083E">
      <w:hyperlink r:id="rId82" w:anchor="iea70e328caa94cefb76a9db6ed6338fc_7" w:history="1">
        <w:r>
          <w:rPr>
            <w:rStyle w:val="a5"/>
            <w:rFonts w:ascii="Times New Roman" w:eastAsia="宋体" w:hAnsi="Times New Roman"/>
            <w:sz w:val="20"/>
            <w:szCs w:val="20"/>
          </w:rPr>
          <w:t>Table of Contents</w:t>
        </w:r>
      </w:hyperlink>
    </w:p>
    <w:p w14:paraId="0B2F9D5C" w14:textId="77777777" w:rsidR="007F1775" w:rsidRDefault="000F083E">
      <w:pPr>
        <w:jc w:val="both"/>
      </w:pPr>
      <w:r>
        <w:rPr>
          <w:rFonts w:ascii="Times New Roman" w:eastAsia="宋体" w:hAnsi="Times New Roman"/>
          <w:color w:val="000000"/>
          <w:sz w:val="20"/>
          <w:szCs w:val="20"/>
        </w:rPr>
        <w:t xml:space="preserve">Our techniques and models rely on a variety of data signals from different products, </w:t>
      </w:r>
      <w:r>
        <w:rPr>
          <w:rFonts w:ascii="Times New Roman" w:eastAsia="宋体" w:hAnsi="Times New Roman"/>
          <w:color w:val="000000"/>
          <w:sz w:val="20"/>
          <w:szCs w:val="20"/>
        </w:rPr>
        <w:t>and we rely on more limited data signals for some products compared to others. For example, as a result of limited visibility into encrypted products, we have fewer data signals from WhatsApp user accounts and primarily rely on phone numbers and device inf</w:t>
      </w:r>
      <w:r>
        <w:rPr>
          <w:rFonts w:ascii="Times New Roman" w:eastAsia="宋体" w:hAnsi="Times New Roman"/>
          <w:color w:val="000000"/>
          <w:sz w:val="20"/>
          <w:szCs w:val="20"/>
        </w:rPr>
        <w:t>ormation to match WhatsApp user accounts with accounts on our other products. Similarly, although Messenger Kids users are included in our Family metrics, we do not seek to match their accounts with accounts on our other applications for purposes of calcul</w:t>
      </w:r>
      <w:r>
        <w:rPr>
          <w:rFonts w:ascii="Times New Roman" w:eastAsia="宋体" w:hAnsi="Times New Roman"/>
          <w:color w:val="000000"/>
          <w:sz w:val="20"/>
          <w:szCs w:val="20"/>
        </w:rPr>
        <w:t>ating DAP and MAP. Any loss of access to data signals we use in our process for calculating Family metrics, whether as a result of our own product decisions, actions by third-party browser or mobile platforms, regulatory or legislative requirements, or oth</w:t>
      </w:r>
      <w:r>
        <w:rPr>
          <w:rFonts w:ascii="Times New Roman" w:eastAsia="宋体" w:hAnsi="Times New Roman"/>
          <w:color w:val="000000"/>
          <w:sz w:val="20"/>
          <w:szCs w:val="20"/>
        </w:rPr>
        <w:t>er factors, also may impact the stability or accuracy of our reported Family metrics, as well as our ability to report these metrics at all. Our estimates of Family metrics also may change as our methodologies evolve, including through the application of n</w:t>
      </w:r>
      <w:r>
        <w:rPr>
          <w:rFonts w:ascii="Times New Roman" w:eastAsia="宋体" w:hAnsi="Times New Roman"/>
          <w:color w:val="000000"/>
          <w:sz w:val="20"/>
          <w:szCs w:val="20"/>
        </w:rPr>
        <w:t>ew data signals or technologies, product changes, or other improvements in our user surveys, algorithms, or machine learning that may improve our ability to match accounts within and across our products or otherwise evaluate the broad population of our use</w:t>
      </w:r>
      <w:r>
        <w:rPr>
          <w:rFonts w:ascii="Times New Roman" w:eastAsia="宋体" w:hAnsi="Times New Roman"/>
          <w:color w:val="000000"/>
          <w:sz w:val="20"/>
          <w:szCs w:val="20"/>
        </w:rPr>
        <w:t>rs. In addition, such evolution may allow us to identify previously undetected violating accounts (as defined below).</w:t>
      </w:r>
    </w:p>
    <w:p w14:paraId="0B2F9D5D" w14:textId="77777777" w:rsidR="007F1775" w:rsidRDefault="007F1775">
      <w:pPr>
        <w:ind w:firstLine="540"/>
        <w:jc w:val="both"/>
      </w:pPr>
    </w:p>
    <w:p w14:paraId="0B2F9D5E" w14:textId="77777777" w:rsidR="007F1775" w:rsidRDefault="000F083E">
      <w:pPr>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define "viol</w:t>
      </w:r>
      <w:r>
        <w:rPr>
          <w:rFonts w:ascii="Times New Roman" w:eastAsia="宋体" w:hAnsi="Times New Roman"/>
          <w:color w:val="000000"/>
          <w:sz w:val="20"/>
          <w:szCs w:val="20"/>
        </w:rPr>
        <w:t>ating" accounts as accounts which we believe are intended to be used for purposes that violate our terms of service, including bots and spam. In the fourth quarter of 2021, we estimated that approximately 3% of our worldwide MAP consisted solely of violati</w:t>
      </w:r>
      <w:r>
        <w:rPr>
          <w:rFonts w:ascii="Times New Roman" w:eastAsia="宋体" w:hAnsi="Times New Roman"/>
          <w:color w:val="000000"/>
          <w:sz w:val="20"/>
          <w:szCs w:val="20"/>
        </w:rPr>
        <w:t>ng accounts. Such estimation is based on an internal review of a limited sample of accounts, and we apply significant judgment in making this determination. For example, we look for account information and behaviors associated with Facebook and Instagram a</w:t>
      </w:r>
      <w:r>
        <w:rPr>
          <w:rFonts w:ascii="Times New Roman" w:eastAsia="宋体" w:hAnsi="Times New Roman"/>
          <w:color w:val="000000"/>
          <w:sz w:val="20"/>
          <w:szCs w:val="20"/>
        </w:rPr>
        <w:t>ccounts that appear to be inauthentic to the reviewers, but we have limited visibility into WhatsApp user activity due to encryption. In addition, if we believe an individual person has one or more violating accounts, we do not include such person in our v</w:t>
      </w:r>
      <w:r>
        <w:rPr>
          <w:rFonts w:ascii="Times New Roman" w:eastAsia="宋体" w:hAnsi="Times New Roman"/>
          <w:color w:val="000000"/>
          <w:sz w:val="20"/>
          <w:szCs w:val="20"/>
        </w:rPr>
        <w:t>iolating accounts estimation as long as we believe they have one account that does not constitute a violating account. From time to time, we disable certain user accounts, make product changes, or take other actions to reduce the number of violating accoun</w:t>
      </w:r>
      <w:r>
        <w:rPr>
          <w:rFonts w:ascii="Times New Roman" w:eastAsia="宋体" w:hAnsi="Times New Roman"/>
          <w:color w:val="000000"/>
          <w:sz w:val="20"/>
          <w:szCs w:val="20"/>
        </w:rPr>
        <w:t>ts among our users, which may also reduce our DAP and MAP estimates in a particular period. We intend to disclose our estimates of the percentage of our MAP consisting solely of violating accounts on an annual basis. Violating accounts are very difficult t</w:t>
      </w:r>
      <w:r>
        <w:rPr>
          <w:rFonts w:ascii="Times New Roman" w:eastAsia="宋体" w:hAnsi="Times New Roman"/>
          <w:color w:val="000000"/>
          <w:sz w:val="20"/>
          <w:szCs w:val="20"/>
        </w:rPr>
        <w:t>o measure at our scale, and it is possible that the actual number of violating accounts may vary significantly from our estimates.</w:t>
      </w:r>
    </w:p>
    <w:p w14:paraId="0B2F9D5F" w14:textId="77777777" w:rsidR="007F1775" w:rsidRDefault="007F1775">
      <w:pPr>
        <w:ind w:firstLine="540"/>
        <w:jc w:val="both"/>
      </w:pPr>
    </w:p>
    <w:p w14:paraId="0B2F9D60" w14:textId="77777777" w:rsidR="007F1775" w:rsidRDefault="000F083E">
      <w:pPr>
        <w:ind w:firstLine="540"/>
        <w:jc w:val="both"/>
      </w:pPr>
      <w:r>
        <w:rPr>
          <w:rFonts w:ascii="Times New Roman" w:eastAsia="宋体" w:hAnsi="Times New Roman"/>
          <w:color w:val="000000"/>
          <w:sz w:val="20"/>
          <w:szCs w:val="20"/>
        </w:rPr>
        <w:t xml:space="preserve">The numbers of Family DAP and MAP discussed in this Quarterly Report on Form 10-Q, as well as ARPP, do not include users on </w:t>
      </w:r>
      <w:r>
        <w:rPr>
          <w:rFonts w:ascii="Times New Roman" w:eastAsia="宋体" w:hAnsi="Times New Roman"/>
          <w:color w:val="000000"/>
          <w:sz w:val="20"/>
          <w:szCs w:val="20"/>
        </w:rPr>
        <w:t>our other products, unless they would otherwise qualify as DAP or MAP, respectively, based on their other activities on our Family products.</w:t>
      </w:r>
    </w:p>
    <w:p w14:paraId="0B2F9D61" w14:textId="77777777" w:rsidR="007F1775" w:rsidRDefault="007F1775">
      <w:pPr>
        <w:ind w:firstLine="540"/>
        <w:jc w:val="both"/>
      </w:pPr>
    </w:p>
    <w:p w14:paraId="0B2F9D62" w14:textId="77777777" w:rsidR="007F1775" w:rsidRDefault="000F083E">
      <w:pPr>
        <w:jc w:val="both"/>
      </w:pPr>
      <w:r>
        <w:rPr>
          <w:rFonts w:ascii="Times New Roman" w:eastAsia="宋体" w:hAnsi="Times New Roman"/>
          <w:b/>
          <w:bCs/>
          <w:color w:val="000000"/>
          <w:sz w:val="20"/>
          <w:szCs w:val="20"/>
        </w:rPr>
        <w:t>Facebook Metrics</w:t>
      </w:r>
    </w:p>
    <w:p w14:paraId="0B2F9D63" w14:textId="77777777" w:rsidR="007F1775" w:rsidRDefault="007F1775">
      <w:pPr>
        <w:ind w:firstLine="540"/>
        <w:jc w:val="both"/>
      </w:pPr>
    </w:p>
    <w:p w14:paraId="0B2F9D64" w14:textId="77777777" w:rsidR="007F1775" w:rsidRDefault="000F083E">
      <w:pPr>
        <w:ind w:firstLine="540"/>
        <w:jc w:val="both"/>
      </w:pPr>
      <w:r>
        <w:rPr>
          <w:rFonts w:ascii="Times New Roman" w:eastAsia="宋体" w:hAnsi="Times New Roman"/>
          <w:color w:val="000000"/>
          <w:sz w:val="20"/>
          <w:szCs w:val="20"/>
        </w:rPr>
        <w:t>We regularly evaluate our Facebook metrics to estimate the number of "duplicate" and "false" acc</w:t>
      </w:r>
      <w:r>
        <w:rPr>
          <w:rFonts w:ascii="Times New Roman" w:eastAsia="宋体" w:hAnsi="Times New Roman"/>
          <w:color w:val="000000"/>
          <w:sz w:val="20"/>
          <w:szCs w:val="20"/>
        </w:rPr>
        <w:t xml:space="preserve">ounts among our MAUs. A duplicate account is one that a user maintains in addition to his or her principal account. We divide "false" accounts into two categories: (1) user-misclassified accounts, where users have created personal profiles for a business, </w:t>
      </w:r>
      <w:r>
        <w:rPr>
          <w:rFonts w:ascii="Times New Roman" w:eastAsia="宋体" w:hAnsi="Times New Roman"/>
          <w:color w:val="000000"/>
          <w:sz w:val="20"/>
          <w:szCs w:val="20"/>
        </w:rPr>
        <w:t>organization, or non-human entity such as a pet (such entities are permitted on Facebook using a Page rather than a personal profile under our terms of service); and (2) violating accounts, which represent user profiles that we believe are intended to be u</w:t>
      </w:r>
      <w:r>
        <w:rPr>
          <w:rFonts w:ascii="Times New Roman" w:eastAsia="宋体" w:hAnsi="Times New Roman"/>
          <w:color w:val="000000"/>
          <w:sz w:val="20"/>
          <w:szCs w:val="20"/>
        </w:rPr>
        <w:t>sed for purposes that violate our terms of service, such as bots and spam. The estimates of duplicate and false accounts are based on an internal review of a limited sample of accounts, and we apply significant judgment in making this determination. For ex</w:t>
      </w:r>
      <w:r>
        <w:rPr>
          <w:rFonts w:ascii="Times New Roman" w:eastAsia="宋体" w:hAnsi="Times New Roman"/>
          <w:color w:val="000000"/>
          <w:sz w:val="20"/>
          <w:szCs w:val="20"/>
        </w:rPr>
        <w:t>ample, to identify duplicate accounts we use data signals such as identical IP addresses and similar user names, and to identify false accounts we look for names that appear to be fake or other behavior that appears inauthentic to the reviewers. Any loss o</w:t>
      </w:r>
      <w:r>
        <w:rPr>
          <w:rFonts w:ascii="Times New Roman" w:eastAsia="宋体" w:hAnsi="Times New Roman"/>
          <w:color w:val="000000"/>
          <w:sz w:val="20"/>
          <w:szCs w:val="20"/>
        </w:rPr>
        <w:t>f access to data signals we use in this process, whether as a result of our own product decisions, actions by third-party browser or mobile platforms, regulatory or legislative requirements, or other factors, also may impact the stability or accuracy of ou</w:t>
      </w:r>
      <w:r>
        <w:rPr>
          <w:rFonts w:ascii="Times New Roman" w:eastAsia="宋体" w:hAnsi="Times New Roman"/>
          <w:color w:val="000000"/>
          <w:sz w:val="20"/>
          <w:szCs w:val="20"/>
        </w:rPr>
        <w:t>r estimates of duplicate and false accounts. Our estimates also may change as our methodologies evolve, including through the application of new data signals or technologies or product changes that may allow us to identify previously undetected duplicate o</w:t>
      </w:r>
      <w:r>
        <w:rPr>
          <w:rFonts w:ascii="Times New Roman" w:eastAsia="宋体" w:hAnsi="Times New Roman"/>
          <w:color w:val="000000"/>
          <w:sz w:val="20"/>
          <w:szCs w:val="20"/>
        </w:rPr>
        <w:t>r false accounts and may improve our ability to evaluate a broader population of our users. Duplicate and false accounts are very difficult to measure at our scale, and it is possible that the actual number of duplicate and false accounts may vary signific</w:t>
      </w:r>
      <w:r>
        <w:rPr>
          <w:rFonts w:ascii="Times New Roman" w:eastAsia="宋体" w:hAnsi="Times New Roman"/>
          <w:color w:val="000000"/>
          <w:sz w:val="20"/>
          <w:szCs w:val="20"/>
        </w:rPr>
        <w:t>antly from our estimates.</w:t>
      </w:r>
    </w:p>
    <w:p w14:paraId="0B2F9D65" w14:textId="77777777" w:rsidR="007F1775" w:rsidRDefault="007F1775"/>
    <w:p w14:paraId="0B2F9D66" w14:textId="77777777" w:rsidR="007F1775" w:rsidRDefault="000F083E">
      <w:pPr>
        <w:ind w:firstLine="540"/>
        <w:jc w:val="both"/>
      </w:pPr>
      <w:r>
        <w:rPr>
          <w:rFonts w:ascii="Times New Roman" w:eastAsia="宋体" w:hAnsi="Times New Roman"/>
          <w:color w:val="000000"/>
          <w:sz w:val="20"/>
          <w:szCs w:val="20"/>
        </w:rPr>
        <w:t>In the fourth quarter of 2021, we estimated that duplicate accounts may have represented approximately 11% of our worldwide MAUs. We believe the percentage of duplicate accounts is meaningfully higher in developing markets such as the Philippines and Vietn</w:t>
      </w:r>
      <w:r>
        <w:rPr>
          <w:rFonts w:ascii="Times New Roman" w:eastAsia="宋体" w:hAnsi="Times New Roman"/>
          <w:color w:val="000000"/>
          <w:sz w:val="20"/>
          <w:szCs w:val="20"/>
        </w:rPr>
        <w:t>am, as compared to more developed markets. In the fourth quarter of 2021, we estimated that false accounts may have represented approximately 5% of our worldwide MAUs. Our estimation of false accounts can vary as a result of episodic spikes in the creation</w:t>
      </w:r>
      <w:r>
        <w:rPr>
          <w:rFonts w:ascii="Times New Roman" w:eastAsia="宋体" w:hAnsi="Times New Roman"/>
          <w:color w:val="000000"/>
          <w:sz w:val="20"/>
          <w:szCs w:val="20"/>
        </w:rPr>
        <w:t xml:space="preserve"> of such accounts, which we have seen originate more frequently in specific countries </w:t>
      </w:r>
    </w:p>
    <w:p w14:paraId="0B2F9D67" w14:textId="77777777" w:rsidR="007F1775" w:rsidRDefault="000F083E">
      <w:pPr>
        <w:jc w:val="center"/>
      </w:pPr>
      <w:r>
        <w:rPr>
          <w:rFonts w:ascii="Times New Roman" w:eastAsia="宋体" w:hAnsi="Times New Roman"/>
          <w:color w:val="000000"/>
          <w:sz w:val="20"/>
          <w:szCs w:val="20"/>
        </w:rPr>
        <w:t>5</w:t>
      </w:r>
    </w:p>
    <w:p w14:paraId="0B2F9D68" w14:textId="77777777" w:rsidR="007F1775" w:rsidRDefault="000F083E">
      <w:r>
        <w:pict w14:anchorId="0B2FBF66">
          <v:rect id="_x0000_i1029" style="width:415.3pt;height:1.5pt" o:hralign="center" o:hrstd="t" o:hr="t" fillcolor="#a0a0a0" stroked="f"/>
        </w:pict>
      </w:r>
    </w:p>
    <w:p w14:paraId="0B2F9D69" w14:textId="77777777" w:rsidR="007F1775" w:rsidRDefault="007F1775"/>
    <w:p w14:paraId="0B2F9D6A" w14:textId="77777777" w:rsidR="007F1775" w:rsidRDefault="007F1775"/>
    <w:p w14:paraId="0B2F9D6B" w14:textId="77777777" w:rsidR="007F1775" w:rsidRDefault="000F083E">
      <w:hyperlink r:id="rId83" w:anchor="iea70e328caa94cefb76a9db6ed6338fc_7" w:history="1">
        <w:r>
          <w:rPr>
            <w:rStyle w:val="a5"/>
            <w:rFonts w:ascii="Times New Roman" w:eastAsia="宋体" w:hAnsi="Times New Roman"/>
            <w:sz w:val="20"/>
            <w:szCs w:val="20"/>
          </w:rPr>
          <w:t>Table of Cont</w:t>
        </w:r>
        <w:r>
          <w:rPr>
            <w:rStyle w:val="a5"/>
            <w:rFonts w:ascii="Times New Roman" w:eastAsia="宋体" w:hAnsi="Times New Roman"/>
            <w:sz w:val="20"/>
            <w:szCs w:val="20"/>
          </w:rPr>
          <w:t>ents</w:t>
        </w:r>
      </w:hyperlink>
    </w:p>
    <w:p w14:paraId="0B2F9D6C" w14:textId="77777777" w:rsidR="007F1775" w:rsidRDefault="000F083E">
      <w:pPr>
        <w:jc w:val="both"/>
      </w:pPr>
      <w:r>
        <w:rPr>
          <w:rFonts w:ascii="Times New Roman" w:eastAsia="宋体" w:hAnsi="Times New Roman"/>
          <w:color w:val="000000"/>
          <w:sz w:val="20"/>
          <w:szCs w:val="20"/>
        </w:rPr>
        <w:t>such as Indonesia, Nigeria, and Vietnam. From time to time, we disable certain user accounts, make product changes, or take other actions to reduce the number of duplicate or false accounts among our users, which may also reduce our DAU and MAU est</w:t>
      </w:r>
      <w:r>
        <w:rPr>
          <w:rFonts w:ascii="Times New Roman" w:eastAsia="宋体" w:hAnsi="Times New Roman"/>
          <w:color w:val="000000"/>
          <w:sz w:val="20"/>
          <w:szCs w:val="20"/>
        </w:rPr>
        <w:t>imates in a particular period. We intend to disclose our estimates of the number of duplicate and false accounts among our MAUs on an annual basis.</w:t>
      </w:r>
    </w:p>
    <w:p w14:paraId="0B2F9D6D" w14:textId="77777777" w:rsidR="007F1775" w:rsidRDefault="007F1775">
      <w:pPr>
        <w:ind w:firstLine="540"/>
        <w:jc w:val="both"/>
      </w:pPr>
    </w:p>
    <w:p w14:paraId="0B2F9D6E" w14:textId="77777777" w:rsidR="007F1775" w:rsidRDefault="000F083E">
      <w:pPr>
        <w:ind w:firstLine="540"/>
        <w:jc w:val="both"/>
      </w:pPr>
      <w:r>
        <w:rPr>
          <w:rFonts w:ascii="Times New Roman" w:eastAsia="宋体" w:hAnsi="Times New Roman"/>
          <w:color w:val="000000"/>
          <w:sz w:val="20"/>
          <w:szCs w:val="20"/>
        </w:rPr>
        <w:t>The numbers of DAUs and MAUs discussed in this Quarterly Report on Form 10-Q, as well as ARPU, do not inclu</w:t>
      </w:r>
      <w:r>
        <w:rPr>
          <w:rFonts w:ascii="Times New Roman" w:eastAsia="宋体" w:hAnsi="Times New Roman"/>
          <w:color w:val="000000"/>
          <w:sz w:val="20"/>
          <w:szCs w:val="20"/>
        </w:rPr>
        <w:t>de users on Instagram, WhatsApp, or our other products, unless they would otherwise qualify as DAUs or MAUs, respectively, based on their other activities on Facebook.</w:t>
      </w:r>
    </w:p>
    <w:p w14:paraId="0B2F9D6F" w14:textId="77777777" w:rsidR="007F1775" w:rsidRDefault="007F1775">
      <w:pPr>
        <w:ind w:firstLine="540"/>
        <w:jc w:val="both"/>
      </w:pPr>
    </w:p>
    <w:p w14:paraId="0B2F9D70" w14:textId="77777777" w:rsidR="007F1775" w:rsidRDefault="000F083E">
      <w:r>
        <w:rPr>
          <w:rFonts w:ascii="Times New Roman" w:eastAsia="宋体" w:hAnsi="Times New Roman"/>
          <w:b/>
          <w:bCs/>
          <w:color w:val="000000"/>
          <w:sz w:val="20"/>
          <w:szCs w:val="20"/>
        </w:rPr>
        <w:t>User Geography</w:t>
      </w:r>
    </w:p>
    <w:p w14:paraId="0B2F9D71" w14:textId="77777777" w:rsidR="007F1775" w:rsidRDefault="007F1775"/>
    <w:p w14:paraId="0B2F9D72" w14:textId="77777777" w:rsidR="007F1775" w:rsidRDefault="000F083E">
      <w:pPr>
        <w:ind w:firstLine="540"/>
        <w:jc w:val="both"/>
      </w:pPr>
      <w:r>
        <w:rPr>
          <w:rFonts w:ascii="Times New Roman" w:eastAsia="宋体" w:hAnsi="Times New Roman"/>
          <w:color w:val="000000"/>
          <w:sz w:val="20"/>
          <w:szCs w:val="20"/>
        </w:rPr>
        <w:t>Our data regarding the geographic location of our users is estimated ba</w:t>
      </w:r>
      <w:r>
        <w:rPr>
          <w:rFonts w:ascii="Times New Roman" w:eastAsia="宋体" w:hAnsi="Times New Roman"/>
          <w:color w:val="000000"/>
          <w:sz w:val="20"/>
          <w:szCs w:val="20"/>
        </w:rPr>
        <w:t>sed on a number of factors, such as the user's IP address and self-disclosed location. These factors may not always accurately reflect the user's actual location. For example, a user may appear to be accessing Facebook from the location of the proxy server</w:t>
      </w:r>
      <w:r>
        <w:rPr>
          <w:rFonts w:ascii="Times New Roman" w:eastAsia="宋体" w:hAnsi="Times New Roman"/>
          <w:color w:val="000000"/>
          <w:sz w:val="20"/>
          <w:szCs w:val="20"/>
        </w:rPr>
        <w:t xml:space="preserve"> that the user connects to rather than from the user's actual location. The methodologies used to measure our metrics are also susceptible to algorithm or other technical errors, and our estimates for revenue by user location and revenue by user device are</w:t>
      </w:r>
      <w:r>
        <w:rPr>
          <w:rFonts w:ascii="Times New Roman" w:eastAsia="宋体" w:hAnsi="Times New Roman"/>
          <w:color w:val="000000"/>
          <w:sz w:val="20"/>
          <w:szCs w:val="20"/>
        </w:rPr>
        <w:t xml:space="preserve"> also affected by these factors.</w:t>
      </w:r>
    </w:p>
    <w:p w14:paraId="0B2F9D73" w14:textId="77777777" w:rsidR="007F1775" w:rsidRDefault="007F1775">
      <w:pPr>
        <w:ind w:firstLine="540"/>
        <w:jc w:val="both"/>
      </w:pPr>
    </w:p>
    <w:p w14:paraId="0B2F9D74" w14:textId="77777777" w:rsidR="007F1775" w:rsidRDefault="000F083E">
      <w:pPr>
        <w:jc w:val="center"/>
      </w:pPr>
      <w:r>
        <w:rPr>
          <w:rFonts w:ascii="Times New Roman" w:eastAsia="宋体" w:hAnsi="Times New Roman"/>
          <w:color w:val="000000"/>
          <w:sz w:val="20"/>
          <w:szCs w:val="20"/>
        </w:rPr>
        <w:t>6</w:t>
      </w:r>
    </w:p>
    <w:p w14:paraId="0B2F9D75" w14:textId="77777777" w:rsidR="007F1775" w:rsidRDefault="000F083E">
      <w:r>
        <w:pict w14:anchorId="0B2FBF67">
          <v:rect id="_x0000_i1030" style="width:415.3pt;height:1.5pt" o:hralign="center" o:hrstd="t" o:hr="t" fillcolor="#a0a0a0" stroked="f"/>
        </w:pict>
      </w:r>
    </w:p>
    <w:p w14:paraId="0B2F9D76" w14:textId="77777777" w:rsidR="007F1775" w:rsidRDefault="007F1775"/>
    <w:p w14:paraId="0B2F9D77" w14:textId="77777777" w:rsidR="007F1775" w:rsidRDefault="007F1775"/>
    <w:p w14:paraId="0B2F9D78" w14:textId="77777777" w:rsidR="007F1775" w:rsidRDefault="000F083E">
      <w:hyperlink r:id="rId84" w:anchor="iea70e328caa94cefb76a9db6ed6338fc_7" w:history="1">
        <w:r>
          <w:rPr>
            <w:rStyle w:val="a5"/>
            <w:rFonts w:ascii="Times New Roman" w:eastAsia="宋体" w:hAnsi="Times New Roman"/>
            <w:sz w:val="20"/>
            <w:szCs w:val="20"/>
          </w:rPr>
          <w:t>Table of Contents</w:t>
        </w:r>
      </w:hyperlink>
    </w:p>
    <w:p w14:paraId="0B2F9D79" w14:textId="77777777" w:rsidR="007F1775" w:rsidRDefault="000F083E">
      <w:r>
        <w:rPr>
          <w:rFonts w:ascii="Times New Roman" w:eastAsia="宋体" w:hAnsi="Times New Roman"/>
          <w:b/>
          <w:bCs/>
          <w:color w:val="000000"/>
          <w:sz w:val="20"/>
          <w:szCs w:val="20"/>
        </w:rPr>
        <w:t>PART I—FINANCIAL INFORMATION</w:t>
      </w:r>
    </w:p>
    <w:p w14:paraId="0B2F9D7A" w14:textId="77777777" w:rsidR="007F1775" w:rsidRDefault="000F083E">
      <w:pPr>
        <w:pBdr>
          <w:left w:val="none" w:sz="0" w:space="0" w:color="auto"/>
        </w:pBdr>
        <w:spacing w:before="100"/>
        <w:ind w:hanging="360"/>
      </w:pPr>
      <w:r>
        <w:rPr>
          <w:rFonts w:ascii="Times New Roman" w:eastAsia="宋体" w:hAnsi="Times New Roman"/>
          <w:b/>
          <w:bCs/>
          <w:color w:val="000000"/>
          <w:sz w:val="20"/>
          <w:szCs w:val="20"/>
        </w:rPr>
        <w:t>Item 1.Financial</w:t>
      </w:r>
      <w:r>
        <w:rPr>
          <w:rFonts w:ascii="Times New Roman" w:eastAsia="宋体" w:hAnsi="Times New Roman"/>
          <w:b/>
          <w:bCs/>
          <w:color w:val="000000"/>
          <w:sz w:val="20"/>
          <w:szCs w:val="20"/>
        </w:rPr>
        <w:t xml:space="preserve"> Statements</w:t>
      </w:r>
    </w:p>
    <w:p w14:paraId="0B2F9D7B" w14:textId="77777777" w:rsidR="007F1775" w:rsidRDefault="000F083E">
      <w:pPr>
        <w:spacing w:before="180"/>
        <w:jc w:val="center"/>
      </w:pPr>
      <w:r>
        <w:rPr>
          <w:rFonts w:ascii="Times New Roman" w:eastAsia="宋体" w:hAnsi="Times New Roman"/>
          <w:b/>
          <w:bCs/>
          <w:color w:val="000000"/>
          <w:sz w:val="20"/>
          <w:szCs w:val="20"/>
        </w:rPr>
        <w:t xml:space="preserve">META PLATFORMS, INC. </w:t>
      </w:r>
    </w:p>
    <w:p w14:paraId="0B2F9D7C" w14:textId="77777777" w:rsidR="007F1775" w:rsidRDefault="000F083E">
      <w:pPr>
        <w:jc w:val="center"/>
      </w:pPr>
      <w:r>
        <w:rPr>
          <w:rFonts w:ascii="Times New Roman" w:eastAsia="宋体" w:hAnsi="Times New Roman"/>
          <w:b/>
          <w:bCs/>
          <w:color w:val="000000"/>
          <w:sz w:val="20"/>
          <w:szCs w:val="20"/>
        </w:rPr>
        <w:t>CONDENSED CONSOLIDATED BALANCE SHEETS</w:t>
      </w:r>
    </w:p>
    <w:p w14:paraId="0B2F9D7D" w14:textId="77777777" w:rsidR="007F1775" w:rsidRDefault="000F083E">
      <w:pPr>
        <w:jc w:val="center"/>
      </w:pPr>
      <w:r>
        <w:rPr>
          <w:rFonts w:ascii="Times New Roman" w:eastAsia="宋体" w:hAnsi="Times New Roman"/>
          <w:i/>
          <w:iCs/>
          <w:color w:val="000000"/>
          <w:sz w:val="18"/>
          <w:szCs w:val="18"/>
        </w:rPr>
        <w:t>(In millions, except for number of shares and par value)</w:t>
      </w:r>
    </w:p>
    <w:p w14:paraId="0B2F9D7E" w14:textId="77777777" w:rsidR="007F1775" w:rsidRDefault="000F083E">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8"/>
        <w:gridCol w:w="120"/>
        <w:gridCol w:w="944"/>
        <w:gridCol w:w="36"/>
        <w:gridCol w:w="36"/>
        <w:gridCol w:w="36"/>
        <w:gridCol w:w="36"/>
        <w:gridCol w:w="120"/>
        <w:gridCol w:w="912"/>
        <w:gridCol w:w="36"/>
      </w:tblGrid>
      <w:tr w:rsidR="007F1775" w14:paraId="0B2F9D8B" w14:textId="77777777">
        <w:trPr>
          <w:jc w:val="center"/>
        </w:trPr>
        <w:tc>
          <w:tcPr>
            <w:tcW w:w="50" w:type="pct"/>
            <w:shd w:val="clear" w:color="auto" w:fill="auto"/>
            <w:vAlign w:val="bottom"/>
          </w:tcPr>
          <w:p w14:paraId="0B2F9D7F" w14:textId="77777777" w:rsidR="007F1775" w:rsidRDefault="007F1775">
            <w:pPr>
              <w:rPr>
                <w:rFonts w:ascii="宋体"/>
              </w:rPr>
            </w:pPr>
          </w:p>
        </w:tc>
        <w:tc>
          <w:tcPr>
            <w:tcW w:w="3613" w:type="pct"/>
            <w:shd w:val="clear" w:color="auto" w:fill="auto"/>
            <w:vAlign w:val="bottom"/>
          </w:tcPr>
          <w:p w14:paraId="0B2F9D80" w14:textId="77777777" w:rsidR="007F1775" w:rsidRDefault="007F1775">
            <w:pPr>
              <w:rPr>
                <w:rFonts w:ascii="宋体"/>
              </w:rPr>
            </w:pPr>
          </w:p>
        </w:tc>
        <w:tc>
          <w:tcPr>
            <w:tcW w:w="5" w:type="pct"/>
            <w:shd w:val="clear" w:color="auto" w:fill="auto"/>
            <w:vAlign w:val="bottom"/>
          </w:tcPr>
          <w:p w14:paraId="0B2F9D81" w14:textId="77777777" w:rsidR="007F1775" w:rsidRDefault="007F1775">
            <w:pPr>
              <w:rPr>
                <w:rFonts w:ascii="宋体"/>
              </w:rPr>
            </w:pPr>
          </w:p>
        </w:tc>
        <w:tc>
          <w:tcPr>
            <w:tcW w:w="50" w:type="pct"/>
            <w:shd w:val="clear" w:color="auto" w:fill="auto"/>
            <w:vAlign w:val="bottom"/>
          </w:tcPr>
          <w:p w14:paraId="0B2F9D82" w14:textId="77777777" w:rsidR="007F1775" w:rsidRDefault="007F1775">
            <w:pPr>
              <w:rPr>
                <w:rFonts w:ascii="宋体"/>
              </w:rPr>
            </w:pPr>
          </w:p>
        </w:tc>
        <w:tc>
          <w:tcPr>
            <w:tcW w:w="592" w:type="pct"/>
            <w:shd w:val="clear" w:color="auto" w:fill="auto"/>
            <w:vAlign w:val="bottom"/>
          </w:tcPr>
          <w:p w14:paraId="0B2F9D83" w14:textId="77777777" w:rsidR="007F1775" w:rsidRDefault="007F1775">
            <w:pPr>
              <w:rPr>
                <w:rFonts w:ascii="宋体"/>
              </w:rPr>
            </w:pPr>
          </w:p>
        </w:tc>
        <w:tc>
          <w:tcPr>
            <w:tcW w:w="5" w:type="pct"/>
            <w:shd w:val="clear" w:color="auto" w:fill="auto"/>
            <w:vAlign w:val="bottom"/>
          </w:tcPr>
          <w:p w14:paraId="0B2F9D84" w14:textId="77777777" w:rsidR="007F1775" w:rsidRDefault="007F1775">
            <w:pPr>
              <w:rPr>
                <w:rFonts w:ascii="宋体"/>
              </w:rPr>
            </w:pPr>
          </w:p>
        </w:tc>
        <w:tc>
          <w:tcPr>
            <w:tcW w:w="5" w:type="pct"/>
            <w:shd w:val="clear" w:color="auto" w:fill="auto"/>
            <w:vAlign w:val="bottom"/>
          </w:tcPr>
          <w:p w14:paraId="0B2F9D85" w14:textId="77777777" w:rsidR="007F1775" w:rsidRDefault="007F1775">
            <w:pPr>
              <w:rPr>
                <w:rFonts w:ascii="宋体"/>
              </w:rPr>
            </w:pPr>
          </w:p>
        </w:tc>
        <w:tc>
          <w:tcPr>
            <w:tcW w:w="27" w:type="pct"/>
            <w:shd w:val="clear" w:color="auto" w:fill="auto"/>
            <w:vAlign w:val="bottom"/>
          </w:tcPr>
          <w:p w14:paraId="0B2F9D86" w14:textId="77777777" w:rsidR="007F1775" w:rsidRDefault="007F1775">
            <w:pPr>
              <w:rPr>
                <w:rFonts w:ascii="宋体"/>
              </w:rPr>
            </w:pPr>
          </w:p>
        </w:tc>
        <w:tc>
          <w:tcPr>
            <w:tcW w:w="5" w:type="pct"/>
            <w:shd w:val="clear" w:color="auto" w:fill="auto"/>
            <w:vAlign w:val="bottom"/>
          </w:tcPr>
          <w:p w14:paraId="0B2F9D87" w14:textId="77777777" w:rsidR="007F1775" w:rsidRDefault="007F1775">
            <w:pPr>
              <w:rPr>
                <w:rFonts w:ascii="宋体"/>
              </w:rPr>
            </w:pPr>
          </w:p>
        </w:tc>
        <w:tc>
          <w:tcPr>
            <w:tcW w:w="50" w:type="pct"/>
            <w:shd w:val="clear" w:color="auto" w:fill="auto"/>
            <w:vAlign w:val="bottom"/>
          </w:tcPr>
          <w:p w14:paraId="0B2F9D88" w14:textId="77777777" w:rsidR="007F1775" w:rsidRDefault="007F1775">
            <w:pPr>
              <w:rPr>
                <w:rFonts w:ascii="宋体"/>
              </w:rPr>
            </w:pPr>
          </w:p>
        </w:tc>
        <w:tc>
          <w:tcPr>
            <w:tcW w:w="592" w:type="pct"/>
            <w:shd w:val="clear" w:color="auto" w:fill="auto"/>
            <w:vAlign w:val="bottom"/>
          </w:tcPr>
          <w:p w14:paraId="0B2F9D89" w14:textId="77777777" w:rsidR="007F1775" w:rsidRDefault="007F1775">
            <w:pPr>
              <w:rPr>
                <w:rFonts w:ascii="宋体"/>
              </w:rPr>
            </w:pPr>
          </w:p>
        </w:tc>
        <w:tc>
          <w:tcPr>
            <w:tcW w:w="5" w:type="pct"/>
            <w:shd w:val="clear" w:color="auto" w:fill="auto"/>
            <w:vAlign w:val="bottom"/>
          </w:tcPr>
          <w:p w14:paraId="0B2F9D8A" w14:textId="77777777" w:rsidR="007F1775" w:rsidRDefault="007F1775">
            <w:pPr>
              <w:rPr>
                <w:rFonts w:ascii="宋体"/>
              </w:rPr>
            </w:pPr>
          </w:p>
        </w:tc>
      </w:tr>
      <w:tr w:rsidR="007F1775" w14:paraId="0B2F9D90" w14:textId="77777777">
        <w:trPr>
          <w:jc w:val="center"/>
        </w:trPr>
        <w:tc>
          <w:tcPr>
            <w:tcW w:w="0" w:type="auto"/>
            <w:gridSpan w:val="3"/>
            <w:shd w:val="clear" w:color="auto" w:fill="auto"/>
            <w:tcMar>
              <w:top w:w="0" w:type="dxa"/>
              <w:left w:w="20" w:type="dxa"/>
              <w:bottom w:w="0" w:type="dxa"/>
              <w:right w:w="20" w:type="dxa"/>
            </w:tcMar>
            <w:vAlign w:val="bottom"/>
          </w:tcPr>
          <w:p w14:paraId="0B2F9D8C"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9D8D" w14:textId="77777777" w:rsidR="007F1775" w:rsidRDefault="000F083E">
            <w:pPr>
              <w:jc w:val="center"/>
              <w:textAlignment w:val="bottom"/>
            </w:pPr>
            <w:r>
              <w:rPr>
                <w:rFonts w:ascii="Times New Roman" w:eastAsia="宋体" w:hAnsi="Times New Roman"/>
                <w:b/>
                <w:bCs/>
                <w:color w:val="000000"/>
                <w:sz w:val="16"/>
                <w:szCs w:val="16"/>
              </w:rPr>
              <w:t>March 31,</w:t>
            </w:r>
            <w:r>
              <w:rPr>
                <w:rFonts w:ascii="Times New Roman" w:eastAsia="宋体" w:hAnsi="Times New Roman"/>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0B2F9D8E"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9D8F" w14:textId="77777777" w:rsidR="007F1775" w:rsidRDefault="000F083E">
            <w:pPr>
              <w:jc w:val="center"/>
              <w:textAlignment w:val="bottom"/>
            </w:pPr>
            <w:r>
              <w:rPr>
                <w:rFonts w:ascii="Times New Roman" w:eastAsia="宋体" w:hAnsi="Times New Roman"/>
                <w:b/>
                <w:bCs/>
                <w:color w:val="000000"/>
                <w:sz w:val="16"/>
                <w:szCs w:val="16"/>
              </w:rPr>
              <w:t>December 31,</w:t>
            </w:r>
            <w:r>
              <w:rPr>
                <w:rFonts w:ascii="Times New Roman" w:eastAsia="宋体" w:hAnsi="Times New Roman"/>
                <w:b/>
                <w:bCs/>
                <w:color w:val="000000"/>
                <w:sz w:val="16"/>
                <w:szCs w:val="16"/>
              </w:rPr>
              <w:br/>
              <w:t>2021</w:t>
            </w:r>
          </w:p>
        </w:tc>
      </w:tr>
      <w:tr w:rsidR="007F1775" w14:paraId="0B2F9D95" w14:textId="77777777">
        <w:trPr>
          <w:jc w:val="center"/>
        </w:trPr>
        <w:tc>
          <w:tcPr>
            <w:tcW w:w="0" w:type="auto"/>
            <w:gridSpan w:val="3"/>
            <w:shd w:val="clear" w:color="auto" w:fill="CCEEFF"/>
            <w:tcMar>
              <w:top w:w="40" w:type="dxa"/>
              <w:left w:w="20" w:type="dxa"/>
              <w:bottom w:w="40" w:type="dxa"/>
              <w:right w:w="20" w:type="dxa"/>
            </w:tcMar>
          </w:tcPr>
          <w:p w14:paraId="0B2F9D91" w14:textId="77777777" w:rsidR="007F1775" w:rsidRDefault="000F083E">
            <w:pPr>
              <w:textAlignment w:val="top"/>
            </w:pPr>
            <w:r>
              <w:rPr>
                <w:rFonts w:ascii="Times New Roman" w:eastAsia="宋体" w:hAnsi="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9D92"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9D93"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9D94" w14:textId="77777777" w:rsidR="007F1775" w:rsidRDefault="007F1775">
            <w:pPr>
              <w:rPr>
                <w:rFonts w:ascii="宋体"/>
              </w:rPr>
            </w:pPr>
          </w:p>
        </w:tc>
      </w:tr>
      <w:tr w:rsidR="007F1775" w14:paraId="0B2F9D9A" w14:textId="77777777">
        <w:trPr>
          <w:jc w:val="center"/>
        </w:trPr>
        <w:tc>
          <w:tcPr>
            <w:tcW w:w="0" w:type="auto"/>
            <w:gridSpan w:val="3"/>
            <w:shd w:val="clear" w:color="auto" w:fill="FFFFFF"/>
            <w:tcMar>
              <w:top w:w="40" w:type="dxa"/>
              <w:left w:w="20" w:type="dxa"/>
              <w:bottom w:w="40" w:type="dxa"/>
              <w:right w:w="20" w:type="dxa"/>
            </w:tcMar>
          </w:tcPr>
          <w:p w14:paraId="0B2F9D96" w14:textId="77777777" w:rsidR="007F1775" w:rsidRDefault="000F083E">
            <w:pPr>
              <w:textAlignment w:val="top"/>
            </w:pPr>
            <w:r>
              <w:rPr>
                <w:rFonts w:ascii="Times New Roman" w:eastAsia="宋体" w:hAnsi="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0B2F9D97"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D98"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D99" w14:textId="77777777" w:rsidR="007F1775" w:rsidRDefault="007F1775">
            <w:pPr>
              <w:rPr>
                <w:rFonts w:ascii="宋体"/>
              </w:rPr>
            </w:pPr>
          </w:p>
        </w:tc>
      </w:tr>
      <w:tr w:rsidR="007F1775" w14:paraId="0B2F9DA3" w14:textId="77777777">
        <w:trPr>
          <w:jc w:val="center"/>
        </w:trPr>
        <w:tc>
          <w:tcPr>
            <w:tcW w:w="0" w:type="auto"/>
            <w:gridSpan w:val="3"/>
            <w:shd w:val="clear" w:color="auto" w:fill="CCEEFF"/>
            <w:tcMar>
              <w:top w:w="40" w:type="dxa"/>
              <w:left w:w="380" w:type="dxa"/>
              <w:bottom w:w="40" w:type="dxa"/>
              <w:right w:w="20" w:type="dxa"/>
            </w:tcMar>
          </w:tcPr>
          <w:p w14:paraId="0B2F9D9B" w14:textId="77777777" w:rsidR="007F1775" w:rsidRDefault="000F083E">
            <w:pPr>
              <w:ind w:hanging="180"/>
              <w:textAlignment w:val="top"/>
            </w:pPr>
            <w:r>
              <w:rPr>
                <w:rFonts w:ascii="Times New Roman" w:eastAsia="宋体" w:hAnsi="Times New Roman"/>
                <w:color w:val="000000"/>
                <w:sz w:val="20"/>
                <w:szCs w:val="20"/>
              </w:rPr>
              <w:t xml:space="preserve">Cash and cash </w:t>
            </w:r>
            <w:r>
              <w:rPr>
                <w:rFonts w:ascii="Times New Roman" w:eastAsia="宋体" w:hAnsi="Times New Roman"/>
                <w:color w:val="000000"/>
                <w:sz w:val="20"/>
                <w:szCs w:val="20"/>
              </w:rPr>
              <w:t>equivalents</w:t>
            </w:r>
          </w:p>
        </w:tc>
        <w:tc>
          <w:tcPr>
            <w:tcW w:w="0" w:type="auto"/>
            <w:shd w:val="clear" w:color="auto" w:fill="CCEEFF"/>
            <w:tcMar>
              <w:top w:w="40" w:type="dxa"/>
              <w:left w:w="20" w:type="dxa"/>
              <w:bottom w:w="40" w:type="dxa"/>
              <w:right w:w="0" w:type="dxa"/>
            </w:tcMar>
            <w:vAlign w:val="bottom"/>
          </w:tcPr>
          <w:p w14:paraId="0B2F9D9C"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9D9D" w14:textId="77777777" w:rsidR="007F1775" w:rsidRDefault="000F083E">
            <w:pPr>
              <w:jc w:val="right"/>
              <w:textAlignment w:val="bottom"/>
            </w:pPr>
            <w:r>
              <w:rPr>
                <w:rFonts w:ascii="Times New Roman" w:eastAsia="宋体" w:hAnsi="Times New Roman"/>
                <w:color w:val="000000"/>
                <w:sz w:val="20"/>
                <w:szCs w:val="20"/>
              </w:rPr>
              <w:t>14,886 </w:t>
            </w:r>
          </w:p>
        </w:tc>
        <w:tc>
          <w:tcPr>
            <w:tcW w:w="0" w:type="auto"/>
            <w:shd w:val="clear" w:color="auto" w:fill="CCEEFF"/>
            <w:tcMar>
              <w:top w:w="40" w:type="dxa"/>
              <w:left w:w="0" w:type="dxa"/>
              <w:bottom w:w="40" w:type="dxa"/>
              <w:right w:w="20" w:type="dxa"/>
            </w:tcMar>
            <w:vAlign w:val="bottom"/>
          </w:tcPr>
          <w:p w14:paraId="0B2F9D9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D9F"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9DA0"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9DA1" w14:textId="77777777" w:rsidR="007F1775" w:rsidRDefault="000F083E">
            <w:pPr>
              <w:jc w:val="right"/>
              <w:textAlignment w:val="bottom"/>
            </w:pPr>
            <w:r>
              <w:rPr>
                <w:rFonts w:ascii="Times New Roman" w:eastAsia="宋体" w:hAnsi="Times New Roman"/>
                <w:color w:val="000000"/>
                <w:sz w:val="20"/>
                <w:szCs w:val="20"/>
              </w:rPr>
              <w:t>16,601 </w:t>
            </w:r>
          </w:p>
        </w:tc>
        <w:tc>
          <w:tcPr>
            <w:tcW w:w="0" w:type="auto"/>
            <w:shd w:val="clear" w:color="auto" w:fill="CCEEFF"/>
            <w:tcMar>
              <w:top w:w="40" w:type="dxa"/>
              <w:left w:w="0" w:type="dxa"/>
              <w:bottom w:w="40" w:type="dxa"/>
              <w:right w:w="20" w:type="dxa"/>
            </w:tcMar>
            <w:vAlign w:val="bottom"/>
          </w:tcPr>
          <w:p w14:paraId="0B2F9DA2" w14:textId="77777777" w:rsidR="007F1775" w:rsidRDefault="007F1775">
            <w:pPr>
              <w:jc w:val="right"/>
              <w:rPr>
                <w:rFonts w:ascii="宋体"/>
              </w:rPr>
            </w:pPr>
          </w:p>
        </w:tc>
      </w:tr>
      <w:tr w:rsidR="007F1775" w14:paraId="0B2F9DAA" w14:textId="77777777">
        <w:trPr>
          <w:jc w:val="center"/>
        </w:trPr>
        <w:tc>
          <w:tcPr>
            <w:tcW w:w="0" w:type="auto"/>
            <w:gridSpan w:val="3"/>
            <w:shd w:val="clear" w:color="auto" w:fill="FFFFFF"/>
            <w:tcMar>
              <w:top w:w="40" w:type="dxa"/>
              <w:left w:w="380" w:type="dxa"/>
              <w:bottom w:w="40" w:type="dxa"/>
              <w:right w:w="20" w:type="dxa"/>
            </w:tcMar>
          </w:tcPr>
          <w:p w14:paraId="0B2F9DA4" w14:textId="77777777" w:rsidR="007F1775" w:rsidRDefault="000F083E">
            <w:pPr>
              <w:ind w:hanging="180"/>
              <w:textAlignment w:val="top"/>
            </w:pPr>
            <w:r>
              <w:rPr>
                <w:rFonts w:ascii="Times New Roman" w:eastAsia="宋体" w:hAnsi="Times New Roman"/>
                <w:color w:val="000000"/>
                <w:sz w:val="20"/>
                <w:szCs w:val="20"/>
              </w:rPr>
              <w:t>Marketable securities</w:t>
            </w:r>
          </w:p>
        </w:tc>
        <w:tc>
          <w:tcPr>
            <w:tcW w:w="0" w:type="auto"/>
            <w:gridSpan w:val="2"/>
            <w:shd w:val="clear" w:color="auto" w:fill="FFFFFF"/>
            <w:tcMar>
              <w:top w:w="40" w:type="dxa"/>
              <w:left w:w="20" w:type="dxa"/>
              <w:bottom w:w="40" w:type="dxa"/>
              <w:right w:w="0" w:type="dxa"/>
            </w:tcMar>
            <w:vAlign w:val="bottom"/>
          </w:tcPr>
          <w:p w14:paraId="0B2F9DA5" w14:textId="77777777" w:rsidR="007F1775" w:rsidRDefault="000F083E">
            <w:pPr>
              <w:jc w:val="right"/>
              <w:textAlignment w:val="bottom"/>
            </w:pPr>
            <w:r>
              <w:rPr>
                <w:rFonts w:ascii="Times New Roman" w:eastAsia="宋体" w:hAnsi="Times New Roman"/>
                <w:color w:val="000000"/>
                <w:sz w:val="20"/>
                <w:szCs w:val="20"/>
              </w:rPr>
              <w:t>29,004 </w:t>
            </w:r>
          </w:p>
        </w:tc>
        <w:tc>
          <w:tcPr>
            <w:tcW w:w="0" w:type="auto"/>
            <w:shd w:val="clear" w:color="auto" w:fill="FFFFFF"/>
            <w:tcMar>
              <w:top w:w="40" w:type="dxa"/>
              <w:left w:w="0" w:type="dxa"/>
              <w:bottom w:w="40" w:type="dxa"/>
              <w:right w:w="20" w:type="dxa"/>
            </w:tcMar>
            <w:vAlign w:val="bottom"/>
          </w:tcPr>
          <w:p w14:paraId="0B2F9DA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DA7"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DA8" w14:textId="77777777" w:rsidR="007F1775" w:rsidRDefault="000F083E">
            <w:pPr>
              <w:jc w:val="right"/>
              <w:textAlignment w:val="bottom"/>
            </w:pPr>
            <w:r>
              <w:rPr>
                <w:rFonts w:ascii="Times New Roman" w:eastAsia="宋体" w:hAnsi="Times New Roman"/>
                <w:color w:val="000000"/>
                <w:sz w:val="20"/>
                <w:szCs w:val="20"/>
              </w:rPr>
              <w:t>31,397 </w:t>
            </w:r>
          </w:p>
        </w:tc>
        <w:tc>
          <w:tcPr>
            <w:tcW w:w="0" w:type="auto"/>
            <w:shd w:val="clear" w:color="auto" w:fill="FFFFFF"/>
            <w:tcMar>
              <w:top w:w="40" w:type="dxa"/>
              <w:left w:w="0" w:type="dxa"/>
              <w:bottom w:w="40" w:type="dxa"/>
              <w:right w:w="20" w:type="dxa"/>
            </w:tcMar>
            <w:vAlign w:val="bottom"/>
          </w:tcPr>
          <w:p w14:paraId="0B2F9DA9" w14:textId="77777777" w:rsidR="007F1775" w:rsidRDefault="007F1775">
            <w:pPr>
              <w:jc w:val="right"/>
              <w:rPr>
                <w:rFonts w:ascii="宋体"/>
              </w:rPr>
            </w:pPr>
          </w:p>
        </w:tc>
      </w:tr>
      <w:tr w:rsidR="007F1775" w14:paraId="0B2F9DB1" w14:textId="77777777">
        <w:trPr>
          <w:jc w:val="center"/>
        </w:trPr>
        <w:tc>
          <w:tcPr>
            <w:tcW w:w="0" w:type="auto"/>
            <w:gridSpan w:val="3"/>
            <w:shd w:val="clear" w:color="auto" w:fill="CCEEFF"/>
            <w:tcMar>
              <w:top w:w="40" w:type="dxa"/>
              <w:left w:w="380" w:type="dxa"/>
              <w:bottom w:w="40" w:type="dxa"/>
              <w:right w:w="20" w:type="dxa"/>
            </w:tcMar>
          </w:tcPr>
          <w:p w14:paraId="0B2F9DAB" w14:textId="77777777" w:rsidR="007F1775" w:rsidRDefault="000F083E">
            <w:pPr>
              <w:ind w:hanging="180"/>
              <w:textAlignment w:val="top"/>
            </w:pPr>
            <w:r>
              <w:rPr>
                <w:rFonts w:ascii="Times New Roman" w:eastAsia="宋体" w:hAnsi="Times New Roman"/>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0B2F9DAC" w14:textId="77777777" w:rsidR="007F1775" w:rsidRDefault="000F083E">
            <w:pPr>
              <w:jc w:val="right"/>
              <w:textAlignment w:val="bottom"/>
            </w:pPr>
            <w:r>
              <w:rPr>
                <w:rFonts w:ascii="Times New Roman" w:eastAsia="宋体" w:hAnsi="Times New Roman"/>
                <w:color w:val="000000"/>
                <w:sz w:val="20"/>
                <w:szCs w:val="20"/>
              </w:rPr>
              <w:t>11,390 </w:t>
            </w:r>
          </w:p>
        </w:tc>
        <w:tc>
          <w:tcPr>
            <w:tcW w:w="0" w:type="auto"/>
            <w:shd w:val="clear" w:color="auto" w:fill="CCEEFF"/>
            <w:tcMar>
              <w:top w:w="40" w:type="dxa"/>
              <w:left w:w="0" w:type="dxa"/>
              <w:bottom w:w="40" w:type="dxa"/>
              <w:right w:w="20" w:type="dxa"/>
            </w:tcMar>
            <w:vAlign w:val="bottom"/>
          </w:tcPr>
          <w:p w14:paraId="0B2F9DA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DA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DAF" w14:textId="77777777" w:rsidR="007F1775" w:rsidRDefault="000F083E">
            <w:pPr>
              <w:jc w:val="right"/>
              <w:textAlignment w:val="bottom"/>
            </w:pPr>
            <w:r>
              <w:rPr>
                <w:rFonts w:ascii="Times New Roman" w:eastAsia="宋体" w:hAnsi="Times New Roman"/>
                <w:color w:val="000000"/>
                <w:sz w:val="20"/>
                <w:szCs w:val="20"/>
              </w:rPr>
              <w:t>14,039 </w:t>
            </w:r>
          </w:p>
        </w:tc>
        <w:tc>
          <w:tcPr>
            <w:tcW w:w="0" w:type="auto"/>
            <w:shd w:val="clear" w:color="auto" w:fill="CCEEFF"/>
            <w:tcMar>
              <w:top w:w="40" w:type="dxa"/>
              <w:left w:w="0" w:type="dxa"/>
              <w:bottom w:w="40" w:type="dxa"/>
              <w:right w:w="20" w:type="dxa"/>
            </w:tcMar>
            <w:vAlign w:val="bottom"/>
          </w:tcPr>
          <w:p w14:paraId="0B2F9DB0" w14:textId="77777777" w:rsidR="007F1775" w:rsidRDefault="007F1775">
            <w:pPr>
              <w:jc w:val="right"/>
              <w:rPr>
                <w:rFonts w:ascii="宋体"/>
              </w:rPr>
            </w:pPr>
          </w:p>
        </w:tc>
      </w:tr>
      <w:tr w:rsidR="007F1775" w14:paraId="0B2F9DB8" w14:textId="77777777">
        <w:trPr>
          <w:jc w:val="center"/>
        </w:trPr>
        <w:tc>
          <w:tcPr>
            <w:tcW w:w="0" w:type="auto"/>
            <w:gridSpan w:val="3"/>
            <w:shd w:val="clear" w:color="auto" w:fill="FFFFFF"/>
            <w:tcMar>
              <w:top w:w="40" w:type="dxa"/>
              <w:left w:w="380" w:type="dxa"/>
              <w:bottom w:w="40" w:type="dxa"/>
              <w:right w:w="20" w:type="dxa"/>
            </w:tcMar>
          </w:tcPr>
          <w:p w14:paraId="0B2F9DB2" w14:textId="77777777" w:rsidR="007F1775" w:rsidRDefault="000F083E">
            <w:pPr>
              <w:ind w:hanging="180"/>
              <w:textAlignment w:val="top"/>
            </w:pPr>
            <w:r>
              <w:rPr>
                <w:rFonts w:ascii="Times New Roman" w:eastAsia="宋体" w:hAnsi="Times New Roman"/>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0B2F9DB3" w14:textId="77777777" w:rsidR="007F1775" w:rsidRDefault="000F083E">
            <w:pPr>
              <w:jc w:val="right"/>
              <w:textAlignment w:val="bottom"/>
            </w:pPr>
            <w:r>
              <w:rPr>
                <w:rFonts w:ascii="Times New Roman" w:eastAsia="宋体" w:hAnsi="Times New Roman"/>
                <w:color w:val="000000"/>
                <w:sz w:val="20"/>
                <w:szCs w:val="20"/>
              </w:rPr>
              <w:t>3,985 </w:t>
            </w:r>
          </w:p>
        </w:tc>
        <w:tc>
          <w:tcPr>
            <w:tcW w:w="0" w:type="auto"/>
            <w:shd w:val="clear" w:color="auto" w:fill="FFFFFF"/>
            <w:tcMar>
              <w:top w:w="40" w:type="dxa"/>
              <w:left w:w="0" w:type="dxa"/>
              <w:bottom w:w="40" w:type="dxa"/>
              <w:right w:w="20" w:type="dxa"/>
            </w:tcMar>
            <w:vAlign w:val="bottom"/>
          </w:tcPr>
          <w:p w14:paraId="0B2F9DB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DB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DB6" w14:textId="77777777" w:rsidR="007F1775" w:rsidRDefault="000F083E">
            <w:pPr>
              <w:jc w:val="right"/>
              <w:textAlignment w:val="bottom"/>
            </w:pPr>
            <w:r>
              <w:rPr>
                <w:rFonts w:ascii="Times New Roman" w:eastAsia="宋体" w:hAnsi="Times New Roman"/>
                <w:color w:val="000000"/>
                <w:sz w:val="20"/>
                <w:szCs w:val="20"/>
              </w:rPr>
              <w:t>4,629 </w:t>
            </w:r>
          </w:p>
        </w:tc>
        <w:tc>
          <w:tcPr>
            <w:tcW w:w="0" w:type="auto"/>
            <w:shd w:val="clear" w:color="auto" w:fill="FFFFFF"/>
            <w:tcMar>
              <w:top w:w="40" w:type="dxa"/>
              <w:left w:w="0" w:type="dxa"/>
              <w:bottom w:w="40" w:type="dxa"/>
              <w:right w:w="20" w:type="dxa"/>
            </w:tcMar>
            <w:vAlign w:val="bottom"/>
          </w:tcPr>
          <w:p w14:paraId="0B2F9DB7" w14:textId="77777777" w:rsidR="007F1775" w:rsidRDefault="007F1775">
            <w:pPr>
              <w:jc w:val="right"/>
              <w:rPr>
                <w:rFonts w:ascii="宋体"/>
              </w:rPr>
            </w:pPr>
          </w:p>
        </w:tc>
      </w:tr>
      <w:tr w:rsidR="007F1775" w14:paraId="0B2F9DBF" w14:textId="77777777">
        <w:trPr>
          <w:jc w:val="center"/>
        </w:trPr>
        <w:tc>
          <w:tcPr>
            <w:tcW w:w="0" w:type="auto"/>
            <w:gridSpan w:val="3"/>
            <w:shd w:val="clear" w:color="auto" w:fill="CCEEFF"/>
            <w:tcMar>
              <w:top w:w="40" w:type="dxa"/>
              <w:left w:w="740" w:type="dxa"/>
              <w:bottom w:w="40" w:type="dxa"/>
              <w:right w:w="20" w:type="dxa"/>
            </w:tcMar>
          </w:tcPr>
          <w:p w14:paraId="0B2F9DB9" w14:textId="77777777" w:rsidR="007F1775" w:rsidRDefault="000F083E">
            <w:pPr>
              <w:ind w:hanging="360"/>
              <w:textAlignment w:val="top"/>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9DBA" w14:textId="77777777" w:rsidR="007F1775" w:rsidRDefault="000F083E">
            <w:pPr>
              <w:jc w:val="right"/>
              <w:textAlignment w:val="bottom"/>
            </w:pPr>
            <w:r>
              <w:rPr>
                <w:rFonts w:ascii="Times New Roman" w:eastAsia="宋体" w:hAnsi="Times New Roman"/>
                <w:color w:val="000000"/>
                <w:sz w:val="20"/>
                <w:szCs w:val="20"/>
              </w:rPr>
              <w:t>59,265 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DBB"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DBC"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9DBD" w14:textId="77777777" w:rsidR="007F1775" w:rsidRDefault="000F083E">
            <w:pPr>
              <w:jc w:val="right"/>
              <w:textAlignment w:val="bottom"/>
            </w:pPr>
            <w:r>
              <w:rPr>
                <w:rFonts w:ascii="Times New Roman" w:eastAsia="宋体" w:hAnsi="Times New Roman"/>
                <w:color w:val="000000"/>
                <w:sz w:val="20"/>
                <w:szCs w:val="20"/>
              </w:rPr>
              <w:t>66,666 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DBE" w14:textId="77777777" w:rsidR="007F1775" w:rsidRDefault="007F1775">
            <w:pPr>
              <w:jc w:val="right"/>
              <w:rPr>
                <w:rFonts w:ascii="宋体"/>
              </w:rPr>
            </w:pPr>
          </w:p>
        </w:tc>
      </w:tr>
      <w:tr w:rsidR="007F1775" w14:paraId="0B2F9DC6" w14:textId="77777777">
        <w:trPr>
          <w:jc w:val="center"/>
        </w:trPr>
        <w:tc>
          <w:tcPr>
            <w:tcW w:w="0" w:type="auto"/>
            <w:gridSpan w:val="3"/>
            <w:shd w:val="clear" w:color="auto" w:fill="FFFFFF"/>
            <w:tcMar>
              <w:top w:w="40" w:type="dxa"/>
              <w:left w:w="20" w:type="dxa"/>
              <w:bottom w:w="40" w:type="dxa"/>
              <w:right w:w="20" w:type="dxa"/>
            </w:tcMar>
          </w:tcPr>
          <w:p w14:paraId="0B2F9DC0" w14:textId="77777777" w:rsidR="007F1775" w:rsidRDefault="000F083E">
            <w:pPr>
              <w:textAlignment w:val="top"/>
            </w:pPr>
            <w:r>
              <w:rPr>
                <w:rFonts w:ascii="Times New Roman" w:eastAsia="宋体" w:hAnsi="Times New Roman"/>
                <w:color w:val="000000"/>
                <w:sz w:val="20"/>
                <w:szCs w:val="20"/>
              </w:rPr>
              <w:t>Equity investments</w:t>
            </w:r>
          </w:p>
        </w:tc>
        <w:tc>
          <w:tcPr>
            <w:tcW w:w="0" w:type="auto"/>
            <w:gridSpan w:val="2"/>
            <w:shd w:val="clear" w:color="auto" w:fill="FFFFFF"/>
            <w:tcMar>
              <w:top w:w="40" w:type="dxa"/>
              <w:left w:w="20" w:type="dxa"/>
              <w:bottom w:w="40" w:type="dxa"/>
              <w:right w:w="0" w:type="dxa"/>
            </w:tcMar>
            <w:vAlign w:val="bottom"/>
          </w:tcPr>
          <w:p w14:paraId="0B2F9DC1" w14:textId="77777777" w:rsidR="007F1775" w:rsidRDefault="000F083E">
            <w:pPr>
              <w:jc w:val="right"/>
              <w:textAlignment w:val="bottom"/>
            </w:pPr>
            <w:r>
              <w:rPr>
                <w:rFonts w:ascii="Times New Roman" w:eastAsia="宋体" w:hAnsi="Times New Roman"/>
                <w:color w:val="000000"/>
                <w:sz w:val="20"/>
                <w:szCs w:val="20"/>
              </w:rPr>
              <w:t>6,775 </w:t>
            </w:r>
          </w:p>
        </w:tc>
        <w:tc>
          <w:tcPr>
            <w:tcW w:w="0" w:type="auto"/>
            <w:shd w:val="clear" w:color="auto" w:fill="FFFFFF"/>
            <w:tcMar>
              <w:top w:w="40" w:type="dxa"/>
              <w:left w:w="0" w:type="dxa"/>
              <w:bottom w:w="40" w:type="dxa"/>
              <w:right w:w="20" w:type="dxa"/>
            </w:tcMar>
            <w:vAlign w:val="bottom"/>
          </w:tcPr>
          <w:p w14:paraId="0B2F9DC2"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DC3"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DC4" w14:textId="77777777" w:rsidR="007F1775" w:rsidRDefault="000F083E">
            <w:pPr>
              <w:jc w:val="right"/>
              <w:textAlignment w:val="bottom"/>
            </w:pPr>
            <w:r>
              <w:rPr>
                <w:rFonts w:ascii="Times New Roman" w:eastAsia="宋体" w:hAnsi="Times New Roman"/>
                <w:color w:val="000000"/>
                <w:sz w:val="20"/>
                <w:szCs w:val="20"/>
              </w:rPr>
              <w:t>6,775 </w:t>
            </w:r>
          </w:p>
        </w:tc>
        <w:tc>
          <w:tcPr>
            <w:tcW w:w="0" w:type="auto"/>
            <w:shd w:val="clear" w:color="auto" w:fill="FFFFFF"/>
            <w:tcMar>
              <w:top w:w="40" w:type="dxa"/>
              <w:left w:w="0" w:type="dxa"/>
              <w:bottom w:w="40" w:type="dxa"/>
              <w:right w:w="20" w:type="dxa"/>
            </w:tcMar>
            <w:vAlign w:val="bottom"/>
          </w:tcPr>
          <w:p w14:paraId="0B2F9DC5" w14:textId="77777777" w:rsidR="007F1775" w:rsidRDefault="007F1775">
            <w:pPr>
              <w:jc w:val="right"/>
              <w:rPr>
                <w:rFonts w:ascii="宋体"/>
              </w:rPr>
            </w:pPr>
          </w:p>
        </w:tc>
      </w:tr>
      <w:tr w:rsidR="007F1775" w14:paraId="0B2F9DCD" w14:textId="77777777">
        <w:trPr>
          <w:jc w:val="center"/>
        </w:trPr>
        <w:tc>
          <w:tcPr>
            <w:tcW w:w="0" w:type="auto"/>
            <w:gridSpan w:val="3"/>
            <w:shd w:val="clear" w:color="auto" w:fill="CCEEFF"/>
            <w:tcMar>
              <w:top w:w="40" w:type="dxa"/>
              <w:left w:w="20" w:type="dxa"/>
              <w:bottom w:w="40" w:type="dxa"/>
              <w:right w:w="20" w:type="dxa"/>
            </w:tcMar>
          </w:tcPr>
          <w:p w14:paraId="0B2F9DC7" w14:textId="77777777" w:rsidR="007F1775" w:rsidRDefault="000F083E">
            <w:pPr>
              <w:textAlignment w:val="top"/>
            </w:pPr>
            <w:r>
              <w:rPr>
                <w:rFonts w:ascii="Times New Roman" w:eastAsia="宋体" w:hAnsi="Times New Roman"/>
                <w:color w:val="000000"/>
                <w:sz w:val="20"/>
                <w:szCs w:val="20"/>
              </w:rPr>
              <w:t>Property and equipment, net</w:t>
            </w:r>
          </w:p>
        </w:tc>
        <w:tc>
          <w:tcPr>
            <w:tcW w:w="0" w:type="auto"/>
            <w:gridSpan w:val="2"/>
            <w:shd w:val="clear" w:color="auto" w:fill="CCEEFF"/>
            <w:tcMar>
              <w:top w:w="40" w:type="dxa"/>
              <w:left w:w="20" w:type="dxa"/>
              <w:bottom w:w="40" w:type="dxa"/>
              <w:right w:w="0" w:type="dxa"/>
            </w:tcMar>
            <w:vAlign w:val="bottom"/>
          </w:tcPr>
          <w:p w14:paraId="0B2F9DC8" w14:textId="77777777" w:rsidR="007F1775" w:rsidRDefault="000F083E">
            <w:pPr>
              <w:jc w:val="right"/>
              <w:textAlignment w:val="bottom"/>
            </w:pPr>
            <w:r>
              <w:rPr>
                <w:rFonts w:ascii="Times New Roman" w:eastAsia="宋体" w:hAnsi="Times New Roman"/>
                <w:color w:val="000000"/>
                <w:sz w:val="20"/>
                <w:szCs w:val="20"/>
              </w:rPr>
              <w:t>61,582 </w:t>
            </w:r>
          </w:p>
        </w:tc>
        <w:tc>
          <w:tcPr>
            <w:tcW w:w="0" w:type="auto"/>
            <w:shd w:val="clear" w:color="auto" w:fill="CCEEFF"/>
            <w:tcMar>
              <w:top w:w="40" w:type="dxa"/>
              <w:left w:w="0" w:type="dxa"/>
              <w:bottom w:w="40" w:type="dxa"/>
              <w:right w:w="20" w:type="dxa"/>
            </w:tcMar>
            <w:vAlign w:val="bottom"/>
          </w:tcPr>
          <w:p w14:paraId="0B2F9DC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DCA"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DCB" w14:textId="77777777" w:rsidR="007F1775" w:rsidRDefault="000F083E">
            <w:pPr>
              <w:jc w:val="right"/>
              <w:textAlignment w:val="bottom"/>
            </w:pPr>
            <w:r>
              <w:rPr>
                <w:rFonts w:ascii="Times New Roman" w:eastAsia="宋体" w:hAnsi="Times New Roman"/>
                <w:color w:val="000000"/>
                <w:sz w:val="20"/>
                <w:szCs w:val="20"/>
              </w:rPr>
              <w:t>57,809 </w:t>
            </w:r>
          </w:p>
        </w:tc>
        <w:tc>
          <w:tcPr>
            <w:tcW w:w="0" w:type="auto"/>
            <w:shd w:val="clear" w:color="auto" w:fill="CCEEFF"/>
            <w:tcMar>
              <w:top w:w="40" w:type="dxa"/>
              <w:left w:w="0" w:type="dxa"/>
              <w:bottom w:w="40" w:type="dxa"/>
              <w:right w:w="20" w:type="dxa"/>
            </w:tcMar>
            <w:vAlign w:val="bottom"/>
          </w:tcPr>
          <w:p w14:paraId="0B2F9DCC" w14:textId="77777777" w:rsidR="007F1775" w:rsidRDefault="007F1775">
            <w:pPr>
              <w:jc w:val="right"/>
              <w:rPr>
                <w:rFonts w:ascii="宋体"/>
              </w:rPr>
            </w:pPr>
          </w:p>
        </w:tc>
      </w:tr>
      <w:tr w:rsidR="007F1775" w14:paraId="0B2F9DD4" w14:textId="77777777">
        <w:trPr>
          <w:jc w:val="center"/>
        </w:trPr>
        <w:tc>
          <w:tcPr>
            <w:tcW w:w="0" w:type="auto"/>
            <w:gridSpan w:val="3"/>
            <w:shd w:val="clear" w:color="auto" w:fill="FFFFFF"/>
            <w:tcMar>
              <w:top w:w="40" w:type="dxa"/>
              <w:left w:w="20" w:type="dxa"/>
              <w:bottom w:w="40" w:type="dxa"/>
              <w:right w:w="20" w:type="dxa"/>
            </w:tcMar>
            <w:vAlign w:val="bottom"/>
          </w:tcPr>
          <w:p w14:paraId="0B2F9DCE" w14:textId="77777777" w:rsidR="007F1775" w:rsidRDefault="000F083E">
            <w:pPr>
              <w:textAlignment w:val="bottom"/>
            </w:pPr>
            <w:r>
              <w:rPr>
                <w:rFonts w:ascii="Times New Roman" w:eastAsia="宋体" w:hAnsi="Times New Roman"/>
                <w:color w:val="000000"/>
                <w:sz w:val="20"/>
                <w:szCs w:val="20"/>
              </w:rPr>
              <w:t>Operating lease right-of-use assets</w:t>
            </w:r>
          </w:p>
        </w:tc>
        <w:tc>
          <w:tcPr>
            <w:tcW w:w="0" w:type="auto"/>
            <w:gridSpan w:val="2"/>
            <w:shd w:val="clear" w:color="auto" w:fill="FFFFFF"/>
            <w:tcMar>
              <w:top w:w="40" w:type="dxa"/>
              <w:left w:w="20" w:type="dxa"/>
              <w:bottom w:w="40" w:type="dxa"/>
              <w:right w:w="0" w:type="dxa"/>
            </w:tcMar>
            <w:vAlign w:val="bottom"/>
          </w:tcPr>
          <w:p w14:paraId="0B2F9DCF" w14:textId="77777777" w:rsidR="007F1775" w:rsidRDefault="000F083E">
            <w:pPr>
              <w:jc w:val="right"/>
              <w:textAlignment w:val="bottom"/>
            </w:pPr>
            <w:r>
              <w:rPr>
                <w:rFonts w:ascii="Times New Roman" w:eastAsia="宋体" w:hAnsi="Times New Roman"/>
                <w:color w:val="000000"/>
                <w:sz w:val="20"/>
                <w:szCs w:val="20"/>
              </w:rPr>
              <w:t>12,241 </w:t>
            </w:r>
          </w:p>
        </w:tc>
        <w:tc>
          <w:tcPr>
            <w:tcW w:w="0" w:type="auto"/>
            <w:shd w:val="clear" w:color="auto" w:fill="FFFFFF"/>
            <w:tcMar>
              <w:top w:w="40" w:type="dxa"/>
              <w:left w:w="0" w:type="dxa"/>
              <w:bottom w:w="40" w:type="dxa"/>
              <w:right w:w="20" w:type="dxa"/>
            </w:tcMar>
            <w:vAlign w:val="bottom"/>
          </w:tcPr>
          <w:p w14:paraId="0B2F9DD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DD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DD2" w14:textId="77777777" w:rsidR="007F1775" w:rsidRDefault="000F083E">
            <w:pPr>
              <w:jc w:val="right"/>
              <w:textAlignment w:val="bottom"/>
            </w:pPr>
            <w:r>
              <w:rPr>
                <w:rFonts w:ascii="Times New Roman" w:eastAsia="宋体" w:hAnsi="Times New Roman"/>
                <w:color w:val="000000"/>
                <w:sz w:val="20"/>
                <w:szCs w:val="20"/>
              </w:rPr>
              <w:t>12,155 </w:t>
            </w:r>
          </w:p>
        </w:tc>
        <w:tc>
          <w:tcPr>
            <w:tcW w:w="0" w:type="auto"/>
            <w:shd w:val="clear" w:color="auto" w:fill="FFFFFF"/>
            <w:tcMar>
              <w:top w:w="40" w:type="dxa"/>
              <w:left w:w="0" w:type="dxa"/>
              <w:bottom w:w="40" w:type="dxa"/>
              <w:right w:w="20" w:type="dxa"/>
            </w:tcMar>
            <w:vAlign w:val="bottom"/>
          </w:tcPr>
          <w:p w14:paraId="0B2F9DD3" w14:textId="77777777" w:rsidR="007F1775" w:rsidRDefault="007F1775">
            <w:pPr>
              <w:jc w:val="right"/>
              <w:rPr>
                <w:rFonts w:ascii="宋体"/>
              </w:rPr>
            </w:pPr>
          </w:p>
        </w:tc>
      </w:tr>
      <w:tr w:rsidR="007F1775" w14:paraId="0B2F9DDB" w14:textId="77777777">
        <w:trPr>
          <w:jc w:val="center"/>
        </w:trPr>
        <w:tc>
          <w:tcPr>
            <w:tcW w:w="0" w:type="auto"/>
            <w:gridSpan w:val="3"/>
            <w:shd w:val="clear" w:color="auto" w:fill="CCEEFF"/>
            <w:tcMar>
              <w:top w:w="40" w:type="dxa"/>
              <w:left w:w="20" w:type="dxa"/>
              <w:bottom w:w="40" w:type="dxa"/>
              <w:right w:w="20" w:type="dxa"/>
            </w:tcMar>
          </w:tcPr>
          <w:p w14:paraId="0B2F9DD5" w14:textId="77777777" w:rsidR="007F1775" w:rsidRDefault="000F083E">
            <w:pPr>
              <w:textAlignment w:val="top"/>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bottom"/>
          </w:tcPr>
          <w:p w14:paraId="0B2F9DD6" w14:textId="77777777" w:rsidR="007F1775" w:rsidRDefault="000F083E">
            <w:pPr>
              <w:jc w:val="right"/>
              <w:textAlignment w:val="bottom"/>
            </w:pPr>
            <w:r>
              <w:rPr>
                <w:rFonts w:ascii="Times New Roman" w:eastAsia="宋体" w:hAnsi="Times New Roman"/>
                <w:color w:val="000000"/>
                <w:sz w:val="20"/>
                <w:szCs w:val="20"/>
              </w:rPr>
              <w:t>910 </w:t>
            </w:r>
          </w:p>
        </w:tc>
        <w:tc>
          <w:tcPr>
            <w:tcW w:w="0" w:type="auto"/>
            <w:shd w:val="clear" w:color="auto" w:fill="CCEEFF"/>
            <w:tcMar>
              <w:top w:w="40" w:type="dxa"/>
              <w:left w:w="0" w:type="dxa"/>
              <w:bottom w:w="40" w:type="dxa"/>
              <w:right w:w="20" w:type="dxa"/>
            </w:tcMar>
            <w:vAlign w:val="bottom"/>
          </w:tcPr>
          <w:p w14:paraId="0B2F9DD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DD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DD9" w14:textId="77777777" w:rsidR="007F1775" w:rsidRDefault="000F083E">
            <w:pPr>
              <w:jc w:val="right"/>
              <w:textAlignment w:val="bottom"/>
            </w:pPr>
            <w:r>
              <w:rPr>
                <w:rFonts w:ascii="Times New Roman" w:eastAsia="宋体" w:hAnsi="Times New Roman"/>
                <w:color w:val="000000"/>
                <w:sz w:val="20"/>
                <w:szCs w:val="20"/>
              </w:rPr>
              <w:t>634 </w:t>
            </w:r>
          </w:p>
        </w:tc>
        <w:tc>
          <w:tcPr>
            <w:tcW w:w="0" w:type="auto"/>
            <w:shd w:val="clear" w:color="auto" w:fill="CCEEFF"/>
            <w:tcMar>
              <w:top w:w="40" w:type="dxa"/>
              <w:left w:w="0" w:type="dxa"/>
              <w:bottom w:w="40" w:type="dxa"/>
              <w:right w:w="20" w:type="dxa"/>
            </w:tcMar>
            <w:vAlign w:val="bottom"/>
          </w:tcPr>
          <w:p w14:paraId="0B2F9DDA" w14:textId="77777777" w:rsidR="007F1775" w:rsidRDefault="007F1775">
            <w:pPr>
              <w:jc w:val="right"/>
              <w:rPr>
                <w:rFonts w:ascii="宋体"/>
              </w:rPr>
            </w:pPr>
          </w:p>
        </w:tc>
      </w:tr>
      <w:tr w:rsidR="007F1775" w14:paraId="0B2F9DE2" w14:textId="77777777">
        <w:trPr>
          <w:jc w:val="center"/>
        </w:trPr>
        <w:tc>
          <w:tcPr>
            <w:tcW w:w="0" w:type="auto"/>
            <w:gridSpan w:val="3"/>
            <w:shd w:val="clear" w:color="auto" w:fill="FFFFFF"/>
            <w:tcMar>
              <w:top w:w="40" w:type="dxa"/>
              <w:left w:w="20" w:type="dxa"/>
              <w:bottom w:w="40" w:type="dxa"/>
              <w:right w:w="20" w:type="dxa"/>
            </w:tcMar>
          </w:tcPr>
          <w:p w14:paraId="0B2F9DDC" w14:textId="77777777" w:rsidR="007F1775" w:rsidRDefault="000F083E">
            <w:pPr>
              <w:textAlignment w:val="top"/>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0B2F9DDD" w14:textId="77777777" w:rsidR="007F1775" w:rsidRDefault="000F083E">
            <w:pPr>
              <w:jc w:val="right"/>
              <w:textAlignment w:val="bottom"/>
            </w:pPr>
            <w:r>
              <w:rPr>
                <w:rFonts w:ascii="Times New Roman" w:eastAsia="宋体" w:hAnsi="Times New Roman"/>
                <w:color w:val="000000"/>
                <w:sz w:val="20"/>
                <w:szCs w:val="20"/>
              </w:rPr>
              <w:t>19,923 </w:t>
            </w:r>
          </w:p>
        </w:tc>
        <w:tc>
          <w:tcPr>
            <w:tcW w:w="0" w:type="auto"/>
            <w:shd w:val="clear" w:color="auto" w:fill="FFFFFF"/>
            <w:tcMar>
              <w:top w:w="40" w:type="dxa"/>
              <w:left w:w="0" w:type="dxa"/>
              <w:bottom w:w="40" w:type="dxa"/>
              <w:right w:w="20" w:type="dxa"/>
            </w:tcMar>
            <w:vAlign w:val="bottom"/>
          </w:tcPr>
          <w:p w14:paraId="0B2F9DD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DD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DE0" w14:textId="77777777" w:rsidR="007F1775" w:rsidRDefault="000F083E">
            <w:pPr>
              <w:jc w:val="right"/>
              <w:textAlignment w:val="bottom"/>
            </w:pPr>
            <w:r>
              <w:rPr>
                <w:rFonts w:ascii="Times New Roman" w:eastAsia="宋体" w:hAnsi="Times New Roman"/>
                <w:color w:val="000000"/>
                <w:sz w:val="20"/>
                <w:szCs w:val="20"/>
              </w:rPr>
              <w:t>19,197 </w:t>
            </w:r>
          </w:p>
        </w:tc>
        <w:tc>
          <w:tcPr>
            <w:tcW w:w="0" w:type="auto"/>
            <w:shd w:val="clear" w:color="auto" w:fill="FFFFFF"/>
            <w:tcMar>
              <w:top w:w="40" w:type="dxa"/>
              <w:left w:w="0" w:type="dxa"/>
              <w:bottom w:w="40" w:type="dxa"/>
              <w:right w:w="20" w:type="dxa"/>
            </w:tcMar>
            <w:vAlign w:val="bottom"/>
          </w:tcPr>
          <w:p w14:paraId="0B2F9DE1" w14:textId="77777777" w:rsidR="007F1775" w:rsidRDefault="007F1775">
            <w:pPr>
              <w:jc w:val="right"/>
              <w:rPr>
                <w:rFonts w:ascii="宋体"/>
              </w:rPr>
            </w:pPr>
          </w:p>
        </w:tc>
      </w:tr>
      <w:tr w:rsidR="007F1775" w14:paraId="0B2F9DE9" w14:textId="77777777">
        <w:trPr>
          <w:jc w:val="center"/>
        </w:trPr>
        <w:tc>
          <w:tcPr>
            <w:tcW w:w="0" w:type="auto"/>
            <w:gridSpan w:val="3"/>
            <w:shd w:val="clear" w:color="auto" w:fill="CCEEFF"/>
            <w:tcMar>
              <w:top w:w="40" w:type="dxa"/>
              <w:left w:w="20" w:type="dxa"/>
              <w:bottom w:w="40" w:type="dxa"/>
              <w:right w:w="20" w:type="dxa"/>
            </w:tcMar>
          </w:tcPr>
          <w:p w14:paraId="0B2F9DE3" w14:textId="77777777" w:rsidR="007F1775" w:rsidRDefault="000F083E">
            <w:pPr>
              <w:textAlignment w:val="top"/>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0B2F9DE4" w14:textId="77777777" w:rsidR="007F1775" w:rsidRDefault="000F083E">
            <w:pPr>
              <w:jc w:val="right"/>
              <w:textAlignment w:val="bottom"/>
            </w:pPr>
            <w:r>
              <w:rPr>
                <w:rFonts w:ascii="Times New Roman" w:eastAsia="宋体" w:hAnsi="Times New Roman"/>
                <w:color w:val="000000"/>
                <w:sz w:val="20"/>
                <w:szCs w:val="20"/>
              </w:rPr>
              <w:t>3,522 </w:t>
            </w:r>
          </w:p>
        </w:tc>
        <w:tc>
          <w:tcPr>
            <w:tcW w:w="0" w:type="auto"/>
            <w:shd w:val="clear" w:color="auto" w:fill="CCEEFF"/>
            <w:tcMar>
              <w:top w:w="40" w:type="dxa"/>
              <w:left w:w="0" w:type="dxa"/>
              <w:bottom w:w="40" w:type="dxa"/>
              <w:right w:w="20" w:type="dxa"/>
            </w:tcMar>
            <w:vAlign w:val="bottom"/>
          </w:tcPr>
          <w:p w14:paraId="0B2F9DE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DE6"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DE7" w14:textId="77777777" w:rsidR="007F1775" w:rsidRDefault="000F083E">
            <w:pPr>
              <w:jc w:val="right"/>
              <w:textAlignment w:val="bottom"/>
            </w:pPr>
            <w:r>
              <w:rPr>
                <w:rFonts w:ascii="Times New Roman" w:eastAsia="宋体" w:hAnsi="Times New Roman"/>
                <w:color w:val="000000"/>
                <w:sz w:val="20"/>
                <w:szCs w:val="20"/>
              </w:rPr>
              <w:t>2,751 </w:t>
            </w:r>
          </w:p>
        </w:tc>
        <w:tc>
          <w:tcPr>
            <w:tcW w:w="0" w:type="auto"/>
            <w:shd w:val="clear" w:color="auto" w:fill="CCEEFF"/>
            <w:tcMar>
              <w:top w:w="40" w:type="dxa"/>
              <w:left w:w="0" w:type="dxa"/>
              <w:bottom w:w="40" w:type="dxa"/>
              <w:right w:w="20" w:type="dxa"/>
            </w:tcMar>
            <w:vAlign w:val="bottom"/>
          </w:tcPr>
          <w:p w14:paraId="0B2F9DE8" w14:textId="77777777" w:rsidR="007F1775" w:rsidRDefault="007F1775">
            <w:pPr>
              <w:jc w:val="right"/>
              <w:rPr>
                <w:rFonts w:ascii="宋体"/>
              </w:rPr>
            </w:pPr>
          </w:p>
        </w:tc>
      </w:tr>
      <w:tr w:rsidR="007F1775" w14:paraId="0B2F9DF2" w14:textId="77777777">
        <w:trPr>
          <w:jc w:val="center"/>
        </w:trPr>
        <w:tc>
          <w:tcPr>
            <w:tcW w:w="0" w:type="auto"/>
            <w:gridSpan w:val="3"/>
            <w:shd w:val="clear" w:color="auto" w:fill="FFFFFF"/>
            <w:tcMar>
              <w:top w:w="40" w:type="dxa"/>
              <w:left w:w="20" w:type="dxa"/>
              <w:bottom w:w="40" w:type="dxa"/>
              <w:right w:w="20" w:type="dxa"/>
            </w:tcMar>
          </w:tcPr>
          <w:p w14:paraId="0B2F9DEA" w14:textId="77777777" w:rsidR="007F1775" w:rsidRDefault="000F083E">
            <w:pPr>
              <w:textAlignment w:val="top"/>
            </w:pPr>
            <w:r>
              <w:rPr>
                <w:rFonts w:ascii="Times New Roman" w:eastAsia="宋体" w:hAnsi="Times New Roman"/>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0B2F9DE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9DEC" w14:textId="77777777" w:rsidR="007F1775" w:rsidRDefault="000F083E">
            <w:pPr>
              <w:jc w:val="right"/>
              <w:textAlignment w:val="bottom"/>
            </w:pPr>
            <w:r>
              <w:rPr>
                <w:rFonts w:ascii="Times New Roman" w:eastAsia="宋体" w:hAnsi="Times New Roman"/>
                <w:color w:val="000000"/>
                <w:sz w:val="20"/>
                <w:szCs w:val="20"/>
              </w:rPr>
              <w:t>164,218 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9DE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DEE" w14:textId="77777777" w:rsidR="007F1775" w:rsidRDefault="007F177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B2F9DEF"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9DF0" w14:textId="77777777" w:rsidR="007F1775" w:rsidRDefault="000F083E">
            <w:pPr>
              <w:jc w:val="right"/>
              <w:textAlignment w:val="bottom"/>
            </w:pPr>
            <w:r>
              <w:rPr>
                <w:rFonts w:ascii="Times New Roman" w:eastAsia="宋体" w:hAnsi="Times New Roman"/>
                <w:color w:val="000000"/>
                <w:sz w:val="20"/>
                <w:szCs w:val="20"/>
              </w:rPr>
              <w:t>165,987 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9DF1" w14:textId="77777777" w:rsidR="007F1775" w:rsidRDefault="007F1775">
            <w:pPr>
              <w:jc w:val="right"/>
              <w:rPr>
                <w:rFonts w:ascii="宋体"/>
              </w:rPr>
            </w:pPr>
          </w:p>
        </w:tc>
      </w:tr>
      <w:tr w:rsidR="007F1775" w14:paraId="0B2F9DF7" w14:textId="77777777">
        <w:trPr>
          <w:trHeight w:val="280"/>
          <w:jc w:val="center"/>
        </w:trPr>
        <w:tc>
          <w:tcPr>
            <w:tcW w:w="0" w:type="auto"/>
            <w:gridSpan w:val="3"/>
            <w:shd w:val="clear" w:color="auto" w:fill="CCEEFF"/>
            <w:tcMar>
              <w:top w:w="0" w:type="dxa"/>
              <w:left w:w="20" w:type="dxa"/>
              <w:bottom w:w="0" w:type="dxa"/>
              <w:right w:w="20" w:type="dxa"/>
            </w:tcMar>
            <w:vAlign w:val="bottom"/>
          </w:tcPr>
          <w:p w14:paraId="0B2F9DF3" w14:textId="77777777" w:rsidR="007F1775" w:rsidRDefault="007F177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B2F9DF4"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9DF5" w14:textId="77777777" w:rsidR="007F1775" w:rsidRDefault="007F177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B2F9DF6" w14:textId="77777777" w:rsidR="007F1775" w:rsidRDefault="007F1775">
            <w:pPr>
              <w:rPr>
                <w:rFonts w:ascii="宋体"/>
              </w:rPr>
            </w:pPr>
          </w:p>
        </w:tc>
      </w:tr>
      <w:tr w:rsidR="007F1775" w14:paraId="0B2F9DFC" w14:textId="77777777">
        <w:trPr>
          <w:jc w:val="center"/>
        </w:trPr>
        <w:tc>
          <w:tcPr>
            <w:tcW w:w="0" w:type="auto"/>
            <w:gridSpan w:val="3"/>
            <w:shd w:val="clear" w:color="auto" w:fill="FFFFFF"/>
            <w:tcMar>
              <w:top w:w="40" w:type="dxa"/>
              <w:left w:w="20" w:type="dxa"/>
              <w:bottom w:w="40" w:type="dxa"/>
              <w:right w:w="20" w:type="dxa"/>
            </w:tcMar>
          </w:tcPr>
          <w:p w14:paraId="0B2F9DF8" w14:textId="77777777" w:rsidR="007F1775" w:rsidRDefault="000F083E">
            <w:pPr>
              <w:textAlignment w:val="top"/>
            </w:pPr>
            <w:r>
              <w:rPr>
                <w:rFonts w:ascii="Times New Roman" w:eastAsia="宋体" w:hAnsi="Times New Roman"/>
                <w:b/>
                <w:bCs/>
                <w:color w:val="000000"/>
                <w:sz w:val="20"/>
                <w:szCs w:val="20"/>
              </w:rPr>
              <w:t>Liabilities and stockholders' equity</w:t>
            </w:r>
          </w:p>
        </w:tc>
        <w:tc>
          <w:tcPr>
            <w:tcW w:w="0" w:type="auto"/>
            <w:gridSpan w:val="3"/>
            <w:shd w:val="clear" w:color="auto" w:fill="FFFFFF"/>
            <w:tcMar>
              <w:top w:w="0" w:type="dxa"/>
              <w:left w:w="20" w:type="dxa"/>
              <w:bottom w:w="0" w:type="dxa"/>
              <w:right w:w="20" w:type="dxa"/>
            </w:tcMar>
            <w:vAlign w:val="bottom"/>
          </w:tcPr>
          <w:p w14:paraId="0B2F9DF9"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DFA"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DFB" w14:textId="77777777" w:rsidR="007F1775" w:rsidRDefault="007F1775">
            <w:pPr>
              <w:rPr>
                <w:rFonts w:ascii="宋体"/>
              </w:rPr>
            </w:pPr>
          </w:p>
        </w:tc>
      </w:tr>
      <w:tr w:rsidR="007F1775" w14:paraId="0B2F9E01" w14:textId="77777777">
        <w:trPr>
          <w:jc w:val="center"/>
        </w:trPr>
        <w:tc>
          <w:tcPr>
            <w:tcW w:w="0" w:type="auto"/>
            <w:gridSpan w:val="3"/>
            <w:shd w:val="clear" w:color="auto" w:fill="CCEEFF"/>
            <w:tcMar>
              <w:top w:w="40" w:type="dxa"/>
              <w:left w:w="20" w:type="dxa"/>
              <w:bottom w:w="40" w:type="dxa"/>
              <w:right w:w="20" w:type="dxa"/>
            </w:tcMar>
          </w:tcPr>
          <w:p w14:paraId="0B2F9DFD" w14:textId="77777777" w:rsidR="007F1775" w:rsidRDefault="000F083E">
            <w:pPr>
              <w:textAlignment w:val="top"/>
            </w:pPr>
            <w:r>
              <w:rPr>
                <w:rFonts w:ascii="Times New Roman" w:eastAsia="宋体" w:hAnsi="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bottom"/>
          </w:tcPr>
          <w:p w14:paraId="0B2F9DFE"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9DFF"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9E00" w14:textId="77777777" w:rsidR="007F1775" w:rsidRDefault="007F1775">
            <w:pPr>
              <w:rPr>
                <w:rFonts w:ascii="宋体"/>
              </w:rPr>
            </w:pPr>
          </w:p>
        </w:tc>
      </w:tr>
      <w:tr w:rsidR="007F1775" w14:paraId="0B2F9E0A" w14:textId="77777777">
        <w:trPr>
          <w:jc w:val="center"/>
        </w:trPr>
        <w:tc>
          <w:tcPr>
            <w:tcW w:w="0" w:type="auto"/>
            <w:gridSpan w:val="3"/>
            <w:shd w:val="clear" w:color="auto" w:fill="FFFFFF"/>
            <w:tcMar>
              <w:top w:w="40" w:type="dxa"/>
              <w:left w:w="380" w:type="dxa"/>
              <w:bottom w:w="40" w:type="dxa"/>
              <w:right w:w="20" w:type="dxa"/>
            </w:tcMar>
          </w:tcPr>
          <w:p w14:paraId="0B2F9E02" w14:textId="77777777" w:rsidR="007F1775" w:rsidRDefault="000F083E">
            <w:pPr>
              <w:ind w:hanging="180"/>
              <w:textAlignment w:val="top"/>
            </w:pPr>
            <w:r>
              <w:rPr>
                <w:rFonts w:ascii="Times New Roman" w:eastAsia="宋体" w:hAnsi="Times New Roman"/>
                <w:color w:val="000000"/>
                <w:sz w:val="20"/>
                <w:szCs w:val="20"/>
              </w:rPr>
              <w:t>Accounts payable</w:t>
            </w:r>
          </w:p>
        </w:tc>
        <w:tc>
          <w:tcPr>
            <w:tcW w:w="0" w:type="auto"/>
            <w:shd w:val="clear" w:color="auto" w:fill="FFFFFF"/>
            <w:tcMar>
              <w:top w:w="40" w:type="dxa"/>
              <w:left w:w="20" w:type="dxa"/>
              <w:bottom w:w="40" w:type="dxa"/>
              <w:right w:w="0" w:type="dxa"/>
            </w:tcMar>
            <w:vAlign w:val="bottom"/>
          </w:tcPr>
          <w:p w14:paraId="0B2F9E03"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9E04" w14:textId="77777777" w:rsidR="007F1775" w:rsidRDefault="000F083E">
            <w:pPr>
              <w:jc w:val="right"/>
              <w:textAlignment w:val="bottom"/>
            </w:pPr>
            <w:r>
              <w:rPr>
                <w:rFonts w:ascii="Times New Roman" w:eastAsia="宋体" w:hAnsi="Times New Roman"/>
                <w:color w:val="000000"/>
                <w:sz w:val="20"/>
                <w:szCs w:val="20"/>
              </w:rPr>
              <w:t>3,246 </w:t>
            </w:r>
          </w:p>
        </w:tc>
        <w:tc>
          <w:tcPr>
            <w:tcW w:w="0" w:type="auto"/>
            <w:shd w:val="clear" w:color="auto" w:fill="FFFFFF"/>
            <w:tcMar>
              <w:top w:w="40" w:type="dxa"/>
              <w:left w:w="0" w:type="dxa"/>
              <w:bottom w:w="40" w:type="dxa"/>
              <w:right w:w="20" w:type="dxa"/>
            </w:tcMar>
            <w:vAlign w:val="bottom"/>
          </w:tcPr>
          <w:p w14:paraId="0B2F9E0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06"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9E07"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9E08" w14:textId="77777777" w:rsidR="007F1775" w:rsidRDefault="000F083E">
            <w:pPr>
              <w:jc w:val="right"/>
              <w:textAlignment w:val="bottom"/>
            </w:pPr>
            <w:r>
              <w:rPr>
                <w:rFonts w:ascii="Times New Roman" w:eastAsia="宋体" w:hAnsi="Times New Roman"/>
                <w:color w:val="000000"/>
                <w:sz w:val="20"/>
                <w:szCs w:val="20"/>
              </w:rPr>
              <w:t>4,083 </w:t>
            </w:r>
          </w:p>
        </w:tc>
        <w:tc>
          <w:tcPr>
            <w:tcW w:w="0" w:type="auto"/>
            <w:shd w:val="clear" w:color="auto" w:fill="FFFFFF"/>
            <w:tcMar>
              <w:top w:w="40" w:type="dxa"/>
              <w:left w:w="0" w:type="dxa"/>
              <w:bottom w:w="40" w:type="dxa"/>
              <w:right w:w="20" w:type="dxa"/>
            </w:tcMar>
            <w:vAlign w:val="bottom"/>
          </w:tcPr>
          <w:p w14:paraId="0B2F9E09" w14:textId="77777777" w:rsidR="007F1775" w:rsidRDefault="007F1775">
            <w:pPr>
              <w:jc w:val="right"/>
              <w:rPr>
                <w:rFonts w:ascii="宋体"/>
              </w:rPr>
            </w:pPr>
          </w:p>
        </w:tc>
      </w:tr>
      <w:tr w:rsidR="007F1775" w14:paraId="0B2F9E11" w14:textId="77777777">
        <w:trPr>
          <w:jc w:val="center"/>
        </w:trPr>
        <w:tc>
          <w:tcPr>
            <w:tcW w:w="0" w:type="auto"/>
            <w:gridSpan w:val="3"/>
            <w:shd w:val="clear" w:color="auto" w:fill="CCEEFF"/>
            <w:tcMar>
              <w:top w:w="40" w:type="dxa"/>
              <w:left w:w="380" w:type="dxa"/>
              <w:bottom w:w="40" w:type="dxa"/>
              <w:right w:w="20" w:type="dxa"/>
            </w:tcMar>
          </w:tcPr>
          <w:p w14:paraId="0B2F9E0B" w14:textId="77777777" w:rsidR="007F1775" w:rsidRDefault="000F083E">
            <w:pPr>
              <w:ind w:hanging="180"/>
              <w:textAlignment w:val="top"/>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0B2F9E0C" w14:textId="77777777" w:rsidR="007F1775" w:rsidRDefault="000F083E">
            <w:pPr>
              <w:jc w:val="right"/>
              <w:textAlignment w:val="bottom"/>
            </w:pPr>
            <w:r>
              <w:rPr>
                <w:rFonts w:ascii="Times New Roman" w:eastAsia="宋体" w:hAnsi="Times New Roman"/>
                <w:color w:val="000000"/>
                <w:sz w:val="20"/>
                <w:szCs w:val="20"/>
              </w:rPr>
              <w:t>935 </w:t>
            </w:r>
          </w:p>
        </w:tc>
        <w:tc>
          <w:tcPr>
            <w:tcW w:w="0" w:type="auto"/>
            <w:shd w:val="clear" w:color="auto" w:fill="CCEEFF"/>
            <w:tcMar>
              <w:top w:w="40" w:type="dxa"/>
              <w:left w:w="0" w:type="dxa"/>
              <w:bottom w:w="40" w:type="dxa"/>
              <w:right w:w="20" w:type="dxa"/>
            </w:tcMar>
            <w:vAlign w:val="bottom"/>
          </w:tcPr>
          <w:p w14:paraId="0B2F9E0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0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E0F" w14:textId="77777777" w:rsidR="007F1775" w:rsidRDefault="000F083E">
            <w:pPr>
              <w:jc w:val="right"/>
              <w:textAlignment w:val="bottom"/>
            </w:pPr>
            <w:r>
              <w:rPr>
                <w:rFonts w:ascii="Times New Roman" w:eastAsia="宋体" w:hAnsi="Times New Roman"/>
                <w:color w:val="000000"/>
                <w:sz w:val="20"/>
                <w:szCs w:val="20"/>
              </w:rPr>
              <w:t>1,052 </w:t>
            </w:r>
          </w:p>
        </w:tc>
        <w:tc>
          <w:tcPr>
            <w:tcW w:w="0" w:type="auto"/>
            <w:shd w:val="clear" w:color="auto" w:fill="CCEEFF"/>
            <w:tcMar>
              <w:top w:w="40" w:type="dxa"/>
              <w:left w:w="0" w:type="dxa"/>
              <w:bottom w:w="40" w:type="dxa"/>
              <w:right w:w="20" w:type="dxa"/>
            </w:tcMar>
            <w:vAlign w:val="bottom"/>
          </w:tcPr>
          <w:p w14:paraId="0B2F9E10" w14:textId="77777777" w:rsidR="007F1775" w:rsidRDefault="007F1775">
            <w:pPr>
              <w:jc w:val="right"/>
              <w:rPr>
                <w:rFonts w:ascii="宋体"/>
              </w:rPr>
            </w:pPr>
          </w:p>
        </w:tc>
      </w:tr>
      <w:tr w:rsidR="007F1775" w14:paraId="0B2F9E18" w14:textId="77777777">
        <w:trPr>
          <w:jc w:val="center"/>
        </w:trPr>
        <w:tc>
          <w:tcPr>
            <w:tcW w:w="0" w:type="auto"/>
            <w:gridSpan w:val="3"/>
            <w:shd w:val="clear" w:color="auto" w:fill="FFFFFF"/>
            <w:tcMar>
              <w:top w:w="40" w:type="dxa"/>
              <w:left w:w="380" w:type="dxa"/>
              <w:bottom w:w="40" w:type="dxa"/>
              <w:right w:w="20" w:type="dxa"/>
            </w:tcMar>
            <w:vAlign w:val="bottom"/>
          </w:tcPr>
          <w:p w14:paraId="0B2F9E12" w14:textId="77777777" w:rsidR="007F1775" w:rsidRDefault="000F083E">
            <w:pPr>
              <w:ind w:hanging="180"/>
              <w:textAlignment w:val="bottom"/>
            </w:pPr>
            <w:r>
              <w:rPr>
                <w:rFonts w:ascii="Times New Roman" w:eastAsia="宋体" w:hAnsi="Times New Roman"/>
                <w:color w:val="000000"/>
                <w:sz w:val="20"/>
                <w:szCs w:val="20"/>
              </w:rPr>
              <w:t>Operating lease liabilities, current</w:t>
            </w:r>
          </w:p>
        </w:tc>
        <w:tc>
          <w:tcPr>
            <w:tcW w:w="0" w:type="auto"/>
            <w:gridSpan w:val="2"/>
            <w:shd w:val="clear" w:color="auto" w:fill="FFFFFF"/>
            <w:tcMar>
              <w:top w:w="40" w:type="dxa"/>
              <w:left w:w="20" w:type="dxa"/>
              <w:bottom w:w="40" w:type="dxa"/>
              <w:right w:w="0" w:type="dxa"/>
            </w:tcMar>
            <w:vAlign w:val="bottom"/>
          </w:tcPr>
          <w:p w14:paraId="0B2F9E13" w14:textId="77777777" w:rsidR="007F1775" w:rsidRDefault="000F083E">
            <w:pPr>
              <w:jc w:val="right"/>
              <w:textAlignment w:val="bottom"/>
            </w:pPr>
            <w:r>
              <w:rPr>
                <w:rFonts w:ascii="Times New Roman" w:eastAsia="宋体" w:hAnsi="Times New Roman"/>
                <w:color w:val="000000"/>
                <w:sz w:val="20"/>
                <w:szCs w:val="20"/>
              </w:rPr>
              <w:t>1,159 </w:t>
            </w:r>
          </w:p>
        </w:tc>
        <w:tc>
          <w:tcPr>
            <w:tcW w:w="0" w:type="auto"/>
            <w:shd w:val="clear" w:color="auto" w:fill="FFFFFF"/>
            <w:tcMar>
              <w:top w:w="40" w:type="dxa"/>
              <w:left w:w="0" w:type="dxa"/>
              <w:bottom w:w="40" w:type="dxa"/>
              <w:right w:w="20" w:type="dxa"/>
            </w:tcMar>
            <w:vAlign w:val="bottom"/>
          </w:tcPr>
          <w:p w14:paraId="0B2F9E1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1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E16" w14:textId="77777777" w:rsidR="007F1775" w:rsidRDefault="000F083E">
            <w:pPr>
              <w:jc w:val="right"/>
              <w:textAlignment w:val="bottom"/>
            </w:pPr>
            <w:r>
              <w:rPr>
                <w:rFonts w:ascii="Times New Roman" w:eastAsia="宋体" w:hAnsi="Times New Roman"/>
                <w:color w:val="000000"/>
                <w:sz w:val="20"/>
                <w:szCs w:val="20"/>
              </w:rPr>
              <w:t>1,127 </w:t>
            </w:r>
          </w:p>
        </w:tc>
        <w:tc>
          <w:tcPr>
            <w:tcW w:w="0" w:type="auto"/>
            <w:shd w:val="clear" w:color="auto" w:fill="FFFFFF"/>
            <w:tcMar>
              <w:top w:w="40" w:type="dxa"/>
              <w:left w:w="0" w:type="dxa"/>
              <w:bottom w:w="40" w:type="dxa"/>
              <w:right w:w="20" w:type="dxa"/>
            </w:tcMar>
            <w:vAlign w:val="bottom"/>
          </w:tcPr>
          <w:p w14:paraId="0B2F9E17" w14:textId="77777777" w:rsidR="007F1775" w:rsidRDefault="007F1775">
            <w:pPr>
              <w:jc w:val="right"/>
              <w:rPr>
                <w:rFonts w:ascii="宋体"/>
              </w:rPr>
            </w:pPr>
          </w:p>
        </w:tc>
      </w:tr>
      <w:tr w:rsidR="007F1775" w14:paraId="0B2F9E1F" w14:textId="77777777">
        <w:trPr>
          <w:jc w:val="center"/>
        </w:trPr>
        <w:tc>
          <w:tcPr>
            <w:tcW w:w="0" w:type="auto"/>
            <w:gridSpan w:val="3"/>
            <w:shd w:val="clear" w:color="auto" w:fill="CCEEFF"/>
            <w:tcMar>
              <w:top w:w="40" w:type="dxa"/>
              <w:left w:w="380" w:type="dxa"/>
              <w:bottom w:w="40" w:type="dxa"/>
              <w:right w:w="20" w:type="dxa"/>
            </w:tcMar>
          </w:tcPr>
          <w:p w14:paraId="0B2F9E19" w14:textId="77777777" w:rsidR="007F1775" w:rsidRDefault="000F083E">
            <w:pPr>
              <w:ind w:hanging="180"/>
              <w:textAlignment w:val="top"/>
            </w:pPr>
            <w:r>
              <w:rPr>
                <w:rFonts w:ascii="Times New Roman" w:eastAsia="宋体" w:hAnsi="Times New Roman"/>
                <w:color w:val="000000"/>
                <w:sz w:val="20"/>
                <w:szCs w:val="20"/>
              </w:rPr>
              <w:t>Accrued expenses and other current liabilities</w:t>
            </w:r>
          </w:p>
        </w:tc>
        <w:tc>
          <w:tcPr>
            <w:tcW w:w="0" w:type="auto"/>
            <w:gridSpan w:val="2"/>
            <w:shd w:val="clear" w:color="auto" w:fill="CCEEFF"/>
            <w:tcMar>
              <w:top w:w="40" w:type="dxa"/>
              <w:left w:w="20" w:type="dxa"/>
              <w:bottom w:w="40" w:type="dxa"/>
              <w:right w:w="0" w:type="dxa"/>
            </w:tcMar>
            <w:vAlign w:val="bottom"/>
          </w:tcPr>
          <w:p w14:paraId="0B2F9E1A" w14:textId="77777777" w:rsidR="007F1775" w:rsidRDefault="000F083E">
            <w:pPr>
              <w:jc w:val="right"/>
              <w:textAlignment w:val="bottom"/>
            </w:pPr>
            <w:r>
              <w:rPr>
                <w:rFonts w:ascii="Times New Roman" w:eastAsia="宋体" w:hAnsi="Times New Roman"/>
                <w:color w:val="000000"/>
                <w:sz w:val="20"/>
                <w:szCs w:val="20"/>
              </w:rPr>
              <w:t>15,226 </w:t>
            </w:r>
          </w:p>
        </w:tc>
        <w:tc>
          <w:tcPr>
            <w:tcW w:w="0" w:type="auto"/>
            <w:shd w:val="clear" w:color="auto" w:fill="CCEEFF"/>
            <w:tcMar>
              <w:top w:w="40" w:type="dxa"/>
              <w:left w:w="0" w:type="dxa"/>
              <w:bottom w:w="40" w:type="dxa"/>
              <w:right w:w="20" w:type="dxa"/>
            </w:tcMar>
            <w:vAlign w:val="bottom"/>
          </w:tcPr>
          <w:p w14:paraId="0B2F9E1B"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1C"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E1D" w14:textId="77777777" w:rsidR="007F1775" w:rsidRDefault="000F083E">
            <w:pPr>
              <w:jc w:val="right"/>
              <w:textAlignment w:val="bottom"/>
            </w:pPr>
            <w:r>
              <w:rPr>
                <w:rFonts w:ascii="Times New Roman" w:eastAsia="宋体" w:hAnsi="Times New Roman"/>
                <w:color w:val="000000"/>
                <w:sz w:val="20"/>
                <w:szCs w:val="20"/>
              </w:rPr>
              <w:t>14,312 </w:t>
            </w:r>
          </w:p>
        </w:tc>
        <w:tc>
          <w:tcPr>
            <w:tcW w:w="0" w:type="auto"/>
            <w:shd w:val="clear" w:color="auto" w:fill="CCEEFF"/>
            <w:tcMar>
              <w:top w:w="40" w:type="dxa"/>
              <w:left w:w="0" w:type="dxa"/>
              <w:bottom w:w="40" w:type="dxa"/>
              <w:right w:w="20" w:type="dxa"/>
            </w:tcMar>
            <w:vAlign w:val="bottom"/>
          </w:tcPr>
          <w:p w14:paraId="0B2F9E1E" w14:textId="77777777" w:rsidR="007F1775" w:rsidRDefault="007F1775">
            <w:pPr>
              <w:jc w:val="right"/>
              <w:rPr>
                <w:rFonts w:ascii="宋体"/>
              </w:rPr>
            </w:pPr>
          </w:p>
        </w:tc>
      </w:tr>
      <w:tr w:rsidR="007F1775" w14:paraId="0B2F9E26" w14:textId="77777777">
        <w:trPr>
          <w:jc w:val="center"/>
        </w:trPr>
        <w:tc>
          <w:tcPr>
            <w:tcW w:w="0" w:type="auto"/>
            <w:gridSpan w:val="3"/>
            <w:shd w:val="clear" w:color="auto" w:fill="FFFFFF"/>
            <w:tcMar>
              <w:top w:w="40" w:type="dxa"/>
              <w:left w:w="380" w:type="dxa"/>
              <w:bottom w:w="40" w:type="dxa"/>
              <w:right w:w="20" w:type="dxa"/>
            </w:tcMar>
          </w:tcPr>
          <w:p w14:paraId="0B2F9E20" w14:textId="77777777" w:rsidR="007F1775" w:rsidRDefault="000F083E">
            <w:pPr>
              <w:ind w:hanging="180"/>
              <w:textAlignment w:val="top"/>
            </w:pPr>
            <w:r>
              <w:rPr>
                <w:rFonts w:ascii="Times New Roman" w:eastAsia="宋体" w:hAnsi="Times New Roman"/>
                <w:color w:val="000000"/>
                <w:sz w:val="20"/>
                <w:szCs w:val="20"/>
              </w:rPr>
              <w:t>Deferred revenue and deposits</w:t>
            </w:r>
          </w:p>
        </w:tc>
        <w:tc>
          <w:tcPr>
            <w:tcW w:w="0" w:type="auto"/>
            <w:gridSpan w:val="2"/>
            <w:shd w:val="clear" w:color="auto" w:fill="FFFFFF"/>
            <w:tcMar>
              <w:top w:w="40" w:type="dxa"/>
              <w:left w:w="20" w:type="dxa"/>
              <w:bottom w:w="40" w:type="dxa"/>
              <w:right w:w="0" w:type="dxa"/>
            </w:tcMar>
            <w:vAlign w:val="bottom"/>
          </w:tcPr>
          <w:p w14:paraId="0B2F9E21" w14:textId="77777777" w:rsidR="007F1775" w:rsidRDefault="000F083E">
            <w:pPr>
              <w:jc w:val="right"/>
              <w:textAlignment w:val="bottom"/>
            </w:pPr>
            <w:r>
              <w:rPr>
                <w:rFonts w:ascii="Times New Roman" w:eastAsia="宋体" w:hAnsi="Times New Roman"/>
                <w:color w:val="000000"/>
                <w:sz w:val="20"/>
                <w:szCs w:val="20"/>
              </w:rPr>
              <w:t>520 </w:t>
            </w:r>
          </w:p>
        </w:tc>
        <w:tc>
          <w:tcPr>
            <w:tcW w:w="0" w:type="auto"/>
            <w:shd w:val="clear" w:color="auto" w:fill="FFFFFF"/>
            <w:tcMar>
              <w:top w:w="40" w:type="dxa"/>
              <w:left w:w="0" w:type="dxa"/>
              <w:bottom w:w="40" w:type="dxa"/>
              <w:right w:w="20" w:type="dxa"/>
            </w:tcMar>
            <w:vAlign w:val="bottom"/>
          </w:tcPr>
          <w:p w14:paraId="0B2F9E22"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23"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E24" w14:textId="77777777" w:rsidR="007F1775" w:rsidRDefault="000F083E">
            <w:pPr>
              <w:jc w:val="right"/>
              <w:textAlignment w:val="bottom"/>
            </w:pPr>
            <w:r>
              <w:rPr>
                <w:rFonts w:ascii="Times New Roman" w:eastAsia="宋体" w:hAnsi="Times New Roman"/>
                <w:color w:val="000000"/>
                <w:sz w:val="20"/>
                <w:szCs w:val="20"/>
              </w:rPr>
              <w:t>561 </w:t>
            </w:r>
          </w:p>
        </w:tc>
        <w:tc>
          <w:tcPr>
            <w:tcW w:w="0" w:type="auto"/>
            <w:shd w:val="clear" w:color="auto" w:fill="FFFFFF"/>
            <w:tcMar>
              <w:top w:w="40" w:type="dxa"/>
              <w:left w:w="0" w:type="dxa"/>
              <w:bottom w:w="40" w:type="dxa"/>
              <w:right w:w="20" w:type="dxa"/>
            </w:tcMar>
            <w:vAlign w:val="bottom"/>
          </w:tcPr>
          <w:p w14:paraId="0B2F9E25" w14:textId="77777777" w:rsidR="007F1775" w:rsidRDefault="007F1775">
            <w:pPr>
              <w:jc w:val="right"/>
              <w:rPr>
                <w:rFonts w:ascii="宋体"/>
              </w:rPr>
            </w:pPr>
          </w:p>
        </w:tc>
      </w:tr>
      <w:tr w:rsidR="007F1775" w14:paraId="0B2F9E2D" w14:textId="77777777">
        <w:trPr>
          <w:jc w:val="center"/>
        </w:trPr>
        <w:tc>
          <w:tcPr>
            <w:tcW w:w="0" w:type="auto"/>
            <w:gridSpan w:val="3"/>
            <w:shd w:val="clear" w:color="auto" w:fill="CCEEFF"/>
            <w:tcMar>
              <w:top w:w="40" w:type="dxa"/>
              <w:left w:w="740" w:type="dxa"/>
              <w:bottom w:w="40" w:type="dxa"/>
              <w:right w:w="20" w:type="dxa"/>
            </w:tcMar>
          </w:tcPr>
          <w:p w14:paraId="0B2F9E27" w14:textId="77777777" w:rsidR="007F1775" w:rsidRDefault="000F083E">
            <w:pPr>
              <w:ind w:hanging="360"/>
              <w:textAlignment w:val="top"/>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9E28" w14:textId="77777777" w:rsidR="007F1775" w:rsidRDefault="000F083E">
            <w:pPr>
              <w:jc w:val="right"/>
              <w:textAlignment w:val="bottom"/>
            </w:pPr>
            <w:r>
              <w:rPr>
                <w:rFonts w:ascii="Times New Roman" w:eastAsia="宋体" w:hAnsi="Times New Roman"/>
                <w:color w:val="000000"/>
                <w:sz w:val="20"/>
                <w:szCs w:val="20"/>
              </w:rPr>
              <w:t>21,086 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E2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2A"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9E2B" w14:textId="77777777" w:rsidR="007F1775" w:rsidRDefault="000F083E">
            <w:pPr>
              <w:jc w:val="right"/>
              <w:textAlignment w:val="bottom"/>
            </w:pPr>
            <w:r>
              <w:rPr>
                <w:rFonts w:ascii="Times New Roman" w:eastAsia="宋体" w:hAnsi="Times New Roman"/>
                <w:color w:val="000000"/>
                <w:sz w:val="20"/>
                <w:szCs w:val="20"/>
              </w:rPr>
              <w:t>21,135 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E2C" w14:textId="77777777" w:rsidR="007F1775" w:rsidRDefault="007F1775">
            <w:pPr>
              <w:jc w:val="right"/>
              <w:rPr>
                <w:rFonts w:ascii="宋体"/>
              </w:rPr>
            </w:pPr>
          </w:p>
        </w:tc>
      </w:tr>
      <w:tr w:rsidR="007F1775" w14:paraId="0B2F9E34" w14:textId="77777777">
        <w:trPr>
          <w:jc w:val="center"/>
        </w:trPr>
        <w:tc>
          <w:tcPr>
            <w:tcW w:w="0" w:type="auto"/>
            <w:gridSpan w:val="3"/>
            <w:shd w:val="clear" w:color="auto" w:fill="FFFFFF"/>
            <w:tcMar>
              <w:top w:w="40" w:type="dxa"/>
              <w:left w:w="20" w:type="dxa"/>
              <w:bottom w:w="40" w:type="dxa"/>
              <w:right w:w="20" w:type="dxa"/>
            </w:tcMar>
          </w:tcPr>
          <w:p w14:paraId="0B2F9E2E" w14:textId="77777777" w:rsidR="007F1775" w:rsidRDefault="000F083E">
            <w:pPr>
              <w:textAlignment w:val="top"/>
            </w:pPr>
            <w:r>
              <w:rPr>
                <w:rFonts w:ascii="Times New Roman" w:eastAsia="宋体" w:hAnsi="Times New Roman"/>
                <w:color w:val="000000"/>
                <w:sz w:val="20"/>
                <w:szCs w:val="20"/>
              </w:rPr>
              <w:t>Operating lease liabilities, non-current</w:t>
            </w:r>
          </w:p>
        </w:tc>
        <w:tc>
          <w:tcPr>
            <w:tcW w:w="0" w:type="auto"/>
            <w:gridSpan w:val="2"/>
            <w:shd w:val="clear" w:color="auto" w:fill="FFFFFF"/>
            <w:tcMar>
              <w:top w:w="40" w:type="dxa"/>
              <w:left w:w="20" w:type="dxa"/>
              <w:bottom w:w="40" w:type="dxa"/>
              <w:right w:w="0" w:type="dxa"/>
            </w:tcMar>
            <w:vAlign w:val="bottom"/>
          </w:tcPr>
          <w:p w14:paraId="0B2F9E2F" w14:textId="77777777" w:rsidR="007F1775" w:rsidRDefault="000F083E">
            <w:pPr>
              <w:jc w:val="right"/>
              <w:textAlignment w:val="bottom"/>
            </w:pPr>
            <w:r>
              <w:rPr>
                <w:rFonts w:ascii="Times New Roman" w:eastAsia="宋体" w:hAnsi="Times New Roman"/>
                <w:color w:val="000000"/>
                <w:sz w:val="20"/>
                <w:szCs w:val="20"/>
              </w:rPr>
              <w:t>12,894 </w:t>
            </w:r>
          </w:p>
        </w:tc>
        <w:tc>
          <w:tcPr>
            <w:tcW w:w="0" w:type="auto"/>
            <w:shd w:val="clear" w:color="auto" w:fill="FFFFFF"/>
            <w:tcMar>
              <w:top w:w="40" w:type="dxa"/>
              <w:left w:w="0" w:type="dxa"/>
              <w:bottom w:w="40" w:type="dxa"/>
              <w:right w:w="20" w:type="dxa"/>
            </w:tcMar>
            <w:vAlign w:val="bottom"/>
          </w:tcPr>
          <w:p w14:paraId="0B2F9E3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3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E32" w14:textId="77777777" w:rsidR="007F1775" w:rsidRDefault="000F083E">
            <w:pPr>
              <w:jc w:val="right"/>
              <w:textAlignment w:val="bottom"/>
            </w:pPr>
            <w:r>
              <w:rPr>
                <w:rFonts w:ascii="Times New Roman" w:eastAsia="宋体" w:hAnsi="Times New Roman"/>
                <w:color w:val="000000"/>
                <w:sz w:val="20"/>
                <w:szCs w:val="20"/>
              </w:rPr>
              <w:t>12,746 </w:t>
            </w:r>
          </w:p>
        </w:tc>
        <w:tc>
          <w:tcPr>
            <w:tcW w:w="0" w:type="auto"/>
            <w:shd w:val="clear" w:color="auto" w:fill="FFFFFF"/>
            <w:tcMar>
              <w:top w:w="40" w:type="dxa"/>
              <w:left w:w="0" w:type="dxa"/>
              <w:bottom w:w="40" w:type="dxa"/>
              <w:right w:w="20" w:type="dxa"/>
            </w:tcMar>
            <w:vAlign w:val="bottom"/>
          </w:tcPr>
          <w:p w14:paraId="0B2F9E33" w14:textId="77777777" w:rsidR="007F1775" w:rsidRDefault="007F1775">
            <w:pPr>
              <w:jc w:val="right"/>
              <w:rPr>
                <w:rFonts w:ascii="宋体"/>
              </w:rPr>
            </w:pPr>
          </w:p>
        </w:tc>
      </w:tr>
      <w:tr w:rsidR="007F1775" w14:paraId="0B2F9E3B" w14:textId="77777777">
        <w:trPr>
          <w:jc w:val="center"/>
        </w:trPr>
        <w:tc>
          <w:tcPr>
            <w:tcW w:w="0" w:type="auto"/>
            <w:gridSpan w:val="3"/>
            <w:shd w:val="clear" w:color="auto" w:fill="CCEEFF"/>
            <w:tcMar>
              <w:top w:w="40" w:type="dxa"/>
              <w:left w:w="20" w:type="dxa"/>
              <w:bottom w:w="40" w:type="dxa"/>
              <w:right w:w="20" w:type="dxa"/>
            </w:tcMar>
          </w:tcPr>
          <w:p w14:paraId="0B2F9E35" w14:textId="77777777" w:rsidR="007F1775" w:rsidRDefault="000F083E">
            <w:pPr>
              <w:textAlignment w:val="top"/>
            </w:pPr>
            <w:r>
              <w:rPr>
                <w:rFonts w:ascii="Times New Roman" w:eastAsia="宋体" w:hAnsi="Times New Roman"/>
                <w:color w:val="000000"/>
                <w:sz w:val="20"/>
                <w:szCs w:val="20"/>
              </w:rPr>
              <w:t>Other liabilities</w:t>
            </w:r>
          </w:p>
        </w:tc>
        <w:tc>
          <w:tcPr>
            <w:tcW w:w="0" w:type="auto"/>
            <w:gridSpan w:val="2"/>
            <w:shd w:val="clear" w:color="auto" w:fill="CCEEFF"/>
            <w:tcMar>
              <w:top w:w="40" w:type="dxa"/>
              <w:left w:w="20" w:type="dxa"/>
              <w:bottom w:w="40" w:type="dxa"/>
              <w:right w:w="0" w:type="dxa"/>
            </w:tcMar>
            <w:vAlign w:val="bottom"/>
          </w:tcPr>
          <w:p w14:paraId="0B2F9E36" w14:textId="77777777" w:rsidR="007F1775" w:rsidRDefault="000F083E">
            <w:pPr>
              <w:jc w:val="right"/>
              <w:textAlignment w:val="bottom"/>
            </w:pPr>
            <w:r>
              <w:rPr>
                <w:rFonts w:ascii="Times New Roman" w:eastAsia="宋体" w:hAnsi="Times New Roman"/>
                <w:color w:val="000000"/>
                <w:sz w:val="20"/>
                <w:szCs w:val="20"/>
              </w:rPr>
              <w:t>7,010 </w:t>
            </w:r>
          </w:p>
        </w:tc>
        <w:tc>
          <w:tcPr>
            <w:tcW w:w="0" w:type="auto"/>
            <w:shd w:val="clear" w:color="auto" w:fill="CCEEFF"/>
            <w:tcMar>
              <w:top w:w="40" w:type="dxa"/>
              <w:left w:w="0" w:type="dxa"/>
              <w:bottom w:w="40" w:type="dxa"/>
              <w:right w:w="20" w:type="dxa"/>
            </w:tcMar>
            <w:vAlign w:val="bottom"/>
          </w:tcPr>
          <w:p w14:paraId="0B2F9E3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3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E39" w14:textId="77777777" w:rsidR="007F1775" w:rsidRDefault="000F083E">
            <w:pPr>
              <w:jc w:val="right"/>
              <w:textAlignment w:val="bottom"/>
            </w:pPr>
            <w:r>
              <w:rPr>
                <w:rFonts w:ascii="Times New Roman" w:eastAsia="宋体" w:hAnsi="Times New Roman"/>
                <w:color w:val="000000"/>
                <w:sz w:val="20"/>
                <w:szCs w:val="20"/>
              </w:rPr>
              <w:t>7,227 </w:t>
            </w:r>
          </w:p>
        </w:tc>
        <w:tc>
          <w:tcPr>
            <w:tcW w:w="0" w:type="auto"/>
            <w:shd w:val="clear" w:color="auto" w:fill="CCEEFF"/>
            <w:tcMar>
              <w:top w:w="40" w:type="dxa"/>
              <w:left w:w="0" w:type="dxa"/>
              <w:bottom w:w="40" w:type="dxa"/>
              <w:right w:w="20" w:type="dxa"/>
            </w:tcMar>
            <w:vAlign w:val="bottom"/>
          </w:tcPr>
          <w:p w14:paraId="0B2F9E3A" w14:textId="77777777" w:rsidR="007F1775" w:rsidRDefault="007F1775">
            <w:pPr>
              <w:jc w:val="right"/>
              <w:rPr>
                <w:rFonts w:ascii="宋体"/>
              </w:rPr>
            </w:pPr>
          </w:p>
        </w:tc>
      </w:tr>
      <w:tr w:rsidR="007F1775" w14:paraId="0B2F9E42" w14:textId="77777777">
        <w:trPr>
          <w:jc w:val="center"/>
        </w:trPr>
        <w:tc>
          <w:tcPr>
            <w:tcW w:w="0" w:type="auto"/>
            <w:gridSpan w:val="3"/>
            <w:shd w:val="clear" w:color="auto" w:fill="FFFFFF"/>
            <w:tcMar>
              <w:top w:w="40" w:type="dxa"/>
              <w:left w:w="740" w:type="dxa"/>
              <w:bottom w:w="40" w:type="dxa"/>
              <w:right w:w="20" w:type="dxa"/>
            </w:tcMar>
          </w:tcPr>
          <w:p w14:paraId="0B2F9E3C" w14:textId="77777777" w:rsidR="007F1775" w:rsidRDefault="000F083E">
            <w:pPr>
              <w:ind w:hanging="360"/>
              <w:textAlignment w:val="top"/>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9E3D" w14:textId="77777777" w:rsidR="007F1775" w:rsidRDefault="000F083E">
            <w:pPr>
              <w:jc w:val="right"/>
              <w:textAlignment w:val="bottom"/>
            </w:pPr>
            <w:r>
              <w:rPr>
                <w:rFonts w:ascii="Times New Roman" w:eastAsia="宋体" w:hAnsi="Times New Roman"/>
                <w:color w:val="000000"/>
                <w:sz w:val="20"/>
                <w:szCs w:val="20"/>
              </w:rPr>
              <w:t>40,990 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9E3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3F"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9E40" w14:textId="77777777" w:rsidR="007F1775" w:rsidRDefault="000F083E">
            <w:pPr>
              <w:jc w:val="right"/>
              <w:textAlignment w:val="bottom"/>
            </w:pPr>
            <w:r>
              <w:rPr>
                <w:rFonts w:ascii="Times New Roman" w:eastAsia="宋体" w:hAnsi="Times New Roman"/>
                <w:color w:val="000000"/>
                <w:sz w:val="20"/>
                <w:szCs w:val="20"/>
              </w:rPr>
              <w:t>41,108 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9E41" w14:textId="77777777" w:rsidR="007F1775" w:rsidRDefault="007F1775">
            <w:pPr>
              <w:jc w:val="right"/>
              <w:rPr>
                <w:rFonts w:ascii="宋体"/>
              </w:rPr>
            </w:pPr>
          </w:p>
        </w:tc>
      </w:tr>
      <w:tr w:rsidR="007F1775" w14:paraId="0B2F9E47" w14:textId="77777777">
        <w:trPr>
          <w:jc w:val="center"/>
        </w:trPr>
        <w:tc>
          <w:tcPr>
            <w:tcW w:w="0" w:type="auto"/>
            <w:gridSpan w:val="3"/>
            <w:shd w:val="clear" w:color="auto" w:fill="CCEEFF"/>
            <w:tcMar>
              <w:top w:w="40" w:type="dxa"/>
              <w:left w:w="20" w:type="dxa"/>
              <w:bottom w:w="40" w:type="dxa"/>
              <w:right w:w="20" w:type="dxa"/>
            </w:tcMar>
          </w:tcPr>
          <w:p w14:paraId="0B2F9E43" w14:textId="77777777" w:rsidR="007F1775" w:rsidRDefault="000F083E">
            <w:pPr>
              <w:textAlignment w:val="top"/>
            </w:pPr>
            <w:r>
              <w:rPr>
                <w:rFonts w:ascii="Times New Roman" w:eastAsia="宋体" w:hAnsi="Times New Roman"/>
                <w:color w:val="000000"/>
                <w:sz w:val="20"/>
                <w:szCs w:val="20"/>
              </w:rPr>
              <w:t>Commitments and contingencies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9E44"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9E45"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9E46" w14:textId="77777777" w:rsidR="007F1775" w:rsidRDefault="007F1775">
            <w:pPr>
              <w:rPr>
                <w:rFonts w:ascii="宋体"/>
              </w:rPr>
            </w:pPr>
          </w:p>
        </w:tc>
      </w:tr>
      <w:tr w:rsidR="007F1775" w14:paraId="0B2F9E4C" w14:textId="77777777">
        <w:trPr>
          <w:jc w:val="center"/>
        </w:trPr>
        <w:tc>
          <w:tcPr>
            <w:tcW w:w="0" w:type="auto"/>
            <w:gridSpan w:val="3"/>
            <w:shd w:val="clear" w:color="auto" w:fill="FFFFFF"/>
            <w:tcMar>
              <w:top w:w="40" w:type="dxa"/>
              <w:left w:w="20" w:type="dxa"/>
              <w:bottom w:w="40" w:type="dxa"/>
              <w:right w:w="20" w:type="dxa"/>
            </w:tcMar>
          </w:tcPr>
          <w:p w14:paraId="0B2F9E48" w14:textId="77777777" w:rsidR="007F1775" w:rsidRDefault="000F083E">
            <w:pPr>
              <w:textAlignment w:val="top"/>
            </w:pPr>
            <w:r>
              <w:rPr>
                <w:rFonts w:ascii="Times New Roman" w:eastAsia="宋体" w:hAnsi="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bottom"/>
          </w:tcPr>
          <w:p w14:paraId="0B2F9E49"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E4A"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E4B" w14:textId="77777777" w:rsidR="007F1775" w:rsidRDefault="007F1775">
            <w:pPr>
              <w:rPr>
                <w:rFonts w:ascii="宋体"/>
              </w:rPr>
            </w:pPr>
          </w:p>
        </w:tc>
      </w:tr>
      <w:tr w:rsidR="007F1775" w14:paraId="0B2F9E53" w14:textId="77777777">
        <w:trPr>
          <w:jc w:val="center"/>
        </w:trPr>
        <w:tc>
          <w:tcPr>
            <w:tcW w:w="0" w:type="auto"/>
            <w:gridSpan w:val="3"/>
            <w:shd w:val="clear" w:color="auto" w:fill="CCEEFF"/>
            <w:tcMar>
              <w:top w:w="40" w:type="dxa"/>
              <w:left w:w="20" w:type="dxa"/>
              <w:bottom w:w="40" w:type="dxa"/>
              <w:right w:w="20" w:type="dxa"/>
            </w:tcMar>
          </w:tcPr>
          <w:p w14:paraId="0B2F9E4D" w14:textId="77777777" w:rsidR="007F1775" w:rsidRDefault="000F083E">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 xml:space="preserve">Common stock, $0.000006 par value; 5,000 million Class A shares authorized, 2,301 million and 2,328 million shares issued and outstanding, as of March 31, 2022 and December 31, 2021, </w:t>
            </w:r>
            <w:r>
              <w:rPr>
                <w:rFonts w:ascii="Times New Roman" w:eastAsia="宋体" w:hAnsi="Times New Roman"/>
                <w:color w:val="000000"/>
                <w:sz w:val="20"/>
                <w:szCs w:val="20"/>
              </w:rPr>
              <w:t>respectively; 4,141 million Class B shares authorized, 413 million and 413 million shares issued and outstanding, as of March 31, 2022 and December 31, 2021, respectively</w:t>
            </w:r>
          </w:p>
        </w:tc>
        <w:tc>
          <w:tcPr>
            <w:tcW w:w="0" w:type="auto"/>
            <w:gridSpan w:val="2"/>
            <w:shd w:val="clear" w:color="auto" w:fill="CCEEFF"/>
            <w:tcMar>
              <w:top w:w="40" w:type="dxa"/>
              <w:left w:w="20" w:type="dxa"/>
              <w:bottom w:w="40" w:type="dxa"/>
              <w:right w:w="0" w:type="dxa"/>
            </w:tcMar>
            <w:vAlign w:val="bottom"/>
          </w:tcPr>
          <w:p w14:paraId="0B2F9E4E"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9E4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50"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E51"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9E52" w14:textId="77777777" w:rsidR="007F1775" w:rsidRDefault="007F1775">
            <w:pPr>
              <w:jc w:val="right"/>
              <w:rPr>
                <w:rFonts w:ascii="宋体"/>
              </w:rPr>
            </w:pPr>
          </w:p>
        </w:tc>
      </w:tr>
      <w:tr w:rsidR="007F1775" w14:paraId="0B2F9E5A" w14:textId="77777777">
        <w:trPr>
          <w:jc w:val="center"/>
        </w:trPr>
        <w:tc>
          <w:tcPr>
            <w:tcW w:w="0" w:type="auto"/>
            <w:gridSpan w:val="3"/>
            <w:shd w:val="clear" w:color="auto" w:fill="FFFFFF"/>
            <w:tcMar>
              <w:top w:w="40" w:type="dxa"/>
              <w:left w:w="380" w:type="dxa"/>
              <w:bottom w:w="40" w:type="dxa"/>
              <w:right w:w="20" w:type="dxa"/>
            </w:tcMar>
          </w:tcPr>
          <w:p w14:paraId="0B2F9E54" w14:textId="77777777" w:rsidR="007F1775" w:rsidRDefault="000F083E">
            <w:pPr>
              <w:ind w:hanging="180"/>
              <w:textAlignment w:val="top"/>
            </w:pPr>
            <w:r>
              <w:rPr>
                <w:rFonts w:ascii="Times New Roman" w:eastAsia="宋体" w:hAnsi="Times New Roman"/>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0B2F9E55" w14:textId="77777777" w:rsidR="007F1775" w:rsidRDefault="000F083E">
            <w:pPr>
              <w:jc w:val="right"/>
              <w:textAlignment w:val="bottom"/>
            </w:pPr>
            <w:r>
              <w:rPr>
                <w:rFonts w:ascii="Times New Roman" w:eastAsia="宋体" w:hAnsi="Times New Roman"/>
                <w:color w:val="000000"/>
                <w:sz w:val="20"/>
                <w:szCs w:val="20"/>
              </w:rPr>
              <w:t>57,512 </w:t>
            </w:r>
          </w:p>
        </w:tc>
        <w:tc>
          <w:tcPr>
            <w:tcW w:w="0" w:type="auto"/>
            <w:shd w:val="clear" w:color="auto" w:fill="FFFFFF"/>
            <w:tcMar>
              <w:top w:w="40" w:type="dxa"/>
              <w:left w:w="0" w:type="dxa"/>
              <w:bottom w:w="40" w:type="dxa"/>
              <w:right w:w="20" w:type="dxa"/>
            </w:tcMar>
            <w:vAlign w:val="bottom"/>
          </w:tcPr>
          <w:p w14:paraId="0B2F9E5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57"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E58" w14:textId="77777777" w:rsidR="007F1775" w:rsidRDefault="000F083E">
            <w:pPr>
              <w:jc w:val="right"/>
              <w:textAlignment w:val="bottom"/>
            </w:pPr>
            <w:r>
              <w:rPr>
                <w:rFonts w:ascii="Times New Roman" w:eastAsia="宋体" w:hAnsi="Times New Roman"/>
                <w:color w:val="000000"/>
                <w:sz w:val="20"/>
                <w:szCs w:val="20"/>
              </w:rPr>
              <w:t>55,811 </w:t>
            </w:r>
          </w:p>
        </w:tc>
        <w:tc>
          <w:tcPr>
            <w:tcW w:w="0" w:type="auto"/>
            <w:shd w:val="clear" w:color="auto" w:fill="FFFFFF"/>
            <w:tcMar>
              <w:top w:w="40" w:type="dxa"/>
              <w:left w:w="0" w:type="dxa"/>
              <w:bottom w:w="40" w:type="dxa"/>
              <w:right w:w="20" w:type="dxa"/>
            </w:tcMar>
            <w:vAlign w:val="bottom"/>
          </w:tcPr>
          <w:p w14:paraId="0B2F9E59" w14:textId="77777777" w:rsidR="007F1775" w:rsidRDefault="007F1775">
            <w:pPr>
              <w:jc w:val="right"/>
              <w:rPr>
                <w:rFonts w:ascii="宋体"/>
              </w:rPr>
            </w:pPr>
          </w:p>
        </w:tc>
      </w:tr>
      <w:tr w:rsidR="007F1775" w14:paraId="0B2F9E61" w14:textId="77777777">
        <w:trPr>
          <w:jc w:val="center"/>
        </w:trPr>
        <w:tc>
          <w:tcPr>
            <w:tcW w:w="0" w:type="auto"/>
            <w:gridSpan w:val="3"/>
            <w:shd w:val="clear" w:color="auto" w:fill="CCEEFF"/>
            <w:tcMar>
              <w:top w:w="40" w:type="dxa"/>
              <w:left w:w="380" w:type="dxa"/>
              <w:bottom w:w="40" w:type="dxa"/>
              <w:right w:w="20" w:type="dxa"/>
            </w:tcMar>
          </w:tcPr>
          <w:p w14:paraId="0B2F9E5B" w14:textId="77777777" w:rsidR="007F1775" w:rsidRDefault="000F083E">
            <w:pPr>
              <w:ind w:hanging="180"/>
              <w:textAlignment w:val="top"/>
            </w:pPr>
            <w:r>
              <w:rPr>
                <w:rFonts w:ascii="Times New Roman" w:eastAsia="宋体" w:hAnsi="Times New Roman"/>
                <w:color w:val="000000"/>
                <w:sz w:val="20"/>
                <w:szCs w:val="20"/>
              </w:rPr>
              <w:t xml:space="preserve">Accumulated other </w:t>
            </w:r>
            <w:r>
              <w:rPr>
                <w:rFonts w:ascii="Times New Roman" w:eastAsia="宋体" w:hAnsi="Times New Roman"/>
                <w:color w:val="000000"/>
                <w:sz w:val="20"/>
                <w:szCs w:val="20"/>
              </w:rPr>
              <w:t>comprehensive loss</w:t>
            </w:r>
          </w:p>
        </w:tc>
        <w:tc>
          <w:tcPr>
            <w:tcW w:w="0" w:type="auto"/>
            <w:gridSpan w:val="2"/>
            <w:shd w:val="clear" w:color="auto" w:fill="CCEEFF"/>
            <w:tcMar>
              <w:top w:w="40" w:type="dxa"/>
              <w:left w:w="20" w:type="dxa"/>
              <w:bottom w:w="40" w:type="dxa"/>
              <w:right w:w="0" w:type="dxa"/>
            </w:tcMar>
            <w:vAlign w:val="bottom"/>
          </w:tcPr>
          <w:p w14:paraId="0B2F9E5C" w14:textId="77777777" w:rsidR="007F1775" w:rsidRDefault="000F083E">
            <w:pPr>
              <w:jc w:val="right"/>
              <w:textAlignment w:val="bottom"/>
            </w:pPr>
            <w:r>
              <w:rPr>
                <w:rFonts w:ascii="Times New Roman" w:eastAsia="宋体" w:hAnsi="Times New Roman"/>
                <w:color w:val="000000"/>
                <w:sz w:val="20"/>
                <w:szCs w:val="20"/>
              </w:rPr>
              <w:t>(1,996)</w:t>
            </w:r>
          </w:p>
        </w:tc>
        <w:tc>
          <w:tcPr>
            <w:tcW w:w="0" w:type="auto"/>
            <w:shd w:val="clear" w:color="auto" w:fill="CCEEFF"/>
            <w:tcMar>
              <w:top w:w="40" w:type="dxa"/>
              <w:left w:w="0" w:type="dxa"/>
              <w:bottom w:w="40" w:type="dxa"/>
              <w:right w:w="20" w:type="dxa"/>
            </w:tcMar>
            <w:vAlign w:val="bottom"/>
          </w:tcPr>
          <w:p w14:paraId="0B2F9E5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5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E5F" w14:textId="77777777" w:rsidR="007F1775" w:rsidRDefault="000F083E">
            <w:pPr>
              <w:jc w:val="right"/>
              <w:textAlignment w:val="bottom"/>
            </w:pPr>
            <w:r>
              <w:rPr>
                <w:rFonts w:ascii="Times New Roman" w:eastAsia="宋体" w:hAnsi="Times New Roman"/>
                <w:color w:val="000000"/>
                <w:sz w:val="20"/>
                <w:szCs w:val="20"/>
              </w:rPr>
              <w:t>(693)</w:t>
            </w:r>
          </w:p>
        </w:tc>
        <w:tc>
          <w:tcPr>
            <w:tcW w:w="0" w:type="auto"/>
            <w:shd w:val="clear" w:color="auto" w:fill="CCEEFF"/>
            <w:tcMar>
              <w:top w:w="40" w:type="dxa"/>
              <w:left w:w="0" w:type="dxa"/>
              <w:bottom w:w="40" w:type="dxa"/>
              <w:right w:w="20" w:type="dxa"/>
            </w:tcMar>
            <w:vAlign w:val="bottom"/>
          </w:tcPr>
          <w:p w14:paraId="0B2F9E60" w14:textId="77777777" w:rsidR="007F1775" w:rsidRDefault="007F1775">
            <w:pPr>
              <w:jc w:val="right"/>
              <w:rPr>
                <w:rFonts w:ascii="宋体"/>
              </w:rPr>
            </w:pPr>
          </w:p>
        </w:tc>
      </w:tr>
      <w:tr w:rsidR="007F1775" w14:paraId="0B2F9E68" w14:textId="77777777">
        <w:trPr>
          <w:jc w:val="center"/>
        </w:trPr>
        <w:tc>
          <w:tcPr>
            <w:tcW w:w="0" w:type="auto"/>
            <w:gridSpan w:val="3"/>
            <w:shd w:val="clear" w:color="auto" w:fill="FFFFFF"/>
            <w:tcMar>
              <w:top w:w="40" w:type="dxa"/>
              <w:left w:w="380" w:type="dxa"/>
              <w:bottom w:w="40" w:type="dxa"/>
              <w:right w:w="20" w:type="dxa"/>
            </w:tcMar>
          </w:tcPr>
          <w:p w14:paraId="0B2F9E62" w14:textId="77777777" w:rsidR="007F1775" w:rsidRDefault="000F083E">
            <w:pPr>
              <w:ind w:hanging="180"/>
              <w:textAlignment w:val="top"/>
            </w:pPr>
            <w:r>
              <w:rPr>
                <w:rFonts w:ascii="Times New Roman" w:eastAsia="宋体" w:hAnsi="Times New Roman"/>
                <w:color w:val="000000"/>
                <w:sz w:val="20"/>
                <w:szCs w:val="20"/>
              </w:rPr>
              <w:t>Retained earnings</w:t>
            </w:r>
          </w:p>
        </w:tc>
        <w:tc>
          <w:tcPr>
            <w:tcW w:w="0" w:type="auto"/>
            <w:gridSpan w:val="2"/>
            <w:shd w:val="clear" w:color="auto" w:fill="FFFFFF"/>
            <w:tcMar>
              <w:top w:w="40" w:type="dxa"/>
              <w:left w:w="20" w:type="dxa"/>
              <w:bottom w:w="40" w:type="dxa"/>
              <w:right w:w="0" w:type="dxa"/>
            </w:tcMar>
            <w:vAlign w:val="bottom"/>
          </w:tcPr>
          <w:p w14:paraId="0B2F9E63" w14:textId="77777777" w:rsidR="007F1775" w:rsidRDefault="000F083E">
            <w:pPr>
              <w:jc w:val="right"/>
              <w:textAlignment w:val="bottom"/>
            </w:pPr>
            <w:r>
              <w:rPr>
                <w:rFonts w:ascii="Times New Roman" w:eastAsia="宋体" w:hAnsi="Times New Roman"/>
                <w:color w:val="000000"/>
                <w:sz w:val="20"/>
                <w:szCs w:val="20"/>
              </w:rPr>
              <w:t>67,712 </w:t>
            </w:r>
          </w:p>
        </w:tc>
        <w:tc>
          <w:tcPr>
            <w:tcW w:w="0" w:type="auto"/>
            <w:shd w:val="clear" w:color="auto" w:fill="FFFFFF"/>
            <w:tcMar>
              <w:top w:w="40" w:type="dxa"/>
              <w:left w:w="0" w:type="dxa"/>
              <w:bottom w:w="40" w:type="dxa"/>
              <w:right w:w="20" w:type="dxa"/>
            </w:tcMar>
            <w:vAlign w:val="bottom"/>
          </w:tcPr>
          <w:p w14:paraId="0B2F9E6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6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E66" w14:textId="77777777" w:rsidR="007F1775" w:rsidRDefault="000F083E">
            <w:pPr>
              <w:jc w:val="right"/>
              <w:textAlignment w:val="bottom"/>
            </w:pPr>
            <w:r>
              <w:rPr>
                <w:rFonts w:ascii="Times New Roman" w:eastAsia="宋体" w:hAnsi="Times New Roman"/>
                <w:color w:val="000000"/>
                <w:sz w:val="20"/>
                <w:szCs w:val="20"/>
              </w:rPr>
              <w:t>69,761 </w:t>
            </w:r>
          </w:p>
        </w:tc>
        <w:tc>
          <w:tcPr>
            <w:tcW w:w="0" w:type="auto"/>
            <w:shd w:val="clear" w:color="auto" w:fill="FFFFFF"/>
            <w:tcMar>
              <w:top w:w="40" w:type="dxa"/>
              <w:left w:w="0" w:type="dxa"/>
              <w:bottom w:w="40" w:type="dxa"/>
              <w:right w:w="20" w:type="dxa"/>
            </w:tcMar>
            <w:vAlign w:val="bottom"/>
          </w:tcPr>
          <w:p w14:paraId="0B2F9E67" w14:textId="77777777" w:rsidR="007F1775" w:rsidRDefault="007F1775">
            <w:pPr>
              <w:jc w:val="right"/>
              <w:rPr>
                <w:rFonts w:ascii="宋体"/>
              </w:rPr>
            </w:pPr>
          </w:p>
        </w:tc>
      </w:tr>
      <w:tr w:rsidR="007F1775" w14:paraId="0B2F9E6F" w14:textId="77777777">
        <w:trPr>
          <w:jc w:val="center"/>
        </w:trPr>
        <w:tc>
          <w:tcPr>
            <w:tcW w:w="0" w:type="auto"/>
            <w:gridSpan w:val="3"/>
            <w:shd w:val="clear" w:color="auto" w:fill="CCEEFF"/>
            <w:tcMar>
              <w:top w:w="40" w:type="dxa"/>
              <w:left w:w="740" w:type="dxa"/>
              <w:bottom w:w="40" w:type="dxa"/>
              <w:right w:w="20" w:type="dxa"/>
            </w:tcMar>
          </w:tcPr>
          <w:p w14:paraId="0B2F9E69" w14:textId="77777777" w:rsidR="007F1775" w:rsidRDefault="000F083E">
            <w:pPr>
              <w:ind w:hanging="360"/>
              <w:textAlignment w:val="top"/>
            </w:pPr>
            <w:r>
              <w:rPr>
                <w:rFonts w:ascii="Times New Roman" w:eastAsia="宋体" w:hAnsi="Times New Roman"/>
                <w:color w:val="000000"/>
                <w:sz w:val="20"/>
                <w:szCs w:val="20"/>
              </w:rPr>
              <w:t>Total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9E6A" w14:textId="77777777" w:rsidR="007F1775" w:rsidRDefault="000F083E">
            <w:pPr>
              <w:jc w:val="right"/>
              <w:textAlignment w:val="bottom"/>
            </w:pPr>
            <w:r>
              <w:rPr>
                <w:rFonts w:ascii="Times New Roman" w:eastAsia="宋体" w:hAnsi="Times New Roman"/>
                <w:color w:val="000000"/>
                <w:sz w:val="20"/>
                <w:szCs w:val="20"/>
              </w:rPr>
              <w:t>123,228 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E6B"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6C"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9E6D" w14:textId="77777777" w:rsidR="007F1775" w:rsidRDefault="000F083E">
            <w:pPr>
              <w:jc w:val="right"/>
              <w:textAlignment w:val="bottom"/>
            </w:pPr>
            <w:r>
              <w:rPr>
                <w:rFonts w:ascii="Times New Roman" w:eastAsia="宋体" w:hAnsi="Times New Roman"/>
                <w:color w:val="000000"/>
                <w:sz w:val="20"/>
                <w:szCs w:val="20"/>
              </w:rPr>
              <w:t>124,879 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E6E" w14:textId="77777777" w:rsidR="007F1775" w:rsidRDefault="007F1775">
            <w:pPr>
              <w:jc w:val="right"/>
              <w:rPr>
                <w:rFonts w:ascii="宋体"/>
              </w:rPr>
            </w:pPr>
          </w:p>
        </w:tc>
      </w:tr>
      <w:tr w:rsidR="007F1775" w14:paraId="0B2F9E78" w14:textId="77777777">
        <w:trPr>
          <w:jc w:val="center"/>
        </w:trPr>
        <w:tc>
          <w:tcPr>
            <w:tcW w:w="0" w:type="auto"/>
            <w:gridSpan w:val="3"/>
            <w:shd w:val="clear" w:color="auto" w:fill="FFFFFF"/>
            <w:tcMar>
              <w:top w:w="40" w:type="dxa"/>
              <w:left w:w="20" w:type="dxa"/>
              <w:bottom w:w="40" w:type="dxa"/>
              <w:right w:w="20" w:type="dxa"/>
            </w:tcMar>
          </w:tcPr>
          <w:p w14:paraId="0B2F9E70" w14:textId="77777777" w:rsidR="007F1775" w:rsidRDefault="000F083E">
            <w:pPr>
              <w:textAlignment w:val="top"/>
            </w:pPr>
            <w:r>
              <w:rPr>
                <w:rFonts w:ascii="Times New Roman" w:eastAsia="宋体" w:hAnsi="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9E71"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9E72" w14:textId="77777777" w:rsidR="007F1775" w:rsidRDefault="000F083E">
            <w:pPr>
              <w:jc w:val="right"/>
              <w:textAlignment w:val="bottom"/>
            </w:pPr>
            <w:r>
              <w:rPr>
                <w:rFonts w:ascii="Times New Roman" w:eastAsia="宋体" w:hAnsi="Times New Roman"/>
                <w:color w:val="000000"/>
                <w:sz w:val="20"/>
                <w:szCs w:val="20"/>
              </w:rPr>
              <w:t>164,218 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9E7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74"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9E75"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9E76" w14:textId="77777777" w:rsidR="007F1775" w:rsidRDefault="000F083E">
            <w:pPr>
              <w:jc w:val="right"/>
              <w:textAlignment w:val="bottom"/>
            </w:pPr>
            <w:r>
              <w:rPr>
                <w:rFonts w:ascii="Times New Roman" w:eastAsia="宋体" w:hAnsi="Times New Roman"/>
                <w:color w:val="000000"/>
                <w:sz w:val="20"/>
                <w:szCs w:val="20"/>
              </w:rPr>
              <w:t>165,987 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9E77" w14:textId="77777777" w:rsidR="007F1775" w:rsidRDefault="007F1775">
            <w:pPr>
              <w:jc w:val="right"/>
              <w:rPr>
                <w:rFonts w:ascii="宋体"/>
              </w:rPr>
            </w:pPr>
          </w:p>
        </w:tc>
      </w:tr>
    </w:tbl>
    <w:p w14:paraId="0B2F9E79" w14:textId="77777777" w:rsidR="007F1775" w:rsidRDefault="000F083E">
      <w:pPr>
        <w:spacing w:before="180"/>
        <w:jc w:val="center"/>
      </w:pPr>
      <w:r>
        <w:rPr>
          <w:rFonts w:ascii="Times New Roman" w:eastAsia="宋体" w:hAnsi="Times New Roman"/>
          <w:i/>
          <w:iCs/>
          <w:color w:val="000000"/>
          <w:sz w:val="18"/>
          <w:szCs w:val="18"/>
        </w:rPr>
        <w:t xml:space="preserve">See Accompanying Notes to Condensed Consolidated </w:t>
      </w:r>
      <w:r>
        <w:rPr>
          <w:rFonts w:ascii="Times New Roman" w:eastAsia="宋体" w:hAnsi="Times New Roman"/>
          <w:i/>
          <w:iCs/>
          <w:color w:val="000000"/>
          <w:sz w:val="18"/>
          <w:szCs w:val="18"/>
        </w:rPr>
        <w:t>Financial Statements.</w:t>
      </w:r>
    </w:p>
    <w:p w14:paraId="0B2F9E7A" w14:textId="77777777" w:rsidR="007F1775" w:rsidRDefault="000F083E">
      <w:pPr>
        <w:jc w:val="center"/>
      </w:pPr>
      <w:r>
        <w:rPr>
          <w:rFonts w:ascii="Times New Roman" w:eastAsia="宋体" w:hAnsi="Times New Roman"/>
          <w:color w:val="000000"/>
          <w:sz w:val="20"/>
          <w:szCs w:val="20"/>
        </w:rPr>
        <w:t>7</w:t>
      </w:r>
    </w:p>
    <w:p w14:paraId="0B2F9E7B" w14:textId="77777777" w:rsidR="007F1775" w:rsidRDefault="000F083E">
      <w:r>
        <w:pict w14:anchorId="0B2FBF68">
          <v:rect id="_x0000_i1031" style="width:415.3pt;height:1.5pt" o:hralign="center" o:hrstd="t" o:hr="t" fillcolor="#a0a0a0" stroked="f"/>
        </w:pict>
      </w:r>
    </w:p>
    <w:p w14:paraId="0B2F9E7C" w14:textId="77777777" w:rsidR="007F1775" w:rsidRDefault="007F1775"/>
    <w:p w14:paraId="0B2F9E7D" w14:textId="77777777" w:rsidR="007F1775" w:rsidRDefault="007F1775"/>
    <w:p w14:paraId="0B2F9E7E" w14:textId="77777777" w:rsidR="007F1775" w:rsidRDefault="000F083E">
      <w:hyperlink r:id="rId85" w:anchor="iea70e328caa94cefb76a9db6ed6338fc_7" w:history="1">
        <w:r>
          <w:rPr>
            <w:rStyle w:val="a5"/>
            <w:rFonts w:ascii="Times New Roman" w:eastAsia="宋体" w:hAnsi="Times New Roman"/>
            <w:sz w:val="20"/>
            <w:szCs w:val="20"/>
          </w:rPr>
          <w:t>Table of Contents</w:t>
        </w:r>
      </w:hyperlink>
    </w:p>
    <w:p w14:paraId="0B2F9E7F" w14:textId="77777777" w:rsidR="007F1775" w:rsidRDefault="000F083E">
      <w:pPr>
        <w:spacing w:before="180"/>
        <w:jc w:val="center"/>
      </w:pPr>
      <w:r>
        <w:rPr>
          <w:rFonts w:ascii="Times New Roman" w:eastAsia="宋体" w:hAnsi="Times New Roman"/>
          <w:b/>
          <w:bCs/>
          <w:color w:val="000000"/>
          <w:sz w:val="20"/>
          <w:szCs w:val="20"/>
        </w:rPr>
        <w:t xml:space="preserve">META PLATFORMS, INC. </w:t>
      </w:r>
    </w:p>
    <w:p w14:paraId="0B2F9E80" w14:textId="77777777" w:rsidR="007F1775" w:rsidRDefault="000F083E">
      <w:pPr>
        <w:jc w:val="center"/>
      </w:pPr>
      <w:r>
        <w:rPr>
          <w:rFonts w:ascii="Times New Roman" w:eastAsia="宋体" w:hAnsi="Times New Roman"/>
          <w:b/>
          <w:bCs/>
          <w:color w:val="000000"/>
          <w:sz w:val="20"/>
          <w:szCs w:val="20"/>
        </w:rPr>
        <w:t>CONDENSED CONSOLIDATED STATEMENTS OF INCOME</w:t>
      </w:r>
    </w:p>
    <w:p w14:paraId="0B2F9E81" w14:textId="77777777" w:rsidR="007F1775" w:rsidRDefault="000F083E">
      <w:pPr>
        <w:jc w:val="center"/>
      </w:pPr>
      <w:r>
        <w:rPr>
          <w:rFonts w:ascii="Times New Roman" w:eastAsia="宋体" w:hAnsi="Times New Roman"/>
          <w:i/>
          <w:iCs/>
          <w:color w:val="000000"/>
          <w:sz w:val="18"/>
          <w:szCs w:val="18"/>
        </w:rPr>
        <w:t xml:space="preserve">(In </w:t>
      </w:r>
      <w:r>
        <w:rPr>
          <w:rFonts w:ascii="Times New Roman" w:eastAsia="宋体" w:hAnsi="Times New Roman"/>
          <w:i/>
          <w:iCs/>
          <w:color w:val="000000"/>
          <w:sz w:val="18"/>
          <w:szCs w:val="18"/>
        </w:rPr>
        <w:t>millions, except per share amounts)</w:t>
      </w:r>
    </w:p>
    <w:p w14:paraId="0B2F9E82" w14:textId="77777777" w:rsidR="007F1775" w:rsidRDefault="000F083E">
      <w:pPr>
        <w:jc w:val="center"/>
      </w:pPr>
      <w:r>
        <w:rPr>
          <w:rFonts w:ascii="Times New Roman" w:eastAsia="宋体" w:hAnsi="Times New Roman"/>
          <w:i/>
          <w:iCs/>
          <w:color w:val="000000"/>
          <w:sz w:val="18"/>
          <w:szCs w:val="18"/>
        </w:rPr>
        <w:t>(Unaudited)</w:t>
      </w:r>
    </w:p>
    <w:p w14:paraId="0B2F9E83" w14:textId="77777777" w:rsidR="007F1775" w:rsidRDefault="000F083E">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5766"/>
        <w:gridCol w:w="39"/>
        <w:gridCol w:w="120"/>
        <w:gridCol w:w="909"/>
        <w:gridCol w:w="36"/>
        <w:gridCol w:w="36"/>
        <w:gridCol w:w="36"/>
        <w:gridCol w:w="36"/>
        <w:gridCol w:w="120"/>
        <w:gridCol w:w="873"/>
        <w:gridCol w:w="36"/>
        <w:gridCol w:w="36"/>
        <w:gridCol w:w="36"/>
        <w:gridCol w:w="36"/>
        <w:gridCol w:w="36"/>
        <w:gridCol w:w="36"/>
        <w:gridCol w:w="36"/>
        <w:gridCol w:w="36"/>
        <w:gridCol w:w="36"/>
      </w:tblGrid>
      <w:tr w:rsidR="007F1775" w14:paraId="0B2F9E94" w14:textId="77777777">
        <w:tc>
          <w:tcPr>
            <w:tcW w:w="50" w:type="pct"/>
            <w:shd w:val="clear" w:color="auto" w:fill="auto"/>
            <w:vAlign w:val="bottom"/>
          </w:tcPr>
          <w:p w14:paraId="0B2F9E84" w14:textId="77777777" w:rsidR="007F1775" w:rsidRDefault="007F1775">
            <w:pPr>
              <w:rPr>
                <w:rFonts w:ascii="宋体"/>
              </w:rPr>
            </w:pPr>
          </w:p>
        </w:tc>
        <w:tc>
          <w:tcPr>
            <w:tcW w:w="3613" w:type="pct"/>
            <w:shd w:val="clear" w:color="auto" w:fill="auto"/>
            <w:vAlign w:val="bottom"/>
          </w:tcPr>
          <w:p w14:paraId="0B2F9E85" w14:textId="77777777" w:rsidR="007F1775" w:rsidRDefault="007F1775">
            <w:pPr>
              <w:rPr>
                <w:rFonts w:ascii="宋体"/>
              </w:rPr>
            </w:pPr>
          </w:p>
        </w:tc>
        <w:tc>
          <w:tcPr>
            <w:tcW w:w="5" w:type="pct"/>
            <w:shd w:val="clear" w:color="auto" w:fill="auto"/>
            <w:vAlign w:val="bottom"/>
          </w:tcPr>
          <w:p w14:paraId="0B2F9E86" w14:textId="77777777" w:rsidR="007F1775" w:rsidRDefault="007F1775">
            <w:pPr>
              <w:rPr>
                <w:rFonts w:ascii="宋体"/>
              </w:rPr>
            </w:pPr>
          </w:p>
        </w:tc>
        <w:tc>
          <w:tcPr>
            <w:tcW w:w="50" w:type="pct"/>
            <w:shd w:val="clear" w:color="auto" w:fill="auto"/>
            <w:vAlign w:val="bottom"/>
          </w:tcPr>
          <w:p w14:paraId="0B2F9E87" w14:textId="77777777" w:rsidR="007F1775" w:rsidRDefault="007F1775">
            <w:pPr>
              <w:rPr>
                <w:rFonts w:ascii="宋体"/>
              </w:rPr>
            </w:pPr>
          </w:p>
        </w:tc>
        <w:tc>
          <w:tcPr>
            <w:tcW w:w="592" w:type="pct"/>
            <w:shd w:val="clear" w:color="auto" w:fill="auto"/>
            <w:vAlign w:val="bottom"/>
          </w:tcPr>
          <w:p w14:paraId="0B2F9E88" w14:textId="77777777" w:rsidR="007F1775" w:rsidRDefault="007F1775">
            <w:pPr>
              <w:rPr>
                <w:rFonts w:ascii="宋体"/>
              </w:rPr>
            </w:pPr>
          </w:p>
        </w:tc>
        <w:tc>
          <w:tcPr>
            <w:tcW w:w="5" w:type="pct"/>
            <w:shd w:val="clear" w:color="auto" w:fill="auto"/>
            <w:vAlign w:val="bottom"/>
          </w:tcPr>
          <w:p w14:paraId="0B2F9E89" w14:textId="77777777" w:rsidR="007F1775" w:rsidRDefault="007F1775">
            <w:pPr>
              <w:rPr>
                <w:rFonts w:ascii="宋体"/>
              </w:rPr>
            </w:pPr>
          </w:p>
        </w:tc>
        <w:tc>
          <w:tcPr>
            <w:tcW w:w="5" w:type="pct"/>
            <w:shd w:val="clear" w:color="auto" w:fill="auto"/>
            <w:vAlign w:val="bottom"/>
          </w:tcPr>
          <w:p w14:paraId="0B2F9E8A" w14:textId="77777777" w:rsidR="007F1775" w:rsidRDefault="007F1775">
            <w:pPr>
              <w:rPr>
                <w:rFonts w:ascii="宋体"/>
              </w:rPr>
            </w:pPr>
          </w:p>
        </w:tc>
        <w:tc>
          <w:tcPr>
            <w:tcW w:w="27" w:type="pct"/>
            <w:shd w:val="clear" w:color="auto" w:fill="auto"/>
            <w:vAlign w:val="bottom"/>
          </w:tcPr>
          <w:p w14:paraId="0B2F9E8B" w14:textId="77777777" w:rsidR="007F1775" w:rsidRDefault="007F1775">
            <w:pPr>
              <w:rPr>
                <w:rFonts w:ascii="宋体"/>
              </w:rPr>
            </w:pPr>
          </w:p>
        </w:tc>
        <w:tc>
          <w:tcPr>
            <w:tcW w:w="5" w:type="pct"/>
            <w:shd w:val="clear" w:color="auto" w:fill="auto"/>
            <w:vAlign w:val="bottom"/>
          </w:tcPr>
          <w:p w14:paraId="0B2F9E8C" w14:textId="77777777" w:rsidR="007F1775" w:rsidRDefault="007F1775">
            <w:pPr>
              <w:rPr>
                <w:rFonts w:ascii="宋体"/>
              </w:rPr>
            </w:pPr>
          </w:p>
        </w:tc>
        <w:tc>
          <w:tcPr>
            <w:tcW w:w="50" w:type="pct"/>
            <w:shd w:val="clear" w:color="auto" w:fill="auto"/>
            <w:vAlign w:val="bottom"/>
          </w:tcPr>
          <w:p w14:paraId="0B2F9E8D" w14:textId="77777777" w:rsidR="007F1775" w:rsidRDefault="007F1775">
            <w:pPr>
              <w:rPr>
                <w:rFonts w:ascii="宋体"/>
              </w:rPr>
            </w:pPr>
          </w:p>
        </w:tc>
        <w:tc>
          <w:tcPr>
            <w:tcW w:w="592" w:type="pct"/>
            <w:shd w:val="clear" w:color="auto" w:fill="auto"/>
            <w:vAlign w:val="bottom"/>
          </w:tcPr>
          <w:p w14:paraId="0B2F9E8E" w14:textId="77777777" w:rsidR="007F1775" w:rsidRDefault="007F1775">
            <w:pPr>
              <w:rPr>
                <w:rFonts w:ascii="宋体"/>
              </w:rPr>
            </w:pPr>
          </w:p>
        </w:tc>
        <w:tc>
          <w:tcPr>
            <w:tcW w:w="5" w:type="pct"/>
            <w:shd w:val="clear" w:color="auto" w:fill="auto"/>
            <w:vAlign w:val="bottom"/>
          </w:tcPr>
          <w:p w14:paraId="0B2F9E8F" w14:textId="77777777" w:rsidR="007F1775" w:rsidRDefault="007F1775">
            <w:pPr>
              <w:rPr>
                <w:rFonts w:ascii="宋体"/>
              </w:rPr>
            </w:pPr>
          </w:p>
        </w:tc>
        <w:tc>
          <w:tcPr>
            <w:tcW w:w="0" w:type="auto"/>
            <w:shd w:val="clear" w:color="auto" w:fill="auto"/>
            <w:vAlign w:val="bottom"/>
          </w:tcPr>
          <w:p w14:paraId="0B2F9E90" w14:textId="77777777" w:rsidR="007F1775" w:rsidRDefault="007F1775">
            <w:pPr>
              <w:rPr>
                <w:rFonts w:ascii="宋体"/>
                <w:vanish/>
              </w:rPr>
            </w:pPr>
          </w:p>
        </w:tc>
        <w:tc>
          <w:tcPr>
            <w:tcW w:w="0" w:type="auto"/>
            <w:shd w:val="clear" w:color="auto" w:fill="auto"/>
            <w:vAlign w:val="bottom"/>
          </w:tcPr>
          <w:p w14:paraId="0B2F9E91" w14:textId="77777777" w:rsidR="007F1775" w:rsidRDefault="007F1775">
            <w:pPr>
              <w:rPr>
                <w:rFonts w:ascii="宋体"/>
                <w:vanish/>
              </w:rPr>
            </w:pPr>
          </w:p>
        </w:tc>
        <w:tc>
          <w:tcPr>
            <w:tcW w:w="0" w:type="auto"/>
            <w:gridSpan w:val="3"/>
            <w:shd w:val="clear" w:color="auto" w:fill="auto"/>
            <w:vAlign w:val="bottom"/>
          </w:tcPr>
          <w:p w14:paraId="0B2F9E92" w14:textId="77777777" w:rsidR="007F1775" w:rsidRDefault="007F1775">
            <w:pPr>
              <w:rPr>
                <w:rFonts w:ascii="宋体"/>
                <w:vanish/>
              </w:rPr>
            </w:pPr>
          </w:p>
        </w:tc>
        <w:tc>
          <w:tcPr>
            <w:tcW w:w="0" w:type="auto"/>
            <w:gridSpan w:val="3"/>
            <w:shd w:val="clear" w:color="auto" w:fill="auto"/>
            <w:vAlign w:val="bottom"/>
          </w:tcPr>
          <w:p w14:paraId="0B2F9E93" w14:textId="77777777" w:rsidR="007F1775" w:rsidRDefault="007F1775">
            <w:pPr>
              <w:rPr>
                <w:rFonts w:ascii="宋体"/>
                <w:vanish/>
              </w:rPr>
            </w:pPr>
          </w:p>
        </w:tc>
      </w:tr>
      <w:tr w:rsidR="007F1775" w14:paraId="0B2F9E9F" w14:textId="77777777">
        <w:tc>
          <w:tcPr>
            <w:tcW w:w="0" w:type="auto"/>
            <w:gridSpan w:val="3"/>
            <w:shd w:val="clear" w:color="auto" w:fill="auto"/>
            <w:tcMar>
              <w:top w:w="40" w:type="dxa"/>
              <w:left w:w="20" w:type="dxa"/>
              <w:bottom w:w="40" w:type="dxa"/>
              <w:right w:w="20" w:type="dxa"/>
            </w:tcMar>
            <w:vAlign w:val="bottom"/>
          </w:tcPr>
          <w:p w14:paraId="0B2F9E95"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9E96"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9E97" w14:textId="77777777" w:rsidR="007F1775" w:rsidRDefault="007F1775">
            <w:pPr>
              <w:rPr>
                <w:rFonts w:ascii="宋体"/>
                <w:vanish/>
              </w:rPr>
            </w:pPr>
          </w:p>
        </w:tc>
        <w:tc>
          <w:tcPr>
            <w:tcW w:w="0" w:type="auto"/>
            <w:shd w:val="clear" w:color="auto" w:fill="auto"/>
            <w:vAlign w:val="bottom"/>
          </w:tcPr>
          <w:p w14:paraId="0B2F9E98" w14:textId="77777777" w:rsidR="007F1775" w:rsidRDefault="007F1775">
            <w:pPr>
              <w:rPr>
                <w:rFonts w:ascii="宋体"/>
                <w:vanish/>
              </w:rPr>
            </w:pPr>
          </w:p>
        </w:tc>
        <w:tc>
          <w:tcPr>
            <w:tcW w:w="0" w:type="auto"/>
            <w:shd w:val="clear" w:color="auto" w:fill="auto"/>
            <w:vAlign w:val="bottom"/>
          </w:tcPr>
          <w:p w14:paraId="0B2F9E99" w14:textId="77777777" w:rsidR="007F1775" w:rsidRDefault="007F1775">
            <w:pPr>
              <w:rPr>
                <w:rFonts w:ascii="宋体"/>
              </w:rPr>
            </w:pPr>
          </w:p>
        </w:tc>
        <w:tc>
          <w:tcPr>
            <w:tcW w:w="0" w:type="auto"/>
            <w:shd w:val="clear" w:color="auto" w:fill="auto"/>
            <w:vAlign w:val="bottom"/>
          </w:tcPr>
          <w:p w14:paraId="0B2F9E9A" w14:textId="77777777" w:rsidR="007F1775" w:rsidRDefault="007F1775">
            <w:pPr>
              <w:rPr>
                <w:rFonts w:ascii="宋体"/>
              </w:rPr>
            </w:pPr>
          </w:p>
        </w:tc>
        <w:tc>
          <w:tcPr>
            <w:tcW w:w="0" w:type="auto"/>
            <w:shd w:val="clear" w:color="auto" w:fill="auto"/>
            <w:vAlign w:val="bottom"/>
          </w:tcPr>
          <w:p w14:paraId="0B2F9E9B" w14:textId="77777777" w:rsidR="007F1775" w:rsidRDefault="007F1775">
            <w:pPr>
              <w:rPr>
                <w:rFonts w:ascii="宋体"/>
              </w:rPr>
            </w:pPr>
          </w:p>
        </w:tc>
        <w:tc>
          <w:tcPr>
            <w:tcW w:w="0" w:type="auto"/>
            <w:shd w:val="clear" w:color="auto" w:fill="auto"/>
            <w:vAlign w:val="bottom"/>
          </w:tcPr>
          <w:p w14:paraId="0B2F9E9C" w14:textId="77777777" w:rsidR="007F1775" w:rsidRDefault="007F1775">
            <w:pPr>
              <w:rPr>
                <w:rFonts w:ascii="宋体"/>
              </w:rPr>
            </w:pPr>
          </w:p>
        </w:tc>
        <w:tc>
          <w:tcPr>
            <w:tcW w:w="0" w:type="auto"/>
            <w:shd w:val="clear" w:color="auto" w:fill="auto"/>
            <w:vAlign w:val="bottom"/>
          </w:tcPr>
          <w:p w14:paraId="0B2F9E9D" w14:textId="77777777" w:rsidR="007F1775" w:rsidRDefault="007F1775">
            <w:pPr>
              <w:rPr>
                <w:rFonts w:ascii="宋体"/>
              </w:rPr>
            </w:pPr>
          </w:p>
        </w:tc>
        <w:tc>
          <w:tcPr>
            <w:tcW w:w="0" w:type="auto"/>
            <w:shd w:val="clear" w:color="auto" w:fill="auto"/>
            <w:vAlign w:val="bottom"/>
          </w:tcPr>
          <w:p w14:paraId="0B2F9E9E" w14:textId="77777777" w:rsidR="007F1775" w:rsidRDefault="007F1775">
            <w:pPr>
              <w:rPr>
                <w:rFonts w:ascii="宋体"/>
              </w:rPr>
            </w:pPr>
          </w:p>
        </w:tc>
      </w:tr>
      <w:tr w:rsidR="007F1775" w14:paraId="0B2F9EA8" w14:textId="77777777">
        <w:tc>
          <w:tcPr>
            <w:tcW w:w="0" w:type="auto"/>
            <w:gridSpan w:val="3"/>
            <w:shd w:val="clear" w:color="auto" w:fill="auto"/>
            <w:tcMar>
              <w:top w:w="40" w:type="dxa"/>
              <w:left w:w="20" w:type="dxa"/>
              <w:bottom w:w="40" w:type="dxa"/>
              <w:right w:w="20" w:type="dxa"/>
            </w:tcMar>
            <w:vAlign w:val="bottom"/>
          </w:tcPr>
          <w:p w14:paraId="0B2F9EA0"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9EA1"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9EA2"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9EA3"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9EA4" w14:textId="77777777" w:rsidR="007F1775" w:rsidRDefault="007F1775">
            <w:pPr>
              <w:rPr>
                <w:rFonts w:ascii="宋体"/>
                <w:vanish/>
              </w:rPr>
            </w:pPr>
          </w:p>
        </w:tc>
        <w:tc>
          <w:tcPr>
            <w:tcW w:w="0" w:type="auto"/>
            <w:shd w:val="clear" w:color="auto" w:fill="auto"/>
            <w:vAlign w:val="bottom"/>
          </w:tcPr>
          <w:p w14:paraId="0B2F9EA5" w14:textId="77777777" w:rsidR="007F1775" w:rsidRDefault="007F1775">
            <w:pPr>
              <w:rPr>
                <w:rFonts w:ascii="宋体"/>
                <w:vanish/>
              </w:rPr>
            </w:pPr>
          </w:p>
        </w:tc>
        <w:tc>
          <w:tcPr>
            <w:tcW w:w="0" w:type="auto"/>
            <w:gridSpan w:val="3"/>
            <w:shd w:val="clear" w:color="auto" w:fill="auto"/>
            <w:vAlign w:val="bottom"/>
          </w:tcPr>
          <w:p w14:paraId="0B2F9EA6" w14:textId="77777777" w:rsidR="007F1775" w:rsidRDefault="007F1775">
            <w:pPr>
              <w:rPr>
                <w:rFonts w:ascii="宋体"/>
                <w:vanish/>
              </w:rPr>
            </w:pPr>
          </w:p>
        </w:tc>
        <w:tc>
          <w:tcPr>
            <w:tcW w:w="0" w:type="auto"/>
            <w:gridSpan w:val="3"/>
            <w:shd w:val="clear" w:color="auto" w:fill="auto"/>
            <w:vAlign w:val="bottom"/>
          </w:tcPr>
          <w:p w14:paraId="0B2F9EA7" w14:textId="77777777" w:rsidR="007F1775" w:rsidRDefault="007F1775">
            <w:pPr>
              <w:rPr>
                <w:rFonts w:ascii="宋体"/>
                <w:vanish/>
              </w:rPr>
            </w:pPr>
          </w:p>
        </w:tc>
      </w:tr>
      <w:tr w:rsidR="007F1775" w14:paraId="0B2F9EB5" w14:textId="77777777">
        <w:tc>
          <w:tcPr>
            <w:tcW w:w="0" w:type="auto"/>
            <w:gridSpan w:val="3"/>
            <w:shd w:val="clear" w:color="auto" w:fill="CCEEFF"/>
            <w:tcMar>
              <w:top w:w="40" w:type="dxa"/>
              <w:left w:w="20" w:type="dxa"/>
              <w:bottom w:w="40" w:type="dxa"/>
              <w:right w:w="20" w:type="dxa"/>
            </w:tcMar>
          </w:tcPr>
          <w:p w14:paraId="0B2F9EA9" w14:textId="77777777" w:rsidR="007F1775" w:rsidRDefault="000F083E">
            <w:pPr>
              <w:textAlignment w:val="top"/>
            </w:pPr>
            <w:r>
              <w:rPr>
                <w:rFonts w:ascii="Times New Roman" w:eastAsia="宋体" w:hAnsi="Times New Roman"/>
                <w:b/>
                <w:bCs/>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9EA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9EAB" w14:textId="77777777" w:rsidR="007F1775" w:rsidRDefault="000F083E">
            <w:pPr>
              <w:jc w:val="right"/>
              <w:textAlignment w:val="bottom"/>
            </w:pPr>
            <w:r>
              <w:rPr>
                <w:rFonts w:ascii="Times New Roman" w:eastAsia="宋体" w:hAnsi="Times New Roman"/>
                <w:color w:val="000000"/>
                <w:sz w:val="20"/>
                <w:szCs w:val="20"/>
              </w:rPr>
              <w:t>27,908 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EA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AD"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9EAE"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9EAF" w14:textId="77777777" w:rsidR="007F1775" w:rsidRDefault="000F083E">
            <w:pPr>
              <w:jc w:val="right"/>
              <w:textAlignment w:val="bottom"/>
            </w:pPr>
            <w:r>
              <w:rPr>
                <w:rFonts w:ascii="Times New Roman" w:eastAsia="宋体" w:hAnsi="Times New Roman"/>
                <w:color w:val="000000"/>
                <w:sz w:val="20"/>
                <w:szCs w:val="20"/>
              </w:rPr>
              <w:t>26,171 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EB0" w14:textId="77777777" w:rsidR="007F1775" w:rsidRDefault="007F1775">
            <w:pPr>
              <w:jc w:val="right"/>
              <w:rPr>
                <w:rFonts w:ascii="宋体"/>
              </w:rPr>
            </w:pPr>
          </w:p>
        </w:tc>
        <w:tc>
          <w:tcPr>
            <w:tcW w:w="0" w:type="auto"/>
            <w:shd w:val="clear" w:color="auto" w:fill="auto"/>
            <w:vAlign w:val="bottom"/>
          </w:tcPr>
          <w:p w14:paraId="0B2F9EB1" w14:textId="77777777" w:rsidR="007F1775" w:rsidRDefault="007F1775">
            <w:pPr>
              <w:rPr>
                <w:rFonts w:ascii="宋体"/>
                <w:vanish/>
              </w:rPr>
            </w:pPr>
          </w:p>
        </w:tc>
        <w:tc>
          <w:tcPr>
            <w:tcW w:w="0" w:type="auto"/>
            <w:shd w:val="clear" w:color="auto" w:fill="auto"/>
            <w:vAlign w:val="bottom"/>
          </w:tcPr>
          <w:p w14:paraId="0B2F9EB2" w14:textId="77777777" w:rsidR="007F1775" w:rsidRDefault="007F1775">
            <w:pPr>
              <w:rPr>
                <w:rFonts w:ascii="宋体"/>
                <w:vanish/>
              </w:rPr>
            </w:pPr>
          </w:p>
        </w:tc>
        <w:tc>
          <w:tcPr>
            <w:tcW w:w="0" w:type="auto"/>
            <w:gridSpan w:val="3"/>
            <w:shd w:val="clear" w:color="auto" w:fill="auto"/>
            <w:vAlign w:val="bottom"/>
          </w:tcPr>
          <w:p w14:paraId="0B2F9EB3" w14:textId="77777777" w:rsidR="007F1775" w:rsidRDefault="007F1775">
            <w:pPr>
              <w:rPr>
                <w:rFonts w:ascii="宋体"/>
                <w:vanish/>
              </w:rPr>
            </w:pPr>
          </w:p>
        </w:tc>
        <w:tc>
          <w:tcPr>
            <w:tcW w:w="0" w:type="auto"/>
            <w:gridSpan w:val="3"/>
            <w:shd w:val="clear" w:color="auto" w:fill="auto"/>
            <w:vAlign w:val="bottom"/>
          </w:tcPr>
          <w:p w14:paraId="0B2F9EB4" w14:textId="77777777" w:rsidR="007F1775" w:rsidRDefault="007F1775">
            <w:pPr>
              <w:rPr>
                <w:rFonts w:ascii="宋体"/>
                <w:vanish/>
              </w:rPr>
            </w:pPr>
          </w:p>
        </w:tc>
      </w:tr>
      <w:tr w:rsidR="007F1775" w14:paraId="0B2F9EBE" w14:textId="77777777">
        <w:tc>
          <w:tcPr>
            <w:tcW w:w="0" w:type="auto"/>
            <w:gridSpan w:val="3"/>
            <w:shd w:val="clear" w:color="auto" w:fill="FFFFFF"/>
            <w:tcMar>
              <w:top w:w="40" w:type="dxa"/>
              <w:left w:w="20" w:type="dxa"/>
              <w:bottom w:w="40" w:type="dxa"/>
              <w:right w:w="20" w:type="dxa"/>
            </w:tcMar>
          </w:tcPr>
          <w:p w14:paraId="0B2F9EB6" w14:textId="77777777" w:rsidR="007F1775" w:rsidRDefault="000F083E">
            <w:pPr>
              <w:textAlignment w:val="top"/>
            </w:pPr>
            <w:r>
              <w:rPr>
                <w:rFonts w:ascii="Times New Roman" w:eastAsia="宋体" w:hAnsi="Times New Roman"/>
                <w:b/>
                <w:bCs/>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0B2F9EB7"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EB8"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EB9" w14:textId="77777777" w:rsidR="007F1775" w:rsidRDefault="007F1775">
            <w:pPr>
              <w:rPr>
                <w:rFonts w:ascii="宋体"/>
              </w:rPr>
            </w:pPr>
          </w:p>
        </w:tc>
        <w:tc>
          <w:tcPr>
            <w:tcW w:w="0" w:type="auto"/>
            <w:shd w:val="clear" w:color="auto" w:fill="auto"/>
            <w:vAlign w:val="bottom"/>
          </w:tcPr>
          <w:p w14:paraId="0B2F9EBA" w14:textId="77777777" w:rsidR="007F1775" w:rsidRDefault="007F1775">
            <w:pPr>
              <w:rPr>
                <w:rFonts w:ascii="宋体"/>
                <w:vanish/>
              </w:rPr>
            </w:pPr>
          </w:p>
        </w:tc>
        <w:tc>
          <w:tcPr>
            <w:tcW w:w="0" w:type="auto"/>
            <w:shd w:val="clear" w:color="auto" w:fill="auto"/>
            <w:vAlign w:val="bottom"/>
          </w:tcPr>
          <w:p w14:paraId="0B2F9EBB" w14:textId="77777777" w:rsidR="007F1775" w:rsidRDefault="007F1775">
            <w:pPr>
              <w:rPr>
                <w:rFonts w:ascii="宋体"/>
                <w:vanish/>
              </w:rPr>
            </w:pPr>
          </w:p>
        </w:tc>
        <w:tc>
          <w:tcPr>
            <w:tcW w:w="0" w:type="auto"/>
            <w:gridSpan w:val="3"/>
            <w:shd w:val="clear" w:color="auto" w:fill="auto"/>
            <w:vAlign w:val="bottom"/>
          </w:tcPr>
          <w:p w14:paraId="0B2F9EBC" w14:textId="77777777" w:rsidR="007F1775" w:rsidRDefault="007F1775">
            <w:pPr>
              <w:rPr>
                <w:rFonts w:ascii="宋体"/>
                <w:vanish/>
              </w:rPr>
            </w:pPr>
          </w:p>
        </w:tc>
        <w:tc>
          <w:tcPr>
            <w:tcW w:w="0" w:type="auto"/>
            <w:gridSpan w:val="3"/>
            <w:shd w:val="clear" w:color="auto" w:fill="auto"/>
            <w:vAlign w:val="bottom"/>
          </w:tcPr>
          <w:p w14:paraId="0B2F9EBD" w14:textId="77777777" w:rsidR="007F1775" w:rsidRDefault="007F1775">
            <w:pPr>
              <w:rPr>
                <w:rFonts w:ascii="宋体"/>
                <w:vanish/>
              </w:rPr>
            </w:pPr>
          </w:p>
        </w:tc>
      </w:tr>
      <w:tr w:rsidR="007F1775" w14:paraId="0B2F9EC9" w14:textId="77777777">
        <w:tc>
          <w:tcPr>
            <w:tcW w:w="0" w:type="auto"/>
            <w:gridSpan w:val="3"/>
            <w:shd w:val="clear" w:color="auto" w:fill="CCEEFF"/>
            <w:tcMar>
              <w:top w:w="40" w:type="dxa"/>
              <w:left w:w="200" w:type="dxa"/>
              <w:bottom w:w="40" w:type="dxa"/>
              <w:right w:w="20" w:type="dxa"/>
            </w:tcMar>
          </w:tcPr>
          <w:p w14:paraId="0B2F9EBF" w14:textId="77777777" w:rsidR="007F1775" w:rsidRDefault="000F083E">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0B2F9EC0" w14:textId="77777777" w:rsidR="007F1775" w:rsidRDefault="000F083E">
            <w:pPr>
              <w:jc w:val="right"/>
              <w:textAlignment w:val="bottom"/>
            </w:pPr>
            <w:r>
              <w:rPr>
                <w:rFonts w:ascii="Times New Roman" w:eastAsia="宋体" w:hAnsi="Times New Roman"/>
                <w:color w:val="000000"/>
                <w:sz w:val="20"/>
                <w:szCs w:val="20"/>
              </w:rPr>
              <w:t>6,005 </w:t>
            </w:r>
          </w:p>
        </w:tc>
        <w:tc>
          <w:tcPr>
            <w:tcW w:w="0" w:type="auto"/>
            <w:shd w:val="clear" w:color="auto" w:fill="CCEEFF"/>
            <w:tcMar>
              <w:top w:w="40" w:type="dxa"/>
              <w:left w:w="0" w:type="dxa"/>
              <w:bottom w:w="40" w:type="dxa"/>
              <w:right w:w="20" w:type="dxa"/>
            </w:tcMar>
            <w:vAlign w:val="bottom"/>
          </w:tcPr>
          <w:p w14:paraId="0B2F9EC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C2"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EC3" w14:textId="77777777" w:rsidR="007F1775" w:rsidRDefault="000F083E">
            <w:pPr>
              <w:jc w:val="right"/>
              <w:textAlignment w:val="bottom"/>
            </w:pPr>
            <w:r>
              <w:rPr>
                <w:rFonts w:ascii="Times New Roman" w:eastAsia="宋体" w:hAnsi="Times New Roman"/>
                <w:color w:val="000000"/>
                <w:sz w:val="20"/>
                <w:szCs w:val="20"/>
              </w:rPr>
              <w:t>5,131 </w:t>
            </w:r>
          </w:p>
        </w:tc>
        <w:tc>
          <w:tcPr>
            <w:tcW w:w="0" w:type="auto"/>
            <w:shd w:val="clear" w:color="auto" w:fill="CCEEFF"/>
            <w:tcMar>
              <w:top w:w="40" w:type="dxa"/>
              <w:left w:w="0" w:type="dxa"/>
              <w:bottom w:w="40" w:type="dxa"/>
              <w:right w:w="20" w:type="dxa"/>
            </w:tcMar>
            <w:vAlign w:val="bottom"/>
          </w:tcPr>
          <w:p w14:paraId="0B2F9EC4" w14:textId="77777777" w:rsidR="007F1775" w:rsidRDefault="007F1775">
            <w:pPr>
              <w:jc w:val="right"/>
              <w:rPr>
                <w:rFonts w:ascii="宋体"/>
              </w:rPr>
            </w:pPr>
          </w:p>
        </w:tc>
        <w:tc>
          <w:tcPr>
            <w:tcW w:w="0" w:type="auto"/>
            <w:shd w:val="clear" w:color="auto" w:fill="auto"/>
            <w:vAlign w:val="bottom"/>
          </w:tcPr>
          <w:p w14:paraId="0B2F9EC5" w14:textId="77777777" w:rsidR="007F1775" w:rsidRDefault="007F1775">
            <w:pPr>
              <w:rPr>
                <w:rFonts w:ascii="宋体"/>
                <w:vanish/>
              </w:rPr>
            </w:pPr>
          </w:p>
        </w:tc>
        <w:tc>
          <w:tcPr>
            <w:tcW w:w="0" w:type="auto"/>
            <w:shd w:val="clear" w:color="auto" w:fill="auto"/>
            <w:vAlign w:val="bottom"/>
          </w:tcPr>
          <w:p w14:paraId="0B2F9EC6" w14:textId="77777777" w:rsidR="007F1775" w:rsidRDefault="007F1775">
            <w:pPr>
              <w:rPr>
                <w:rFonts w:ascii="宋体"/>
                <w:vanish/>
              </w:rPr>
            </w:pPr>
          </w:p>
        </w:tc>
        <w:tc>
          <w:tcPr>
            <w:tcW w:w="0" w:type="auto"/>
            <w:gridSpan w:val="3"/>
            <w:shd w:val="clear" w:color="auto" w:fill="auto"/>
            <w:vAlign w:val="bottom"/>
          </w:tcPr>
          <w:p w14:paraId="0B2F9EC7" w14:textId="77777777" w:rsidR="007F1775" w:rsidRDefault="007F1775">
            <w:pPr>
              <w:rPr>
                <w:rFonts w:ascii="宋体"/>
                <w:vanish/>
              </w:rPr>
            </w:pPr>
          </w:p>
        </w:tc>
        <w:tc>
          <w:tcPr>
            <w:tcW w:w="0" w:type="auto"/>
            <w:gridSpan w:val="3"/>
            <w:shd w:val="clear" w:color="auto" w:fill="auto"/>
            <w:vAlign w:val="bottom"/>
          </w:tcPr>
          <w:p w14:paraId="0B2F9EC8" w14:textId="77777777" w:rsidR="007F1775" w:rsidRDefault="007F1775">
            <w:pPr>
              <w:rPr>
                <w:rFonts w:ascii="宋体"/>
                <w:vanish/>
              </w:rPr>
            </w:pPr>
          </w:p>
        </w:tc>
      </w:tr>
      <w:tr w:rsidR="007F1775" w14:paraId="0B2F9ED4" w14:textId="77777777">
        <w:tc>
          <w:tcPr>
            <w:tcW w:w="0" w:type="auto"/>
            <w:gridSpan w:val="3"/>
            <w:shd w:val="clear" w:color="auto" w:fill="FFFFFF"/>
            <w:tcMar>
              <w:top w:w="40" w:type="dxa"/>
              <w:left w:w="200" w:type="dxa"/>
              <w:bottom w:w="40" w:type="dxa"/>
              <w:right w:w="20" w:type="dxa"/>
            </w:tcMar>
          </w:tcPr>
          <w:p w14:paraId="0B2F9ECA" w14:textId="77777777" w:rsidR="007F1775" w:rsidRDefault="000F083E">
            <w:pPr>
              <w:textAlignment w:val="top"/>
            </w:pPr>
            <w:r>
              <w:rPr>
                <w:rFonts w:ascii="Times New Roman" w:eastAsia="宋体" w:hAnsi="Times New Roman"/>
                <w:color w:val="000000"/>
                <w:sz w:val="20"/>
                <w:szCs w:val="20"/>
              </w:rPr>
              <w:t xml:space="preserve">Research and </w:t>
            </w:r>
            <w:r>
              <w:rPr>
                <w:rFonts w:ascii="Times New Roman" w:eastAsia="宋体" w:hAnsi="Times New Roman"/>
                <w:color w:val="000000"/>
                <w:sz w:val="20"/>
                <w:szCs w:val="20"/>
              </w:rPr>
              <w:t>development</w:t>
            </w:r>
          </w:p>
        </w:tc>
        <w:tc>
          <w:tcPr>
            <w:tcW w:w="0" w:type="auto"/>
            <w:gridSpan w:val="2"/>
            <w:shd w:val="clear" w:color="auto" w:fill="FFFFFF"/>
            <w:tcMar>
              <w:top w:w="40" w:type="dxa"/>
              <w:left w:w="20" w:type="dxa"/>
              <w:bottom w:w="40" w:type="dxa"/>
              <w:right w:w="0" w:type="dxa"/>
            </w:tcMar>
            <w:vAlign w:val="bottom"/>
          </w:tcPr>
          <w:p w14:paraId="0B2F9ECB" w14:textId="77777777" w:rsidR="007F1775" w:rsidRDefault="000F083E">
            <w:pPr>
              <w:jc w:val="right"/>
              <w:textAlignment w:val="bottom"/>
            </w:pPr>
            <w:r>
              <w:rPr>
                <w:rFonts w:ascii="Times New Roman" w:eastAsia="宋体" w:hAnsi="Times New Roman"/>
                <w:color w:val="000000"/>
                <w:sz w:val="20"/>
                <w:szCs w:val="20"/>
              </w:rPr>
              <w:t>7,707 </w:t>
            </w:r>
          </w:p>
        </w:tc>
        <w:tc>
          <w:tcPr>
            <w:tcW w:w="0" w:type="auto"/>
            <w:shd w:val="clear" w:color="auto" w:fill="FFFFFF"/>
            <w:tcMar>
              <w:top w:w="40" w:type="dxa"/>
              <w:left w:w="0" w:type="dxa"/>
              <w:bottom w:w="40" w:type="dxa"/>
              <w:right w:w="20" w:type="dxa"/>
            </w:tcMar>
            <w:vAlign w:val="bottom"/>
          </w:tcPr>
          <w:p w14:paraId="0B2F9ECC"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CD"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ECE" w14:textId="77777777" w:rsidR="007F1775" w:rsidRDefault="000F083E">
            <w:pPr>
              <w:jc w:val="right"/>
              <w:textAlignment w:val="bottom"/>
            </w:pPr>
            <w:r>
              <w:rPr>
                <w:rFonts w:ascii="Times New Roman" w:eastAsia="宋体" w:hAnsi="Times New Roman"/>
                <w:color w:val="000000"/>
                <w:sz w:val="20"/>
                <w:szCs w:val="20"/>
              </w:rPr>
              <w:t>5,197 </w:t>
            </w:r>
          </w:p>
        </w:tc>
        <w:tc>
          <w:tcPr>
            <w:tcW w:w="0" w:type="auto"/>
            <w:shd w:val="clear" w:color="auto" w:fill="FFFFFF"/>
            <w:tcMar>
              <w:top w:w="40" w:type="dxa"/>
              <w:left w:w="0" w:type="dxa"/>
              <w:bottom w:w="40" w:type="dxa"/>
              <w:right w:w="20" w:type="dxa"/>
            </w:tcMar>
            <w:vAlign w:val="bottom"/>
          </w:tcPr>
          <w:p w14:paraId="0B2F9ECF" w14:textId="77777777" w:rsidR="007F1775" w:rsidRDefault="007F1775">
            <w:pPr>
              <w:jc w:val="right"/>
              <w:rPr>
                <w:rFonts w:ascii="宋体"/>
              </w:rPr>
            </w:pPr>
          </w:p>
        </w:tc>
        <w:tc>
          <w:tcPr>
            <w:tcW w:w="0" w:type="auto"/>
            <w:shd w:val="clear" w:color="auto" w:fill="auto"/>
            <w:vAlign w:val="bottom"/>
          </w:tcPr>
          <w:p w14:paraId="0B2F9ED0" w14:textId="77777777" w:rsidR="007F1775" w:rsidRDefault="007F1775">
            <w:pPr>
              <w:rPr>
                <w:rFonts w:ascii="宋体"/>
                <w:vanish/>
              </w:rPr>
            </w:pPr>
          </w:p>
        </w:tc>
        <w:tc>
          <w:tcPr>
            <w:tcW w:w="0" w:type="auto"/>
            <w:shd w:val="clear" w:color="auto" w:fill="auto"/>
            <w:vAlign w:val="bottom"/>
          </w:tcPr>
          <w:p w14:paraId="0B2F9ED1" w14:textId="77777777" w:rsidR="007F1775" w:rsidRDefault="007F1775">
            <w:pPr>
              <w:rPr>
                <w:rFonts w:ascii="宋体"/>
                <w:vanish/>
              </w:rPr>
            </w:pPr>
          </w:p>
        </w:tc>
        <w:tc>
          <w:tcPr>
            <w:tcW w:w="0" w:type="auto"/>
            <w:gridSpan w:val="3"/>
            <w:shd w:val="clear" w:color="auto" w:fill="auto"/>
            <w:vAlign w:val="bottom"/>
          </w:tcPr>
          <w:p w14:paraId="0B2F9ED2" w14:textId="77777777" w:rsidR="007F1775" w:rsidRDefault="007F1775">
            <w:pPr>
              <w:rPr>
                <w:rFonts w:ascii="宋体"/>
                <w:vanish/>
              </w:rPr>
            </w:pPr>
          </w:p>
        </w:tc>
        <w:tc>
          <w:tcPr>
            <w:tcW w:w="0" w:type="auto"/>
            <w:gridSpan w:val="3"/>
            <w:shd w:val="clear" w:color="auto" w:fill="auto"/>
            <w:vAlign w:val="bottom"/>
          </w:tcPr>
          <w:p w14:paraId="0B2F9ED3" w14:textId="77777777" w:rsidR="007F1775" w:rsidRDefault="007F1775">
            <w:pPr>
              <w:rPr>
                <w:rFonts w:ascii="宋体"/>
                <w:vanish/>
              </w:rPr>
            </w:pPr>
          </w:p>
        </w:tc>
      </w:tr>
      <w:tr w:rsidR="007F1775" w14:paraId="0B2F9EDF" w14:textId="77777777">
        <w:tc>
          <w:tcPr>
            <w:tcW w:w="0" w:type="auto"/>
            <w:gridSpan w:val="3"/>
            <w:shd w:val="clear" w:color="auto" w:fill="CCEEFF"/>
            <w:tcMar>
              <w:top w:w="40" w:type="dxa"/>
              <w:left w:w="200" w:type="dxa"/>
              <w:bottom w:w="40" w:type="dxa"/>
              <w:right w:w="20" w:type="dxa"/>
            </w:tcMar>
          </w:tcPr>
          <w:p w14:paraId="0B2F9ED5" w14:textId="77777777" w:rsidR="007F1775" w:rsidRDefault="000F083E">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0B2F9ED6" w14:textId="77777777" w:rsidR="007F1775" w:rsidRDefault="000F083E">
            <w:pPr>
              <w:jc w:val="right"/>
              <w:textAlignment w:val="bottom"/>
            </w:pPr>
            <w:r>
              <w:rPr>
                <w:rFonts w:ascii="Times New Roman" w:eastAsia="宋体" w:hAnsi="Times New Roman"/>
                <w:color w:val="000000"/>
                <w:sz w:val="20"/>
                <w:szCs w:val="20"/>
              </w:rPr>
              <w:t>3,312 </w:t>
            </w:r>
          </w:p>
        </w:tc>
        <w:tc>
          <w:tcPr>
            <w:tcW w:w="0" w:type="auto"/>
            <w:shd w:val="clear" w:color="auto" w:fill="CCEEFF"/>
            <w:tcMar>
              <w:top w:w="40" w:type="dxa"/>
              <w:left w:w="0" w:type="dxa"/>
              <w:bottom w:w="40" w:type="dxa"/>
              <w:right w:w="20" w:type="dxa"/>
            </w:tcMar>
            <w:vAlign w:val="bottom"/>
          </w:tcPr>
          <w:p w14:paraId="0B2F9ED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D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ED9" w14:textId="77777777" w:rsidR="007F1775" w:rsidRDefault="000F083E">
            <w:pPr>
              <w:jc w:val="right"/>
              <w:textAlignment w:val="bottom"/>
            </w:pPr>
            <w:r>
              <w:rPr>
                <w:rFonts w:ascii="Times New Roman" w:eastAsia="宋体" w:hAnsi="Times New Roman"/>
                <w:color w:val="000000"/>
                <w:sz w:val="20"/>
                <w:szCs w:val="20"/>
              </w:rPr>
              <w:t>2,843 </w:t>
            </w:r>
          </w:p>
        </w:tc>
        <w:tc>
          <w:tcPr>
            <w:tcW w:w="0" w:type="auto"/>
            <w:shd w:val="clear" w:color="auto" w:fill="CCEEFF"/>
            <w:tcMar>
              <w:top w:w="40" w:type="dxa"/>
              <w:left w:w="0" w:type="dxa"/>
              <w:bottom w:w="40" w:type="dxa"/>
              <w:right w:w="20" w:type="dxa"/>
            </w:tcMar>
            <w:vAlign w:val="bottom"/>
          </w:tcPr>
          <w:p w14:paraId="0B2F9EDA" w14:textId="77777777" w:rsidR="007F1775" w:rsidRDefault="007F1775">
            <w:pPr>
              <w:jc w:val="right"/>
              <w:rPr>
                <w:rFonts w:ascii="宋体"/>
              </w:rPr>
            </w:pPr>
          </w:p>
        </w:tc>
        <w:tc>
          <w:tcPr>
            <w:tcW w:w="0" w:type="auto"/>
            <w:shd w:val="clear" w:color="auto" w:fill="auto"/>
            <w:vAlign w:val="bottom"/>
          </w:tcPr>
          <w:p w14:paraId="0B2F9EDB" w14:textId="77777777" w:rsidR="007F1775" w:rsidRDefault="007F1775">
            <w:pPr>
              <w:rPr>
                <w:rFonts w:ascii="宋体"/>
                <w:vanish/>
              </w:rPr>
            </w:pPr>
          </w:p>
        </w:tc>
        <w:tc>
          <w:tcPr>
            <w:tcW w:w="0" w:type="auto"/>
            <w:shd w:val="clear" w:color="auto" w:fill="auto"/>
            <w:vAlign w:val="bottom"/>
          </w:tcPr>
          <w:p w14:paraId="0B2F9EDC" w14:textId="77777777" w:rsidR="007F1775" w:rsidRDefault="007F1775">
            <w:pPr>
              <w:rPr>
                <w:rFonts w:ascii="宋体"/>
                <w:vanish/>
              </w:rPr>
            </w:pPr>
          </w:p>
        </w:tc>
        <w:tc>
          <w:tcPr>
            <w:tcW w:w="0" w:type="auto"/>
            <w:gridSpan w:val="3"/>
            <w:shd w:val="clear" w:color="auto" w:fill="auto"/>
            <w:vAlign w:val="bottom"/>
          </w:tcPr>
          <w:p w14:paraId="0B2F9EDD" w14:textId="77777777" w:rsidR="007F1775" w:rsidRDefault="007F1775">
            <w:pPr>
              <w:rPr>
                <w:rFonts w:ascii="宋体"/>
                <w:vanish/>
              </w:rPr>
            </w:pPr>
          </w:p>
        </w:tc>
        <w:tc>
          <w:tcPr>
            <w:tcW w:w="0" w:type="auto"/>
            <w:gridSpan w:val="3"/>
            <w:shd w:val="clear" w:color="auto" w:fill="auto"/>
            <w:vAlign w:val="bottom"/>
          </w:tcPr>
          <w:p w14:paraId="0B2F9EDE" w14:textId="77777777" w:rsidR="007F1775" w:rsidRDefault="007F1775">
            <w:pPr>
              <w:rPr>
                <w:rFonts w:ascii="宋体"/>
                <w:vanish/>
              </w:rPr>
            </w:pPr>
          </w:p>
        </w:tc>
      </w:tr>
      <w:tr w:rsidR="007F1775" w14:paraId="0B2F9EEA" w14:textId="77777777">
        <w:tc>
          <w:tcPr>
            <w:tcW w:w="0" w:type="auto"/>
            <w:gridSpan w:val="3"/>
            <w:shd w:val="clear" w:color="auto" w:fill="FFFFFF"/>
            <w:tcMar>
              <w:top w:w="40" w:type="dxa"/>
              <w:left w:w="200" w:type="dxa"/>
              <w:bottom w:w="40" w:type="dxa"/>
              <w:right w:w="20" w:type="dxa"/>
            </w:tcMar>
          </w:tcPr>
          <w:p w14:paraId="0B2F9EE0" w14:textId="77777777" w:rsidR="007F1775" w:rsidRDefault="000F083E">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B2F9EE1" w14:textId="77777777" w:rsidR="007F1775" w:rsidRDefault="000F083E">
            <w:pPr>
              <w:jc w:val="right"/>
              <w:textAlignment w:val="bottom"/>
            </w:pPr>
            <w:r>
              <w:rPr>
                <w:rFonts w:ascii="Times New Roman" w:eastAsia="宋体" w:hAnsi="Times New Roman"/>
                <w:color w:val="000000"/>
                <w:sz w:val="20"/>
                <w:szCs w:val="20"/>
              </w:rPr>
              <w:t>2,360 </w:t>
            </w:r>
          </w:p>
        </w:tc>
        <w:tc>
          <w:tcPr>
            <w:tcW w:w="0" w:type="auto"/>
            <w:shd w:val="clear" w:color="auto" w:fill="FFFFFF"/>
            <w:tcMar>
              <w:top w:w="40" w:type="dxa"/>
              <w:left w:w="0" w:type="dxa"/>
              <w:bottom w:w="40" w:type="dxa"/>
              <w:right w:w="20" w:type="dxa"/>
            </w:tcMar>
            <w:vAlign w:val="bottom"/>
          </w:tcPr>
          <w:p w14:paraId="0B2F9EE2"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E3"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EE4" w14:textId="77777777" w:rsidR="007F1775" w:rsidRDefault="000F083E">
            <w:pPr>
              <w:jc w:val="right"/>
              <w:textAlignment w:val="bottom"/>
            </w:pPr>
            <w:r>
              <w:rPr>
                <w:rFonts w:ascii="Times New Roman" w:eastAsia="宋体" w:hAnsi="Times New Roman"/>
                <w:color w:val="000000"/>
                <w:sz w:val="20"/>
                <w:szCs w:val="20"/>
              </w:rPr>
              <w:t>1,622 </w:t>
            </w:r>
          </w:p>
        </w:tc>
        <w:tc>
          <w:tcPr>
            <w:tcW w:w="0" w:type="auto"/>
            <w:shd w:val="clear" w:color="auto" w:fill="FFFFFF"/>
            <w:tcMar>
              <w:top w:w="40" w:type="dxa"/>
              <w:left w:w="0" w:type="dxa"/>
              <w:bottom w:w="40" w:type="dxa"/>
              <w:right w:w="20" w:type="dxa"/>
            </w:tcMar>
            <w:vAlign w:val="bottom"/>
          </w:tcPr>
          <w:p w14:paraId="0B2F9EE5" w14:textId="77777777" w:rsidR="007F1775" w:rsidRDefault="007F1775">
            <w:pPr>
              <w:jc w:val="right"/>
              <w:rPr>
                <w:rFonts w:ascii="宋体"/>
              </w:rPr>
            </w:pPr>
          </w:p>
        </w:tc>
        <w:tc>
          <w:tcPr>
            <w:tcW w:w="0" w:type="auto"/>
            <w:shd w:val="clear" w:color="auto" w:fill="auto"/>
            <w:vAlign w:val="bottom"/>
          </w:tcPr>
          <w:p w14:paraId="0B2F9EE6" w14:textId="77777777" w:rsidR="007F1775" w:rsidRDefault="007F1775">
            <w:pPr>
              <w:rPr>
                <w:rFonts w:ascii="宋体"/>
                <w:vanish/>
              </w:rPr>
            </w:pPr>
          </w:p>
        </w:tc>
        <w:tc>
          <w:tcPr>
            <w:tcW w:w="0" w:type="auto"/>
            <w:shd w:val="clear" w:color="auto" w:fill="auto"/>
            <w:vAlign w:val="bottom"/>
          </w:tcPr>
          <w:p w14:paraId="0B2F9EE7" w14:textId="77777777" w:rsidR="007F1775" w:rsidRDefault="007F1775">
            <w:pPr>
              <w:rPr>
                <w:rFonts w:ascii="宋体"/>
                <w:vanish/>
              </w:rPr>
            </w:pPr>
          </w:p>
        </w:tc>
        <w:tc>
          <w:tcPr>
            <w:tcW w:w="0" w:type="auto"/>
            <w:gridSpan w:val="3"/>
            <w:shd w:val="clear" w:color="auto" w:fill="auto"/>
            <w:vAlign w:val="bottom"/>
          </w:tcPr>
          <w:p w14:paraId="0B2F9EE8" w14:textId="77777777" w:rsidR="007F1775" w:rsidRDefault="007F1775">
            <w:pPr>
              <w:rPr>
                <w:rFonts w:ascii="宋体"/>
                <w:vanish/>
              </w:rPr>
            </w:pPr>
          </w:p>
        </w:tc>
        <w:tc>
          <w:tcPr>
            <w:tcW w:w="0" w:type="auto"/>
            <w:gridSpan w:val="3"/>
            <w:shd w:val="clear" w:color="auto" w:fill="auto"/>
            <w:vAlign w:val="bottom"/>
          </w:tcPr>
          <w:p w14:paraId="0B2F9EE9" w14:textId="77777777" w:rsidR="007F1775" w:rsidRDefault="007F1775">
            <w:pPr>
              <w:rPr>
                <w:rFonts w:ascii="宋体"/>
                <w:vanish/>
              </w:rPr>
            </w:pPr>
          </w:p>
        </w:tc>
      </w:tr>
      <w:tr w:rsidR="007F1775" w14:paraId="0B2F9EF5" w14:textId="77777777">
        <w:tc>
          <w:tcPr>
            <w:tcW w:w="0" w:type="auto"/>
            <w:gridSpan w:val="3"/>
            <w:shd w:val="clear" w:color="auto" w:fill="CCEEFF"/>
            <w:tcMar>
              <w:top w:w="40" w:type="dxa"/>
              <w:left w:w="740" w:type="dxa"/>
              <w:bottom w:w="40" w:type="dxa"/>
              <w:right w:w="20" w:type="dxa"/>
            </w:tcMar>
          </w:tcPr>
          <w:p w14:paraId="0B2F9EEB" w14:textId="77777777" w:rsidR="007F1775" w:rsidRDefault="000F083E">
            <w:pPr>
              <w:ind w:hanging="360"/>
              <w:textAlignment w:val="top"/>
            </w:pPr>
            <w:r>
              <w:rPr>
                <w:rFonts w:ascii="Times New Roman" w:eastAsia="宋体" w:hAnsi="Times New Roman"/>
                <w:b/>
                <w:bCs/>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9EEC" w14:textId="77777777" w:rsidR="007F1775" w:rsidRDefault="000F083E">
            <w:pPr>
              <w:jc w:val="right"/>
              <w:textAlignment w:val="bottom"/>
            </w:pPr>
            <w:r>
              <w:rPr>
                <w:rFonts w:ascii="Times New Roman" w:eastAsia="宋体" w:hAnsi="Times New Roman"/>
                <w:color w:val="000000"/>
                <w:sz w:val="20"/>
                <w:szCs w:val="20"/>
              </w:rPr>
              <w:t>19,384 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EE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EEE"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9EEF" w14:textId="77777777" w:rsidR="007F1775" w:rsidRDefault="000F083E">
            <w:pPr>
              <w:jc w:val="right"/>
              <w:textAlignment w:val="bottom"/>
            </w:pPr>
            <w:r>
              <w:rPr>
                <w:rFonts w:ascii="Times New Roman" w:eastAsia="宋体" w:hAnsi="Times New Roman"/>
                <w:color w:val="000000"/>
                <w:sz w:val="20"/>
                <w:szCs w:val="20"/>
              </w:rPr>
              <w:t>14,793 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EF0" w14:textId="77777777" w:rsidR="007F1775" w:rsidRDefault="007F1775">
            <w:pPr>
              <w:jc w:val="right"/>
              <w:rPr>
                <w:rFonts w:ascii="宋体"/>
              </w:rPr>
            </w:pPr>
          </w:p>
        </w:tc>
        <w:tc>
          <w:tcPr>
            <w:tcW w:w="0" w:type="auto"/>
            <w:shd w:val="clear" w:color="auto" w:fill="auto"/>
            <w:vAlign w:val="bottom"/>
          </w:tcPr>
          <w:p w14:paraId="0B2F9EF1" w14:textId="77777777" w:rsidR="007F1775" w:rsidRDefault="007F1775">
            <w:pPr>
              <w:rPr>
                <w:rFonts w:ascii="宋体"/>
                <w:vanish/>
              </w:rPr>
            </w:pPr>
          </w:p>
        </w:tc>
        <w:tc>
          <w:tcPr>
            <w:tcW w:w="0" w:type="auto"/>
            <w:shd w:val="clear" w:color="auto" w:fill="auto"/>
            <w:vAlign w:val="bottom"/>
          </w:tcPr>
          <w:p w14:paraId="0B2F9EF2" w14:textId="77777777" w:rsidR="007F1775" w:rsidRDefault="007F1775">
            <w:pPr>
              <w:rPr>
                <w:rFonts w:ascii="宋体"/>
                <w:vanish/>
              </w:rPr>
            </w:pPr>
          </w:p>
        </w:tc>
        <w:tc>
          <w:tcPr>
            <w:tcW w:w="0" w:type="auto"/>
            <w:gridSpan w:val="3"/>
            <w:shd w:val="clear" w:color="auto" w:fill="auto"/>
            <w:vAlign w:val="bottom"/>
          </w:tcPr>
          <w:p w14:paraId="0B2F9EF3" w14:textId="77777777" w:rsidR="007F1775" w:rsidRDefault="007F1775">
            <w:pPr>
              <w:rPr>
                <w:rFonts w:ascii="宋体"/>
                <w:vanish/>
              </w:rPr>
            </w:pPr>
          </w:p>
        </w:tc>
        <w:tc>
          <w:tcPr>
            <w:tcW w:w="0" w:type="auto"/>
            <w:gridSpan w:val="3"/>
            <w:shd w:val="clear" w:color="auto" w:fill="auto"/>
            <w:vAlign w:val="bottom"/>
          </w:tcPr>
          <w:p w14:paraId="0B2F9EF4" w14:textId="77777777" w:rsidR="007F1775" w:rsidRDefault="007F1775">
            <w:pPr>
              <w:rPr>
                <w:rFonts w:ascii="宋体"/>
                <w:vanish/>
              </w:rPr>
            </w:pPr>
          </w:p>
        </w:tc>
      </w:tr>
      <w:tr w:rsidR="007F1775" w14:paraId="0B2F9F00" w14:textId="77777777">
        <w:tc>
          <w:tcPr>
            <w:tcW w:w="0" w:type="auto"/>
            <w:gridSpan w:val="3"/>
            <w:shd w:val="clear" w:color="auto" w:fill="FFFFFF"/>
            <w:tcMar>
              <w:top w:w="40" w:type="dxa"/>
              <w:left w:w="20" w:type="dxa"/>
              <w:bottom w:w="40" w:type="dxa"/>
              <w:right w:w="20" w:type="dxa"/>
            </w:tcMar>
          </w:tcPr>
          <w:p w14:paraId="0B2F9EF6" w14:textId="77777777" w:rsidR="007F1775" w:rsidRDefault="000F083E">
            <w:pPr>
              <w:textAlignment w:val="top"/>
            </w:pPr>
            <w:r>
              <w:rPr>
                <w:rFonts w:ascii="Times New Roman" w:eastAsia="宋体" w:hAnsi="Times New Roman"/>
                <w:b/>
                <w:bCs/>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9EF7" w14:textId="77777777" w:rsidR="007F1775" w:rsidRDefault="000F083E">
            <w:pPr>
              <w:jc w:val="right"/>
              <w:textAlignment w:val="bottom"/>
            </w:pPr>
            <w:r>
              <w:rPr>
                <w:rFonts w:ascii="Times New Roman" w:eastAsia="宋体" w:hAnsi="Times New Roman"/>
                <w:color w:val="000000"/>
                <w:sz w:val="20"/>
                <w:szCs w:val="20"/>
              </w:rPr>
              <w:t>8,524 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9EF8"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EF9"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9EFA" w14:textId="77777777" w:rsidR="007F1775" w:rsidRDefault="000F083E">
            <w:pPr>
              <w:jc w:val="right"/>
              <w:textAlignment w:val="bottom"/>
            </w:pPr>
            <w:r>
              <w:rPr>
                <w:rFonts w:ascii="Times New Roman" w:eastAsia="宋体" w:hAnsi="Times New Roman"/>
                <w:color w:val="000000"/>
                <w:sz w:val="20"/>
                <w:szCs w:val="20"/>
              </w:rPr>
              <w:t>11,378 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9EFB" w14:textId="77777777" w:rsidR="007F1775" w:rsidRDefault="007F1775">
            <w:pPr>
              <w:jc w:val="right"/>
              <w:rPr>
                <w:rFonts w:ascii="宋体"/>
              </w:rPr>
            </w:pPr>
          </w:p>
        </w:tc>
        <w:tc>
          <w:tcPr>
            <w:tcW w:w="0" w:type="auto"/>
            <w:shd w:val="clear" w:color="auto" w:fill="auto"/>
            <w:vAlign w:val="bottom"/>
          </w:tcPr>
          <w:p w14:paraId="0B2F9EFC" w14:textId="77777777" w:rsidR="007F1775" w:rsidRDefault="007F1775">
            <w:pPr>
              <w:rPr>
                <w:rFonts w:ascii="宋体"/>
                <w:vanish/>
              </w:rPr>
            </w:pPr>
          </w:p>
        </w:tc>
        <w:tc>
          <w:tcPr>
            <w:tcW w:w="0" w:type="auto"/>
            <w:shd w:val="clear" w:color="auto" w:fill="auto"/>
            <w:vAlign w:val="bottom"/>
          </w:tcPr>
          <w:p w14:paraId="0B2F9EFD" w14:textId="77777777" w:rsidR="007F1775" w:rsidRDefault="007F1775">
            <w:pPr>
              <w:rPr>
                <w:rFonts w:ascii="宋体"/>
                <w:vanish/>
              </w:rPr>
            </w:pPr>
          </w:p>
        </w:tc>
        <w:tc>
          <w:tcPr>
            <w:tcW w:w="0" w:type="auto"/>
            <w:gridSpan w:val="3"/>
            <w:shd w:val="clear" w:color="auto" w:fill="auto"/>
            <w:vAlign w:val="bottom"/>
          </w:tcPr>
          <w:p w14:paraId="0B2F9EFE" w14:textId="77777777" w:rsidR="007F1775" w:rsidRDefault="007F1775">
            <w:pPr>
              <w:rPr>
                <w:rFonts w:ascii="宋体"/>
                <w:vanish/>
              </w:rPr>
            </w:pPr>
          </w:p>
        </w:tc>
        <w:tc>
          <w:tcPr>
            <w:tcW w:w="0" w:type="auto"/>
            <w:gridSpan w:val="3"/>
            <w:shd w:val="clear" w:color="auto" w:fill="auto"/>
            <w:vAlign w:val="bottom"/>
          </w:tcPr>
          <w:p w14:paraId="0B2F9EFF" w14:textId="77777777" w:rsidR="007F1775" w:rsidRDefault="007F1775">
            <w:pPr>
              <w:rPr>
                <w:rFonts w:ascii="宋体"/>
                <w:vanish/>
              </w:rPr>
            </w:pPr>
          </w:p>
        </w:tc>
      </w:tr>
      <w:tr w:rsidR="007F1775" w14:paraId="0B2F9F0B" w14:textId="77777777">
        <w:tc>
          <w:tcPr>
            <w:tcW w:w="0" w:type="auto"/>
            <w:gridSpan w:val="3"/>
            <w:shd w:val="clear" w:color="auto" w:fill="CCEEFF"/>
            <w:tcMar>
              <w:top w:w="40" w:type="dxa"/>
              <w:left w:w="20" w:type="dxa"/>
              <w:bottom w:w="40" w:type="dxa"/>
              <w:right w:w="20" w:type="dxa"/>
            </w:tcMar>
          </w:tcPr>
          <w:p w14:paraId="0B2F9F01" w14:textId="77777777" w:rsidR="007F1775" w:rsidRDefault="000F083E">
            <w:pPr>
              <w:textAlignment w:val="top"/>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0B2F9F02" w14:textId="77777777" w:rsidR="007F1775" w:rsidRDefault="000F083E">
            <w:pPr>
              <w:jc w:val="right"/>
              <w:textAlignment w:val="bottom"/>
            </w:pPr>
            <w:r>
              <w:rPr>
                <w:rFonts w:ascii="Times New Roman" w:eastAsia="宋体" w:hAnsi="Times New Roman"/>
                <w:color w:val="000000"/>
                <w:sz w:val="20"/>
                <w:szCs w:val="20"/>
              </w:rPr>
              <w:t>384 </w:t>
            </w:r>
          </w:p>
        </w:tc>
        <w:tc>
          <w:tcPr>
            <w:tcW w:w="0" w:type="auto"/>
            <w:shd w:val="clear" w:color="auto" w:fill="CCEEFF"/>
            <w:tcMar>
              <w:top w:w="40" w:type="dxa"/>
              <w:left w:w="0" w:type="dxa"/>
              <w:bottom w:w="40" w:type="dxa"/>
              <w:right w:w="20" w:type="dxa"/>
            </w:tcMar>
            <w:vAlign w:val="bottom"/>
          </w:tcPr>
          <w:p w14:paraId="0B2F9F0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F04"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F05" w14:textId="77777777" w:rsidR="007F1775" w:rsidRDefault="000F083E">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0B2F9F06" w14:textId="77777777" w:rsidR="007F1775" w:rsidRDefault="007F1775">
            <w:pPr>
              <w:jc w:val="right"/>
              <w:rPr>
                <w:rFonts w:ascii="宋体"/>
              </w:rPr>
            </w:pPr>
          </w:p>
        </w:tc>
        <w:tc>
          <w:tcPr>
            <w:tcW w:w="0" w:type="auto"/>
            <w:shd w:val="clear" w:color="auto" w:fill="auto"/>
            <w:vAlign w:val="bottom"/>
          </w:tcPr>
          <w:p w14:paraId="0B2F9F07" w14:textId="77777777" w:rsidR="007F1775" w:rsidRDefault="007F1775">
            <w:pPr>
              <w:rPr>
                <w:rFonts w:ascii="宋体"/>
                <w:vanish/>
              </w:rPr>
            </w:pPr>
          </w:p>
        </w:tc>
        <w:tc>
          <w:tcPr>
            <w:tcW w:w="0" w:type="auto"/>
            <w:shd w:val="clear" w:color="auto" w:fill="auto"/>
            <w:vAlign w:val="bottom"/>
          </w:tcPr>
          <w:p w14:paraId="0B2F9F08" w14:textId="77777777" w:rsidR="007F1775" w:rsidRDefault="007F1775">
            <w:pPr>
              <w:rPr>
                <w:rFonts w:ascii="宋体"/>
                <w:vanish/>
              </w:rPr>
            </w:pPr>
          </w:p>
        </w:tc>
        <w:tc>
          <w:tcPr>
            <w:tcW w:w="0" w:type="auto"/>
            <w:gridSpan w:val="3"/>
            <w:shd w:val="clear" w:color="auto" w:fill="auto"/>
            <w:vAlign w:val="bottom"/>
          </w:tcPr>
          <w:p w14:paraId="0B2F9F09" w14:textId="77777777" w:rsidR="007F1775" w:rsidRDefault="007F1775">
            <w:pPr>
              <w:rPr>
                <w:rFonts w:ascii="宋体"/>
                <w:vanish/>
              </w:rPr>
            </w:pPr>
          </w:p>
        </w:tc>
        <w:tc>
          <w:tcPr>
            <w:tcW w:w="0" w:type="auto"/>
            <w:gridSpan w:val="3"/>
            <w:shd w:val="clear" w:color="auto" w:fill="auto"/>
            <w:vAlign w:val="bottom"/>
          </w:tcPr>
          <w:p w14:paraId="0B2F9F0A" w14:textId="77777777" w:rsidR="007F1775" w:rsidRDefault="007F1775">
            <w:pPr>
              <w:rPr>
                <w:rFonts w:ascii="宋体"/>
                <w:vanish/>
              </w:rPr>
            </w:pPr>
          </w:p>
        </w:tc>
      </w:tr>
      <w:tr w:rsidR="007F1775" w14:paraId="0B2F9F16" w14:textId="77777777">
        <w:tc>
          <w:tcPr>
            <w:tcW w:w="0" w:type="auto"/>
            <w:gridSpan w:val="3"/>
            <w:shd w:val="clear" w:color="auto" w:fill="FFFFFF"/>
            <w:tcMar>
              <w:top w:w="40" w:type="dxa"/>
              <w:left w:w="20" w:type="dxa"/>
              <w:bottom w:w="40" w:type="dxa"/>
              <w:right w:w="20" w:type="dxa"/>
            </w:tcMar>
          </w:tcPr>
          <w:p w14:paraId="0B2F9F0C" w14:textId="77777777" w:rsidR="007F1775" w:rsidRDefault="000F083E">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9F0D" w14:textId="77777777" w:rsidR="007F1775" w:rsidRDefault="000F083E">
            <w:pPr>
              <w:jc w:val="right"/>
              <w:textAlignment w:val="bottom"/>
            </w:pPr>
            <w:r>
              <w:rPr>
                <w:rFonts w:ascii="Times New Roman" w:eastAsia="宋体" w:hAnsi="Times New Roman"/>
                <w:color w:val="000000"/>
                <w:sz w:val="20"/>
                <w:szCs w:val="20"/>
              </w:rPr>
              <w:t>8,908 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9F0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F0F"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9F10" w14:textId="77777777" w:rsidR="007F1775" w:rsidRDefault="000F083E">
            <w:pPr>
              <w:jc w:val="right"/>
              <w:textAlignment w:val="bottom"/>
            </w:pPr>
            <w:r>
              <w:rPr>
                <w:rFonts w:ascii="Times New Roman" w:eastAsia="宋体" w:hAnsi="Times New Roman"/>
                <w:color w:val="000000"/>
                <w:sz w:val="20"/>
                <w:szCs w:val="20"/>
              </w:rPr>
              <w:t>11,503 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9F11" w14:textId="77777777" w:rsidR="007F1775" w:rsidRDefault="007F1775">
            <w:pPr>
              <w:jc w:val="right"/>
              <w:rPr>
                <w:rFonts w:ascii="宋体"/>
              </w:rPr>
            </w:pPr>
          </w:p>
        </w:tc>
        <w:tc>
          <w:tcPr>
            <w:tcW w:w="0" w:type="auto"/>
            <w:shd w:val="clear" w:color="auto" w:fill="auto"/>
            <w:vAlign w:val="bottom"/>
          </w:tcPr>
          <w:p w14:paraId="0B2F9F12" w14:textId="77777777" w:rsidR="007F1775" w:rsidRDefault="007F1775">
            <w:pPr>
              <w:rPr>
                <w:rFonts w:ascii="宋体"/>
                <w:vanish/>
              </w:rPr>
            </w:pPr>
          </w:p>
        </w:tc>
        <w:tc>
          <w:tcPr>
            <w:tcW w:w="0" w:type="auto"/>
            <w:shd w:val="clear" w:color="auto" w:fill="auto"/>
            <w:vAlign w:val="bottom"/>
          </w:tcPr>
          <w:p w14:paraId="0B2F9F13" w14:textId="77777777" w:rsidR="007F1775" w:rsidRDefault="007F1775">
            <w:pPr>
              <w:rPr>
                <w:rFonts w:ascii="宋体"/>
                <w:vanish/>
              </w:rPr>
            </w:pPr>
          </w:p>
        </w:tc>
        <w:tc>
          <w:tcPr>
            <w:tcW w:w="0" w:type="auto"/>
            <w:gridSpan w:val="3"/>
            <w:shd w:val="clear" w:color="auto" w:fill="auto"/>
            <w:vAlign w:val="bottom"/>
          </w:tcPr>
          <w:p w14:paraId="0B2F9F14" w14:textId="77777777" w:rsidR="007F1775" w:rsidRDefault="007F1775">
            <w:pPr>
              <w:rPr>
                <w:rFonts w:ascii="宋体"/>
                <w:vanish/>
              </w:rPr>
            </w:pPr>
          </w:p>
        </w:tc>
        <w:tc>
          <w:tcPr>
            <w:tcW w:w="0" w:type="auto"/>
            <w:gridSpan w:val="3"/>
            <w:shd w:val="clear" w:color="auto" w:fill="auto"/>
            <w:vAlign w:val="bottom"/>
          </w:tcPr>
          <w:p w14:paraId="0B2F9F15" w14:textId="77777777" w:rsidR="007F1775" w:rsidRDefault="007F1775">
            <w:pPr>
              <w:rPr>
                <w:rFonts w:ascii="宋体"/>
                <w:vanish/>
              </w:rPr>
            </w:pPr>
          </w:p>
        </w:tc>
      </w:tr>
      <w:tr w:rsidR="007F1775" w14:paraId="0B2F9F21" w14:textId="77777777">
        <w:tc>
          <w:tcPr>
            <w:tcW w:w="0" w:type="auto"/>
            <w:gridSpan w:val="3"/>
            <w:shd w:val="clear" w:color="auto" w:fill="CCEEFF"/>
            <w:tcMar>
              <w:top w:w="40" w:type="dxa"/>
              <w:left w:w="20" w:type="dxa"/>
              <w:bottom w:w="40" w:type="dxa"/>
              <w:right w:w="20" w:type="dxa"/>
            </w:tcMar>
          </w:tcPr>
          <w:p w14:paraId="0B2F9F17" w14:textId="77777777" w:rsidR="007F1775" w:rsidRDefault="000F083E">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0B2F9F18" w14:textId="77777777" w:rsidR="007F1775" w:rsidRDefault="000F083E">
            <w:pPr>
              <w:jc w:val="right"/>
              <w:textAlignment w:val="bottom"/>
            </w:pPr>
            <w:r>
              <w:rPr>
                <w:rFonts w:ascii="Times New Roman" w:eastAsia="宋体" w:hAnsi="Times New Roman"/>
                <w:color w:val="000000"/>
                <w:sz w:val="20"/>
                <w:szCs w:val="20"/>
              </w:rPr>
              <w:t>1,443 </w:t>
            </w:r>
          </w:p>
        </w:tc>
        <w:tc>
          <w:tcPr>
            <w:tcW w:w="0" w:type="auto"/>
            <w:shd w:val="clear" w:color="auto" w:fill="CCEEFF"/>
            <w:tcMar>
              <w:top w:w="40" w:type="dxa"/>
              <w:left w:w="0" w:type="dxa"/>
              <w:bottom w:w="40" w:type="dxa"/>
              <w:right w:w="20" w:type="dxa"/>
            </w:tcMar>
            <w:vAlign w:val="bottom"/>
          </w:tcPr>
          <w:p w14:paraId="0B2F9F1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F1A"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F1B" w14:textId="77777777" w:rsidR="007F1775" w:rsidRDefault="000F083E">
            <w:pPr>
              <w:jc w:val="right"/>
              <w:textAlignment w:val="bottom"/>
            </w:pPr>
            <w:r>
              <w:rPr>
                <w:rFonts w:ascii="Times New Roman" w:eastAsia="宋体" w:hAnsi="Times New Roman"/>
                <w:color w:val="000000"/>
                <w:sz w:val="20"/>
                <w:szCs w:val="20"/>
              </w:rPr>
              <w:t>2,006 </w:t>
            </w:r>
          </w:p>
        </w:tc>
        <w:tc>
          <w:tcPr>
            <w:tcW w:w="0" w:type="auto"/>
            <w:shd w:val="clear" w:color="auto" w:fill="CCEEFF"/>
            <w:tcMar>
              <w:top w:w="40" w:type="dxa"/>
              <w:left w:w="0" w:type="dxa"/>
              <w:bottom w:w="40" w:type="dxa"/>
              <w:right w:w="20" w:type="dxa"/>
            </w:tcMar>
            <w:vAlign w:val="bottom"/>
          </w:tcPr>
          <w:p w14:paraId="0B2F9F1C" w14:textId="77777777" w:rsidR="007F1775" w:rsidRDefault="007F1775">
            <w:pPr>
              <w:jc w:val="right"/>
              <w:rPr>
                <w:rFonts w:ascii="宋体"/>
              </w:rPr>
            </w:pPr>
          </w:p>
        </w:tc>
        <w:tc>
          <w:tcPr>
            <w:tcW w:w="0" w:type="auto"/>
            <w:shd w:val="clear" w:color="auto" w:fill="auto"/>
            <w:vAlign w:val="bottom"/>
          </w:tcPr>
          <w:p w14:paraId="0B2F9F1D" w14:textId="77777777" w:rsidR="007F1775" w:rsidRDefault="007F1775">
            <w:pPr>
              <w:rPr>
                <w:rFonts w:ascii="宋体"/>
                <w:vanish/>
              </w:rPr>
            </w:pPr>
          </w:p>
        </w:tc>
        <w:tc>
          <w:tcPr>
            <w:tcW w:w="0" w:type="auto"/>
            <w:shd w:val="clear" w:color="auto" w:fill="auto"/>
            <w:vAlign w:val="bottom"/>
          </w:tcPr>
          <w:p w14:paraId="0B2F9F1E" w14:textId="77777777" w:rsidR="007F1775" w:rsidRDefault="007F1775">
            <w:pPr>
              <w:rPr>
                <w:rFonts w:ascii="宋体"/>
                <w:vanish/>
              </w:rPr>
            </w:pPr>
          </w:p>
        </w:tc>
        <w:tc>
          <w:tcPr>
            <w:tcW w:w="0" w:type="auto"/>
            <w:gridSpan w:val="3"/>
            <w:shd w:val="clear" w:color="auto" w:fill="auto"/>
            <w:vAlign w:val="bottom"/>
          </w:tcPr>
          <w:p w14:paraId="0B2F9F1F" w14:textId="77777777" w:rsidR="007F1775" w:rsidRDefault="007F1775">
            <w:pPr>
              <w:rPr>
                <w:rFonts w:ascii="宋体"/>
                <w:vanish/>
              </w:rPr>
            </w:pPr>
          </w:p>
        </w:tc>
        <w:tc>
          <w:tcPr>
            <w:tcW w:w="0" w:type="auto"/>
            <w:gridSpan w:val="3"/>
            <w:shd w:val="clear" w:color="auto" w:fill="auto"/>
            <w:vAlign w:val="bottom"/>
          </w:tcPr>
          <w:p w14:paraId="0B2F9F20" w14:textId="77777777" w:rsidR="007F1775" w:rsidRDefault="007F1775">
            <w:pPr>
              <w:rPr>
                <w:rFonts w:ascii="宋体"/>
                <w:vanish/>
              </w:rPr>
            </w:pPr>
          </w:p>
        </w:tc>
      </w:tr>
      <w:tr w:rsidR="007F1775" w14:paraId="0B2F9F2E" w14:textId="77777777">
        <w:tc>
          <w:tcPr>
            <w:tcW w:w="0" w:type="auto"/>
            <w:gridSpan w:val="3"/>
            <w:shd w:val="clear" w:color="auto" w:fill="FFFFFF"/>
            <w:tcMar>
              <w:top w:w="40" w:type="dxa"/>
              <w:left w:w="20" w:type="dxa"/>
              <w:bottom w:w="40" w:type="dxa"/>
              <w:right w:w="20" w:type="dxa"/>
            </w:tcMar>
          </w:tcPr>
          <w:p w14:paraId="0B2F9F22" w14:textId="77777777" w:rsidR="007F1775" w:rsidRDefault="000F083E">
            <w:pPr>
              <w:textAlignment w:val="top"/>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0B2F9F2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9F24" w14:textId="77777777" w:rsidR="007F1775" w:rsidRDefault="000F083E">
            <w:pPr>
              <w:jc w:val="right"/>
              <w:textAlignment w:val="bottom"/>
            </w:pPr>
            <w:r>
              <w:rPr>
                <w:rFonts w:ascii="Times New Roman" w:eastAsia="宋体" w:hAnsi="Times New Roman"/>
                <w:color w:val="000000"/>
                <w:sz w:val="20"/>
                <w:szCs w:val="20"/>
              </w:rPr>
              <w:t>7,465 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9F2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F26" w14:textId="77777777" w:rsidR="007F1775" w:rsidRDefault="007F177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B2F9F2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9F28" w14:textId="77777777" w:rsidR="007F1775" w:rsidRDefault="000F083E">
            <w:pPr>
              <w:jc w:val="right"/>
              <w:textAlignment w:val="bottom"/>
            </w:pPr>
            <w:r>
              <w:rPr>
                <w:rFonts w:ascii="Times New Roman" w:eastAsia="宋体" w:hAnsi="Times New Roman"/>
                <w:color w:val="000000"/>
                <w:sz w:val="20"/>
                <w:szCs w:val="20"/>
              </w:rPr>
              <w:t>9,497 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9F29" w14:textId="77777777" w:rsidR="007F1775" w:rsidRDefault="007F1775">
            <w:pPr>
              <w:jc w:val="right"/>
              <w:rPr>
                <w:rFonts w:ascii="宋体"/>
              </w:rPr>
            </w:pPr>
          </w:p>
        </w:tc>
        <w:tc>
          <w:tcPr>
            <w:tcW w:w="0" w:type="auto"/>
            <w:shd w:val="clear" w:color="auto" w:fill="auto"/>
            <w:vAlign w:val="bottom"/>
          </w:tcPr>
          <w:p w14:paraId="0B2F9F2A" w14:textId="77777777" w:rsidR="007F1775" w:rsidRDefault="007F1775">
            <w:pPr>
              <w:rPr>
                <w:rFonts w:ascii="宋体"/>
                <w:vanish/>
              </w:rPr>
            </w:pPr>
          </w:p>
        </w:tc>
        <w:tc>
          <w:tcPr>
            <w:tcW w:w="0" w:type="auto"/>
            <w:shd w:val="clear" w:color="auto" w:fill="auto"/>
            <w:vAlign w:val="bottom"/>
          </w:tcPr>
          <w:p w14:paraId="0B2F9F2B" w14:textId="77777777" w:rsidR="007F1775" w:rsidRDefault="007F1775">
            <w:pPr>
              <w:rPr>
                <w:rFonts w:ascii="宋体"/>
                <w:vanish/>
              </w:rPr>
            </w:pPr>
          </w:p>
        </w:tc>
        <w:tc>
          <w:tcPr>
            <w:tcW w:w="0" w:type="auto"/>
            <w:gridSpan w:val="3"/>
            <w:shd w:val="clear" w:color="auto" w:fill="auto"/>
            <w:vAlign w:val="bottom"/>
          </w:tcPr>
          <w:p w14:paraId="0B2F9F2C" w14:textId="77777777" w:rsidR="007F1775" w:rsidRDefault="007F1775">
            <w:pPr>
              <w:rPr>
                <w:rFonts w:ascii="宋体"/>
                <w:vanish/>
              </w:rPr>
            </w:pPr>
          </w:p>
        </w:tc>
        <w:tc>
          <w:tcPr>
            <w:tcW w:w="0" w:type="auto"/>
            <w:gridSpan w:val="3"/>
            <w:shd w:val="clear" w:color="auto" w:fill="auto"/>
            <w:vAlign w:val="bottom"/>
          </w:tcPr>
          <w:p w14:paraId="0B2F9F2D" w14:textId="77777777" w:rsidR="007F1775" w:rsidRDefault="007F1775">
            <w:pPr>
              <w:rPr>
                <w:rFonts w:ascii="宋体"/>
                <w:vanish/>
              </w:rPr>
            </w:pPr>
          </w:p>
        </w:tc>
      </w:tr>
      <w:tr w:rsidR="007F1775" w14:paraId="0B2F9F37" w14:textId="77777777">
        <w:tc>
          <w:tcPr>
            <w:tcW w:w="0" w:type="auto"/>
            <w:gridSpan w:val="3"/>
            <w:shd w:val="clear" w:color="auto" w:fill="CCEEFF"/>
            <w:tcMar>
              <w:top w:w="40" w:type="dxa"/>
              <w:left w:w="20" w:type="dxa"/>
              <w:bottom w:w="40" w:type="dxa"/>
              <w:right w:w="20" w:type="dxa"/>
            </w:tcMar>
          </w:tcPr>
          <w:p w14:paraId="0B2F9F2F" w14:textId="77777777" w:rsidR="007F1775" w:rsidRDefault="000F083E">
            <w:pPr>
              <w:textAlignment w:val="top"/>
            </w:pPr>
            <w:r>
              <w:rPr>
                <w:rFonts w:ascii="Times New Roman" w:eastAsia="宋体" w:hAnsi="Times New Roman"/>
                <w:b/>
                <w:bCs/>
                <w:color w:val="000000"/>
                <w:sz w:val="20"/>
                <w:szCs w:val="20"/>
              </w:rPr>
              <w:t>Earnings per share attributable to Class A and Class B common stockholders: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B2F9F30"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9F31" w14:textId="77777777" w:rsidR="007F1775" w:rsidRDefault="007F177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B2F9F32" w14:textId="77777777" w:rsidR="007F1775" w:rsidRDefault="007F1775">
            <w:pPr>
              <w:rPr>
                <w:rFonts w:ascii="宋体"/>
              </w:rPr>
            </w:pPr>
          </w:p>
        </w:tc>
        <w:tc>
          <w:tcPr>
            <w:tcW w:w="0" w:type="auto"/>
            <w:shd w:val="clear" w:color="auto" w:fill="auto"/>
            <w:vAlign w:val="bottom"/>
          </w:tcPr>
          <w:p w14:paraId="0B2F9F33" w14:textId="77777777" w:rsidR="007F1775" w:rsidRDefault="007F1775">
            <w:pPr>
              <w:rPr>
                <w:rFonts w:ascii="宋体"/>
                <w:vanish/>
              </w:rPr>
            </w:pPr>
          </w:p>
        </w:tc>
        <w:tc>
          <w:tcPr>
            <w:tcW w:w="0" w:type="auto"/>
            <w:shd w:val="clear" w:color="auto" w:fill="auto"/>
            <w:vAlign w:val="bottom"/>
          </w:tcPr>
          <w:p w14:paraId="0B2F9F34" w14:textId="77777777" w:rsidR="007F1775" w:rsidRDefault="007F1775">
            <w:pPr>
              <w:rPr>
                <w:rFonts w:ascii="宋体"/>
                <w:vanish/>
              </w:rPr>
            </w:pPr>
          </w:p>
        </w:tc>
        <w:tc>
          <w:tcPr>
            <w:tcW w:w="0" w:type="auto"/>
            <w:gridSpan w:val="3"/>
            <w:shd w:val="clear" w:color="auto" w:fill="auto"/>
            <w:vAlign w:val="bottom"/>
          </w:tcPr>
          <w:p w14:paraId="0B2F9F35" w14:textId="77777777" w:rsidR="007F1775" w:rsidRDefault="007F1775">
            <w:pPr>
              <w:rPr>
                <w:rFonts w:ascii="宋体"/>
                <w:vanish/>
              </w:rPr>
            </w:pPr>
          </w:p>
        </w:tc>
        <w:tc>
          <w:tcPr>
            <w:tcW w:w="0" w:type="auto"/>
            <w:gridSpan w:val="3"/>
            <w:shd w:val="clear" w:color="auto" w:fill="auto"/>
            <w:vAlign w:val="bottom"/>
          </w:tcPr>
          <w:p w14:paraId="0B2F9F36" w14:textId="77777777" w:rsidR="007F1775" w:rsidRDefault="007F1775">
            <w:pPr>
              <w:rPr>
                <w:rFonts w:ascii="宋体"/>
                <w:vanish/>
              </w:rPr>
            </w:pPr>
          </w:p>
        </w:tc>
      </w:tr>
      <w:tr w:rsidR="007F1775" w14:paraId="0B2F9F44" w14:textId="77777777">
        <w:tc>
          <w:tcPr>
            <w:tcW w:w="0" w:type="auto"/>
            <w:gridSpan w:val="3"/>
            <w:shd w:val="clear" w:color="auto" w:fill="FFFFFF"/>
            <w:tcMar>
              <w:top w:w="40" w:type="dxa"/>
              <w:left w:w="200" w:type="dxa"/>
              <w:bottom w:w="40" w:type="dxa"/>
              <w:right w:w="20" w:type="dxa"/>
            </w:tcMar>
          </w:tcPr>
          <w:p w14:paraId="0B2F9F38" w14:textId="77777777" w:rsidR="007F1775" w:rsidRDefault="000F083E">
            <w:pPr>
              <w:textAlignment w:val="top"/>
            </w:pPr>
            <w:r>
              <w:rPr>
                <w:rFonts w:ascii="Times New Roman" w:eastAsia="宋体" w:hAnsi="Times New Roman"/>
                <w:color w:val="000000"/>
                <w:sz w:val="20"/>
                <w:szCs w:val="20"/>
              </w:rPr>
              <w:t>Basic</w:t>
            </w:r>
          </w:p>
        </w:tc>
        <w:tc>
          <w:tcPr>
            <w:tcW w:w="0" w:type="auto"/>
            <w:shd w:val="clear" w:color="auto" w:fill="FFFFFF"/>
            <w:tcMar>
              <w:top w:w="40" w:type="dxa"/>
              <w:left w:w="20" w:type="dxa"/>
              <w:bottom w:w="40" w:type="dxa"/>
              <w:right w:w="0" w:type="dxa"/>
            </w:tcMar>
            <w:vAlign w:val="bottom"/>
          </w:tcPr>
          <w:p w14:paraId="0B2F9F39"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9F3A" w14:textId="77777777" w:rsidR="007F1775" w:rsidRDefault="000F083E">
            <w:pPr>
              <w:jc w:val="right"/>
              <w:textAlignment w:val="bottom"/>
            </w:pPr>
            <w:r>
              <w:rPr>
                <w:rFonts w:ascii="Times New Roman" w:eastAsia="宋体" w:hAnsi="Times New Roman"/>
                <w:color w:val="000000"/>
                <w:sz w:val="20"/>
                <w:szCs w:val="20"/>
              </w:rPr>
              <w:t>2.74 </w:t>
            </w:r>
          </w:p>
        </w:tc>
        <w:tc>
          <w:tcPr>
            <w:tcW w:w="0" w:type="auto"/>
            <w:shd w:val="clear" w:color="auto" w:fill="FFFFFF"/>
            <w:tcMar>
              <w:top w:w="40" w:type="dxa"/>
              <w:left w:w="0" w:type="dxa"/>
              <w:bottom w:w="40" w:type="dxa"/>
              <w:right w:w="20" w:type="dxa"/>
            </w:tcMar>
            <w:vAlign w:val="bottom"/>
          </w:tcPr>
          <w:p w14:paraId="0B2F9F3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F3C"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9F3D"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9F3E" w14:textId="77777777" w:rsidR="007F1775" w:rsidRDefault="000F083E">
            <w:pPr>
              <w:jc w:val="right"/>
              <w:textAlignment w:val="bottom"/>
            </w:pPr>
            <w:r>
              <w:rPr>
                <w:rFonts w:ascii="Times New Roman" w:eastAsia="宋体" w:hAnsi="Times New Roman"/>
                <w:color w:val="000000"/>
                <w:sz w:val="20"/>
                <w:szCs w:val="20"/>
              </w:rPr>
              <w:t>3.34 </w:t>
            </w:r>
          </w:p>
        </w:tc>
        <w:tc>
          <w:tcPr>
            <w:tcW w:w="0" w:type="auto"/>
            <w:shd w:val="clear" w:color="auto" w:fill="FFFFFF"/>
            <w:tcMar>
              <w:top w:w="40" w:type="dxa"/>
              <w:left w:w="0" w:type="dxa"/>
              <w:bottom w:w="40" w:type="dxa"/>
              <w:right w:w="20" w:type="dxa"/>
            </w:tcMar>
            <w:vAlign w:val="bottom"/>
          </w:tcPr>
          <w:p w14:paraId="0B2F9F3F" w14:textId="77777777" w:rsidR="007F1775" w:rsidRDefault="007F1775">
            <w:pPr>
              <w:jc w:val="right"/>
              <w:rPr>
                <w:rFonts w:ascii="宋体"/>
              </w:rPr>
            </w:pPr>
          </w:p>
        </w:tc>
        <w:tc>
          <w:tcPr>
            <w:tcW w:w="0" w:type="auto"/>
            <w:shd w:val="clear" w:color="auto" w:fill="auto"/>
            <w:vAlign w:val="bottom"/>
          </w:tcPr>
          <w:p w14:paraId="0B2F9F40" w14:textId="77777777" w:rsidR="007F1775" w:rsidRDefault="007F1775">
            <w:pPr>
              <w:rPr>
                <w:rFonts w:ascii="宋体"/>
                <w:vanish/>
              </w:rPr>
            </w:pPr>
          </w:p>
        </w:tc>
        <w:tc>
          <w:tcPr>
            <w:tcW w:w="0" w:type="auto"/>
            <w:shd w:val="clear" w:color="auto" w:fill="auto"/>
            <w:vAlign w:val="bottom"/>
          </w:tcPr>
          <w:p w14:paraId="0B2F9F41" w14:textId="77777777" w:rsidR="007F1775" w:rsidRDefault="007F1775">
            <w:pPr>
              <w:rPr>
                <w:rFonts w:ascii="宋体"/>
                <w:vanish/>
              </w:rPr>
            </w:pPr>
          </w:p>
        </w:tc>
        <w:tc>
          <w:tcPr>
            <w:tcW w:w="0" w:type="auto"/>
            <w:gridSpan w:val="3"/>
            <w:shd w:val="clear" w:color="auto" w:fill="auto"/>
            <w:vAlign w:val="bottom"/>
          </w:tcPr>
          <w:p w14:paraId="0B2F9F42" w14:textId="77777777" w:rsidR="007F1775" w:rsidRDefault="007F1775">
            <w:pPr>
              <w:rPr>
                <w:rFonts w:ascii="宋体"/>
                <w:vanish/>
              </w:rPr>
            </w:pPr>
          </w:p>
        </w:tc>
        <w:tc>
          <w:tcPr>
            <w:tcW w:w="0" w:type="auto"/>
            <w:gridSpan w:val="3"/>
            <w:shd w:val="clear" w:color="auto" w:fill="auto"/>
            <w:vAlign w:val="bottom"/>
          </w:tcPr>
          <w:p w14:paraId="0B2F9F43" w14:textId="77777777" w:rsidR="007F1775" w:rsidRDefault="007F1775">
            <w:pPr>
              <w:rPr>
                <w:rFonts w:ascii="宋体"/>
                <w:vanish/>
              </w:rPr>
            </w:pPr>
          </w:p>
        </w:tc>
      </w:tr>
      <w:tr w:rsidR="007F1775" w14:paraId="0B2F9F51" w14:textId="77777777">
        <w:tc>
          <w:tcPr>
            <w:tcW w:w="0" w:type="auto"/>
            <w:gridSpan w:val="3"/>
            <w:shd w:val="clear" w:color="auto" w:fill="CCEEFF"/>
            <w:tcMar>
              <w:top w:w="40" w:type="dxa"/>
              <w:left w:w="200" w:type="dxa"/>
              <w:bottom w:w="40" w:type="dxa"/>
              <w:right w:w="20" w:type="dxa"/>
            </w:tcMar>
          </w:tcPr>
          <w:p w14:paraId="0B2F9F45" w14:textId="77777777" w:rsidR="007F1775" w:rsidRDefault="000F083E">
            <w:pPr>
              <w:textAlignment w:val="top"/>
            </w:pPr>
            <w:r>
              <w:rPr>
                <w:rFonts w:ascii="Times New Roman" w:eastAsia="宋体" w:hAnsi="Times New Roman"/>
                <w:color w:val="000000"/>
                <w:sz w:val="20"/>
                <w:szCs w:val="20"/>
              </w:rPr>
              <w:t>Diluted</w:t>
            </w:r>
          </w:p>
        </w:tc>
        <w:tc>
          <w:tcPr>
            <w:tcW w:w="0" w:type="auto"/>
            <w:shd w:val="clear" w:color="auto" w:fill="CCEEFF"/>
            <w:tcMar>
              <w:top w:w="40" w:type="dxa"/>
              <w:left w:w="20" w:type="dxa"/>
              <w:bottom w:w="40" w:type="dxa"/>
              <w:right w:w="0" w:type="dxa"/>
            </w:tcMar>
            <w:vAlign w:val="bottom"/>
          </w:tcPr>
          <w:p w14:paraId="0B2F9F46"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9F47" w14:textId="77777777" w:rsidR="007F1775" w:rsidRDefault="000F083E">
            <w:pPr>
              <w:jc w:val="right"/>
              <w:textAlignment w:val="bottom"/>
            </w:pPr>
            <w:r>
              <w:rPr>
                <w:rFonts w:ascii="Times New Roman" w:eastAsia="宋体" w:hAnsi="Times New Roman"/>
                <w:color w:val="000000"/>
                <w:sz w:val="20"/>
                <w:szCs w:val="20"/>
              </w:rPr>
              <w:t>2.72 </w:t>
            </w:r>
          </w:p>
        </w:tc>
        <w:tc>
          <w:tcPr>
            <w:tcW w:w="0" w:type="auto"/>
            <w:shd w:val="clear" w:color="auto" w:fill="CCEEFF"/>
            <w:tcMar>
              <w:top w:w="40" w:type="dxa"/>
              <w:left w:w="0" w:type="dxa"/>
              <w:bottom w:w="40" w:type="dxa"/>
              <w:right w:w="20" w:type="dxa"/>
            </w:tcMar>
            <w:vAlign w:val="bottom"/>
          </w:tcPr>
          <w:p w14:paraId="0B2F9F4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F49"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9F4A"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9F4B" w14:textId="77777777" w:rsidR="007F1775" w:rsidRDefault="000F083E">
            <w:pPr>
              <w:jc w:val="right"/>
              <w:textAlignment w:val="bottom"/>
            </w:pPr>
            <w:r>
              <w:rPr>
                <w:rFonts w:ascii="Times New Roman" w:eastAsia="宋体" w:hAnsi="Times New Roman"/>
                <w:color w:val="000000"/>
                <w:sz w:val="20"/>
                <w:szCs w:val="20"/>
              </w:rPr>
              <w:t>3.30 </w:t>
            </w:r>
          </w:p>
        </w:tc>
        <w:tc>
          <w:tcPr>
            <w:tcW w:w="0" w:type="auto"/>
            <w:shd w:val="clear" w:color="auto" w:fill="CCEEFF"/>
            <w:tcMar>
              <w:top w:w="40" w:type="dxa"/>
              <w:left w:w="0" w:type="dxa"/>
              <w:bottom w:w="40" w:type="dxa"/>
              <w:right w:w="20" w:type="dxa"/>
            </w:tcMar>
            <w:vAlign w:val="bottom"/>
          </w:tcPr>
          <w:p w14:paraId="0B2F9F4C" w14:textId="77777777" w:rsidR="007F1775" w:rsidRDefault="007F1775">
            <w:pPr>
              <w:jc w:val="right"/>
              <w:rPr>
                <w:rFonts w:ascii="宋体"/>
              </w:rPr>
            </w:pPr>
          </w:p>
        </w:tc>
        <w:tc>
          <w:tcPr>
            <w:tcW w:w="0" w:type="auto"/>
            <w:shd w:val="clear" w:color="auto" w:fill="auto"/>
            <w:vAlign w:val="bottom"/>
          </w:tcPr>
          <w:p w14:paraId="0B2F9F4D" w14:textId="77777777" w:rsidR="007F1775" w:rsidRDefault="007F1775">
            <w:pPr>
              <w:rPr>
                <w:rFonts w:ascii="宋体"/>
                <w:vanish/>
              </w:rPr>
            </w:pPr>
          </w:p>
        </w:tc>
        <w:tc>
          <w:tcPr>
            <w:tcW w:w="0" w:type="auto"/>
            <w:shd w:val="clear" w:color="auto" w:fill="auto"/>
            <w:vAlign w:val="bottom"/>
          </w:tcPr>
          <w:p w14:paraId="0B2F9F4E" w14:textId="77777777" w:rsidR="007F1775" w:rsidRDefault="007F1775">
            <w:pPr>
              <w:rPr>
                <w:rFonts w:ascii="宋体"/>
                <w:vanish/>
              </w:rPr>
            </w:pPr>
          </w:p>
        </w:tc>
        <w:tc>
          <w:tcPr>
            <w:tcW w:w="0" w:type="auto"/>
            <w:gridSpan w:val="3"/>
            <w:shd w:val="clear" w:color="auto" w:fill="auto"/>
            <w:vAlign w:val="bottom"/>
          </w:tcPr>
          <w:p w14:paraId="0B2F9F4F" w14:textId="77777777" w:rsidR="007F1775" w:rsidRDefault="007F1775">
            <w:pPr>
              <w:rPr>
                <w:rFonts w:ascii="宋体"/>
                <w:vanish/>
              </w:rPr>
            </w:pPr>
          </w:p>
        </w:tc>
        <w:tc>
          <w:tcPr>
            <w:tcW w:w="0" w:type="auto"/>
            <w:gridSpan w:val="3"/>
            <w:shd w:val="clear" w:color="auto" w:fill="auto"/>
            <w:vAlign w:val="bottom"/>
          </w:tcPr>
          <w:p w14:paraId="0B2F9F50" w14:textId="77777777" w:rsidR="007F1775" w:rsidRDefault="007F1775">
            <w:pPr>
              <w:rPr>
                <w:rFonts w:ascii="宋体"/>
                <w:vanish/>
              </w:rPr>
            </w:pPr>
          </w:p>
        </w:tc>
      </w:tr>
      <w:tr w:rsidR="007F1775" w14:paraId="0B2F9F5A" w14:textId="77777777">
        <w:tc>
          <w:tcPr>
            <w:tcW w:w="0" w:type="auto"/>
            <w:gridSpan w:val="3"/>
            <w:shd w:val="clear" w:color="auto" w:fill="FFFFFF"/>
            <w:tcMar>
              <w:top w:w="40" w:type="dxa"/>
              <w:left w:w="20" w:type="dxa"/>
              <w:bottom w:w="40" w:type="dxa"/>
              <w:right w:w="20" w:type="dxa"/>
            </w:tcMar>
          </w:tcPr>
          <w:p w14:paraId="0B2F9F52" w14:textId="77777777" w:rsidR="007F1775" w:rsidRDefault="000F083E">
            <w:pPr>
              <w:textAlignment w:val="top"/>
            </w:pPr>
            <w:r>
              <w:rPr>
                <w:rFonts w:ascii="Times New Roman" w:eastAsia="宋体" w:hAnsi="Times New Roman"/>
                <w:b/>
                <w:bCs/>
                <w:color w:val="000000"/>
                <w:sz w:val="20"/>
                <w:szCs w:val="20"/>
              </w:rPr>
              <w:t>Weighted-average shares used to compute earnings per share attributable to Class A and Class B common stockholders:</w:t>
            </w:r>
          </w:p>
        </w:tc>
        <w:tc>
          <w:tcPr>
            <w:tcW w:w="0" w:type="auto"/>
            <w:gridSpan w:val="3"/>
            <w:shd w:val="clear" w:color="auto" w:fill="FFFFFF"/>
            <w:tcMar>
              <w:top w:w="0" w:type="dxa"/>
              <w:left w:w="20" w:type="dxa"/>
              <w:bottom w:w="0" w:type="dxa"/>
              <w:right w:w="20" w:type="dxa"/>
            </w:tcMar>
            <w:vAlign w:val="bottom"/>
          </w:tcPr>
          <w:p w14:paraId="0B2F9F53"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F54"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F55" w14:textId="77777777" w:rsidR="007F1775" w:rsidRDefault="007F1775">
            <w:pPr>
              <w:rPr>
                <w:rFonts w:ascii="宋体"/>
              </w:rPr>
            </w:pPr>
          </w:p>
        </w:tc>
        <w:tc>
          <w:tcPr>
            <w:tcW w:w="0" w:type="auto"/>
            <w:shd w:val="clear" w:color="auto" w:fill="auto"/>
            <w:vAlign w:val="bottom"/>
          </w:tcPr>
          <w:p w14:paraId="0B2F9F56" w14:textId="77777777" w:rsidR="007F1775" w:rsidRDefault="007F1775">
            <w:pPr>
              <w:rPr>
                <w:rFonts w:ascii="宋体"/>
                <w:vanish/>
              </w:rPr>
            </w:pPr>
          </w:p>
        </w:tc>
        <w:tc>
          <w:tcPr>
            <w:tcW w:w="0" w:type="auto"/>
            <w:shd w:val="clear" w:color="auto" w:fill="auto"/>
            <w:vAlign w:val="bottom"/>
          </w:tcPr>
          <w:p w14:paraId="0B2F9F57" w14:textId="77777777" w:rsidR="007F1775" w:rsidRDefault="007F1775">
            <w:pPr>
              <w:rPr>
                <w:rFonts w:ascii="宋体"/>
                <w:vanish/>
              </w:rPr>
            </w:pPr>
          </w:p>
        </w:tc>
        <w:tc>
          <w:tcPr>
            <w:tcW w:w="0" w:type="auto"/>
            <w:gridSpan w:val="3"/>
            <w:shd w:val="clear" w:color="auto" w:fill="auto"/>
            <w:vAlign w:val="bottom"/>
          </w:tcPr>
          <w:p w14:paraId="0B2F9F58" w14:textId="77777777" w:rsidR="007F1775" w:rsidRDefault="007F1775">
            <w:pPr>
              <w:rPr>
                <w:rFonts w:ascii="宋体"/>
                <w:vanish/>
              </w:rPr>
            </w:pPr>
          </w:p>
        </w:tc>
        <w:tc>
          <w:tcPr>
            <w:tcW w:w="0" w:type="auto"/>
            <w:gridSpan w:val="3"/>
            <w:shd w:val="clear" w:color="auto" w:fill="auto"/>
            <w:vAlign w:val="bottom"/>
          </w:tcPr>
          <w:p w14:paraId="0B2F9F59" w14:textId="77777777" w:rsidR="007F1775" w:rsidRDefault="007F1775">
            <w:pPr>
              <w:rPr>
                <w:rFonts w:ascii="宋体"/>
                <w:vanish/>
              </w:rPr>
            </w:pPr>
          </w:p>
        </w:tc>
      </w:tr>
      <w:tr w:rsidR="007F1775" w14:paraId="0B2F9F65" w14:textId="77777777">
        <w:tc>
          <w:tcPr>
            <w:tcW w:w="0" w:type="auto"/>
            <w:gridSpan w:val="3"/>
            <w:shd w:val="clear" w:color="auto" w:fill="CCEEFF"/>
            <w:tcMar>
              <w:top w:w="40" w:type="dxa"/>
              <w:left w:w="200" w:type="dxa"/>
              <w:bottom w:w="40" w:type="dxa"/>
              <w:right w:w="20" w:type="dxa"/>
            </w:tcMar>
          </w:tcPr>
          <w:p w14:paraId="0B2F9F5B" w14:textId="77777777" w:rsidR="007F1775" w:rsidRDefault="000F083E">
            <w:pPr>
              <w:textAlignment w:val="top"/>
            </w:pPr>
            <w:r>
              <w:rPr>
                <w:rFonts w:ascii="Times New Roman" w:eastAsia="宋体" w:hAnsi="Times New Roman"/>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0B2F9F5C" w14:textId="77777777" w:rsidR="007F1775" w:rsidRDefault="000F083E">
            <w:pPr>
              <w:jc w:val="right"/>
              <w:textAlignment w:val="bottom"/>
            </w:pPr>
            <w:r>
              <w:rPr>
                <w:rFonts w:ascii="Times New Roman" w:eastAsia="宋体" w:hAnsi="Times New Roman"/>
                <w:color w:val="000000"/>
                <w:sz w:val="20"/>
                <w:szCs w:val="20"/>
              </w:rPr>
              <w:t>2,725 </w:t>
            </w:r>
          </w:p>
        </w:tc>
        <w:tc>
          <w:tcPr>
            <w:tcW w:w="0" w:type="auto"/>
            <w:shd w:val="clear" w:color="auto" w:fill="CCEEFF"/>
            <w:tcMar>
              <w:top w:w="40" w:type="dxa"/>
              <w:left w:w="0" w:type="dxa"/>
              <w:bottom w:w="40" w:type="dxa"/>
              <w:right w:w="20" w:type="dxa"/>
            </w:tcMar>
            <w:vAlign w:val="bottom"/>
          </w:tcPr>
          <w:p w14:paraId="0B2F9F5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F5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F5F" w14:textId="77777777" w:rsidR="007F1775" w:rsidRDefault="000F083E">
            <w:pPr>
              <w:jc w:val="right"/>
              <w:textAlignment w:val="bottom"/>
            </w:pPr>
            <w:r>
              <w:rPr>
                <w:rFonts w:ascii="Times New Roman" w:eastAsia="宋体" w:hAnsi="Times New Roman"/>
                <w:color w:val="000000"/>
                <w:sz w:val="20"/>
                <w:szCs w:val="20"/>
              </w:rPr>
              <w:t>2,847 </w:t>
            </w:r>
          </w:p>
        </w:tc>
        <w:tc>
          <w:tcPr>
            <w:tcW w:w="0" w:type="auto"/>
            <w:shd w:val="clear" w:color="auto" w:fill="CCEEFF"/>
            <w:tcMar>
              <w:top w:w="40" w:type="dxa"/>
              <w:left w:w="0" w:type="dxa"/>
              <w:bottom w:w="40" w:type="dxa"/>
              <w:right w:w="20" w:type="dxa"/>
            </w:tcMar>
            <w:vAlign w:val="bottom"/>
          </w:tcPr>
          <w:p w14:paraId="0B2F9F60" w14:textId="77777777" w:rsidR="007F1775" w:rsidRDefault="007F1775">
            <w:pPr>
              <w:jc w:val="right"/>
              <w:rPr>
                <w:rFonts w:ascii="宋体"/>
              </w:rPr>
            </w:pPr>
          </w:p>
        </w:tc>
        <w:tc>
          <w:tcPr>
            <w:tcW w:w="0" w:type="auto"/>
            <w:shd w:val="clear" w:color="auto" w:fill="auto"/>
            <w:vAlign w:val="bottom"/>
          </w:tcPr>
          <w:p w14:paraId="0B2F9F61" w14:textId="77777777" w:rsidR="007F1775" w:rsidRDefault="007F1775">
            <w:pPr>
              <w:rPr>
                <w:rFonts w:ascii="宋体"/>
                <w:vanish/>
              </w:rPr>
            </w:pPr>
          </w:p>
        </w:tc>
        <w:tc>
          <w:tcPr>
            <w:tcW w:w="0" w:type="auto"/>
            <w:shd w:val="clear" w:color="auto" w:fill="auto"/>
            <w:vAlign w:val="bottom"/>
          </w:tcPr>
          <w:p w14:paraId="0B2F9F62" w14:textId="77777777" w:rsidR="007F1775" w:rsidRDefault="007F1775">
            <w:pPr>
              <w:rPr>
                <w:rFonts w:ascii="宋体"/>
                <w:vanish/>
              </w:rPr>
            </w:pPr>
          </w:p>
        </w:tc>
        <w:tc>
          <w:tcPr>
            <w:tcW w:w="0" w:type="auto"/>
            <w:gridSpan w:val="3"/>
            <w:shd w:val="clear" w:color="auto" w:fill="auto"/>
            <w:vAlign w:val="bottom"/>
          </w:tcPr>
          <w:p w14:paraId="0B2F9F63" w14:textId="77777777" w:rsidR="007F1775" w:rsidRDefault="007F1775">
            <w:pPr>
              <w:rPr>
                <w:rFonts w:ascii="宋体"/>
                <w:vanish/>
              </w:rPr>
            </w:pPr>
          </w:p>
        </w:tc>
        <w:tc>
          <w:tcPr>
            <w:tcW w:w="0" w:type="auto"/>
            <w:gridSpan w:val="3"/>
            <w:shd w:val="clear" w:color="auto" w:fill="auto"/>
            <w:vAlign w:val="bottom"/>
          </w:tcPr>
          <w:p w14:paraId="0B2F9F64" w14:textId="77777777" w:rsidR="007F1775" w:rsidRDefault="007F1775">
            <w:pPr>
              <w:rPr>
                <w:rFonts w:ascii="宋体"/>
                <w:vanish/>
              </w:rPr>
            </w:pPr>
          </w:p>
        </w:tc>
      </w:tr>
      <w:tr w:rsidR="007F1775" w14:paraId="0B2F9F70" w14:textId="77777777">
        <w:tc>
          <w:tcPr>
            <w:tcW w:w="0" w:type="auto"/>
            <w:gridSpan w:val="3"/>
            <w:shd w:val="clear" w:color="auto" w:fill="FFFFFF"/>
            <w:tcMar>
              <w:top w:w="40" w:type="dxa"/>
              <w:left w:w="200" w:type="dxa"/>
              <w:bottom w:w="40" w:type="dxa"/>
              <w:right w:w="20" w:type="dxa"/>
            </w:tcMar>
          </w:tcPr>
          <w:p w14:paraId="0B2F9F66" w14:textId="77777777" w:rsidR="007F1775" w:rsidRDefault="000F083E">
            <w:pPr>
              <w:textAlignment w:val="top"/>
            </w:pPr>
            <w:r>
              <w:rPr>
                <w:rFonts w:ascii="Times New Roman" w:eastAsia="宋体" w:hAnsi="Times New Roman"/>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0B2F9F67" w14:textId="77777777" w:rsidR="007F1775" w:rsidRDefault="000F083E">
            <w:pPr>
              <w:jc w:val="right"/>
              <w:textAlignment w:val="bottom"/>
            </w:pPr>
            <w:r>
              <w:rPr>
                <w:rFonts w:ascii="Times New Roman" w:eastAsia="宋体" w:hAnsi="Times New Roman"/>
                <w:color w:val="000000"/>
                <w:sz w:val="20"/>
                <w:szCs w:val="20"/>
              </w:rPr>
              <w:t>2,742 </w:t>
            </w:r>
          </w:p>
        </w:tc>
        <w:tc>
          <w:tcPr>
            <w:tcW w:w="0" w:type="auto"/>
            <w:shd w:val="clear" w:color="auto" w:fill="FFFFFF"/>
            <w:tcMar>
              <w:top w:w="40" w:type="dxa"/>
              <w:left w:w="0" w:type="dxa"/>
              <w:bottom w:w="40" w:type="dxa"/>
              <w:right w:w="20" w:type="dxa"/>
            </w:tcMar>
            <w:vAlign w:val="bottom"/>
          </w:tcPr>
          <w:p w14:paraId="0B2F9F68"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F69"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F6A" w14:textId="77777777" w:rsidR="007F1775" w:rsidRDefault="000F083E">
            <w:pPr>
              <w:jc w:val="right"/>
              <w:textAlignment w:val="bottom"/>
            </w:pPr>
            <w:r>
              <w:rPr>
                <w:rFonts w:ascii="Times New Roman" w:eastAsia="宋体" w:hAnsi="Times New Roman"/>
                <w:color w:val="000000"/>
                <w:sz w:val="20"/>
                <w:szCs w:val="20"/>
              </w:rPr>
              <w:t>2,882 </w:t>
            </w:r>
          </w:p>
        </w:tc>
        <w:tc>
          <w:tcPr>
            <w:tcW w:w="0" w:type="auto"/>
            <w:shd w:val="clear" w:color="auto" w:fill="FFFFFF"/>
            <w:tcMar>
              <w:top w:w="40" w:type="dxa"/>
              <w:left w:w="0" w:type="dxa"/>
              <w:bottom w:w="40" w:type="dxa"/>
              <w:right w:w="20" w:type="dxa"/>
            </w:tcMar>
            <w:vAlign w:val="bottom"/>
          </w:tcPr>
          <w:p w14:paraId="0B2F9F6B" w14:textId="77777777" w:rsidR="007F1775" w:rsidRDefault="007F1775">
            <w:pPr>
              <w:jc w:val="right"/>
              <w:rPr>
                <w:rFonts w:ascii="宋体"/>
              </w:rPr>
            </w:pPr>
          </w:p>
        </w:tc>
        <w:tc>
          <w:tcPr>
            <w:tcW w:w="0" w:type="auto"/>
            <w:shd w:val="clear" w:color="auto" w:fill="auto"/>
            <w:vAlign w:val="bottom"/>
          </w:tcPr>
          <w:p w14:paraId="0B2F9F6C" w14:textId="77777777" w:rsidR="007F1775" w:rsidRDefault="007F1775">
            <w:pPr>
              <w:rPr>
                <w:rFonts w:ascii="宋体"/>
                <w:vanish/>
              </w:rPr>
            </w:pPr>
          </w:p>
        </w:tc>
        <w:tc>
          <w:tcPr>
            <w:tcW w:w="0" w:type="auto"/>
            <w:shd w:val="clear" w:color="auto" w:fill="auto"/>
            <w:vAlign w:val="bottom"/>
          </w:tcPr>
          <w:p w14:paraId="0B2F9F6D" w14:textId="77777777" w:rsidR="007F1775" w:rsidRDefault="007F1775">
            <w:pPr>
              <w:rPr>
                <w:rFonts w:ascii="宋体"/>
                <w:vanish/>
              </w:rPr>
            </w:pPr>
          </w:p>
        </w:tc>
        <w:tc>
          <w:tcPr>
            <w:tcW w:w="0" w:type="auto"/>
            <w:gridSpan w:val="3"/>
            <w:shd w:val="clear" w:color="auto" w:fill="auto"/>
            <w:vAlign w:val="bottom"/>
          </w:tcPr>
          <w:p w14:paraId="0B2F9F6E" w14:textId="77777777" w:rsidR="007F1775" w:rsidRDefault="007F1775">
            <w:pPr>
              <w:rPr>
                <w:rFonts w:ascii="宋体"/>
                <w:vanish/>
              </w:rPr>
            </w:pPr>
          </w:p>
        </w:tc>
        <w:tc>
          <w:tcPr>
            <w:tcW w:w="0" w:type="auto"/>
            <w:gridSpan w:val="3"/>
            <w:shd w:val="clear" w:color="auto" w:fill="auto"/>
            <w:vAlign w:val="bottom"/>
          </w:tcPr>
          <w:p w14:paraId="0B2F9F6F" w14:textId="77777777" w:rsidR="007F1775" w:rsidRDefault="007F1775">
            <w:pPr>
              <w:rPr>
                <w:rFonts w:ascii="宋体"/>
                <w:vanish/>
              </w:rPr>
            </w:pPr>
          </w:p>
        </w:tc>
      </w:tr>
      <w:tr w:rsidR="007F1775" w14:paraId="0B2F9F79" w14:textId="77777777">
        <w:tc>
          <w:tcPr>
            <w:tcW w:w="0" w:type="auto"/>
            <w:gridSpan w:val="3"/>
            <w:shd w:val="clear" w:color="auto" w:fill="CCEEFF"/>
            <w:tcMar>
              <w:top w:w="40" w:type="dxa"/>
              <w:left w:w="20" w:type="dxa"/>
              <w:bottom w:w="40" w:type="dxa"/>
              <w:right w:w="20" w:type="dxa"/>
            </w:tcMar>
          </w:tcPr>
          <w:p w14:paraId="0B2F9F71" w14:textId="77777777" w:rsidR="007F1775" w:rsidRDefault="000F083E">
            <w:pPr>
              <w:textAlignment w:val="top"/>
            </w:pPr>
            <w:r>
              <w:rPr>
                <w:rFonts w:ascii="Times New Roman" w:eastAsia="宋体" w:hAnsi="Times New Roman"/>
                <w:b/>
                <w:bCs/>
                <w:color w:val="000000"/>
                <w:sz w:val="20"/>
                <w:szCs w:val="20"/>
              </w:rPr>
              <w:t>Share-based compensation expense included in costs and expenses:</w:t>
            </w:r>
          </w:p>
        </w:tc>
        <w:tc>
          <w:tcPr>
            <w:tcW w:w="0" w:type="auto"/>
            <w:gridSpan w:val="3"/>
            <w:shd w:val="clear" w:color="auto" w:fill="CCEEFF"/>
            <w:tcMar>
              <w:top w:w="0" w:type="dxa"/>
              <w:left w:w="20" w:type="dxa"/>
              <w:bottom w:w="0" w:type="dxa"/>
              <w:right w:w="20" w:type="dxa"/>
            </w:tcMar>
            <w:vAlign w:val="bottom"/>
          </w:tcPr>
          <w:p w14:paraId="0B2F9F72"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9F73"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9F74" w14:textId="77777777" w:rsidR="007F1775" w:rsidRDefault="007F1775">
            <w:pPr>
              <w:rPr>
                <w:rFonts w:ascii="宋体"/>
              </w:rPr>
            </w:pPr>
          </w:p>
        </w:tc>
        <w:tc>
          <w:tcPr>
            <w:tcW w:w="0" w:type="auto"/>
            <w:shd w:val="clear" w:color="auto" w:fill="auto"/>
            <w:vAlign w:val="bottom"/>
          </w:tcPr>
          <w:p w14:paraId="0B2F9F75" w14:textId="77777777" w:rsidR="007F1775" w:rsidRDefault="007F1775">
            <w:pPr>
              <w:rPr>
                <w:rFonts w:ascii="宋体"/>
                <w:vanish/>
              </w:rPr>
            </w:pPr>
          </w:p>
        </w:tc>
        <w:tc>
          <w:tcPr>
            <w:tcW w:w="0" w:type="auto"/>
            <w:shd w:val="clear" w:color="auto" w:fill="auto"/>
            <w:vAlign w:val="bottom"/>
          </w:tcPr>
          <w:p w14:paraId="0B2F9F76" w14:textId="77777777" w:rsidR="007F1775" w:rsidRDefault="007F1775">
            <w:pPr>
              <w:rPr>
                <w:rFonts w:ascii="宋体"/>
                <w:vanish/>
              </w:rPr>
            </w:pPr>
          </w:p>
        </w:tc>
        <w:tc>
          <w:tcPr>
            <w:tcW w:w="0" w:type="auto"/>
            <w:gridSpan w:val="3"/>
            <w:shd w:val="clear" w:color="auto" w:fill="auto"/>
            <w:vAlign w:val="bottom"/>
          </w:tcPr>
          <w:p w14:paraId="0B2F9F77" w14:textId="77777777" w:rsidR="007F1775" w:rsidRDefault="007F1775">
            <w:pPr>
              <w:rPr>
                <w:rFonts w:ascii="宋体"/>
                <w:vanish/>
              </w:rPr>
            </w:pPr>
          </w:p>
        </w:tc>
        <w:tc>
          <w:tcPr>
            <w:tcW w:w="0" w:type="auto"/>
            <w:gridSpan w:val="3"/>
            <w:shd w:val="clear" w:color="auto" w:fill="auto"/>
            <w:vAlign w:val="bottom"/>
          </w:tcPr>
          <w:p w14:paraId="0B2F9F78" w14:textId="77777777" w:rsidR="007F1775" w:rsidRDefault="007F1775">
            <w:pPr>
              <w:rPr>
                <w:rFonts w:ascii="宋体"/>
                <w:vanish/>
              </w:rPr>
            </w:pPr>
          </w:p>
        </w:tc>
      </w:tr>
      <w:tr w:rsidR="007F1775" w14:paraId="0B2F9F86" w14:textId="77777777">
        <w:tc>
          <w:tcPr>
            <w:tcW w:w="0" w:type="auto"/>
            <w:gridSpan w:val="3"/>
            <w:shd w:val="clear" w:color="auto" w:fill="FFFFFF"/>
            <w:tcMar>
              <w:top w:w="40" w:type="dxa"/>
              <w:left w:w="200" w:type="dxa"/>
              <w:bottom w:w="40" w:type="dxa"/>
              <w:right w:w="20" w:type="dxa"/>
            </w:tcMar>
          </w:tcPr>
          <w:p w14:paraId="0B2F9F7A" w14:textId="77777777" w:rsidR="007F1775" w:rsidRDefault="000F083E">
            <w:pPr>
              <w:textAlignment w:val="top"/>
            </w:pPr>
            <w:r>
              <w:rPr>
                <w:rFonts w:ascii="Times New Roman" w:eastAsia="宋体" w:hAnsi="Times New Roman"/>
                <w:color w:val="000000"/>
                <w:sz w:val="20"/>
                <w:szCs w:val="20"/>
              </w:rPr>
              <w:t>Cost of revenue</w:t>
            </w:r>
          </w:p>
        </w:tc>
        <w:tc>
          <w:tcPr>
            <w:tcW w:w="0" w:type="auto"/>
            <w:shd w:val="clear" w:color="auto" w:fill="FFFFFF"/>
            <w:tcMar>
              <w:top w:w="40" w:type="dxa"/>
              <w:left w:w="20" w:type="dxa"/>
              <w:bottom w:w="40" w:type="dxa"/>
              <w:right w:w="0" w:type="dxa"/>
            </w:tcMar>
            <w:vAlign w:val="bottom"/>
          </w:tcPr>
          <w:p w14:paraId="0B2F9F7B"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9F7C" w14:textId="77777777" w:rsidR="007F1775" w:rsidRDefault="000F083E">
            <w:pPr>
              <w:jc w:val="right"/>
              <w:textAlignment w:val="bottom"/>
            </w:pPr>
            <w:r>
              <w:rPr>
                <w:rFonts w:ascii="Times New Roman" w:eastAsia="宋体" w:hAnsi="Times New Roman"/>
                <w:color w:val="000000"/>
                <w:sz w:val="20"/>
                <w:szCs w:val="20"/>
              </w:rPr>
              <w:t>160 </w:t>
            </w:r>
          </w:p>
        </w:tc>
        <w:tc>
          <w:tcPr>
            <w:tcW w:w="0" w:type="auto"/>
            <w:shd w:val="clear" w:color="auto" w:fill="FFFFFF"/>
            <w:tcMar>
              <w:top w:w="40" w:type="dxa"/>
              <w:left w:w="0" w:type="dxa"/>
              <w:bottom w:w="40" w:type="dxa"/>
              <w:right w:w="20" w:type="dxa"/>
            </w:tcMar>
            <w:vAlign w:val="bottom"/>
          </w:tcPr>
          <w:p w14:paraId="0B2F9F7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F7E"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9F7F"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9F80" w14:textId="77777777" w:rsidR="007F1775" w:rsidRDefault="000F083E">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left w:w="0" w:type="dxa"/>
              <w:bottom w:w="40" w:type="dxa"/>
              <w:right w:w="20" w:type="dxa"/>
            </w:tcMar>
            <w:vAlign w:val="bottom"/>
          </w:tcPr>
          <w:p w14:paraId="0B2F9F81" w14:textId="77777777" w:rsidR="007F1775" w:rsidRDefault="007F1775">
            <w:pPr>
              <w:jc w:val="right"/>
              <w:rPr>
                <w:rFonts w:ascii="宋体"/>
              </w:rPr>
            </w:pPr>
          </w:p>
        </w:tc>
        <w:tc>
          <w:tcPr>
            <w:tcW w:w="0" w:type="auto"/>
            <w:shd w:val="clear" w:color="auto" w:fill="auto"/>
            <w:vAlign w:val="bottom"/>
          </w:tcPr>
          <w:p w14:paraId="0B2F9F82" w14:textId="77777777" w:rsidR="007F1775" w:rsidRDefault="007F1775">
            <w:pPr>
              <w:rPr>
                <w:rFonts w:ascii="宋体"/>
                <w:vanish/>
              </w:rPr>
            </w:pPr>
          </w:p>
        </w:tc>
        <w:tc>
          <w:tcPr>
            <w:tcW w:w="0" w:type="auto"/>
            <w:shd w:val="clear" w:color="auto" w:fill="auto"/>
            <w:vAlign w:val="bottom"/>
          </w:tcPr>
          <w:p w14:paraId="0B2F9F83" w14:textId="77777777" w:rsidR="007F1775" w:rsidRDefault="007F1775">
            <w:pPr>
              <w:rPr>
                <w:rFonts w:ascii="宋体"/>
                <w:vanish/>
              </w:rPr>
            </w:pPr>
          </w:p>
        </w:tc>
        <w:tc>
          <w:tcPr>
            <w:tcW w:w="0" w:type="auto"/>
            <w:gridSpan w:val="3"/>
            <w:shd w:val="clear" w:color="auto" w:fill="auto"/>
            <w:vAlign w:val="bottom"/>
          </w:tcPr>
          <w:p w14:paraId="0B2F9F84" w14:textId="77777777" w:rsidR="007F1775" w:rsidRDefault="007F1775">
            <w:pPr>
              <w:rPr>
                <w:rFonts w:ascii="宋体"/>
                <w:vanish/>
              </w:rPr>
            </w:pPr>
          </w:p>
        </w:tc>
        <w:tc>
          <w:tcPr>
            <w:tcW w:w="0" w:type="auto"/>
            <w:gridSpan w:val="3"/>
            <w:shd w:val="clear" w:color="auto" w:fill="auto"/>
            <w:vAlign w:val="bottom"/>
          </w:tcPr>
          <w:p w14:paraId="0B2F9F85" w14:textId="77777777" w:rsidR="007F1775" w:rsidRDefault="007F1775">
            <w:pPr>
              <w:rPr>
                <w:rFonts w:ascii="宋体"/>
                <w:vanish/>
              </w:rPr>
            </w:pPr>
          </w:p>
        </w:tc>
      </w:tr>
      <w:tr w:rsidR="007F1775" w14:paraId="0B2F9F91" w14:textId="77777777">
        <w:tc>
          <w:tcPr>
            <w:tcW w:w="0" w:type="auto"/>
            <w:gridSpan w:val="3"/>
            <w:shd w:val="clear" w:color="auto" w:fill="CCEEFF"/>
            <w:tcMar>
              <w:top w:w="40" w:type="dxa"/>
              <w:left w:w="200" w:type="dxa"/>
              <w:bottom w:w="40" w:type="dxa"/>
              <w:right w:w="20" w:type="dxa"/>
            </w:tcMar>
          </w:tcPr>
          <w:p w14:paraId="0B2F9F87" w14:textId="77777777" w:rsidR="007F1775" w:rsidRDefault="000F083E">
            <w:pPr>
              <w:textAlignment w:val="top"/>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0B2F9F88" w14:textId="77777777" w:rsidR="007F1775" w:rsidRDefault="000F083E">
            <w:pPr>
              <w:jc w:val="right"/>
              <w:textAlignment w:val="bottom"/>
            </w:pPr>
            <w:r>
              <w:rPr>
                <w:rFonts w:ascii="Times New Roman" w:eastAsia="宋体" w:hAnsi="Times New Roman"/>
                <w:color w:val="000000"/>
                <w:sz w:val="20"/>
                <w:szCs w:val="20"/>
              </w:rPr>
              <w:t>1,941 </w:t>
            </w:r>
          </w:p>
        </w:tc>
        <w:tc>
          <w:tcPr>
            <w:tcW w:w="0" w:type="auto"/>
            <w:shd w:val="clear" w:color="auto" w:fill="CCEEFF"/>
            <w:tcMar>
              <w:top w:w="40" w:type="dxa"/>
              <w:left w:w="0" w:type="dxa"/>
              <w:bottom w:w="40" w:type="dxa"/>
              <w:right w:w="20" w:type="dxa"/>
            </w:tcMar>
            <w:vAlign w:val="bottom"/>
          </w:tcPr>
          <w:p w14:paraId="0B2F9F8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F8A"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F8B" w14:textId="77777777" w:rsidR="007F1775" w:rsidRDefault="000F083E">
            <w:pPr>
              <w:jc w:val="right"/>
              <w:textAlignment w:val="bottom"/>
            </w:pPr>
            <w:r>
              <w:rPr>
                <w:rFonts w:ascii="Times New Roman" w:eastAsia="宋体" w:hAnsi="Times New Roman"/>
                <w:color w:val="000000"/>
                <w:sz w:val="20"/>
                <w:szCs w:val="20"/>
              </w:rPr>
              <w:t>1,408 </w:t>
            </w:r>
          </w:p>
        </w:tc>
        <w:tc>
          <w:tcPr>
            <w:tcW w:w="0" w:type="auto"/>
            <w:shd w:val="clear" w:color="auto" w:fill="CCEEFF"/>
            <w:tcMar>
              <w:top w:w="40" w:type="dxa"/>
              <w:left w:w="0" w:type="dxa"/>
              <w:bottom w:w="40" w:type="dxa"/>
              <w:right w:w="20" w:type="dxa"/>
            </w:tcMar>
            <w:vAlign w:val="bottom"/>
          </w:tcPr>
          <w:p w14:paraId="0B2F9F8C" w14:textId="77777777" w:rsidR="007F1775" w:rsidRDefault="007F1775">
            <w:pPr>
              <w:jc w:val="right"/>
              <w:rPr>
                <w:rFonts w:ascii="宋体"/>
              </w:rPr>
            </w:pPr>
          </w:p>
        </w:tc>
        <w:tc>
          <w:tcPr>
            <w:tcW w:w="0" w:type="auto"/>
            <w:shd w:val="clear" w:color="auto" w:fill="auto"/>
            <w:vAlign w:val="bottom"/>
          </w:tcPr>
          <w:p w14:paraId="0B2F9F8D" w14:textId="77777777" w:rsidR="007F1775" w:rsidRDefault="007F1775">
            <w:pPr>
              <w:rPr>
                <w:rFonts w:ascii="宋体"/>
                <w:vanish/>
              </w:rPr>
            </w:pPr>
          </w:p>
        </w:tc>
        <w:tc>
          <w:tcPr>
            <w:tcW w:w="0" w:type="auto"/>
            <w:shd w:val="clear" w:color="auto" w:fill="auto"/>
            <w:vAlign w:val="bottom"/>
          </w:tcPr>
          <w:p w14:paraId="0B2F9F8E" w14:textId="77777777" w:rsidR="007F1775" w:rsidRDefault="007F1775">
            <w:pPr>
              <w:rPr>
                <w:rFonts w:ascii="宋体"/>
                <w:vanish/>
              </w:rPr>
            </w:pPr>
          </w:p>
        </w:tc>
        <w:tc>
          <w:tcPr>
            <w:tcW w:w="0" w:type="auto"/>
            <w:gridSpan w:val="3"/>
            <w:shd w:val="clear" w:color="auto" w:fill="auto"/>
            <w:vAlign w:val="bottom"/>
          </w:tcPr>
          <w:p w14:paraId="0B2F9F8F" w14:textId="77777777" w:rsidR="007F1775" w:rsidRDefault="007F1775">
            <w:pPr>
              <w:rPr>
                <w:rFonts w:ascii="宋体"/>
                <w:vanish/>
              </w:rPr>
            </w:pPr>
          </w:p>
        </w:tc>
        <w:tc>
          <w:tcPr>
            <w:tcW w:w="0" w:type="auto"/>
            <w:gridSpan w:val="3"/>
            <w:shd w:val="clear" w:color="auto" w:fill="auto"/>
            <w:vAlign w:val="bottom"/>
          </w:tcPr>
          <w:p w14:paraId="0B2F9F90" w14:textId="77777777" w:rsidR="007F1775" w:rsidRDefault="007F1775">
            <w:pPr>
              <w:rPr>
                <w:rFonts w:ascii="宋体"/>
                <w:vanish/>
              </w:rPr>
            </w:pPr>
          </w:p>
        </w:tc>
      </w:tr>
      <w:tr w:rsidR="007F1775" w14:paraId="0B2F9F9C" w14:textId="77777777">
        <w:tc>
          <w:tcPr>
            <w:tcW w:w="0" w:type="auto"/>
            <w:gridSpan w:val="3"/>
            <w:shd w:val="clear" w:color="auto" w:fill="FFFFFF"/>
            <w:tcMar>
              <w:top w:w="40" w:type="dxa"/>
              <w:left w:w="200" w:type="dxa"/>
              <w:bottom w:w="40" w:type="dxa"/>
              <w:right w:w="20" w:type="dxa"/>
            </w:tcMar>
          </w:tcPr>
          <w:p w14:paraId="0B2F9F92" w14:textId="77777777" w:rsidR="007F1775" w:rsidRDefault="000F083E">
            <w:pPr>
              <w:textAlignment w:val="top"/>
            </w:pPr>
            <w:r>
              <w:rPr>
                <w:rFonts w:ascii="Times New Roman" w:eastAsia="宋体" w:hAnsi="Times New Roman"/>
                <w:color w:val="000000"/>
                <w:sz w:val="20"/>
                <w:szCs w:val="20"/>
              </w:rPr>
              <w:t>Marketing and sales</w:t>
            </w:r>
          </w:p>
        </w:tc>
        <w:tc>
          <w:tcPr>
            <w:tcW w:w="0" w:type="auto"/>
            <w:gridSpan w:val="2"/>
            <w:shd w:val="clear" w:color="auto" w:fill="FFFFFF"/>
            <w:tcMar>
              <w:top w:w="40" w:type="dxa"/>
              <w:left w:w="20" w:type="dxa"/>
              <w:bottom w:w="40" w:type="dxa"/>
              <w:right w:w="0" w:type="dxa"/>
            </w:tcMar>
            <w:vAlign w:val="bottom"/>
          </w:tcPr>
          <w:p w14:paraId="0B2F9F93" w14:textId="77777777" w:rsidR="007F1775" w:rsidRDefault="000F083E">
            <w:pPr>
              <w:jc w:val="right"/>
              <w:textAlignment w:val="bottom"/>
            </w:pPr>
            <w:r>
              <w:rPr>
                <w:rFonts w:ascii="Times New Roman" w:eastAsia="宋体" w:hAnsi="Times New Roman"/>
                <w:color w:val="000000"/>
                <w:sz w:val="20"/>
                <w:szCs w:val="20"/>
              </w:rPr>
              <w:t>216 </w:t>
            </w:r>
          </w:p>
        </w:tc>
        <w:tc>
          <w:tcPr>
            <w:tcW w:w="0" w:type="auto"/>
            <w:shd w:val="clear" w:color="auto" w:fill="FFFFFF"/>
            <w:tcMar>
              <w:top w:w="40" w:type="dxa"/>
              <w:left w:w="0" w:type="dxa"/>
              <w:bottom w:w="40" w:type="dxa"/>
              <w:right w:w="20" w:type="dxa"/>
            </w:tcMar>
            <w:vAlign w:val="bottom"/>
          </w:tcPr>
          <w:p w14:paraId="0B2F9F9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F9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9F96" w14:textId="77777777" w:rsidR="007F1775" w:rsidRDefault="000F083E">
            <w:pPr>
              <w:jc w:val="right"/>
              <w:textAlignment w:val="bottom"/>
            </w:pPr>
            <w:r>
              <w:rPr>
                <w:rFonts w:ascii="Times New Roman" w:eastAsia="宋体" w:hAnsi="Times New Roman"/>
                <w:color w:val="000000"/>
                <w:sz w:val="20"/>
                <w:szCs w:val="20"/>
              </w:rPr>
              <w:t>174 </w:t>
            </w:r>
          </w:p>
        </w:tc>
        <w:tc>
          <w:tcPr>
            <w:tcW w:w="0" w:type="auto"/>
            <w:shd w:val="clear" w:color="auto" w:fill="FFFFFF"/>
            <w:tcMar>
              <w:top w:w="40" w:type="dxa"/>
              <w:left w:w="0" w:type="dxa"/>
              <w:bottom w:w="40" w:type="dxa"/>
              <w:right w:w="20" w:type="dxa"/>
            </w:tcMar>
            <w:vAlign w:val="bottom"/>
          </w:tcPr>
          <w:p w14:paraId="0B2F9F97" w14:textId="77777777" w:rsidR="007F1775" w:rsidRDefault="007F1775">
            <w:pPr>
              <w:jc w:val="right"/>
              <w:rPr>
                <w:rFonts w:ascii="宋体"/>
              </w:rPr>
            </w:pPr>
          </w:p>
        </w:tc>
        <w:tc>
          <w:tcPr>
            <w:tcW w:w="0" w:type="auto"/>
            <w:shd w:val="clear" w:color="auto" w:fill="auto"/>
            <w:vAlign w:val="bottom"/>
          </w:tcPr>
          <w:p w14:paraId="0B2F9F98" w14:textId="77777777" w:rsidR="007F1775" w:rsidRDefault="007F1775">
            <w:pPr>
              <w:rPr>
                <w:rFonts w:ascii="宋体"/>
                <w:vanish/>
              </w:rPr>
            </w:pPr>
          </w:p>
        </w:tc>
        <w:tc>
          <w:tcPr>
            <w:tcW w:w="0" w:type="auto"/>
            <w:shd w:val="clear" w:color="auto" w:fill="auto"/>
            <w:vAlign w:val="bottom"/>
          </w:tcPr>
          <w:p w14:paraId="0B2F9F99" w14:textId="77777777" w:rsidR="007F1775" w:rsidRDefault="007F1775">
            <w:pPr>
              <w:rPr>
                <w:rFonts w:ascii="宋体"/>
                <w:vanish/>
              </w:rPr>
            </w:pPr>
          </w:p>
        </w:tc>
        <w:tc>
          <w:tcPr>
            <w:tcW w:w="0" w:type="auto"/>
            <w:gridSpan w:val="3"/>
            <w:shd w:val="clear" w:color="auto" w:fill="auto"/>
            <w:vAlign w:val="bottom"/>
          </w:tcPr>
          <w:p w14:paraId="0B2F9F9A" w14:textId="77777777" w:rsidR="007F1775" w:rsidRDefault="007F1775">
            <w:pPr>
              <w:rPr>
                <w:rFonts w:ascii="宋体"/>
                <w:vanish/>
              </w:rPr>
            </w:pPr>
          </w:p>
        </w:tc>
        <w:tc>
          <w:tcPr>
            <w:tcW w:w="0" w:type="auto"/>
            <w:gridSpan w:val="3"/>
            <w:shd w:val="clear" w:color="auto" w:fill="auto"/>
            <w:vAlign w:val="bottom"/>
          </w:tcPr>
          <w:p w14:paraId="0B2F9F9B" w14:textId="77777777" w:rsidR="007F1775" w:rsidRDefault="007F1775">
            <w:pPr>
              <w:rPr>
                <w:rFonts w:ascii="宋体"/>
                <w:vanish/>
              </w:rPr>
            </w:pPr>
          </w:p>
        </w:tc>
      </w:tr>
      <w:tr w:rsidR="007F1775" w14:paraId="0B2F9FA7" w14:textId="77777777">
        <w:tc>
          <w:tcPr>
            <w:tcW w:w="0" w:type="auto"/>
            <w:gridSpan w:val="3"/>
            <w:shd w:val="clear" w:color="auto" w:fill="CCEEFF"/>
            <w:tcMar>
              <w:top w:w="40" w:type="dxa"/>
              <w:left w:w="200" w:type="dxa"/>
              <w:bottom w:w="40" w:type="dxa"/>
              <w:right w:w="20" w:type="dxa"/>
            </w:tcMar>
          </w:tcPr>
          <w:p w14:paraId="0B2F9F9D" w14:textId="77777777" w:rsidR="007F1775" w:rsidRDefault="000F083E">
            <w:pPr>
              <w:textAlignment w:val="top"/>
            </w:pPr>
            <w:r>
              <w:rPr>
                <w:rFonts w:ascii="Times New Roman" w:eastAsia="宋体" w:hAnsi="Times New Roman"/>
                <w:color w:val="000000"/>
                <w:sz w:val="20"/>
                <w:szCs w:val="20"/>
              </w:rPr>
              <w:t>General and administrative</w:t>
            </w:r>
          </w:p>
        </w:tc>
        <w:tc>
          <w:tcPr>
            <w:tcW w:w="0" w:type="auto"/>
            <w:gridSpan w:val="2"/>
            <w:shd w:val="clear" w:color="auto" w:fill="CCEEFF"/>
            <w:tcMar>
              <w:top w:w="40" w:type="dxa"/>
              <w:left w:w="20" w:type="dxa"/>
              <w:bottom w:w="40" w:type="dxa"/>
              <w:right w:w="0" w:type="dxa"/>
            </w:tcMar>
            <w:vAlign w:val="bottom"/>
          </w:tcPr>
          <w:p w14:paraId="0B2F9F9E" w14:textId="77777777" w:rsidR="007F1775" w:rsidRDefault="000F083E">
            <w:pPr>
              <w:jc w:val="right"/>
              <w:textAlignment w:val="bottom"/>
            </w:pPr>
            <w:r>
              <w:rPr>
                <w:rFonts w:ascii="Times New Roman" w:eastAsia="宋体" w:hAnsi="Times New Roman"/>
                <w:color w:val="000000"/>
                <w:sz w:val="20"/>
                <w:szCs w:val="20"/>
              </w:rPr>
              <w:t>181 </w:t>
            </w:r>
          </w:p>
        </w:tc>
        <w:tc>
          <w:tcPr>
            <w:tcW w:w="0" w:type="auto"/>
            <w:shd w:val="clear" w:color="auto" w:fill="CCEEFF"/>
            <w:tcMar>
              <w:top w:w="40" w:type="dxa"/>
              <w:left w:w="0" w:type="dxa"/>
              <w:bottom w:w="40" w:type="dxa"/>
              <w:right w:w="20" w:type="dxa"/>
            </w:tcMar>
            <w:vAlign w:val="bottom"/>
          </w:tcPr>
          <w:p w14:paraId="0B2F9F9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FA0"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FA1" w14:textId="77777777" w:rsidR="007F1775" w:rsidRDefault="000F083E">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0B2F9FA2" w14:textId="77777777" w:rsidR="007F1775" w:rsidRDefault="007F1775">
            <w:pPr>
              <w:jc w:val="right"/>
              <w:rPr>
                <w:rFonts w:ascii="宋体"/>
              </w:rPr>
            </w:pPr>
          </w:p>
        </w:tc>
        <w:tc>
          <w:tcPr>
            <w:tcW w:w="0" w:type="auto"/>
            <w:shd w:val="clear" w:color="auto" w:fill="auto"/>
            <w:vAlign w:val="bottom"/>
          </w:tcPr>
          <w:p w14:paraId="0B2F9FA3" w14:textId="77777777" w:rsidR="007F1775" w:rsidRDefault="007F1775">
            <w:pPr>
              <w:rPr>
                <w:rFonts w:ascii="宋体"/>
                <w:vanish/>
              </w:rPr>
            </w:pPr>
          </w:p>
        </w:tc>
        <w:tc>
          <w:tcPr>
            <w:tcW w:w="0" w:type="auto"/>
            <w:shd w:val="clear" w:color="auto" w:fill="auto"/>
            <w:vAlign w:val="bottom"/>
          </w:tcPr>
          <w:p w14:paraId="0B2F9FA4" w14:textId="77777777" w:rsidR="007F1775" w:rsidRDefault="007F1775">
            <w:pPr>
              <w:rPr>
                <w:rFonts w:ascii="宋体"/>
                <w:vanish/>
              </w:rPr>
            </w:pPr>
          </w:p>
        </w:tc>
        <w:tc>
          <w:tcPr>
            <w:tcW w:w="0" w:type="auto"/>
            <w:gridSpan w:val="3"/>
            <w:shd w:val="clear" w:color="auto" w:fill="auto"/>
            <w:vAlign w:val="bottom"/>
          </w:tcPr>
          <w:p w14:paraId="0B2F9FA5" w14:textId="77777777" w:rsidR="007F1775" w:rsidRDefault="007F1775">
            <w:pPr>
              <w:rPr>
                <w:rFonts w:ascii="宋体"/>
                <w:vanish/>
              </w:rPr>
            </w:pPr>
          </w:p>
        </w:tc>
        <w:tc>
          <w:tcPr>
            <w:tcW w:w="0" w:type="auto"/>
            <w:gridSpan w:val="3"/>
            <w:shd w:val="clear" w:color="auto" w:fill="auto"/>
            <w:vAlign w:val="bottom"/>
          </w:tcPr>
          <w:p w14:paraId="0B2F9FA6" w14:textId="77777777" w:rsidR="007F1775" w:rsidRDefault="007F1775">
            <w:pPr>
              <w:rPr>
                <w:rFonts w:ascii="宋体"/>
                <w:vanish/>
              </w:rPr>
            </w:pPr>
          </w:p>
        </w:tc>
      </w:tr>
      <w:tr w:rsidR="007F1775" w14:paraId="0B2F9FB4" w14:textId="77777777">
        <w:tc>
          <w:tcPr>
            <w:tcW w:w="0" w:type="auto"/>
            <w:gridSpan w:val="3"/>
            <w:shd w:val="clear" w:color="auto" w:fill="FFFFFF"/>
            <w:tcMar>
              <w:top w:w="40" w:type="dxa"/>
              <w:left w:w="380" w:type="dxa"/>
              <w:bottom w:w="40" w:type="dxa"/>
              <w:right w:w="20" w:type="dxa"/>
            </w:tcMar>
          </w:tcPr>
          <w:p w14:paraId="0B2F9FA8" w14:textId="77777777" w:rsidR="007F1775" w:rsidRDefault="000F083E">
            <w:pPr>
              <w:textAlignment w:val="top"/>
            </w:pPr>
            <w:r>
              <w:rPr>
                <w:rFonts w:ascii="Times New Roman" w:eastAsia="宋体" w:hAnsi="Times New Roman"/>
                <w:b/>
                <w:bCs/>
                <w:color w:val="000000"/>
                <w:sz w:val="20"/>
                <w:szCs w:val="20"/>
              </w:rPr>
              <w:t xml:space="preserve">Total </w:t>
            </w:r>
            <w:r>
              <w:rPr>
                <w:rFonts w:ascii="Times New Roman" w:eastAsia="宋体" w:hAnsi="Times New Roman"/>
                <w:b/>
                <w:bCs/>
                <w:color w:val="000000"/>
                <w:sz w:val="20"/>
                <w:szCs w:val="20"/>
              </w:rPr>
              <w:t>share-based compensation expense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9FA9"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9FAA" w14:textId="77777777" w:rsidR="007F1775" w:rsidRDefault="000F083E">
            <w:pPr>
              <w:jc w:val="right"/>
              <w:textAlignment w:val="bottom"/>
            </w:pPr>
            <w:r>
              <w:rPr>
                <w:rFonts w:ascii="Times New Roman" w:eastAsia="宋体" w:hAnsi="Times New Roman"/>
                <w:color w:val="000000"/>
                <w:sz w:val="20"/>
                <w:szCs w:val="20"/>
              </w:rPr>
              <w:t>2,498 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9FA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9FAC"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9FAD"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9FAE" w14:textId="77777777" w:rsidR="007F1775" w:rsidRDefault="000F083E">
            <w:pPr>
              <w:jc w:val="right"/>
              <w:textAlignment w:val="bottom"/>
            </w:pPr>
            <w:r>
              <w:rPr>
                <w:rFonts w:ascii="Times New Roman" w:eastAsia="宋体" w:hAnsi="Times New Roman"/>
                <w:color w:val="000000"/>
                <w:sz w:val="20"/>
                <w:szCs w:val="20"/>
              </w:rPr>
              <w:t>1,830 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9FAF" w14:textId="77777777" w:rsidR="007F1775" w:rsidRDefault="007F1775">
            <w:pPr>
              <w:jc w:val="right"/>
              <w:rPr>
                <w:rFonts w:ascii="宋体"/>
              </w:rPr>
            </w:pPr>
          </w:p>
        </w:tc>
        <w:tc>
          <w:tcPr>
            <w:tcW w:w="0" w:type="auto"/>
            <w:shd w:val="clear" w:color="auto" w:fill="auto"/>
            <w:vAlign w:val="bottom"/>
          </w:tcPr>
          <w:p w14:paraId="0B2F9FB0" w14:textId="77777777" w:rsidR="007F1775" w:rsidRDefault="007F1775">
            <w:pPr>
              <w:rPr>
                <w:rFonts w:ascii="宋体"/>
                <w:vanish/>
              </w:rPr>
            </w:pPr>
          </w:p>
        </w:tc>
        <w:tc>
          <w:tcPr>
            <w:tcW w:w="0" w:type="auto"/>
            <w:shd w:val="clear" w:color="auto" w:fill="auto"/>
            <w:vAlign w:val="bottom"/>
          </w:tcPr>
          <w:p w14:paraId="0B2F9FB1" w14:textId="77777777" w:rsidR="007F1775" w:rsidRDefault="007F1775">
            <w:pPr>
              <w:rPr>
                <w:rFonts w:ascii="宋体"/>
                <w:vanish/>
              </w:rPr>
            </w:pPr>
          </w:p>
        </w:tc>
        <w:tc>
          <w:tcPr>
            <w:tcW w:w="0" w:type="auto"/>
            <w:gridSpan w:val="3"/>
            <w:shd w:val="clear" w:color="auto" w:fill="auto"/>
            <w:vAlign w:val="bottom"/>
          </w:tcPr>
          <w:p w14:paraId="0B2F9FB2" w14:textId="77777777" w:rsidR="007F1775" w:rsidRDefault="007F1775">
            <w:pPr>
              <w:rPr>
                <w:rFonts w:ascii="宋体"/>
                <w:vanish/>
              </w:rPr>
            </w:pPr>
          </w:p>
        </w:tc>
        <w:tc>
          <w:tcPr>
            <w:tcW w:w="0" w:type="auto"/>
            <w:gridSpan w:val="3"/>
            <w:shd w:val="clear" w:color="auto" w:fill="auto"/>
            <w:vAlign w:val="bottom"/>
          </w:tcPr>
          <w:p w14:paraId="0B2F9FB3" w14:textId="77777777" w:rsidR="007F1775" w:rsidRDefault="007F1775">
            <w:pPr>
              <w:rPr>
                <w:rFonts w:ascii="宋体"/>
                <w:vanish/>
              </w:rPr>
            </w:pPr>
          </w:p>
        </w:tc>
      </w:tr>
    </w:tbl>
    <w:p w14:paraId="0B2F9FB5" w14:textId="77777777" w:rsidR="007F1775" w:rsidRDefault="000F083E">
      <w:pPr>
        <w:spacing w:before="180"/>
        <w:jc w:val="center"/>
      </w:pPr>
      <w:r>
        <w:rPr>
          <w:rFonts w:ascii="Times New Roman" w:eastAsia="宋体" w:hAnsi="Times New Roman"/>
          <w:i/>
          <w:iCs/>
          <w:color w:val="000000"/>
          <w:sz w:val="18"/>
          <w:szCs w:val="18"/>
        </w:rPr>
        <w:t>See Ac</w:t>
      </w:r>
      <w:r>
        <w:rPr>
          <w:rFonts w:ascii="Times New Roman" w:eastAsia="宋体" w:hAnsi="Times New Roman"/>
          <w:i/>
          <w:iCs/>
          <w:color w:val="000000"/>
          <w:sz w:val="18"/>
          <w:szCs w:val="18"/>
        </w:rPr>
        <w:t>companying Notes to Condensed Consolidated Financial Statements.</w:t>
      </w:r>
    </w:p>
    <w:p w14:paraId="0B2F9FB6" w14:textId="77777777" w:rsidR="007F1775" w:rsidRDefault="000F083E">
      <w:pPr>
        <w:jc w:val="center"/>
      </w:pPr>
      <w:r>
        <w:rPr>
          <w:rFonts w:ascii="Times New Roman" w:eastAsia="宋体" w:hAnsi="Times New Roman"/>
          <w:color w:val="000000"/>
          <w:sz w:val="20"/>
          <w:szCs w:val="20"/>
        </w:rPr>
        <w:t>8</w:t>
      </w:r>
    </w:p>
    <w:p w14:paraId="0B2F9FB7" w14:textId="77777777" w:rsidR="007F1775" w:rsidRDefault="000F083E">
      <w:r>
        <w:pict w14:anchorId="0B2FBF69">
          <v:rect id="_x0000_i1032" style="width:415.3pt;height:1.5pt" o:hralign="center" o:hrstd="t" o:hr="t" fillcolor="#a0a0a0" stroked="f"/>
        </w:pict>
      </w:r>
    </w:p>
    <w:p w14:paraId="0B2F9FB8" w14:textId="77777777" w:rsidR="007F1775" w:rsidRDefault="007F1775"/>
    <w:p w14:paraId="0B2F9FB9" w14:textId="77777777" w:rsidR="007F1775" w:rsidRDefault="007F1775"/>
    <w:p w14:paraId="0B2F9FBA" w14:textId="77777777" w:rsidR="007F1775" w:rsidRDefault="000F083E">
      <w:hyperlink r:id="rId86" w:anchor="iea70e328caa94cefb76a9db6ed6338fc_7" w:history="1">
        <w:r>
          <w:rPr>
            <w:rStyle w:val="a5"/>
            <w:rFonts w:ascii="Times New Roman" w:eastAsia="宋体" w:hAnsi="Times New Roman"/>
            <w:sz w:val="20"/>
            <w:szCs w:val="20"/>
          </w:rPr>
          <w:t>Table of Contents</w:t>
        </w:r>
      </w:hyperlink>
    </w:p>
    <w:p w14:paraId="0B2F9FBB" w14:textId="77777777" w:rsidR="007F1775" w:rsidRDefault="000F083E">
      <w:pPr>
        <w:spacing w:before="180"/>
        <w:jc w:val="center"/>
      </w:pPr>
      <w:r>
        <w:rPr>
          <w:rFonts w:ascii="Times New Roman" w:eastAsia="宋体" w:hAnsi="Times New Roman"/>
          <w:b/>
          <w:bCs/>
          <w:color w:val="000000"/>
          <w:sz w:val="20"/>
          <w:szCs w:val="20"/>
        </w:rPr>
        <w:t xml:space="preserve">META PLATFORMS, INC. </w:t>
      </w:r>
    </w:p>
    <w:p w14:paraId="0B2F9FBC" w14:textId="77777777" w:rsidR="007F1775" w:rsidRDefault="000F083E">
      <w:pPr>
        <w:jc w:val="center"/>
      </w:pPr>
      <w:r>
        <w:rPr>
          <w:rFonts w:ascii="Times New Roman" w:eastAsia="宋体" w:hAnsi="Times New Roman"/>
          <w:b/>
          <w:bCs/>
          <w:color w:val="000000"/>
          <w:sz w:val="20"/>
          <w:szCs w:val="20"/>
        </w:rPr>
        <w:t>CONDENSED CONSOLIDATED STATEMENTS OF COMPREHENSIVE INCOME</w:t>
      </w:r>
    </w:p>
    <w:p w14:paraId="0B2F9FBD" w14:textId="77777777" w:rsidR="007F1775" w:rsidRDefault="000F083E">
      <w:pPr>
        <w:jc w:val="center"/>
      </w:pPr>
      <w:r>
        <w:rPr>
          <w:rFonts w:ascii="Times New Roman" w:eastAsia="宋体" w:hAnsi="Times New Roman"/>
          <w:i/>
          <w:iCs/>
          <w:color w:val="000000"/>
          <w:sz w:val="18"/>
          <w:szCs w:val="18"/>
        </w:rPr>
        <w:t>(In millions)</w:t>
      </w:r>
    </w:p>
    <w:p w14:paraId="0B2F9FBE" w14:textId="77777777" w:rsidR="007F1775" w:rsidRDefault="000F083E">
      <w:pPr>
        <w:jc w:val="center"/>
      </w:pPr>
      <w:r>
        <w:rPr>
          <w:rFonts w:ascii="Times New Roman" w:eastAsia="宋体" w:hAnsi="Times New Roman"/>
          <w:i/>
          <w:iCs/>
          <w:color w:val="000000"/>
          <w:sz w:val="18"/>
          <w:szCs w:val="18"/>
        </w:rPr>
        <w:t>(Unaudited)</w:t>
      </w:r>
    </w:p>
    <w:p w14:paraId="0B2F9FBF" w14:textId="77777777" w:rsidR="007F1775" w:rsidRDefault="000F083E">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5769"/>
        <w:gridCol w:w="37"/>
        <w:gridCol w:w="120"/>
        <w:gridCol w:w="910"/>
        <w:gridCol w:w="36"/>
        <w:gridCol w:w="36"/>
        <w:gridCol w:w="36"/>
        <w:gridCol w:w="36"/>
        <w:gridCol w:w="120"/>
        <w:gridCol w:w="873"/>
        <w:gridCol w:w="36"/>
        <w:gridCol w:w="36"/>
        <w:gridCol w:w="36"/>
        <w:gridCol w:w="36"/>
        <w:gridCol w:w="36"/>
        <w:gridCol w:w="36"/>
        <w:gridCol w:w="36"/>
        <w:gridCol w:w="36"/>
        <w:gridCol w:w="36"/>
      </w:tblGrid>
      <w:tr w:rsidR="007F1775" w14:paraId="0B2F9FD0" w14:textId="77777777">
        <w:tc>
          <w:tcPr>
            <w:tcW w:w="50" w:type="pct"/>
            <w:shd w:val="clear" w:color="auto" w:fill="auto"/>
            <w:vAlign w:val="bottom"/>
          </w:tcPr>
          <w:p w14:paraId="0B2F9FC0" w14:textId="77777777" w:rsidR="007F1775" w:rsidRDefault="007F1775">
            <w:pPr>
              <w:rPr>
                <w:rFonts w:ascii="宋体"/>
              </w:rPr>
            </w:pPr>
          </w:p>
        </w:tc>
        <w:tc>
          <w:tcPr>
            <w:tcW w:w="3613" w:type="pct"/>
            <w:shd w:val="clear" w:color="auto" w:fill="auto"/>
            <w:vAlign w:val="bottom"/>
          </w:tcPr>
          <w:p w14:paraId="0B2F9FC1" w14:textId="77777777" w:rsidR="007F1775" w:rsidRDefault="007F1775">
            <w:pPr>
              <w:rPr>
                <w:rFonts w:ascii="宋体"/>
              </w:rPr>
            </w:pPr>
          </w:p>
        </w:tc>
        <w:tc>
          <w:tcPr>
            <w:tcW w:w="5" w:type="pct"/>
            <w:shd w:val="clear" w:color="auto" w:fill="auto"/>
            <w:vAlign w:val="bottom"/>
          </w:tcPr>
          <w:p w14:paraId="0B2F9FC2" w14:textId="77777777" w:rsidR="007F1775" w:rsidRDefault="007F1775">
            <w:pPr>
              <w:rPr>
                <w:rFonts w:ascii="宋体"/>
              </w:rPr>
            </w:pPr>
          </w:p>
        </w:tc>
        <w:tc>
          <w:tcPr>
            <w:tcW w:w="50" w:type="pct"/>
            <w:shd w:val="clear" w:color="auto" w:fill="auto"/>
            <w:vAlign w:val="bottom"/>
          </w:tcPr>
          <w:p w14:paraId="0B2F9FC3" w14:textId="77777777" w:rsidR="007F1775" w:rsidRDefault="007F1775">
            <w:pPr>
              <w:rPr>
                <w:rFonts w:ascii="宋体"/>
              </w:rPr>
            </w:pPr>
          </w:p>
        </w:tc>
        <w:tc>
          <w:tcPr>
            <w:tcW w:w="592" w:type="pct"/>
            <w:shd w:val="clear" w:color="auto" w:fill="auto"/>
            <w:vAlign w:val="bottom"/>
          </w:tcPr>
          <w:p w14:paraId="0B2F9FC4" w14:textId="77777777" w:rsidR="007F1775" w:rsidRDefault="007F1775">
            <w:pPr>
              <w:rPr>
                <w:rFonts w:ascii="宋体"/>
              </w:rPr>
            </w:pPr>
          </w:p>
        </w:tc>
        <w:tc>
          <w:tcPr>
            <w:tcW w:w="5" w:type="pct"/>
            <w:shd w:val="clear" w:color="auto" w:fill="auto"/>
            <w:vAlign w:val="bottom"/>
          </w:tcPr>
          <w:p w14:paraId="0B2F9FC5" w14:textId="77777777" w:rsidR="007F1775" w:rsidRDefault="007F1775">
            <w:pPr>
              <w:rPr>
                <w:rFonts w:ascii="宋体"/>
              </w:rPr>
            </w:pPr>
          </w:p>
        </w:tc>
        <w:tc>
          <w:tcPr>
            <w:tcW w:w="5" w:type="pct"/>
            <w:shd w:val="clear" w:color="auto" w:fill="auto"/>
            <w:vAlign w:val="bottom"/>
          </w:tcPr>
          <w:p w14:paraId="0B2F9FC6" w14:textId="77777777" w:rsidR="007F1775" w:rsidRDefault="007F1775">
            <w:pPr>
              <w:rPr>
                <w:rFonts w:ascii="宋体"/>
              </w:rPr>
            </w:pPr>
          </w:p>
        </w:tc>
        <w:tc>
          <w:tcPr>
            <w:tcW w:w="27" w:type="pct"/>
            <w:shd w:val="clear" w:color="auto" w:fill="auto"/>
            <w:vAlign w:val="bottom"/>
          </w:tcPr>
          <w:p w14:paraId="0B2F9FC7" w14:textId="77777777" w:rsidR="007F1775" w:rsidRDefault="007F1775">
            <w:pPr>
              <w:rPr>
                <w:rFonts w:ascii="宋体"/>
              </w:rPr>
            </w:pPr>
          </w:p>
        </w:tc>
        <w:tc>
          <w:tcPr>
            <w:tcW w:w="5" w:type="pct"/>
            <w:shd w:val="clear" w:color="auto" w:fill="auto"/>
            <w:vAlign w:val="bottom"/>
          </w:tcPr>
          <w:p w14:paraId="0B2F9FC8" w14:textId="77777777" w:rsidR="007F1775" w:rsidRDefault="007F1775">
            <w:pPr>
              <w:rPr>
                <w:rFonts w:ascii="宋体"/>
              </w:rPr>
            </w:pPr>
          </w:p>
        </w:tc>
        <w:tc>
          <w:tcPr>
            <w:tcW w:w="50" w:type="pct"/>
            <w:shd w:val="clear" w:color="auto" w:fill="auto"/>
            <w:vAlign w:val="bottom"/>
          </w:tcPr>
          <w:p w14:paraId="0B2F9FC9" w14:textId="77777777" w:rsidR="007F1775" w:rsidRDefault="007F1775">
            <w:pPr>
              <w:rPr>
                <w:rFonts w:ascii="宋体"/>
              </w:rPr>
            </w:pPr>
          </w:p>
        </w:tc>
        <w:tc>
          <w:tcPr>
            <w:tcW w:w="592" w:type="pct"/>
            <w:shd w:val="clear" w:color="auto" w:fill="auto"/>
            <w:vAlign w:val="bottom"/>
          </w:tcPr>
          <w:p w14:paraId="0B2F9FCA" w14:textId="77777777" w:rsidR="007F1775" w:rsidRDefault="007F1775">
            <w:pPr>
              <w:rPr>
                <w:rFonts w:ascii="宋体"/>
              </w:rPr>
            </w:pPr>
          </w:p>
        </w:tc>
        <w:tc>
          <w:tcPr>
            <w:tcW w:w="5" w:type="pct"/>
            <w:shd w:val="clear" w:color="auto" w:fill="auto"/>
            <w:vAlign w:val="bottom"/>
          </w:tcPr>
          <w:p w14:paraId="0B2F9FCB" w14:textId="77777777" w:rsidR="007F1775" w:rsidRDefault="007F1775">
            <w:pPr>
              <w:rPr>
                <w:rFonts w:ascii="宋体"/>
              </w:rPr>
            </w:pPr>
          </w:p>
        </w:tc>
        <w:tc>
          <w:tcPr>
            <w:tcW w:w="0" w:type="auto"/>
            <w:shd w:val="clear" w:color="auto" w:fill="auto"/>
            <w:vAlign w:val="bottom"/>
          </w:tcPr>
          <w:p w14:paraId="0B2F9FCC" w14:textId="77777777" w:rsidR="007F1775" w:rsidRDefault="007F1775">
            <w:pPr>
              <w:rPr>
                <w:rFonts w:ascii="宋体"/>
                <w:vanish/>
              </w:rPr>
            </w:pPr>
          </w:p>
        </w:tc>
        <w:tc>
          <w:tcPr>
            <w:tcW w:w="0" w:type="auto"/>
            <w:shd w:val="clear" w:color="auto" w:fill="auto"/>
            <w:vAlign w:val="bottom"/>
          </w:tcPr>
          <w:p w14:paraId="0B2F9FCD" w14:textId="77777777" w:rsidR="007F1775" w:rsidRDefault="007F1775">
            <w:pPr>
              <w:rPr>
                <w:rFonts w:ascii="宋体"/>
                <w:vanish/>
              </w:rPr>
            </w:pPr>
          </w:p>
        </w:tc>
        <w:tc>
          <w:tcPr>
            <w:tcW w:w="0" w:type="auto"/>
            <w:gridSpan w:val="3"/>
            <w:shd w:val="clear" w:color="auto" w:fill="auto"/>
            <w:vAlign w:val="bottom"/>
          </w:tcPr>
          <w:p w14:paraId="0B2F9FCE" w14:textId="77777777" w:rsidR="007F1775" w:rsidRDefault="007F1775">
            <w:pPr>
              <w:rPr>
                <w:rFonts w:ascii="宋体"/>
                <w:vanish/>
              </w:rPr>
            </w:pPr>
          </w:p>
        </w:tc>
        <w:tc>
          <w:tcPr>
            <w:tcW w:w="0" w:type="auto"/>
            <w:gridSpan w:val="3"/>
            <w:shd w:val="clear" w:color="auto" w:fill="auto"/>
            <w:vAlign w:val="bottom"/>
          </w:tcPr>
          <w:p w14:paraId="0B2F9FCF" w14:textId="77777777" w:rsidR="007F1775" w:rsidRDefault="007F1775">
            <w:pPr>
              <w:rPr>
                <w:rFonts w:ascii="宋体"/>
                <w:vanish/>
              </w:rPr>
            </w:pPr>
          </w:p>
        </w:tc>
      </w:tr>
      <w:tr w:rsidR="007F1775" w14:paraId="0B2F9FDB" w14:textId="77777777">
        <w:tc>
          <w:tcPr>
            <w:tcW w:w="0" w:type="auto"/>
            <w:gridSpan w:val="3"/>
            <w:shd w:val="clear" w:color="auto" w:fill="auto"/>
            <w:tcMar>
              <w:top w:w="40" w:type="dxa"/>
              <w:left w:w="20" w:type="dxa"/>
              <w:bottom w:w="40" w:type="dxa"/>
              <w:right w:w="20" w:type="dxa"/>
            </w:tcMar>
            <w:vAlign w:val="bottom"/>
          </w:tcPr>
          <w:p w14:paraId="0B2F9FD1"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9FD2"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9FD3" w14:textId="77777777" w:rsidR="007F1775" w:rsidRDefault="007F1775">
            <w:pPr>
              <w:rPr>
                <w:rFonts w:ascii="宋体"/>
                <w:vanish/>
              </w:rPr>
            </w:pPr>
          </w:p>
        </w:tc>
        <w:tc>
          <w:tcPr>
            <w:tcW w:w="0" w:type="auto"/>
            <w:shd w:val="clear" w:color="auto" w:fill="auto"/>
            <w:vAlign w:val="bottom"/>
          </w:tcPr>
          <w:p w14:paraId="0B2F9FD4" w14:textId="77777777" w:rsidR="007F1775" w:rsidRDefault="007F1775">
            <w:pPr>
              <w:rPr>
                <w:rFonts w:ascii="宋体"/>
                <w:vanish/>
              </w:rPr>
            </w:pPr>
          </w:p>
        </w:tc>
        <w:tc>
          <w:tcPr>
            <w:tcW w:w="0" w:type="auto"/>
            <w:shd w:val="clear" w:color="auto" w:fill="auto"/>
            <w:vAlign w:val="bottom"/>
          </w:tcPr>
          <w:p w14:paraId="0B2F9FD5" w14:textId="77777777" w:rsidR="007F1775" w:rsidRDefault="007F1775">
            <w:pPr>
              <w:rPr>
                <w:rFonts w:ascii="宋体"/>
              </w:rPr>
            </w:pPr>
          </w:p>
        </w:tc>
        <w:tc>
          <w:tcPr>
            <w:tcW w:w="0" w:type="auto"/>
            <w:shd w:val="clear" w:color="auto" w:fill="auto"/>
            <w:vAlign w:val="bottom"/>
          </w:tcPr>
          <w:p w14:paraId="0B2F9FD6" w14:textId="77777777" w:rsidR="007F1775" w:rsidRDefault="007F1775">
            <w:pPr>
              <w:rPr>
                <w:rFonts w:ascii="宋体"/>
              </w:rPr>
            </w:pPr>
          </w:p>
        </w:tc>
        <w:tc>
          <w:tcPr>
            <w:tcW w:w="0" w:type="auto"/>
            <w:shd w:val="clear" w:color="auto" w:fill="auto"/>
            <w:vAlign w:val="bottom"/>
          </w:tcPr>
          <w:p w14:paraId="0B2F9FD7" w14:textId="77777777" w:rsidR="007F1775" w:rsidRDefault="007F1775">
            <w:pPr>
              <w:rPr>
                <w:rFonts w:ascii="宋体"/>
              </w:rPr>
            </w:pPr>
          </w:p>
        </w:tc>
        <w:tc>
          <w:tcPr>
            <w:tcW w:w="0" w:type="auto"/>
            <w:shd w:val="clear" w:color="auto" w:fill="auto"/>
            <w:vAlign w:val="bottom"/>
          </w:tcPr>
          <w:p w14:paraId="0B2F9FD8" w14:textId="77777777" w:rsidR="007F1775" w:rsidRDefault="007F1775">
            <w:pPr>
              <w:rPr>
                <w:rFonts w:ascii="宋体"/>
              </w:rPr>
            </w:pPr>
          </w:p>
        </w:tc>
        <w:tc>
          <w:tcPr>
            <w:tcW w:w="0" w:type="auto"/>
            <w:shd w:val="clear" w:color="auto" w:fill="auto"/>
            <w:vAlign w:val="bottom"/>
          </w:tcPr>
          <w:p w14:paraId="0B2F9FD9" w14:textId="77777777" w:rsidR="007F1775" w:rsidRDefault="007F1775">
            <w:pPr>
              <w:rPr>
                <w:rFonts w:ascii="宋体"/>
              </w:rPr>
            </w:pPr>
          </w:p>
        </w:tc>
        <w:tc>
          <w:tcPr>
            <w:tcW w:w="0" w:type="auto"/>
            <w:shd w:val="clear" w:color="auto" w:fill="auto"/>
            <w:vAlign w:val="bottom"/>
          </w:tcPr>
          <w:p w14:paraId="0B2F9FDA" w14:textId="77777777" w:rsidR="007F1775" w:rsidRDefault="007F1775">
            <w:pPr>
              <w:rPr>
                <w:rFonts w:ascii="宋体"/>
              </w:rPr>
            </w:pPr>
          </w:p>
        </w:tc>
      </w:tr>
      <w:tr w:rsidR="007F1775" w14:paraId="0B2F9FE4" w14:textId="77777777">
        <w:tc>
          <w:tcPr>
            <w:tcW w:w="0" w:type="auto"/>
            <w:gridSpan w:val="3"/>
            <w:shd w:val="clear" w:color="auto" w:fill="auto"/>
            <w:tcMar>
              <w:top w:w="40" w:type="dxa"/>
              <w:left w:w="20" w:type="dxa"/>
              <w:bottom w:w="40" w:type="dxa"/>
              <w:right w:w="20" w:type="dxa"/>
            </w:tcMar>
            <w:vAlign w:val="bottom"/>
          </w:tcPr>
          <w:p w14:paraId="0B2F9FDC"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9FDD"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9FDE"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9FDF"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9FE0" w14:textId="77777777" w:rsidR="007F1775" w:rsidRDefault="007F1775">
            <w:pPr>
              <w:rPr>
                <w:rFonts w:ascii="宋体"/>
                <w:vanish/>
              </w:rPr>
            </w:pPr>
          </w:p>
        </w:tc>
        <w:tc>
          <w:tcPr>
            <w:tcW w:w="0" w:type="auto"/>
            <w:shd w:val="clear" w:color="auto" w:fill="auto"/>
            <w:vAlign w:val="bottom"/>
          </w:tcPr>
          <w:p w14:paraId="0B2F9FE1" w14:textId="77777777" w:rsidR="007F1775" w:rsidRDefault="007F1775">
            <w:pPr>
              <w:rPr>
                <w:rFonts w:ascii="宋体"/>
                <w:vanish/>
              </w:rPr>
            </w:pPr>
          </w:p>
        </w:tc>
        <w:tc>
          <w:tcPr>
            <w:tcW w:w="0" w:type="auto"/>
            <w:gridSpan w:val="3"/>
            <w:shd w:val="clear" w:color="auto" w:fill="auto"/>
            <w:vAlign w:val="bottom"/>
          </w:tcPr>
          <w:p w14:paraId="0B2F9FE2" w14:textId="77777777" w:rsidR="007F1775" w:rsidRDefault="007F1775">
            <w:pPr>
              <w:rPr>
                <w:rFonts w:ascii="宋体"/>
                <w:vanish/>
              </w:rPr>
            </w:pPr>
          </w:p>
        </w:tc>
        <w:tc>
          <w:tcPr>
            <w:tcW w:w="0" w:type="auto"/>
            <w:gridSpan w:val="3"/>
            <w:shd w:val="clear" w:color="auto" w:fill="auto"/>
            <w:vAlign w:val="bottom"/>
          </w:tcPr>
          <w:p w14:paraId="0B2F9FE3" w14:textId="77777777" w:rsidR="007F1775" w:rsidRDefault="007F1775">
            <w:pPr>
              <w:rPr>
                <w:rFonts w:ascii="宋体"/>
                <w:vanish/>
              </w:rPr>
            </w:pPr>
          </w:p>
        </w:tc>
      </w:tr>
      <w:tr w:rsidR="007F1775" w14:paraId="0B2F9FF1" w14:textId="77777777">
        <w:tc>
          <w:tcPr>
            <w:tcW w:w="0" w:type="auto"/>
            <w:gridSpan w:val="3"/>
            <w:shd w:val="clear" w:color="auto" w:fill="CCEEFF"/>
            <w:tcMar>
              <w:top w:w="40" w:type="dxa"/>
              <w:left w:w="20" w:type="dxa"/>
              <w:bottom w:w="40" w:type="dxa"/>
              <w:right w:w="20" w:type="dxa"/>
            </w:tcMar>
          </w:tcPr>
          <w:p w14:paraId="0B2F9FE5" w14:textId="77777777" w:rsidR="007F1775" w:rsidRDefault="000F083E">
            <w:pPr>
              <w:textAlignment w:val="top"/>
            </w:pPr>
            <w:r>
              <w:rPr>
                <w:rFonts w:ascii="Times New Roman" w:eastAsia="宋体" w:hAnsi="Times New Roman"/>
                <w:b/>
                <w:bCs/>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9FE6"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9FE7" w14:textId="77777777" w:rsidR="007F1775" w:rsidRDefault="000F083E">
            <w:pPr>
              <w:jc w:val="right"/>
              <w:textAlignment w:val="bottom"/>
            </w:pPr>
            <w:r>
              <w:rPr>
                <w:rFonts w:ascii="Times New Roman" w:eastAsia="宋体" w:hAnsi="Times New Roman"/>
                <w:color w:val="000000"/>
                <w:sz w:val="20"/>
                <w:szCs w:val="20"/>
              </w:rPr>
              <w:t>7,465 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FE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FE9"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9FE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9FEB" w14:textId="77777777" w:rsidR="007F1775" w:rsidRDefault="000F083E">
            <w:pPr>
              <w:jc w:val="right"/>
              <w:textAlignment w:val="bottom"/>
            </w:pPr>
            <w:r>
              <w:rPr>
                <w:rFonts w:ascii="Times New Roman" w:eastAsia="宋体" w:hAnsi="Times New Roman"/>
                <w:color w:val="000000"/>
                <w:sz w:val="20"/>
                <w:szCs w:val="20"/>
              </w:rPr>
              <w:t>9,497 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9FEC" w14:textId="77777777" w:rsidR="007F1775" w:rsidRDefault="007F1775">
            <w:pPr>
              <w:jc w:val="right"/>
              <w:rPr>
                <w:rFonts w:ascii="宋体"/>
              </w:rPr>
            </w:pPr>
          </w:p>
        </w:tc>
        <w:tc>
          <w:tcPr>
            <w:tcW w:w="0" w:type="auto"/>
            <w:shd w:val="clear" w:color="auto" w:fill="auto"/>
            <w:vAlign w:val="bottom"/>
          </w:tcPr>
          <w:p w14:paraId="0B2F9FED" w14:textId="77777777" w:rsidR="007F1775" w:rsidRDefault="007F1775">
            <w:pPr>
              <w:rPr>
                <w:rFonts w:ascii="宋体"/>
                <w:vanish/>
              </w:rPr>
            </w:pPr>
          </w:p>
        </w:tc>
        <w:tc>
          <w:tcPr>
            <w:tcW w:w="0" w:type="auto"/>
            <w:shd w:val="clear" w:color="auto" w:fill="auto"/>
            <w:vAlign w:val="bottom"/>
          </w:tcPr>
          <w:p w14:paraId="0B2F9FEE" w14:textId="77777777" w:rsidR="007F1775" w:rsidRDefault="007F1775">
            <w:pPr>
              <w:rPr>
                <w:rFonts w:ascii="宋体"/>
                <w:vanish/>
              </w:rPr>
            </w:pPr>
          </w:p>
        </w:tc>
        <w:tc>
          <w:tcPr>
            <w:tcW w:w="0" w:type="auto"/>
            <w:gridSpan w:val="3"/>
            <w:shd w:val="clear" w:color="auto" w:fill="auto"/>
            <w:vAlign w:val="bottom"/>
          </w:tcPr>
          <w:p w14:paraId="0B2F9FEF" w14:textId="77777777" w:rsidR="007F1775" w:rsidRDefault="007F1775">
            <w:pPr>
              <w:rPr>
                <w:rFonts w:ascii="宋体"/>
                <w:vanish/>
              </w:rPr>
            </w:pPr>
          </w:p>
        </w:tc>
        <w:tc>
          <w:tcPr>
            <w:tcW w:w="0" w:type="auto"/>
            <w:gridSpan w:val="3"/>
            <w:shd w:val="clear" w:color="auto" w:fill="auto"/>
            <w:vAlign w:val="bottom"/>
          </w:tcPr>
          <w:p w14:paraId="0B2F9FF0" w14:textId="77777777" w:rsidR="007F1775" w:rsidRDefault="007F1775">
            <w:pPr>
              <w:rPr>
                <w:rFonts w:ascii="宋体"/>
                <w:vanish/>
              </w:rPr>
            </w:pPr>
          </w:p>
        </w:tc>
      </w:tr>
      <w:tr w:rsidR="007F1775" w14:paraId="0B2F9FFA" w14:textId="77777777">
        <w:tc>
          <w:tcPr>
            <w:tcW w:w="0" w:type="auto"/>
            <w:gridSpan w:val="3"/>
            <w:shd w:val="clear" w:color="auto" w:fill="FFFFFF"/>
            <w:tcMar>
              <w:top w:w="40" w:type="dxa"/>
              <w:left w:w="20" w:type="dxa"/>
              <w:bottom w:w="40" w:type="dxa"/>
              <w:right w:w="20" w:type="dxa"/>
            </w:tcMar>
          </w:tcPr>
          <w:p w14:paraId="0B2F9FF2" w14:textId="77777777" w:rsidR="007F1775" w:rsidRDefault="000F083E">
            <w:pPr>
              <w:textAlignment w:val="top"/>
            </w:pPr>
            <w:r>
              <w:rPr>
                <w:rFonts w:ascii="Times New Roman" w:eastAsia="宋体" w:hAnsi="Times New Roman"/>
                <w:b/>
                <w:bCs/>
                <w:color w:val="000000"/>
                <w:sz w:val="20"/>
                <w:szCs w:val="20"/>
              </w:rPr>
              <w:t>Other comprehensive loss:</w:t>
            </w:r>
          </w:p>
        </w:tc>
        <w:tc>
          <w:tcPr>
            <w:tcW w:w="0" w:type="auto"/>
            <w:gridSpan w:val="3"/>
            <w:shd w:val="clear" w:color="auto" w:fill="FFFFFF"/>
            <w:tcMar>
              <w:top w:w="0" w:type="dxa"/>
              <w:left w:w="20" w:type="dxa"/>
              <w:bottom w:w="0" w:type="dxa"/>
              <w:right w:w="20" w:type="dxa"/>
            </w:tcMar>
            <w:vAlign w:val="bottom"/>
          </w:tcPr>
          <w:p w14:paraId="0B2F9FF3"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FF4"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9FF5" w14:textId="77777777" w:rsidR="007F1775" w:rsidRDefault="007F1775">
            <w:pPr>
              <w:rPr>
                <w:rFonts w:ascii="宋体"/>
              </w:rPr>
            </w:pPr>
          </w:p>
        </w:tc>
        <w:tc>
          <w:tcPr>
            <w:tcW w:w="0" w:type="auto"/>
            <w:shd w:val="clear" w:color="auto" w:fill="auto"/>
            <w:vAlign w:val="bottom"/>
          </w:tcPr>
          <w:p w14:paraId="0B2F9FF6" w14:textId="77777777" w:rsidR="007F1775" w:rsidRDefault="007F1775">
            <w:pPr>
              <w:rPr>
                <w:rFonts w:ascii="宋体"/>
                <w:vanish/>
              </w:rPr>
            </w:pPr>
          </w:p>
        </w:tc>
        <w:tc>
          <w:tcPr>
            <w:tcW w:w="0" w:type="auto"/>
            <w:shd w:val="clear" w:color="auto" w:fill="auto"/>
            <w:vAlign w:val="bottom"/>
          </w:tcPr>
          <w:p w14:paraId="0B2F9FF7" w14:textId="77777777" w:rsidR="007F1775" w:rsidRDefault="007F1775">
            <w:pPr>
              <w:rPr>
                <w:rFonts w:ascii="宋体"/>
                <w:vanish/>
              </w:rPr>
            </w:pPr>
          </w:p>
        </w:tc>
        <w:tc>
          <w:tcPr>
            <w:tcW w:w="0" w:type="auto"/>
            <w:gridSpan w:val="3"/>
            <w:shd w:val="clear" w:color="auto" w:fill="auto"/>
            <w:vAlign w:val="bottom"/>
          </w:tcPr>
          <w:p w14:paraId="0B2F9FF8" w14:textId="77777777" w:rsidR="007F1775" w:rsidRDefault="007F1775">
            <w:pPr>
              <w:rPr>
                <w:rFonts w:ascii="宋体"/>
                <w:vanish/>
              </w:rPr>
            </w:pPr>
          </w:p>
        </w:tc>
        <w:tc>
          <w:tcPr>
            <w:tcW w:w="0" w:type="auto"/>
            <w:gridSpan w:val="3"/>
            <w:shd w:val="clear" w:color="auto" w:fill="auto"/>
            <w:vAlign w:val="bottom"/>
          </w:tcPr>
          <w:p w14:paraId="0B2F9FF9" w14:textId="77777777" w:rsidR="007F1775" w:rsidRDefault="007F1775">
            <w:pPr>
              <w:rPr>
                <w:rFonts w:ascii="宋体"/>
                <w:vanish/>
              </w:rPr>
            </w:pPr>
          </w:p>
        </w:tc>
      </w:tr>
      <w:tr w:rsidR="007F1775" w14:paraId="0B2FA005" w14:textId="77777777">
        <w:tc>
          <w:tcPr>
            <w:tcW w:w="0" w:type="auto"/>
            <w:gridSpan w:val="3"/>
            <w:shd w:val="clear" w:color="auto" w:fill="CCEEFF"/>
            <w:tcMar>
              <w:top w:w="40" w:type="dxa"/>
              <w:left w:w="380" w:type="dxa"/>
              <w:bottom w:w="40" w:type="dxa"/>
              <w:right w:w="20" w:type="dxa"/>
            </w:tcMar>
          </w:tcPr>
          <w:p w14:paraId="0B2F9FFB" w14:textId="77777777" w:rsidR="007F1775" w:rsidRDefault="000F083E">
            <w:pPr>
              <w:ind w:hanging="180"/>
              <w:textAlignment w:val="top"/>
            </w:pPr>
            <w:r>
              <w:rPr>
                <w:rFonts w:ascii="Times New Roman" w:eastAsia="宋体" w:hAnsi="Times New Roman"/>
                <w:color w:val="000000"/>
                <w:sz w:val="20"/>
                <w:szCs w:val="20"/>
              </w:rPr>
              <w:t>Change in foreign currency translation adjustment, net of tax</w:t>
            </w:r>
          </w:p>
        </w:tc>
        <w:tc>
          <w:tcPr>
            <w:tcW w:w="0" w:type="auto"/>
            <w:gridSpan w:val="2"/>
            <w:shd w:val="clear" w:color="auto" w:fill="CCEEFF"/>
            <w:tcMar>
              <w:top w:w="40" w:type="dxa"/>
              <w:left w:w="20" w:type="dxa"/>
              <w:bottom w:w="40" w:type="dxa"/>
              <w:right w:w="0" w:type="dxa"/>
            </w:tcMar>
            <w:vAlign w:val="bottom"/>
          </w:tcPr>
          <w:p w14:paraId="0B2F9FFC" w14:textId="77777777" w:rsidR="007F1775" w:rsidRDefault="000F083E">
            <w:pPr>
              <w:jc w:val="right"/>
              <w:textAlignment w:val="bottom"/>
            </w:pPr>
            <w:r>
              <w:rPr>
                <w:rFonts w:ascii="Times New Roman" w:eastAsia="宋体" w:hAnsi="Times New Roman"/>
                <w:color w:val="000000"/>
                <w:sz w:val="20"/>
                <w:szCs w:val="20"/>
              </w:rPr>
              <w:t>(359)</w:t>
            </w:r>
          </w:p>
        </w:tc>
        <w:tc>
          <w:tcPr>
            <w:tcW w:w="0" w:type="auto"/>
            <w:shd w:val="clear" w:color="auto" w:fill="CCEEFF"/>
            <w:tcMar>
              <w:top w:w="40" w:type="dxa"/>
              <w:left w:w="0" w:type="dxa"/>
              <w:bottom w:w="40" w:type="dxa"/>
              <w:right w:w="20" w:type="dxa"/>
            </w:tcMar>
            <w:vAlign w:val="bottom"/>
          </w:tcPr>
          <w:p w14:paraId="0B2F9FF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9FF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9FFF" w14:textId="77777777" w:rsidR="007F1775" w:rsidRDefault="000F083E">
            <w:pPr>
              <w:jc w:val="right"/>
              <w:textAlignment w:val="bottom"/>
            </w:pPr>
            <w:r>
              <w:rPr>
                <w:rFonts w:ascii="Times New Roman" w:eastAsia="宋体" w:hAnsi="Times New Roman"/>
                <w:color w:val="000000"/>
                <w:sz w:val="20"/>
                <w:szCs w:val="20"/>
              </w:rPr>
              <w:t>(601)</w:t>
            </w:r>
          </w:p>
        </w:tc>
        <w:tc>
          <w:tcPr>
            <w:tcW w:w="0" w:type="auto"/>
            <w:shd w:val="clear" w:color="auto" w:fill="CCEEFF"/>
            <w:tcMar>
              <w:top w:w="40" w:type="dxa"/>
              <w:left w:w="0" w:type="dxa"/>
              <w:bottom w:w="40" w:type="dxa"/>
              <w:right w:w="20" w:type="dxa"/>
            </w:tcMar>
            <w:vAlign w:val="bottom"/>
          </w:tcPr>
          <w:p w14:paraId="0B2FA000" w14:textId="77777777" w:rsidR="007F1775" w:rsidRDefault="007F1775">
            <w:pPr>
              <w:jc w:val="right"/>
              <w:rPr>
                <w:rFonts w:ascii="宋体"/>
              </w:rPr>
            </w:pPr>
          </w:p>
        </w:tc>
        <w:tc>
          <w:tcPr>
            <w:tcW w:w="0" w:type="auto"/>
            <w:shd w:val="clear" w:color="auto" w:fill="auto"/>
            <w:vAlign w:val="bottom"/>
          </w:tcPr>
          <w:p w14:paraId="0B2FA001" w14:textId="77777777" w:rsidR="007F1775" w:rsidRDefault="007F1775">
            <w:pPr>
              <w:rPr>
                <w:rFonts w:ascii="宋体"/>
                <w:vanish/>
              </w:rPr>
            </w:pPr>
          </w:p>
        </w:tc>
        <w:tc>
          <w:tcPr>
            <w:tcW w:w="0" w:type="auto"/>
            <w:shd w:val="clear" w:color="auto" w:fill="auto"/>
            <w:vAlign w:val="bottom"/>
          </w:tcPr>
          <w:p w14:paraId="0B2FA002" w14:textId="77777777" w:rsidR="007F1775" w:rsidRDefault="007F1775">
            <w:pPr>
              <w:rPr>
                <w:rFonts w:ascii="宋体"/>
                <w:vanish/>
              </w:rPr>
            </w:pPr>
          </w:p>
        </w:tc>
        <w:tc>
          <w:tcPr>
            <w:tcW w:w="0" w:type="auto"/>
            <w:gridSpan w:val="3"/>
            <w:shd w:val="clear" w:color="auto" w:fill="auto"/>
            <w:vAlign w:val="bottom"/>
          </w:tcPr>
          <w:p w14:paraId="0B2FA003" w14:textId="77777777" w:rsidR="007F1775" w:rsidRDefault="007F1775">
            <w:pPr>
              <w:rPr>
                <w:rFonts w:ascii="宋体"/>
                <w:vanish/>
              </w:rPr>
            </w:pPr>
          </w:p>
        </w:tc>
        <w:tc>
          <w:tcPr>
            <w:tcW w:w="0" w:type="auto"/>
            <w:gridSpan w:val="3"/>
            <w:shd w:val="clear" w:color="auto" w:fill="auto"/>
            <w:vAlign w:val="bottom"/>
          </w:tcPr>
          <w:p w14:paraId="0B2FA004" w14:textId="77777777" w:rsidR="007F1775" w:rsidRDefault="007F1775">
            <w:pPr>
              <w:rPr>
                <w:rFonts w:ascii="宋体"/>
                <w:vanish/>
              </w:rPr>
            </w:pPr>
          </w:p>
        </w:tc>
      </w:tr>
      <w:tr w:rsidR="007F1775" w14:paraId="0B2FA010" w14:textId="77777777">
        <w:tc>
          <w:tcPr>
            <w:tcW w:w="0" w:type="auto"/>
            <w:gridSpan w:val="3"/>
            <w:shd w:val="clear" w:color="auto" w:fill="FFFFFF"/>
            <w:tcMar>
              <w:top w:w="40" w:type="dxa"/>
              <w:left w:w="380" w:type="dxa"/>
              <w:bottom w:w="40" w:type="dxa"/>
              <w:right w:w="20" w:type="dxa"/>
            </w:tcMar>
          </w:tcPr>
          <w:p w14:paraId="0B2FA006" w14:textId="77777777" w:rsidR="007F1775" w:rsidRDefault="000F083E">
            <w:pPr>
              <w:ind w:hanging="180"/>
              <w:textAlignment w:val="top"/>
            </w:pPr>
            <w:r>
              <w:rPr>
                <w:rFonts w:ascii="Times New Roman" w:eastAsia="宋体" w:hAnsi="Times New Roman"/>
                <w:color w:val="000000"/>
                <w:sz w:val="20"/>
                <w:szCs w:val="20"/>
              </w:rPr>
              <w:t>Change in unrealized gain (loss) on available-for-sale investments and other, net of tax</w:t>
            </w:r>
          </w:p>
        </w:tc>
        <w:tc>
          <w:tcPr>
            <w:tcW w:w="0" w:type="auto"/>
            <w:gridSpan w:val="2"/>
            <w:shd w:val="clear" w:color="auto" w:fill="FFFFFF"/>
            <w:tcMar>
              <w:top w:w="40" w:type="dxa"/>
              <w:left w:w="20" w:type="dxa"/>
              <w:bottom w:w="40" w:type="dxa"/>
              <w:right w:w="0" w:type="dxa"/>
            </w:tcMar>
            <w:vAlign w:val="bottom"/>
          </w:tcPr>
          <w:p w14:paraId="0B2FA007" w14:textId="77777777" w:rsidR="007F1775" w:rsidRDefault="000F083E">
            <w:pPr>
              <w:jc w:val="right"/>
              <w:textAlignment w:val="bottom"/>
            </w:pPr>
            <w:r>
              <w:rPr>
                <w:rFonts w:ascii="Times New Roman" w:eastAsia="宋体" w:hAnsi="Times New Roman"/>
                <w:color w:val="000000"/>
                <w:sz w:val="20"/>
                <w:szCs w:val="20"/>
              </w:rPr>
              <w:t>(944)</w:t>
            </w:r>
          </w:p>
        </w:tc>
        <w:tc>
          <w:tcPr>
            <w:tcW w:w="0" w:type="auto"/>
            <w:shd w:val="clear" w:color="auto" w:fill="FFFFFF"/>
            <w:tcMar>
              <w:top w:w="40" w:type="dxa"/>
              <w:left w:w="0" w:type="dxa"/>
              <w:bottom w:w="40" w:type="dxa"/>
              <w:right w:w="20" w:type="dxa"/>
            </w:tcMar>
            <w:vAlign w:val="bottom"/>
          </w:tcPr>
          <w:p w14:paraId="0B2FA008"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009"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00A" w14:textId="77777777" w:rsidR="007F1775" w:rsidRDefault="000F083E">
            <w:pPr>
              <w:jc w:val="right"/>
              <w:textAlignment w:val="bottom"/>
            </w:pPr>
            <w:r>
              <w:rPr>
                <w:rFonts w:ascii="Times New Roman" w:eastAsia="宋体" w:hAnsi="Times New Roman"/>
                <w:color w:val="000000"/>
                <w:sz w:val="20"/>
                <w:szCs w:val="20"/>
              </w:rPr>
              <w:t>(172)</w:t>
            </w:r>
          </w:p>
        </w:tc>
        <w:tc>
          <w:tcPr>
            <w:tcW w:w="0" w:type="auto"/>
            <w:shd w:val="clear" w:color="auto" w:fill="FFFFFF"/>
            <w:tcMar>
              <w:top w:w="40" w:type="dxa"/>
              <w:left w:w="0" w:type="dxa"/>
              <w:bottom w:w="40" w:type="dxa"/>
              <w:right w:w="20" w:type="dxa"/>
            </w:tcMar>
            <w:vAlign w:val="bottom"/>
          </w:tcPr>
          <w:p w14:paraId="0B2FA00B" w14:textId="77777777" w:rsidR="007F1775" w:rsidRDefault="007F1775">
            <w:pPr>
              <w:jc w:val="right"/>
              <w:rPr>
                <w:rFonts w:ascii="宋体"/>
              </w:rPr>
            </w:pPr>
          </w:p>
        </w:tc>
        <w:tc>
          <w:tcPr>
            <w:tcW w:w="0" w:type="auto"/>
            <w:shd w:val="clear" w:color="auto" w:fill="auto"/>
            <w:vAlign w:val="bottom"/>
          </w:tcPr>
          <w:p w14:paraId="0B2FA00C" w14:textId="77777777" w:rsidR="007F1775" w:rsidRDefault="007F1775">
            <w:pPr>
              <w:rPr>
                <w:rFonts w:ascii="宋体"/>
                <w:vanish/>
              </w:rPr>
            </w:pPr>
          </w:p>
        </w:tc>
        <w:tc>
          <w:tcPr>
            <w:tcW w:w="0" w:type="auto"/>
            <w:shd w:val="clear" w:color="auto" w:fill="auto"/>
            <w:vAlign w:val="bottom"/>
          </w:tcPr>
          <w:p w14:paraId="0B2FA00D" w14:textId="77777777" w:rsidR="007F1775" w:rsidRDefault="007F1775">
            <w:pPr>
              <w:rPr>
                <w:rFonts w:ascii="宋体"/>
                <w:vanish/>
              </w:rPr>
            </w:pPr>
          </w:p>
        </w:tc>
        <w:tc>
          <w:tcPr>
            <w:tcW w:w="0" w:type="auto"/>
            <w:gridSpan w:val="3"/>
            <w:shd w:val="clear" w:color="auto" w:fill="auto"/>
            <w:vAlign w:val="bottom"/>
          </w:tcPr>
          <w:p w14:paraId="0B2FA00E" w14:textId="77777777" w:rsidR="007F1775" w:rsidRDefault="007F1775">
            <w:pPr>
              <w:rPr>
                <w:rFonts w:ascii="宋体"/>
                <w:vanish/>
              </w:rPr>
            </w:pPr>
          </w:p>
        </w:tc>
        <w:tc>
          <w:tcPr>
            <w:tcW w:w="0" w:type="auto"/>
            <w:gridSpan w:val="3"/>
            <w:shd w:val="clear" w:color="auto" w:fill="auto"/>
            <w:vAlign w:val="bottom"/>
          </w:tcPr>
          <w:p w14:paraId="0B2FA00F" w14:textId="77777777" w:rsidR="007F1775" w:rsidRDefault="007F1775">
            <w:pPr>
              <w:rPr>
                <w:rFonts w:ascii="宋体"/>
                <w:vanish/>
              </w:rPr>
            </w:pPr>
          </w:p>
        </w:tc>
      </w:tr>
      <w:tr w:rsidR="007F1775" w14:paraId="0B2FA01D" w14:textId="77777777">
        <w:tc>
          <w:tcPr>
            <w:tcW w:w="0" w:type="auto"/>
            <w:gridSpan w:val="3"/>
            <w:shd w:val="clear" w:color="auto" w:fill="CCEEFF"/>
            <w:tcMar>
              <w:top w:w="40" w:type="dxa"/>
              <w:left w:w="20" w:type="dxa"/>
              <w:bottom w:w="40" w:type="dxa"/>
              <w:right w:w="20" w:type="dxa"/>
            </w:tcMar>
          </w:tcPr>
          <w:p w14:paraId="0B2FA011" w14:textId="77777777" w:rsidR="007F1775" w:rsidRDefault="000F083E">
            <w:pPr>
              <w:textAlignment w:val="top"/>
            </w:pPr>
            <w:r>
              <w:rPr>
                <w:rFonts w:ascii="Times New Roman" w:eastAsia="宋体" w:hAnsi="Times New Roman"/>
                <w:b/>
                <w:bCs/>
                <w:color w:val="000000"/>
                <w:sz w:val="20"/>
                <w:szCs w:val="20"/>
              </w:rPr>
              <w:t>Comprehensive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012"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013" w14:textId="77777777" w:rsidR="007F1775" w:rsidRDefault="000F083E">
            <w:pPr>
              <w:jc w:val="right"/>
              <w:textAlignment w:val="bottom"/>
            </w:pPr>
            <w:r>
              <w:rPr>
                <w:rFonts w:ascii="Times New Roman" w:eastAsia="宋体" w:hAnsi="Times New Roman"/>
                <w:color w:val="000000"/>
                <w:sz w:val="20"/>
                <w:szCs w:val="20"/>
              </w:rPr>
              <w:t>6,162 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01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15"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016"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017" w14:textId="77777777" w:rsidR="007F1775" w:rsidRDefault="000F083E">
            <w:pPr>
              <w:jc w:val="right"/>
              <w:textAlignment w:val="bottom"/>
            </w:pPr>
            <w:r>
              <w:rPr>
                <w:rFonts w:ascii="Times New Roman" w:eastAsia="宋体" w:hAnsi="Times New Roman"/>
                <w:color w:val="000000"/>
                <w:sz w:val="20"/>
                <w:szCs w:val="20"/>
              </w:rPr>
              <w:t>8,724 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018" w14:textId="77777777" w:rsidR="007F1775" w:rsidRDefault="007F1775">
            <w:pPr>
              <w:jc w:val="right"/>
              <w:rPr>
                <w:rFonts w:ascii="宋体"/>
              </w:rPr>
            </w:pPr>
          </w:p>
        </w:tc>
        <w:tc>
          <w:tcPr>
            <w:tcW w:w="0" w:type="auto"/>
            <w:shd w:val="clear" w:color="auto" w:fill="auto"/>
            <w:vAlign w:val="bottom"/>
          </w:tcPr>
          <w:p w14:paraId="0B2FA019" w14:textId="77777777" w:rsidR="007F1775" w:rsidRDefault="007F1775">
            <w:pPr>
              <w:rPr>
                <w:rFonts w:ascii="宋体"/>
                <w:vanish/>
              </w:rPr>
            </w:pPr>
          </w:p>
        </w:tc>
        <w:tc>
          <w:tcPr>
            <w:tcW w:w="0" w:type="auto"/>
            <w:shd w:val="clear" w:color="auto" w:fill="auto"/>
            <w:vAlign w:val="bottom"/>
          </w:tcPr>
          <w:p w14:paraId="0B2FA01A" w14:textId="77777777" w:rsidR="007F1775" w:rsidRDefault="007F1775">
            <w:pPr>
              <w:rPr>
                <w:rFonts w:ascii="宋体"/>
                <w:vanish/>
              </w:rPr>
            </w:pPr>
          </w:p>
        </w:tc>
        <w:tc>
          <w:tcPr>
            <w:tcW w:w="0" w:type="auto"/>
            <w:gridSpan w:val="3"/>
            <w:shd w:val="clear" w:color="auto" w:fill="auto"/>
            <w:vAlign w:val="bottom"/>
          </w:tcPr>
          <w:p w14:paraId="0B2FA01B" w14:textId="77777777" w:rsidR="007F1775" w:rsidRDefault="007F1775">
            <w:pPr>
              <w:rPr>
                <w:rFonts w:ascii="宋体"/>
                <w:vanish/>
              </w:rPr>
            </w:pPr>
          </w:p>
        </w:tc>
        <w:tc>
          <w:tcPr>
            <w:tcW w:w="0" w:type="auto"/>
            <w:gridSpan w:val="3"/>
            <w:shd w:val="clear" w:color="auto" w:fill="auto"/>
            <w:vAlign w:val="bottom"/>
          </w:tcPr>
          <w:p w14:paraId="0B2FA01C" w14:textId="77777777" w:rsidR="007F1775" w:rsidRDefault="007F1775">
            <w:pPr>
              <w:rPr>
                <w:rFonts w:ascii="宋体"/>
                <w:vanish/>
              </w:rPr>
            </w:pPr>
          </w:p>
        </w:tc>
      </w:tr>
    </w:tbl>
    <w:p w14:paraId="0B2FA01E" w14:textId="77777777" w:rsidR="007F1775" w:rsidRDefault="000F083E">
      <w:pPr>
        <w:spacing w:before="180"/>
        <w:jc w:val="center"/>
      </w:pPr>
      <w:r>
        <w:rPr>
          <w:rFonts w:ascii="Times New Roman" w:eastAsia="宋体" w:hAnsi="Times New Roman"/>
          <w:i/>
          <w:iCs/>
          <w:color w:val="000000"/>
          <w:sz w:val="18"/>
          <w:szCs w:val="18"/>
        </w:rPr>
        <w:t>See Accompa</w:t>
      </w:r>
      <w:r>
        <w:rPr>
          <w:rFonts w:ascii="Times New Roman" w:eastAsia="宋体" w:hAnsi="Times New Roman"/>
          <w:i/>
          <w:iCs/>
          <w:color w:val="000000"/>
          <w:sz w:val="18"/>
          <w:szCs w:val="18"/>
        </w:rPr>
        <w:t>nying Notes to Condensed Consolidated Financial Statements.</w:t>
      </w:r>
    </w:p>
    <w:p w14:paraId="0B2FA01F" w14:textId="77777777" w:rsidR="007F1775" w:rsidRDefault="000F083E">
      <w:pPr>
        <w:jc w:val="center"/>
      </w:pPr>
      <w:r>
        <w:rPr>
          <w:rFonts w:ascii="Times New Roman" w:eastAsia="宋体" w:hAnsi="Times New Roman"/>
          <w:color w:val="000000"/>
          <w:sz w:val="20"/>
          <w:szCs w:val="20"/>
        </w:rPr>
        <w:t>9</w:t>
      </w:r>
    </w:p>
    <w:p w14:paraId="0B2FA020" w14:textId="77777777" w:rsidR="007F1775" w:rsidRDefault="000F083E">
      <w:r>
        <w:pict w14:anchorId="0B2FBF6A">
          <v:rect id="_x0000_i1033" style="width:415.3pt;height:1.5pt" o:hralign="center" o:hrstd="t" o:hr="t" fillcolor="#a0a0a0" stroked="f"/>
        </w:pict>
      </w:r>
    </w:p>
    <w:p w14:paraId="0B2FA021" w14:textId="77777777" w:rsidR="007F1775" w:rsidRDefault="007F1775"/>
    <w:p w14:paraId="0B2FA022" w14:textId="77777777" w:rsidR="007F1775" w:rsidRDefault="007F1775"/>
    <w:p w14:paraId="0B2FA023" w14:textId="77777777" w:rsidR="007F1775" w:rsidRDefault="000F083E">
      <w:hyperlink r:id="rId87" w:anchor="iea70e328caa94cefb76a9db6ed6338fc_7" w:history="1">
        <w:r>
          <w:rPr>
            <w:rStyle w:val="a5"/>
            <w:rFonts w:ascii="Times New Roman" w:eastAsia="宋体" w:hAnsi="Times New Roman"/>
            <w:sz w:val="20"/>
            <w:szCs w:val="20"/>
          </w:rPr>
          <w:t>Table of Contents</w:t>
        </w:r>
      </w:hyperlink>
    </w:p>
    <w:p w14:paraId="0B2FA024" w14:textId="77777777" w:rsidR="007F1775" w:rsidRDefault="000F083E">
      <w:pPr>
        <w:spacing w:before="180"/>
        <w:jc w:val="center"/>
      </w:pPr>
      <w:r>
        <w:rPr>
          <w:rFonts w:ascii="Times New Roman" w:eastAsia="宋体" w:hAnsi="Times New Roman"/>
          <w:b/>
          <w:bCs/>
          <w:color w:val="000000"/>
          <w:sz w:val="20"/>
          <w:szCs w:val="20"/>
        </w:rPr>
        <w:t xml:space="preserve">META PLATFORMS, INC. </w:t>
      </w:r>
    </w:p>
    <w:p w14:paraId="0B2FA025" w14:textId="77777777" w:rsidR="007F1775" w:rsidRDefault="000F083E">
      <w:pPr>
        <w:jc w:val="center"/>
      </w:pPr>
      <w:r>
        <w:rPr>
          <w:rFonts w:ascii="Times New Roman" w:eastAsia="宋体" w:hAnsi="Times New Roman"/>
          <w:b/>
          <w:bCs/>
          <w:color w:val="000000"/>
          <w:sz w:val="20"/>
          <w:szCs w:val="20"/>
        </w:rPr>
        <w:t>CONDENSED CONSOLIDATED STATEMENTS OF STOCKHOLDERS' EQUITY</w:t>
      </w:r>
    </w:p>
    <w:p w14:paraId="0B2FA026" w14:textId="77777777" w:rsidR="007F1775" w:rsidRDefault="000F083E">
      <w:pPr>
        <w:jc w:val="center"/>
      </w:pPr>
      <w:r>
        <w:rPr>
          <w:rFonts w:ascii="Times New Roman" w:eastAsia="宋体" w:hAnsi="Times New Roman"/>
          <w:i/>
          <w:iCs/>
          <w:color w:val="000000"/>
          <w:sz w:val="18"/>
          <w:szCs w:val="18"/>
        </w:rPr>
        <w:t>(In millions)</w:t>
      </w:r>
    </w:p>
    <w:p w14:paraId="0B2FA027" w14:textId="77777777" w:rsidR="007F1775" w:rsidRDefault="000F083E">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220"/>
        <w:gridCol w:w="758"/>
        <w:gridCol w:w="38"/>
        <w:gridCol w:w="96"/>
        <w:gridCol w:w="316"/>
        <w:gridCol w:w="36"/>
        <w:gridCol w:w="40"/>
        <w:gridCol w:w="36"/>
        <w:gridCol w:w="34"/>
        <w:gridCol w:w="94"/>
        <w:gridCol w:w="232"/>
        <w:gridCol w:w="34"/>
        <w:gridCol w:w="40"/>
        <w:gridCol w:w="31"/>
        <w:gridCol w:w="34"/>
        <w:gridCol w:w="98"/>
        <w:gridCol w:w="446"/>
        <w:gridCol w:w="34"/>
        <w:gridCol w:w="40"/>
        <w:gridCol w:w="31"/>
        <w:gridCol w:w="34"/>
        <w:gridCol w:w="100"/>
        <w:gridCol w:w="676"/>
        <w:gridCol w:w="34"/>
        <w:gridCol w:w="40"/>
        <w:gridCol w:w="31"/>
        <w:gridCol w:w="34"/>
        <w:gridCol w:w="88"/>
        <w:gridCol w:w="381"/>
        <w:gridCol w:w="34"/>
        <w:gridCol w:w="40"/>
        <w:gridCol w:w="31"/>
        <w:gridCol w:w="34"/>
        <w:gridCol w:w="98"/>
        <w:gridCol w:w="587"/>
        <w:gridCol w:w="34"/>
        <w:gridCol w:w="40"/>
        <w:gridCol w:w="31"/>
        <w:gridCol w:w="34"/>
        <w:gridCol w:w="95"/>
        <w:gridCol w:w="315"/>
        <w:gridCol w:w="35"/>
        <w:gridCol w:w="40"/>
        <w:gridCol w:w="36"/>
        <w:gridCol w:w="34"/>
        <w:gridCol w:w="94"/>
        <w:gridCol w:w="232"/>
        <w:gridCol w:w="34"/>
        <w:gridCol w:w="40"/>
        <w:gridCol w:w="31"/>
        <w:gridCol w:w="34"/>
        <w:gridCol w:w="98"/>
        <w:gridCol w:w="446"/>
        <w:gridCol w:w="34"/>
        <w:gridCol w:w="40"/>
        <w:gridCol w:w="31"/>
        <w:gridCol w:w="34"/>
        <w:gridCol w:w="100"/>
        <w:gridCol w:w="676"/>
        <w:gridCol w:w="34"/>
        <w:gridCol w:w="40"/>
        <w:gridCol w:w="31"/>
        <w:gridCol w:w="683"/>
      </w:tblGrid>
      <w:tr w:rsidR="007F1775" w14:paraId="0B2FA067" w14:textId="77777777">
        <w:trPr>
          <w:jc w:val="center"/>
        </w:trPr>
        <w:tc>
          <w:tcPr>
            <w:tcW w:w="50" w:type="pct"/>
            <w:shd w:val="clear" w:color="auto" w:fill="auto"/>
            <w:vAlign w:val="bottom"/>
          </w:tcPr>
          <w:p w14:paraId="0B2FA028" w14:textId="77777777" w:rsidR="007F1775" w:rsidRDefault="007F1775">
            <w:pPr>
              <w:rPr>
                <w:rFonts w:ascii="宋体"/>
              </w:rPr>
            </w:pPr>
          </w:p>
        </w:tc>
        <w:tc>
          <w:tcPr>
            <w:tcW w:w="871" w:type="pct"/>
            <w:shd w:val="clear" w:color="auto" w:fill="auto"/>
            <w:vAlign w:val="bottom"/>
          </w:tcPr>
          <w:p w14:paraId="0B2FA029" w14:textId="77777777" w:rsidR="007F1775" w:rsidRDefault="007F1775">
            <w:pPr>
              <w:rPr>
                <w:rFonts w:ascii="宋体"/>
              </w:rPr>
            </w:pPr>
          </w:p>
        </w:tc>
        <w:tc>
          <w:tcPr>
            <w:tcW w:w="5" w:type="pct"/>
            <w:shd w:val="clear" w:color="auto" w:fill="auto"/>
            <w:vAlign w:val="bottom"/>
          </w:tcPr>
          <w:p w14:paraId="0B2FA02A" w14:textId="77777777" w:rsidR="007F1775" w:rsidRDefault="007F1775">
            <w:pPr>
              <w:rPr>
                <w:rFonts w:ascii="宋体"/>
              </w:rPr>
            </w:pPr>
          </w:p>
        </w:tc>
        <w:tc>
          <w:tcPr>
            <w:tcW w:w="50" w:type="pct"/>
            <w:shd w:val="clear" w:color="auto" w:fill="auto"/>
            <w:vAlign w:val="bottom"/>
          </w:tcPr>
          <w:p w14:paraId="0B2FA02B" w14:textId="77777777" w:rsidR="007F1775" w:rsidRDefault="007F1775">
            <w:pPr>
              <w:rPr>
                <w:rFonts w:ascii="宋体"/>
              </w:rPr>
            </w:pPr>
          </w:p>
        </w:tc>
        <w:tc>
          <w:tcPr>
            <w:tcW w:w="186" w:type="pct"/>
            <w:shd w:val="clear" w:color="auto" w:fill="auto"/>
            <w:vAlign w:val="bottom"/>
          </w:tcPr>
          <w:p w14:paraId="0B2FA02C" w14:textId="77777777" w:rsidR="007F1775" w:rsidRDefault="007F1775">
            <w:pPr>
              <w:rPr>
                <w:rFonts w:ascii="宋体"/>
              </w:rPr>
            </w:pPr>
          </w:p>
        </w:tc>
        <w:tc>
          <w:tcPr>
            <w:tcW w:w="5" w:type="pct"/>
            <w:shd w:val="clear" w:color="auto" w:fill="auto"/>
            <w:vAlign w:val="bottom"/>
          </w:tcPr>
          <w:p w14:paraId="0B2FA02D" w14:textId="77777777" w:rsidR="007F1775" w:rsidRDefault="007F1775">
            <w:pPr>
              <w:rPr>
                <w:rFonts w:ascii="宋体"/>
              </w:rPr>
            </w:pPr>
          </w:p>
        </w:tc>
        <w:tc>
          <w:tcPr>
            <w:tcW w:w="5" w:type="pct"/>
            <w:shd w:val="clear" w:color="auto" w:fill="auto"/>
            <w:vAlign w:val="bottom"/>
          </w:tcPr>
          <w:p w14:paraId="0B2FA02E" w14:textId="77777777" w:rsidR="007F1775" w:rsidRDefault="007F1775">
            <w:pPr>
              <w:rPr>
                <w:rFonts w:ascii="宋体"/>
              </w:rPr>
            </w:pPr>
          </w:p>
        </w:tc>
        <w:tc>
          <w:tcPr>
            <w:tcW w:w="17" w:type="pct"/>
            <w:shd w:val="clear" w:color="auto" w:fill="auto"/>
            <w:vAlign w:val="bottom"/>
          </w:tcPr>
          <w:p w14:paraId="0B2FA02F" w14:textId="77777777" w:rsidR="007F1775" w:rsidRDefault="007F1775">
            <w:pPr>
              <w:rPr>
                <w:rFonts w:ascii="宋体"/>
              </w:rPr>
            </w:pPr>
          </w:p>
        </w:tc>
        <w:tc>
          <w:tcPr>
            <w:tcW w:w="5" w:type="pct"/>
            <w:shd w:val="clear" w:color="auto" w:fill="auto"/>
            <w:vAlign w:val="bottom"/>
          </w:tcPr>
          <w:p w14:paraId="0B2FA030" w14:textId="77777777" w:rsidR="007F1775" w:rsidRDefault="007F1775">
            <w:pPr>
              <w:rPr>
                <w:rFonts w:ascii="宋体"/>
              </w:rPr>
            </w:pPr>
          </w:p>
        </w:tc>
        <w:tc>
          <w:tcPr>
            <w:tcW w:w="50" w:type="pct"/>
            <w:shd w:val="clear" w:color="auto" w:fill="auto"/>
            <w:vAlign w:val="bottom"/>
          </w:tcPr>
          <w:p w14:paraId="0B2FA031" w14:textId="77777777" w:rsidR="007F1775" w:rsidRDefault="007F1775">
            <w:pPr>
              <w:rPr>
                <w:rFonts w:ascii="宋体"/>
              </w:rPr>
            </w:pPr>
          </w:p>
        </w:tc>
        <w:tc>
          <w:tcPr>
            <w:tcW w:w="136" w:type="pct"/>
            <w:shd w:val="clear" w:color="auto" w:fill="auto"/>
            <w:vAlign w:val="bottom"/>
          </w:tcPr>
          <w:p w14:paraId="0B2FA032" w14:textId="77777777" w:rsidR="007F1775" w:rsidRDefault="007F1775">
            <w:pPr>
              <w:rPr>
                <w:rFonts w:ascii="宋体"/>
              </w:rPr>
            </w:pPr>
          </w:p>
        </w:tc>
        <w:tc>
          <w:tcPr>
            <w:tcW w:w="5" w:type="pct"/>
            <w:shd w:val="clear" w:color="auto" w:fill="auto"/>
            <w:vAlign w:val="bottom"/>
          </w:tcPr>
          <w:p w14:paraId="0B2FA033" w14:textId="77777777" w:rsidR="007F1775" w:rsidRDefault="007F1775">
            <w:pPr>
              <w:rPr>
                <w:rFonts w:ascii="宋体"/>
              </w:rPr>
            </w:pPr>
          </w:p>
        </w:tc>
        <w:tc>
          <w:tcPr>
            <w:tcW w:w="5" w:type="pct"/>
            <w:shd w:val="clear" w:color="auto" w:fill="auto"/>
            <w:vAlign w:val="bottom"/>
          </w:tcPr>
          <w:p w14:paraId="0B2FA034" w14:textId="77777777" w:rsidR="007F1775" w:rsidRDefault="007F1775">
            <w:pPr>
              <w:rPr>
                <w:rFonts w:ascii="宋体"/>
              </w:rPr>
            </w:pPr>
          </w:p>
        </w:tc>
        <w:tc>
          <w:tcPr>
            <w:tcW w:w="17" w:type="pct"/>
            <w:shd w:val="clear" w:color="auto" w:fill="auto"/>
            <w:vAlign w:val="bottom"/>
          </w:tcPr>
          <w:p w14:paraId="0B2FA035" w14:textId="77777777" w:rsidR="007F1775" w:rsidRDefault="007F1775">
            <w:pPr>
              <w:rPr>
                <w:rFonts w:ascii="宋体"/>
              </w:rPr>
            </w:pPr>
          </w:p>
        </w:tc>
        <w:tc>
          <w:tcPr>
            <w:tcW w:w="5" w:type="pct"/>
            <w:shd w:val="clear" w:color="auto" w:fill="auto"/>
            <w:vAlign w:val="bottom"/>
          </w:tcPr>
          <w:p w14:paraId="0B2FA036" w14:textId="77777777" w:rsidR="007F1775" w:rsidRDefault="007F1775">
            <w:pPr>
              <w:rPr>
                <w:rFonts w:ascii="宋体"/>
              </w:rPr>
            </w:pPr>
          </w:p>
        </w:tc>
        <w:tc>
          <w:tcPr>
            <w:tcW w:w="50" w:type="pct"/>
            <w:shd w:val="clear" w:color="auto" w:fill="auto"/>
            <w:vAlign w:val="bottom"/>
          </w:tcPr>
          <w:p w14:paraId="0B2FA037" w14:textId="77777777" w:rsidR="007F1775" w:rsidRDefault="007F1775">
            <w:pPr>
              <w:rPr>
                <w:rFonts w:ascii="宋体"/>
              </w:rPr>
            </w:pPr>
          </w:p>
        </w:tc>
        <w:tc>
          <w:tcPr>
            <w:tcW w:w="257" w:type="pct"/>
            <w:shd w:val="clear" w:color="auto" w:fill="auto"/>
            <w:vAlign w:val="bottom"/>
          </w:tcPr>
          <w:p w14:paraId="0B2FA038" w14:textId="77777777" w:rsidR="007F1775" w:rsidRDefault="007F1775">
            <w:pPr>
              <w:rPr>
                <w:rFonts w:ascii="宋体"/>
              </w:rPr>
            </w:pPr>
          </w:p>
        </w:tc>
        <w:tc>
          <w:tcPr>
            <w:tcW w:w="5" w:type="pct"/>
            <w:shd w:val="clear" w:color="auto" w:fill="auto"/>
            <w:vAlign w:val="bottom"/>
          </w:tcPr>
          <w:p w14:paraId="0B2FA039" w14:textId="77777777" w:rsidR="007F1775" w:rsidRDefault="007F1775">
            <w:pPr>
              <w:rPr>
                <w:rFonts w:ascii="宋体"/>
              </w:rPr>
            </w:pPr>
          </w:p>
        </w:tc>
        <w:tc>
          <w:tcPr>
            <w:tcW w:w="5" w:type="pct"/>
            <w:shd w:val="clear" w:color="auto" w:fill="auto"/>
            <w:vAlign w:val="bottom"/>
          </w:tcPr>
          <w:p w14:paraId="0B2FA03A" w14:textId="77777777" w:rsidR="007F1775" w:rsidRDefault="007F1775">
            <w:pPr>
              <w:rPr>
                <w:rFonts w:ascii="宋体"/>
              </w:rPr>
            </w:pPr>
          </w:p>
        </w:tc>
        <w:tc>
          <w:tcPr>
            <w:tcW w:w="17" w:type="pct"/>
            <w:shd w:val="clear" w:color="auto" w:fill="auto"/>
            <w:vAlign w:val="bottom"/>
          </w:tcPr>
          <w:p w14:paraId="0B2FA03B" w14:textId="77777777" w:rsidR="007F1775" w:rsidRDefault="007F1775">
            <w:pPr>
              <w:rPr>
                <w:rFonts w:ascii="宋体"/>
              </w:rPr>
            </w:pPr>
          </w:p>
        </w:tc>
        <w:tc>
          <w:tcPr>
            <w:tcW w:w="5" w:type="pct"/>
            <w:shd w:val="clear" w:color="auto" w:fill="auto"/>
            <w:vAlign w:val="bottom"/>
          </w:tcPr>
          <w:p w14:paraId="0B2FA03C" w14:textId="77777777" w:rsidR="007F1775" w:rsidRDefault="007F1775">
            <w:pPr>
              <w:rPr>
                <w:rFonts w:ascii="宋体"/>
              </w:rPr>
            </w:pPr>
          </w:p>
        </w:tc>
        <w:tc>
          <w:tcPr>
            <w:tcW w:w="50" w:type="pct"/>
            <w:shd w:val="clear" w:color="auto" w:fill="auto"/>
            <w:vAlign w:val="bottom"/>
          </w:tcPr>
          <w:p w14:paraId="0B2FA03D" w14:textId="77777777" w:rsidR="007F1775" w:rsidRDefault="007F1775">
            <w:pPr>
              <w:rPr>
                <w:rFonts w:ascii="宋体"/>
              </w:rPr>
            </w:pPr>
          </w:p>
        </w:tc>
        <w:tc>
          <w:tcPr>
            <w:tcW w:w="383" w:type="pct"/>
            <w:shd w:val="clear" w:color="auto" w:fill="auto"/>
            <w:vAlign w:val="bottom"/>
          </w:tcPr>
          <w:p w14:paraId="0B2FA03E" w14:textId="77777777" w:rsidR="007F1775" w:rsidRDefault="007F1775">
            <w:pPr>
              <w:rPr>
                <w:rFonts w:ascii="宋体"/>
              </w:rPr>
            </w:pPr>
          </w:p>
        </w:tc>
        <w:tc>
          <w:tcPr>
            <w:tcW w:w="5" w:type="pct"/>
            <w:shd w:val="clear" w:color="auto" w:fill="auto"/>
            <w:vAlign w:val="bottom"/>
          </w:tcPr>
          <w:p w14:paraId="0B2FA03F" w14:textId="77777777" w:rsidR="007F1775" w:rsidRDefault="007F1775">
            <w:pPr>
              <w:rPr>
                <w:rFonts w:ascii="宋体"/>
              </w:rPr>
            </w:pPr>
          </w:p>
        </w:tc>
        <w:tc>
          <w:tcPr>
            <w:tcW w:w="5" w:type="pct"/>
            <w:shd w:val="clear" w:color="auto" w:fill="auto"/>
            <w:vAlign w:val="bottom"/>
          </w:tcPr>
          <w:p w14:paraId="0B2FA040" w14:textId="77777777" w:rsidR="007F1775" w:rsidRDefault="007F1775">
            <w:pPr>
              <w:rPr>
                <w:rFonts w:ascii="宋体"/>
              </w:rPr>
            </w:pPr>
          </w:p>
        </w:tc>
        <w:tc>
          <w:tcPr>
            <w:tcW w:w="17" w:type="pct"/>
            <w:shd w:val="clear" w:color="auto" w:fill="auto"/>
            <w:vAlign w:val="bottom"/>
          </w:tcPr>
          <w:p w14:paraId="0B2FA041" w14:textId="77777777" w:rsidR="007F1775" w:rsidRDefault="007F1775">
            <w:pPr>
              <w:rPr>
                <w:rFonts w:ascii="宋体"/>
              </w:rPr>
            </w:pPr>
          </w:p>
        </w:tc>
        <w:tc>
          <w:tcPr>
            <w:tcW w:w="5" w:type="pct"/>
            <w:shd w:val="clear" w:color="auto" w:fill="auto"/>
            <w:vAlign w:val="bottom"/>
          </w:tcPr>
          <w:p w14:paraId="0B2FA042" w14:textId="77777777" w:rsidR="007F1775" w:rsidRDefault="007F1775">
            <w:pPr>
              <w:rPr>
                <w:rFonts w:ascii="宋体"/>
              </w:rPr>
            </w:pPr>
          </w:p>
        </w:tc>
        <w:tc>
          <w:tcPr>
            <w:tcW w:w="50" w:type="pct"/>
            <w:shd w:val="clear" w:color="auto" w:fill="auto"/>
            <w:vAlign w:val="bottom"/>
          </w:tcPr>
          <w:p w14:paraId="0B2FA043" w14:textId="77777777" w:rsidR="007F1775" w:rsidRDefault="007F1775">
            <w:pPr>
              <w:rPr>
                <w:rFonts w:ascii="宋体"/>
              </w:rPr>
            </w:pPr>
          </w:p>
        </w:tc>
        <w:tc>
          <w:tcPr>
            <w:tcW w:w="252" w:type="pct"/>
            <w:shd w:val="clear" w:color="auto" w:fill="auto"/>
            <w:vAlign w:val="bottom"/>
          </w:tcPr>
          <w:p w14:paraId="0B2FA044" w14:textId="77777777" w:rsidR="007F1775" w:rsidRDefault="007F1775">
            <w:pPr>
              <w:rPr>
                <w:rFonts w:ascii="宋体"/>
              </w:rPr>
            </w:pPr>
          </w:p>
        </w:tc>
        <w:tc>
          <w:tcPr>
            <w:tcW w:w="5" w:type="pct"/>
            <w:shd w:val="clear" w:color="auto" w:fill="auto"/>
            <w:vAlign w:val="bottom"/>
          </w:tcPr>
          <w:p w14:paraId="0B2FA045" w14:textId="77777777" w:rsidR="007F1775" w:rsidRDefault="007F1775">
            <w:pPr>
              <w:rPr>
                <w:rFonts w:ascii="宋体"/>
              </w:rPr>
            </w:pPr>
          </w:p>
        </w:tc>
        <w:tc>
          <w:tcPr>
            <w:tcW w:w="5" w:type="pct"/>
            <w:shd w:val="clear" w:color="auto" w:fill="auto"/>
            <w:vAlign w:val="bottom"/>
          </w:tcPr>
          <w:p w14:paraId="0B2FA046" w14:textId="77777777" w:rsidR="007F1775" w:rsidRDefault="007F1775">
            <w:pPr>
              <w:rPr>
                <w:rFonts w:ascii="宋体"/>
              </w:rPr>
            </w:pPr>
          </w:p>
        </w:tc>
        <w:tc>
          <w:tcPr>
            <w:tcW w:w="17" w:type="pct"/>
            <w:shd w:val="clear" w:color="auto" w:fill="auto"/>
            <w:vAlign w:val="bottom"/>
          </w:tcPr>
          <w:p w14:paraId="0B2FA047" w14:textId="77777777" w:rsidR="007F1775" w:rsidRDefault="007F1775">
            <w:pPr>
              <w:rPr>
                <w:rFonts w:ascii="宋体"/>
              </w:rPr>
            </w:pPr>
          </w:p>
        </w:tc>
        <w:tc>
          <w:tcPr>
            <w:tcW w:w="5" w:type="pct"/>
            <w:shd w:val="clear" w:color="auto" w:fill="auto"/>
            <w:vAlign w:val="bottom"/>
          </w:tcPr>
          <w:p w14:paraId="0B2FA048" w14:textId="77777777" w:rsidR="007F1775" w:rsidRDefault="007F1775">
            <w:pPr>
              <w:rPr>
                <w:rFonts w:ascii="宋体"/>
              </w:rPr>
            </w:pPr>
          </w:p>
        </w:tc>
        <w:tc>
          <w:tcPr>
            <w:tcW w:w="50" w:type="pct"/>
            <w:shd w:val="clear" w:color="auto" w:fill="auto"/>
            <w:vAlign w:val="bottom"/>
          </w:tcPr>
          <w:p w14:paraId="0B2FA049" w14:textId="77777777" w:rsidR="007F1775" w:rsidRDefault="007F1775">
            <w:pPr>
              <w:rPr>
                <w:rFonts w:ascii="宋体"/>
              </w:rPr>
            </w:pPr>
          </w:p>
        </w:tc>
        <w:tc>
          <w:tcPr>
            <w:tcW w:w="339" w:type="pct"/>
            <w:shd w:val="clear" w:color="auto" w:fill="auto"/>
            <w:vAlign w:val="bottom"/>
          </w:tcPr>
          <w:p w14:paraId="0B2FA04A" w14:textId="77777777" w:rsidR="007F1775" w:rsidRDefault="007F1775">
            <w:pPr>
              <w:rPr>
                <w:rFonts w:ascii="宋体"/>
              </w:rPr>
            </w:pPr>
          </w:p>
        </w:tc>
        <w:tc>
          <w:tcPr>
            <w:tcW w:w="5" w:type="pct"/>
            <w:shd w:val="clear" w:color="auto" w:fill="auto"/>
            <w:vAlign w:val="bottom"/>
          </w:tcPr>
          <w:p w14:paraId="0B2FA04B" w14:textId="77777777" w:rsidR="007F1775" w:rsidRDefault="007F1775">
            <w:pPr>
              <w:rPr>
                <w:rFonts w:ascii="宋体"/>
              </w:rPr>
            </w:pPr>
          </w:p>
        </w:tc>
        <w:tc>
          <w:tcPr>
            <w:tcW w:w="5" w:type="pct"/>
            <w:shd w:val="clear" w:color="auto" w:fill="auto"/>
            <w:vAlign w:val="bottom"/>
          </w:tcPr>
          <w:p w14:paraId="0B2FA04C" w14:textId="77777777" w:rsidR="007F1775" w:rsidRDefault="007F1775">
            <w:pPr>
              <w:rPr>
                <w:rFonts w:ascii="宋体"/>
              </w:rPr>
            </w:pPr>
          </w:p>
        </w:tc>
        <w:tc>
          <w:tcPr>
            <w:tcW w:w="17" w:type="pct"/>
            <w:shd w:val="clear" w:color="auto" w:fill="auto"/>
            <w:vAlign w:val="bottom"/>
          </w:tcPr>
          <w:p w14:paraId="0B2FA04D" w14:textId="77777777" w:rsidR="007F1775" w:rsidRDefault="007F1775">
            <w:pPr>
              <w:rPr>
                <w:rFonts w:ascii="宋体"/>
              </w:rPr>
            </w:pPr>
          </w:p>
        </w:tc>
        <w:tc>
          <w:tcPr>
            <w:tcW w:w="5" w:type="pct"/>
            <w:shd w:val="clear" w:color="auto" w:fill="auto"/>
            <w:vAlign w:val="bottom"/>
          </w:tcPr>
          <w:p w14:paraId="0B2FA04E" w14:textId="77777777" w:rsidR="007F1775" w:rsidRDefault="007F1775">
            <w:pPr>
              <w:rPr>
                <w:rFonts w:ascii="宋体"/>
              </w:rPr>
            </w:pPr>
          </w:p>
        </w:tc>
        <w:tc>
          <w:tcPr>
            <w:tcW w:w="50" w:type="pct"/>
            <w:shd w:val="clear" w:color="auto" w:fill="auto"/>
            <w:vAlign w:val="bottom"/>
          </w:tcPr>
          <w:p w14:paraId="0B2FA04F" w14:textId="77777777" w:rsidR="007F1775" w:rsidRDefault="007F1775">
            <w:pPr>
              <w:rPr>
                <w:rFonts w:ascii="宋体"/>
              </w:rPr>
            </w:pPr>
          </w:p>
        </w:tc>
        <w:tc>
          <w:tcPr>
            <w:tcW w:w="186" w:type="pct"/>
            <w:shd w:val="clear" w:color="auto" w:fill="auto"/>
            <w:vAlign w:val="bottom"/>
          </w:tcPr>
          <w:p w14:paraId="0B2FA050" w14:textId="77777777" w:rsidR="007F1775" w:rsidRDefault="007F1775">
            <w:pPr>
              <w:rPr>
                <w:rFonts w:ascii="宋体"/>
              </w:rPr>
            </w:pPr>
          </w:p>
        </w:tc>
        <w:tc>
          <w:tcPr>
            <w:tcW w:w="5" w:type="pct"/>
            <w:shd w:val="clear" w:color="auto" w:fill="auto"/>
            <w:vAlign w:val="bottom"/>
          </w:tcPr>
          <w:p w14:paraId="0B2FA051" w14:textId="77777777" w:rsidR="007F1775" w:rsidRDefault="007F1775">
            <w:pPr>
              <w:rPr>
                <w:rFonts w:ascii="宋体"/>
              </w:rPr>
            </w:pPr>
          </w:p>
        </w:tc>
        <w:tc>
          <w:tcPr>
            <w:tcW w:w="5" w:type="pct"/>
            <w:shd w:val="clear" w:color="auto" w:fill="auto"/>
            <w:vAlign w:val="bottom"/>
          </w:tcPr>
          <w:p w14:paraId="0B2FA052" w14:textId="77777777" w:rsidR="007F1775" w:rsidRDefault="007F1775">
            <w:pPr>
              <w:rPr>
                <w:rFonts w:ascii="宋体"/>
              </w:rPr>
            </w:pPr>
          </w:p>
        </w:tc>
        <w:tc>
          <w:tcPr>
            <w:tcW w:w="17" w:type="pct"/>
            <w:shd w:val="clear" w:color="auto" w:fill="auto"/>
            <w:vAlign w:val="bottom"/>
          </w:tcPr>
          <w:p w14:paraId="0B2FA053" w14:textId="77777777" w:rsidR="007F1775" w:rsidRDefault="007F1775">
            <w:pPr>
              <w:rPr>
                <w:rFonts w:ascii="宋体"/>
              </w:rPr>
            </w:pPr>
          </w:p>
        </w:tc>
        <w:tc>
          <w:tcPr>
            <w:tcW w:w="5" w:type="pct"/>
            <w:shd w:val="clear" w:color="auto" w:fill="auto"/>
            <w:vAlign w:val="bottom"/>
          </w:tcPr>
          <w:p w14:paraId="0B2FA054" w14:textId="77777777" w:rsidR="007F1775" w:rsidRDefault="007F1775">
            <w:pPr>
              <w:rPr>
                <w:rFonts w:ascii="宋体"/>
              </w:rPr>
            </w:pPr>
          </w:p>
        </w:tc>
        <w:tc>
          <w:tcPr>
            <w:tcW w:w="50" w:type="pct"/>
            <w:shd w:val="clear" w:color="auto" w:fill="auto"/>
            <w:vAlign w:val="bottom"/>
          </w:tcPr>
          <w:p w14:paraId="0B2FA055" w14:textId="77777777" w:rsidR="007F1775" w:rsidRDefault="007F1775">
            <w:pPr>
              <w:rPr>
                <w:rFonts w:ascii="宋体"/>
              </w:rPr>
            </w:pPr>
          </w:p>
        </w:tc>
        <w:tc>
          <w:tcPr>
            <w:tcW w:w="136" w:type="pct"/>
            <w:shd w:val="clear" w:color="auto" w:fill="auto"/>
            <w:vAlign w:val="bottom"/>
          </w:tcPr>
          <w:p w14:paraId="0B2FA056" w14:textId="77777777" w:rsidR="007F1775" w:rsidRDefault="007F1775">
            <w:pPr>
              <w:rPr>
                <w:rFonts w:ascii="宋体"/>
              </w:rPr>
            </w:pPr>
          </w:p>
        </w:tc>
        <w:tc>
          <w:tcPr>
            <w:tcW w:w="5" w:type="pct"/>
            <w:shd w:val="clear" w:color="auto" w:fill="auto"/>
            <w:vAlign w:val="bottom"/>
          </w:tcPr>
          <w:p w14:paraId="0B2FA057" w14:textId="77777777" w:rsidR="007F1775" w:rsidRDefault="007F1775">
            <w:pPr>
              <w:rPr>
                <w:rFonts w:ascii="宋体"/>
              </w:rPr>
            </w:pPr>
          </w:p>
        </w:tc>
        <w:tc>
          <w:tcPr>
            <w:tcW w:w="5" w:type="pct"/>
            <w:shd w:val="clear" w:color="auto" w:fill="auto"/>
            <w:vAlign w:val="bottom"/>
          </w:tcPr>
          <w:p w14:paraId="0B2FA058" w14:textId="77777777" w:rsidR="007F1775" w:rsidRDefault="007F1775">
            <w:pPr>
              <w:rPr>
                <w:rFonts w:ascii="宋体"/>
              </w:rPr>
            </w:pPr>
          </w:p>
        </w:tc>
        <w:tc>
          <w:tcPr>
            <w:tcW w:w="17" w:type="pct"/>
            <w:shd w:val="clear" w:color="auto" w:fill="auto"/>
            <w:vAlign w:val="bottom"/>
          </w:tcPr>
          <w:p w14:paraId="0B2FA059" w14:textId="77777777" w:rsidR="007F1775" w:rsidRDefault="007F1775">
            <w:pPr>
              <w:rPr>
                <w:rFonts w:ascii="宋体"/>
              </w:rPr>
            </w:pPr>
          </w:p>
        </w:tc>
        <w:tc>
          <w:tcPr>
            <w:tcW w:w="5" w:type="pct"/>
            <w:shd w:val="clear" w:color="auto" w:fill="auto"/>
            <w:vAlign w:val="bottom"/>
          </w:tcPr>
          <w:p w14:paraId="0B2FA05A" w14:textId="77777777" w:rsidR="007F1775" w:rsidRDefault="007F1775">
            <w:pPr>
              <w:rPr>
                <w:rFonts w:ascii="宋体"/>
              </w:rPr>
            </w:pPr>
          </w:p>
        </w:tc>
        <w:tc>
          <w:tcPr>
            <w:tcW w:w="50" w:type="pct"/>
            <w:shd w:val="clear" w:color="auto" w:fill="auto"/>
            <w:vAlign w:val="bottom"/>
          </w:tcPr>
          <w:p w14:paraId="0B2FA05B" w14:textId="77777777" w:rsidR="007F1775" w:rsidRDefault="007F1775">
            <w:pPr>
              <w:rPr>
                <w:rFonts w:ascii="宋体"/>
              </w:rPr>
            </w:pPr>
          </w:p>
        </w:tc>
        <w:tc>
          <w:tcPr>
            <w:tcW w:w="257" w:type="pct"/>
            <w:shd w:val="clear" w:color="auto" w:fill="auto"/>
            <w:vAlign w:val="bottom"/>
          </w:tcPr>
          <w:p w14:paraId="0B2FA05C" w14:textId="77777777" w:rsidR="007F1775" w:rsidRDefault="007F1775">
            <w:pPr>
              <w:rPr>
                <w:rFonts w:ascii="宋体"/>
              </w:rPr>
            </w:pPr>
          </w:p>
        </w:tc>
        <w:tc>
          <w:tcPr>
            <w:tcW w:w="5" w:type="pct"/>
            <w:shd w:val="clear" w:color="auto" w:fill="auto"/>
            <w:vAlign w:val="bottom"/>
          </w:tcPr>
          <w:p w14:paraId="0B2FA05D" w14:textId="77777777" w:rsidR="007F1775" w:rsidRDefault="007F1775">
            <w:pPr>
              <w:rPr>
                <w:rFonts w:ascii="宋体"/>
              </w:rPr>
            </w:pPr>
          </w:p>
        </w:tc>
        <w:tc>
          <w:tcPr>
            <w:tcW w:w="5" w:type="pct"/>
            <w:shd w:val="clear" w:color="auto" w:fill="auto"/>
            <w:vAlign w:val="bottom"/>
          </w:tcPr>
          <w:p w14:paraId="0B2FA05E" w14:textId="77777777" w:rsidR="007F1775" w:rsidRDefault="007F1775">
            <w:pPr>
              <w:rPr>
                <w:rFonts w:ascii="宋体"/>
              </w:rPr>
            </w:pPr>
          </w:p>
        </w:tc>
        <w:tc>
          <w:tcPr>
            <w:tcW w:w="17" w:type="pct"/>
            <w:shd w:val="clear" w:color="auto" w:fill="auto"/>
            <w:vAlign w:val="bottom"/>
          </w:tcPr>
          <w:p w14:paraId="0B2FA05F" w14:textId="77777777" w:rsidR="007F1775" w:rsidRDefault="007F1775">
            <w:pPr>
              <w:rPr>
                <w:rFonts w:ascii="宋体"/>
              </w:rPr>
            </w:pPr>
          </w:p>
        </w:tc>
        <w:tc>
          <w:tcPr>
            <w:tcW w:w="5" w:type="pct"/>
            <w:shd w:val="clear" w:color="auto" w:fill="auto"/>
            <w:vAlign w:val="bottom"/>
          </w:tcPr>
          <w:p w14:paraId="0B2FA060" w14:textId="77777777" w:rsidR="007F1775" w:rsidRDefault="007F1775">
            <w:pPr>
              <w:rPr>
                <w:rFonts w:ascii="宋体"/>
              </w:rPr>
            </w:pPr>
          </w:p>
        </w:tc>
        <w:tc>
          <w:tcPr>
            <w:tcW w:w="50" w:type="pct"/>
            <w:shd w:val="clear" w:color="auto" w:fill="auto"/>
            <w:vAlign w:val="bottom"/>
          </w:tcPr>
          <w:p w14:paraId="0B2FA061" w14:textId="77777777" w:rsidR="007F1775" w:rsidRDefault="007F1775">
            <w:pPr>
              <w:rPr>
                <w:rFonts w:ascii="宋体"/>
              </w:rPr>
            </w:pPr>
          </w:p>
        </w:tc>
        <w:tc>
          <w:tcPr>
            <w:tcW w:w="383" w:type="pct"/>
            <w:shd w:val="clear" w:color="auto" w:fill="auto"/>
            <w:vAlign w:val="bottom"/>
          </w:tcPr>
          <w:p w14:paraId="0B2FA062" w14:textId="77777777" w:rsidR="007F1775" w:rsidRDefault="007F1775">
            <w:pPr>
              <w:rPr>
                <w:rFonts w:ascii="宋体"/>
              </w:rPr>
            </w:pPr>
          </w:p>
        </w:tc>
        <w:tc>
          <w:tcPr>
            <w:tcW w:w="5" w:type="pct"/>
            <w:shd w:val="clear" w:color="auto" w:fill="auto"/>
            <w:vAlign w:val="bottom"/>
          </w:tcPr>
          <w:p w14:paraId="0B2FA063" w14:textId="77777777" w:rsidR="007F1775" w:rsidRDefault="007F1775">
            <w:pPr>
              <w:rPr>
                <w:rFonts w:ascii="宋体"/>
              </w:rPr>
            </w:pPr>
          </w:p>
        </w:tc>
        <w:tc>
          <w:tcPr>
            <w:tcW w:w="5" w:type="pct"/>
            <w:shd w:val="clear" w:color="auto" w:fill="auto"/>
            <w:vAlign w:val="bottom"/>
          </w:tcPr>
          <w:p w14:paraId="0B2FA064" w14:textId="77777777" w:rsidR="007F1775" w:rsidRDefault="007F1775">
            <w:pPr>
              <w:rPr>
                <w:rFonts w:ascii="宋体"/>
              </w:rPr>
            </w:pPr>
          </w:p>
        </w:tc>
        <w:tc>
          <w:tcPr>
            <w:tcW w:w="17" w:type="pct"/>
            <w:shd w:val="clear" w:color="auto" w:fill="auto"/>
            <w:vAlign w:val="bottom"/>
          </w:tcPr>
          <w:p w14:paraId="0B2FA065" w14:textId="77777777" w:rsidR="007F1775" w:rsidRDefault="007F1775">
            <w:pPr>
              <w:rPr>
                <w:rFonts w:ascii="宋体"/>
              </w:rPr>
            </w:pPr>
          </w:p>
        </w:tc>
        <w:tc>
          <w:tcPr>
            <w:tcW w:w="5" w:type="pct"/>
            <w:shd w:val="clear" w:color="auto" w:fill="auto"/>
            <w:vAlign w:val="bottom"/>
          </w:tcPr>
          <w:p w14:paraId="0B2FA066" w14:textId="77777777" w:rsidR="007F1775" w:rsidRDefault="007F1775">
            <w:pPr>
              <w:rPr>
                <w:rFonts w:ascii="宋体"/>
              </w:rPr>
            </w:pPr>
          </w:p>
        </w:tc>
      </w:tr>
      <w:tr w:rsidR="007F1775" w14:paraId="0B2FA06C" w14:textId="77777777">
        <w:trPr>
          <w:jc w:val="center"/>
        </w:trPr>
        <w:tc>
          <w:tcPr>
            <w:tcW w:w="0" w:type="auto"/>
            <w:gridSpan w:val="3"/>
            <w:shd w:val="clear" w:color="auto" w:fill="auto"/>
            <w:tcMar>
              <w:top w:w="0" w:type="dxa"/>
              <w:left w:w="20" w:type="dxa"/>
              <w:bottom w:w="0" w:type="dxa"/>
              <w:right w:w="20" w:type="dxa"/>
            </w:tcMar>
            <w:vAlign w:val="bottom"/>
          </w:tcPr>
          <w:p w14:paraId="0B2FA068" w14:textId="77777777" w:rsidR="007F1775" w:rsidRDefault="007F1775">
            <w:pPr>
              <w:rPr>
                <w:rFonts w:ascii="宋体"/>
              </w:rPr>
            </w:pPr>
          </w:p>
        </w:tc>
        <w:tc>
          <w:tcPr>
            <w:tcW w:w="0" w:type="auto"/>
            <w:gridSpan w:val="33"/>
            <w:shd w:val="clear" w:color="auto" w:fill="auto"/>
            <w:tcMar>
              <w:top w:w="40" w:type="dxa"/>
              <w:left w:w="20" w:type="dxa"/>
              <w:bottom w:w="40" w:type="dxa"/>
              <w:right w:w="20" w:type="dxa"/>
            </w:tcMar>
            <w:vAlign w:val="bottom"/>
          </w:tcPr>
          <w:p w14:paraId="0B2FA069" w14:textId="77777777" w:rsidR="007F1775" w:rsidRDefault="000F083E">
            <w:pPr>
              <w:jc w:val="center"/>
              <w:textAlignment w:val="bottom"/>
            </w:pPr>
            <w:r>
              <w:rPr>
                <w:rFonts w:ascii="Times New Roman" w:eastAsia="宋体" w:hAnsi="Times New Roman"/>
                <w:b/>
                <w:bCs/>
                <w:color w:val="000000"/>
                <w:sz w:val="16"/>
                <w:szCs w:val="16"/>
              </w:rPr>
              <w:t>Three Months Ended March 31, 2022</w:t>
            </w:r>
          </w:p>
        </w:tc>
        <w:tc>
          <w:tcPr>
            <w:tcW w:w="0" w:type="auto"/>
            <w:gridSpan w:val="3"/>
            <w:shd w:val="clear" w:color="auto" w:fill="auto"/>
            <w:tcMar>
              <w:top w:w="0" w:type="dxa"/>
              <w:left w:w="20" w:type="dxa"/>
              <w:bottom w:w="0" w:type="dxa"/>
              <w:right w:w="20" w:type="dxa"/>
            </w:tcMar>
            <w:vAlign w:val="bottom"/>
          </w:tcPr>
          <w:p w14:paraId="0B2FA06A" w14:textId="77777777" w:rsidR="007F1775" w:rsidRDefault="007F1775">
            <w:pPr>
              <w:rPr>
                <w:rFonts w:ascii="宋体"/>
              </w:rPr>
            </w:pPr>
          </w:p>
        </w:tc>
        <w:tc>
          <w:tcPr>
            <w:tcW w:w="0" w:type="auto"/>
            <w:gridSpan w:val="24"/>
            <w:shd w:val="clear" w:color="auto" w:fill="auto"/>
            <w:tcMar>
              <w:top w:w="40" w:type="dxa"/>
              <w:left w:w="20" w:type="dxa"/>
              <w:bottom w:w="40" w:type="dxa"/>
              <w:right w:w="20" w:type="dxa"/>
            </w:tcMar>
            <w:vAlign w:val="bottom"/>
          </w:tcPr>
          <w:p w14:paraId="0B2FA06B" w14:textId="77777777" w:rsidR="007F1775" w:rsidRDefault="000F083E">
            <w:pPr>
              <w:jc w:val="center"/>
              <w:textAlignment w:val="bottom"/>
            </w:pPr>
            <w:r>
              <w:rPr>
                <w:rFonts w:ascii="Times New Roman" w:eastAsia="宋体" w:hAnsi="Times New Roman"/>
                <w:b/>
                <w:bCs/>
                <w:color w:val="000000"/>
                <w:sz w:val="16"/>
                <w:szCs w:val="16"/>
              </w:rPr>
              <w:t>Three Months Ended March 31, 2021</w:t>
            </w:r>
          </w:p>
        </w:tc>
      </w:tr>
      <w:tr w:rsidR="007F1775" w14:paraId="0B2FA080" w14:textId="77777777">
        <w:trPr>
          <w:trHeight w:val="540"/>
          <w:jc w:val="center"/>
        </w:trPr>
        <w:tc>
          <w:tcPr>
            <w:tcW w:w="0" w:type="auto"/>
            <w:gridSpan w:val="3"/>
            <w:shd w:val="clear" w:color="auto" w:fill="auto"/>
            <w:tcMar>
              <w:top w:w="0" w:type="dxa"/>
              <w:left w:w="20" w:type="dxa"/>
              <w:bottom w:w="0" w:type="dxa"/>
              <w:right w:w="20" w:type="dxa"/>
            </w:tcMar>
            <w:vAlign w:val="bottom"/>
          </w:tcPr>
          <w:p w14:paraId="0B2FA06D" w14:textId="77777777" w:rsidR="007F1775" w:rsidRDefault="007F17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B2FA06E" w14:textId="77777777" w:rsidR="007F1775" w:rsidRDefault="000F083E">
            <w:pPr>
              <w:jc w:val="center"/>
              <w:textAlignment w:val="bottom"/>
            </w:pPr>
            <w:r>
              <w:rPr>
                <w:rFonts w:ascii="Times New Roman" w:eastAsia="宋体" w:hAnsi="Times New Roman"/>
                <w:b/>
                <w:bCs/>
                <w:color w:val="000000"/>
                <w:sz w:val="16"/>
                <w:szCs w:val="16"/>
              </w:rPr>
              <w:t xml:space="preserve">Class A and </w:t>
            </w:r>
            <w:r>
              <w:rPr>
                <w:rFonts w:ascii="Times New Roman" w:eastAsia="宋体" w:hAnsi="Times New Roman"/>
                <w:b/>
                <w:bCs/>
                <w:color w:val="000000"/>
                <w:sz w:val="16"/>
                <w:szCs w:val="16"/>
              </w:rPr>
              <w:t>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06F" w14:textId="77777777" w:rsidR="007F1775" w:rsidRDefault="007F17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B2FA070" w14:textId="77777777" w:rsidR="007F1775" w:rsidRDefault="000F083E">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0B2FA071" w14:textId="77777777" w:rsidR="007F1775" w:rsidRDefault="007F17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B2FA072" w14:textId="77777777" w:rsidR="007F1775" w:rsidRDefault="000F083E">
            <w:pPr>
              <w:jc w:val="center"/>
              <w:textAlignment w:val="bottom"/>
            </w:pPr>
            <w:r>
              <w:rPr>
                <w:rFonts w:ascii="Times New Roman" w:eastAsia="宋体" w:hAnsi="Times New Roman"/>
                <w:b/>
                <w:bCs/>
                <w:color w:val="000000"/>
                <w:sz w:val="16"/>
                <w:szCs w:val="16"/>
              </w:rPr>
              <w:t>Accumulated Other Comprehensive Loss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0B2FA073" w14:textId="77777777" w:rsidR="007F1775" w:rsidRDefault="007F17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B2FA074" w14:textId="77777777" w:rsidR="007F1775" w:rsidRDefault="000F083E">
            <w:pPr>
              <w:jc w:val="center"/>
              <w:textAlignment w:val="bottom"/>
            </w:pPr>
            <w:r>
              <w:rPr>
                <w:rFonts w:ascii="Times New Roman" w:eastAsia="宋体" w:hAnsi="Times New Roman"/>
                <w:b/>
                <w:bCs/>
                <w:color w:val="000000"/>
                <w:sz w:val="16"/>
                <w:szCs w:val="16"/>
              </w:rPr>
              <w:t>Retained Earnings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0B2FA075" w14:textId="77777777" w:rsidR="007F1775" w:rsidRDefault="007F17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B2FA076" w14:textId="77777777" w:rsidR="007F1775" w:rsidRDefault="000F083E">
            <w:pPr>
              <w:jc w:val="center"/>
              <w:textAlignment w:val="bottom"/>
            </w:pPr>
            <w:r>
              <w:rPr>
                <w:rFonts w:ascii="Times New Roman" w:eastAsia="宋体" w:hAnsi="Times New Roman"/>
                <w:b/>
                <w:bCs/>
                <w:color w:val="000000"/>
                <w:sz w:val="16"/>
                <w:szCs w:val="16"/>
              </w:rPr>
              <w:t>Total Stockholders' Equity</w:t>
            </w:r>
          </w:p>
        </w:tc>
        <w:tc>
          <w:tcPr>
            <w:tcW w:w="0" w:type="auto"/>
            <w:gridSpan w:val="3"/>
            <w:shd w:val="clear" w:color="auto" w:fill="auto"/>
            <w:tcMar>
              <w:top w:w="0" w:type="dxa"/>
              <w:left w:w="20" w:type="dxa"/>
              <w:bottom w:w="0" w:type="dxa"/>
              <w:right w:w="20" w:type="dxa"/>
            </w:tcMar>
            <w:vAlign w:val="bottom"/>
          </w:tcPr>
          <w:p w14:paraId="0B2FA077" w14:textId="77777777" w:rsidR="007F1775" w:rsidRDefault="007F17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B2FA078" w14:textId="77777777" w:rsidR="007F1775" w:rsidRDefault="000F083E">
            <w:pPr>
              <w:jc w:val="center"/>
              <w:textAlignment w:val="bottom"/>
            </w:pPr>
            <w:r>
              <w:rPr>
                <w:rFonts w:ascii="Times New Roman" w:eastAsia="宋体" w:hAnsi="Times New Roman"/>
                <w:b/>
                <w:bCs/>
                <w:color w:val="000000"/>
                <w:sz w:val="16"/>
                <w:szCs w:val="16"/>
              </w:rPr>
              <w:t>Class A and Class B Common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079" w14:textId="77777777" w:rsidR="007F1775" w:rsidRDefault="007F17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B2FA07A" w14:textId="77777777" w:rsidR="007F1775" w:rsidRDefault="000F083E">
            <w:pPr>
              <w:jc w:val="center"/>
              <w:textAlignment w:val="bottom"/>
            </w:pPr>
            <w:r>
              <w:rPr>
                <w:rFonts w:ascii="Times New Roman" w:eastAsia="宋体" w:hAnsi="Times New Roman"/>
                <w:b/>
                <w:bCs/>
                <w:color w:val="000000"/>
                <w:sz w:val="16"/>
                <w:szCs w:val="16"/>
              </w:rPr>
              <w:t>Additional Paid-In Capital</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0B2FA07B" w14:textId="77777777" w:rsidR="007F1775" w:rsidRDefault="007F17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B2FA07C" w14:textId="77777777" w:rsidR="007F1775" w:rsidRDefault="000F083E">
            <w:pPr>
              <w:jc w:val="center"/>
              <w:textAlignment w:val="bottom"/>
            </w:pPr>
            <w:r>
              <w:rPr>
                <w:rFonts w:ascii="Times New Roman" w:eastAsia="宋体" w:hAnsi="Times New Roman"/>
                <w:b/>
                <w:bCs/>
                <w:color w:val="000000"/>
                <w:sz w:val="16"/>
                <w:szCs w:val="16"/>
              </w:rPr>
              <w:t>Accumulated Other Comprehensive Income</w:t>
            </w:r>
          </w:p>
        </w:tc>
        <w:tc>
          <w:tcPr>
            <w:tcW w:w="0" w:type="auto"/>
            <w:gridSpan w:val="2"/>
            <w:vMerge w:val="restart"/>
            <w:tcBorders>
              <w:top w:val="single" w:sz="8" w:space="0" w:color="000000"/>
            </w:tcBorders>
            <w:shd w:val="clear" w:color="auto" w:fill="auto"/>
            <w:tcMar>
              <w:top w:w="0" w:type="dxa"/>
              <w:left w:w="20" w:type="dxa"/>
              <w:bottom w:w="0" w:type="dxa"/>
              <w:right w:w="20" w:type="dxa"/>
            </w:tcMar>
            <w:vAlign w:val="bottom"/>
          </w:tcPr>
          <w:p w14:paraId="0B2FA07D" w14:textId="77777777" w:rsidR="007F1775" w:rsidRDefault="007F1775">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0B2FA07E" w14:textId="77777777" w:rsidR="007F1775" w:rsidRDefault="000F083E">
            <w:pPr>
              <w:jc w:val="center"/>
              <w:textAlignment w:val="bottom"/>
            </w:pPr>
            <w:r>
              <w:rPr>
                <w:rFonts w:ascii="Times New Roman" w:eastAsia="宋体" w:hAnsi="Times New Roman"/>
                <w:b/>
                <w:bCs/>
                <w:color w:val="000000"/>
                <w:sz w:val="16"/>
                <w:szCs w:val="16"/>
              </w:rPr>
              <w:t>Retained Earnings</w:t>
            </w:r>
          </w:p>
          <w:p w14:paraId="0B2FA07F" w14:textId="77777777" w:rsidR="007F1775" w:rsidRDefault="000F083E">
            <w:pPr>
              <w:jc w:val="center"/>
              <w:textAlignment w:val="bottom"/>
            </w:pPr>
            <w:r>
              <w:rPr>
                <w:rFonts w:ascii="Times New Roman" w:eastAsia="宋体" w:hAnsi="Times New Roman"/>
                <w:b/>
                <w:bCs/>
                <w:color w:val="000000"/>
                <w:sz w:val="16"/>
                <w:szCs w:val="16"/>
              </w:rPr>
              <w:t>T</w:t>
            </w:r>
            <w:r>
              <w:rPr>
                <w:rFonts w:ascii="Times New Roman" w:eastAsia="宋体" w:hAnsi="Times New Roman"/>
                <w:b/>
                <w:bCs/>
                <w:color w:val="000000"/>
                <w:sz w:val="16"/>
                <w:szCs w:val="16"/>
              </w:rPr>
              <w:t>otal Stockholders' Equity</w:t>
            </w:r>
          </w:p>
        </w:tc>
      </w:tr>
      <w:tr w:rsidR="007F1775" w14:paraId="0B2FA097" w14:textId="77777777">
        <w:trPr>
          <w:trHeight w:val="400"/>
          <w:jc w:val="center"/>
        </w:trPr>
        <w:tc>
          <w:tcPr>
            <w:tcW w:w="0" w:type="auto"/>
            <w:gridSpan w:val="3"/>
            <w:shd w:val="clear" w:color="auto" w:fill="auto"/>
            <w:tcMar>
              <w:top w:w="0" w:type="dxa"/>
              <w:left w:w="20" w:type="dxa"/>
              <w:bottom w:w="0" w:type="dxa"/>
              <w:right w:w="20" w:type="dxa"/>
            </w:tcMar>
            <w:vAlign w:val="bottom"/>
          </w:tcPr>
          <w:p w14:paraId="0B2FA081"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082" w14:textId="77777777" w:rsidR="007F1775" w:rsidRDefault="000F083E">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083"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084" w14:textId="77777777" w:rsidR="007F1775" w:rsidRDefault="000F083E">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0B2FA085" w14:textId="77777777" w:rsidR="007F1775" w:rsidRDefault="007F17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B2FA086" w14:textId="77777777" w:rsidR="007F1775" w:rsidRDefault="007F1775">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0B2FA087" w14:textId="77777777" w:rsidR="007F1775" w:rsidRDefault="007F17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B2FA088" w14:textId="77777777" w:rsidR="007F1775" w:rsidRDefault="007F1775">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0B2FA089" w14:textId="77777777" w:rsidR="007F1775" w:rsidRDefault="007F17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B2FA08A" w14:textId="77777777" w:rsidR="007F1775" w:rsidRDefault="007F1775">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0B2FA08B" w14:textId="77777777" w:rsidR="007F1775" w:rsidRDefault="007F17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B2FA08C" w14:textId="77777777" w:rsidR="007F1775" w:rsidRDefault="007F1775">
            <w:pPr>
              <w:jc w:val="center"/>
              <w:rPr>
                <w:rFonts w:ascii="宋体"/>
              </w:rPr>
            </w:pPr>
          </w:p>
        </w:tc>
        <w:tc>
          <w:tcPr>
            <w:tcW w:w="0" w:type="auto"/>
            <w:gridSpan w:val="3"/>
            <w:shd w:val="clear" w:color="auto" w:fill="auto"/>
            <w:tcMar>
              <w:top w:w="0" w:type="dxa"/>
              <w:left w:w="20" w:type="dxa"/>
              <w:bottom w:w="0" w:type="dxa"/>
              <w:right w:w="20" w:type="dxa"/>
            </w:tcMar>
            <w:vAlign w:val="bottom"/>
          </w:tcPr>
          <w:p w14:paraId="0B2FA08D"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08E" w14:textId="77777777" w:rsidR="007F1775" w:rsidRDefault="000F083E">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08F"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090" w14:textId="77777777" w:rsidR="007F1775" w:rsidRDefault="000F083E">
            <w:pPr>
              <w:jc w:val="center"/>
              <w:textAlignment w:val="bottom"/>
            </w:pPr>
            <w:r>
              <w:rPr>
                <w:rFonts w:ascii="Times New Roman" w:eastAsia="宋体" w:hAnsi="Times New Roman"/>
                <w:b/>
                <w:bCs/>
                <w:color w:val="000000"/>
                <w:sz w:val="16"/>
                <w:szCs w:val="16"/>
              </w:rPr>
              <w:t>Par Value</w:t>
            </w:r>
          </w:p>
        </w:tc>
        <w:tc>
          <w:tcPr>
            <w:tcW w:w="0" w:type="auto"/>
            <w:gridSpan w:val="3"/>
            <w:shd w:val="clear" w:color="auto" w:fill="auto"/>
            <w:tcMar>
              <w:top w:w="0" w:type="dxa"/>
              <w:left w:w="20" w:type="dxa"/>
              <w:bottom w:w="0" w:type="dxa"/>
              <w:right w:w="20" w:type="dxa"/>
            </w:tcMar>
            <w:vAlign w:val="bottom"/>
          </w:tcPr>
          <w:p w14:paraId="0B2FA091" w14:textId="77777777" w:rsidR="007F1775" w:rsidRDefault="007F17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B2FA092" w14:textId="77777777" w:rsidR="007F1775" w:rsidRDefault="007F1775">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0B2FA093" w14:textId="77777777" w:rsidR="007F1775" w:rsidRDefault="007F17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B2FA094" w14:textId="77777777" w:rsidR="007F1775" w:rsidRDefault="007F1775">
            <w:pPr>
              <w:jc w:val="center"/>
              <w:rPr>
                <w:rFonts w:ascii="宋体"/>
              </w:rPr>
            </w:pPr>
          </w:p>
        </w:tc>
        <w:tc>
          <w:tcPr>
            <w:tcW w:w="0" w:type="auto"/>
            <w:gridSpan w:val="2"/>
            <w:vMerge/>
            <w:tcBorders>
              <w:top w:val="single" w:sz="8" w:space="0" w:color="000000"/>
            </w:tcBorders>
            <w:shd w:val="clear" w:color="auto" w:fill="auto"/>
            <w:tcMar>
              <w:top w:w="0" w:type="dxa"/>
              <w:left w:w="20" w:type="dxa"/>
              <w:bottom w:w="0" w:type="dxa"/>
              <w:right w:w="20" w:type="dxa"/>
            </w:tcMar>
            <w:vAlign w:val="bottom"/>
          </w:tcPr>
          <w:p w14:paraId="0B2FA095" w14:textId="77777777" w:rsidR="007F1775" w:rsidRDefault="007F1775">
            <w:pPr>
              <w:rPr>
                <w:rFonts w:ascii="宋体"/>
              </w:rPr>
            </w:pPr>
          </w:p>
        </w:tc>
        <w:tc>
          <w:tcPr>
            <w:tcW w:w="0" w:type="auto"/>
            <w:shd w:val="clear" w:color="auto" w:fill="auto"/>
            <w:vAlign w:val="bottom"/>
          </w:tcPr>
          <w:p w14:paraId="0B2FA096" w14:textId="77777777" w:rsidR="007F1775" w:rsidRDefault="007F1775">
            <w:pPr>
              <w:rPr>
                <w:rFonts w:ascii="宋体"/>
              </w:rPr>
            </w:pPr>
          </w:p>
        </w:tc>
      </w:tr>
      <w:tr w:rsidR="000F083E" w14:paraId="0B2FA0C3" w14:textId="77777777">
        <w:trPr>
          <w:jc w:val="center"/>
        </w:trPr>
        <w:tc>
          <w:tcPr>
            <w:tcW w:w="0" w:type="auto"/>
            <w:gridSpan w:val="3"/>
            <w:shd w:val="clear" w:color="auto" w:fill="CCEEFF"/>
            <w:tcMar>
              <w:top w:w="40" w:type="dxa"/>
              <w:left w:w="20" w:type="dxa"/>
              <w:bottom w:w="40" w:type="dxa"/>
              <w:right w:w="20" w:type="dxa"/>
            </w:tcMar>
            <w:vAlign w:val="bottom"/>
          </w:tcPr>
          <w:p w14:paraId="0B2FA098" w14:textId="77777777" w:rsidR="007F1775" w:rsidRDefault="000F083E">
            <w:pPr>
              <w:textAlignment w:val="bottom"/>
            </w:pPr>
            <w:r>
              <w:rPr>
                <w:rFonts w:ascii="Times New Roman" w:eastAsia="宋体" w:hAnsi="Times New Roman"/>
                <w:b/>
                <w:bCs/>
                <w:color w:val="000000"/>
                <w:sz w:val="18"/>
                <w:szCs w:val="18"/>
              </w:rPr>
              <w:t>Balances at beginning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099" w14:textId="77777777" w:rsidR="007F1775" w:rsidRDefault="000F083E">
            <w:pPr>
              <w:jc w:val="right"/>
              <w:textAlignment w:val="bottom"/>
            </w:pPr>
            <w:r>
              <w:rPr>
                <w:rFonts w:ascii="Times New Roman" w:eastAsia="宋体" w:hAnsi="Times New Roman"/>
                <w:color w:val="000000"/>
                <w:sz w:val="18"/>
                <w:szCs w:val="18"/>
              </w:rPr>
              <w:t>2,741 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09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9B"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09C"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09D" w14:textId="77777777" w:rsidR="007F1775" w:rsidRDefault="000F083E">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09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9F"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0A0"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0A1" w14:textId="77777777" w:rsidR="007F1775" w:rsidRDefault="000F083E">
            <w:pPr>
              <w:jc w:val="right"/>
              <w:textAlignment w:val="bottom"/>
            </w:pPr>
            <w:r>
              <w:rPr>
                <w:rFonts w:ascii="Times New Roman" w:eastAsia="宋体" w:hAnsi="Times New Roman"/>
                <w:color w:val="000000"/>
                <w:sz w:val="18"/>
                <w:szCs w:val="18"/>
              </w:rPr>
              <w:t>55,811 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0A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A3"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0A4"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0A5" w14:textId="77777777" w:rsidR="007F1775" w:rsidRDefault="000F083E">
            <w:pPr>
              <w:jc w:val="right"/>
              <w:textAlignment w:val="bottom"/>
            </w:pPr>
            <w:r>
              <w:rPr>
                <w:rFonts w:ascii="Times New Roman" w:eastAsia="宋体" w:hAnsi="Times New Roman"/>
                <w:color w:val="000000"/>
                <w:sz w:val="18"/>
                <w:szCs w:val="18"/>
              </w:rPr>
              <w:t>(693)</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0A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A7"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0A8"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0A9" w14:textId="77777777" w:rsidR="007F1775" w:rsidRDefault="000F083E">
            <w:pPr>
              <w:jc w:val="right"/>
              <w:textAlignment w:val="bottom"/>
            </w:pPr>
            <w:r>
              <w:rPr>
                <w:rFonts w:ascii="Times New Roman" w:eastAsia="宋体" w:hAnsi="Times New Roman"/>
                <w:color w:val="000000"/>
                <w:sz w:val="18"/>
                <w:szCs w:val="18"/>
              </w:rPr>
              <w:t>69,761 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0A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AB"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0AC"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0AD" w14:textId="77777777" w:rsidR="007F1775" w:rsidRDefault="000F083E">
            <w:pPr>
              <w:jc w:val="right"/>
              <w:textAlignment w:val="bottom"/>
            </w:pPr>
            <w:r>
              <w:rPr>
                <w:rFonts w:ascii="Times New Roman" w:eastAsia="宋体" w:hAnsi="Times New Roman"/>
                <w:color w:val="000000"/>
                <w:sz w:val="18"/>
                <w:szCs w:val="18"/>
              </w:rPr>
              <w:t>124,879 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0A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AF"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0B0" w14:textId="77777777" w:rsidR="007F1775" w:rsidRDefault="000F083E">
            <w:pPr>
              <w:jc w:val="right"/>
              <w:textAlignment w:val="bottom"/>
            </w:pPr>
            <w:r>
              <w:rPr>
                <w:rFonts w:ascii="Times New Roman" w:eastAsia="宋体" w:hAnsi="Times New Roman"/>
                <w:color w:val="000000"/>
                <w:sz w:val="18"/>
                <w:szCs w:val="18"/>
              </w:rPr>
              <w:t>2,849 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0B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B2"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0B3"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0B4" w14:textId="77777777" w:rsidR="007F1775" w:rsidRDefault="000F083E">
            <w:pPr>
              <w:jc w:val="right"/>
              <w:textAlignment w:val="bottom"/>
            </w:pPr>
            <w:r>
              <w:rPr>
                <w:rFonts w:ascii="Times New Roman" w:eastAsia="宋体" w:hAnsi="Times New Roman"/>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0B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B6"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0B7"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0B8" w14:textId="77777777" w:rsidR="007F1775" w:rsidRDefault="000F083E">
            <w:pPr>
              <w:jc w:val="right"/>
              <w:textAlignment w:val="bottom"/>
            </w:pPr>
            <w:r>
              <w:rPr>
                <w:rFonts w:ascii="Times New Roman" w:eastAsia="宋体" w:hAnsi="Times New Roman"/>
                <w:color w:val="000000"/>
                <w:sz w:val="18"/>
                <w:szCs w:val="18"/>
              </w:rPr>
              <w:t>50,018 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0B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BA"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0BB"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0BC" w14:textId="77777777" w:rsidR="007F1775" w:rsidRDefault="000F083E">
            <w:pPr>
              <w:jc w:val="right"/>
              <w:textAlignment w:val="bottom"/>
            </w:pPr>
            <w:r>
              <w:rPr>
                <w:rFonts w:ascii="Times New Roman" w:eastAsia="宋体" w:hAnsi="Times New Roman"/>
                <w:color w:val="000000"/>
                <w:sz w:val="18"/>
                <w:szCs w:val="18"/>
              </w:rPr>
              <w:t>927 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0BD" w14:textId="77777777" w:rsidR="007F1775" w:rsidRDefault="007F1775">
            <w:pPr>
              <w:jc w:val="right"/>
              <w:rPr>
                <w:rFonts w:ascii="宋体"/>
              </w:rPr>
            </w:pPr>
          </w:p>
        </w:tc>
        <w:tc>
          <w:tcPr>
            <w:tcW w:w="0" w:type="auto"/>
            <w:gridSpan w:val="2"/>
            <w:shd w:val="clear" w:color="auto" w:fill="CCEEFF"/>
            <w:tcMar>
              <w:top w:w="0" w:type="dxa"/>
              <w:left w:w="20" w:type="dxa"/>
              <w:bottom w:w="0" w:type="dxa"/>
              <w:right w:w="20" w:type="dxa"/>
            </w:tcMar>
            <w:vAlign w:val="bottom"/>
          </w:tcPr>
          <w:p w14:paraId="0B2FA0BE"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0BF" w14:textId="77777777" w:rsidR="007F1775" w:rsidRDefault="000F083E">
            <w:pPr>
              <w:textAlignment w:val="bottom"/>
            </w:pPr>
            <w:r>
              <w:rPr>
                <w:rFonts w:ascii="Times New Roman" w:eastAsia="宋体" w:hAnsi="Times New Roman"/>
                <w:color w:val="000000"/>
                <w:sz w:val="18"/>
                <w:szCs w:val="18"/>
              </w:rPr>
              <w:t>$</w:t>
            </w:r>
          </w:p>
          <w:p w14:paraId="0B2FA0C0" w14:textId="77777777" w:rsidR="007F1775" w:rsidRDefault="000F083E">
            <w:pPr>
              <w:jc w:val="right"/>
              <w:textAlignment w:val="bottom"/>
            </w:pPr>
            <w:r>
              <w:rPr>
                <w:rFonts w:ascii="Times New Roman" w:eastAsia="宋体" w:hAnsi="Times New Roman"/>
                <w:color w:val="000000"/>
                <w:sz w:val="18"/>
                <w:szCs w:val="18"/>
              </w:rPr>
              <w:t>77,345 </w:t>
            </w:r>
          </w:p>
          <w:p w14:paraId="0B2FA0C1" w14:textId="77777777" w:rsidR="007F1775" w:rsidRDefault="000F083E">
            <w:pPr>
              <w:textAlignment w:val="bottom"/>
            </w:pPr>
            <w:r>
              <w:rPr>
                <w:rFonts w:ascii="Times New Roman" w:eastAsia="宋体" w:hAnsi="Times New Roman"/>
                <w:color w:val="000000"/>
                <w:sz w:val="18"/>
                <w:szCs w:val="18"/>
              </w:rPr>
              <w:t>$</w:t>
            </w:r>
          </w:p>
          <w:p w14:paraId="0B2FA0C2" w14:textId="77777777" w:rsidR="007F1775" w:rsidRDefault="000F083E">
            <w:pPr>
              <w:jc w:val="right"/>
              <w:textAlignment w:val="bottom"/>
            </w:pPr>
            <w:r>
              <w:rPr>
                <w:rFonts w:ascii="Times New Roman" w:eastAsia="宋体" w:hAnsi="Times New Roman"/>
                <w:color w:val="000000"/>
                <w:sz w:val="18"/>
                <w:szCs w:val="18"/>
              </w:rPr>
              <w:t>128,290 </w:t>
            </w:r>
          </w:p>
        </w:tc>
      </w:tr>
      <w:tr w:rsidR="000F083E" w14:paraId="0B2FA0E5" w14:textId="77777777">
        <w:trPr>
          <w:jc w:val="center"/>
        </w:trPr>
        <w:tc>
          <w:tcPr>
            <w:tcW w:w="0" w:type="auto"/>
            <w:gridSpan w:val="3"/>
            <w:shd w:val="clear" w:color="auto" w:fill="FFFFFF"/>
            <w:tcMar>
              <w:top w:w="40" w:type="dxa"/>
              <w:left w:w="200" w:type="dxa"/>
              <w:bottom w:w="40" w:type="dxa"/>
              <w:right w:w="20" w:type="dxa"/>
            </w:tcMar>
            <w:vAlign w:val="bottom"/>
          </w:tcPr>
          <w:p w14:paraId="0B2FA0C4" w14:textId="77777777" w:rsidR="007F1775" w:rsidRDefault="000F083E">
            <w:pPr>
              <w:textAlignment w:val="bottom"/>
            </w:pPr>
            <w:r>
              <w:rPr>
                <w:rFonts w:ascii="Times New Roman" w:eastAsia="宋体" w:hAnsi="Times New Roman"/>
                <w:color w:val="000000"/>
                <w:sz w:val="18"/>
                <w:szCs w:val="18"/>
              </w:rPr>
              <w:t>Issuance of common stock</w:t>
            </w:r>
          </w:p>
        </w:tc>
        <w:tc>
          <w:tcPr>
            <w:tcW w:w="0" w:type="auto"/>
            <w:gridSpan w:val="2"/>
            <w:shd w:val="clear" w:color="auto" w:fill="FFFFFF"/>
            <w:tcMar>
              <w:top w:w="40" w:type="dxa"/>
              <w:left w:w="20" w:type="dxa"/>
              <w:bottom w:w="40" w:type="dxa"/>
              <w:right w:w="0" w:type="dxa"/>
            </w:tcMar>
            <w:vAlign w:val="bottom"/>
          </w:tcPr>
          <w:p w14:paraId="0B2FA0C5" w14:textId="77777777" w:rsidR="007F1775" w:rsidRDefault="000F083E">
            <w:pPr>
              <w:jc w:val="right"/>
              <w:textAlignment w:val="bottom"/>
            </w:pPr>
            <w:r>
              <w:rPr>
                <w:rFonts w:ascii="Times New Roman" w:eastAsia="宋体" w:hAnsi="Times New Roman"/>
                <w:color w:val="000000"/>
                <w:sz w:val="18"/>
                <w:szCs w:val="18"/>
              </w:rPr>
              <w:t>11 </w:t>
            </w:r>
          </w:p>
        </w:tc>
        <w:tc>
          <w:tcPr>
            <w:tcW w:w="0" w:type="auto"/>
            <w:shd w:val="clear" w:color="auto" w:fill="FFFFFF"/>
            <w:tcMar>
              <w:top w:w="40" w:type="dxa"/>
              <w:left w:w="0" w:type="dxa"/>
              <w:bottom w:w="40" w:type="dxa"/>
              <w:right w:w="20" w:type="dxa"/>
            </w:tcMar>
            <w:vAlign w:val="bottom"/>
          </w:tcPr>
          <w:p w14:paraId="0B2FA0C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0C7"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0C8"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0C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0CA"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0CB"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0CC"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0CD"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0CE"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0CF"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0D0"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0D1"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0D2"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0D3"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0D4"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0D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0D6"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0D7" w14:textId="77777777" w:rsidR="007F1775" w:rsidRDefault="000F083E">
            <w:pPr>
              <w:jc w:val="right"/>
              <w:textAlignment w:val="bottom"/>
            </w:pPr>
            <w:r>
              <w:rPr>
                <w:rFonts w:ascii="Times New Roman" w:eastAsia="宋体" w:hAnsi="Times New Roman"/>
                <w:color w:val="000000"/>
                <w:sz w:val="18"/>
                <w:szCs w:val="18"/>
              </w:rPr>
              <w:t>11 </w:t>
            </w:r>
          </w:p>
        </w:tc>
        <w:tc>
          <w:tcPr>
            <w:tcW w:w="0" w:type="auto"/>
            <w:shd w:val="clear" w:color="auto" w:fill="FFFFFF"/>
            <w:tcMar>
              <w:top w:w="40" w:type="dxa"/>
              <w:left w:w="0" w:type="dxa"/>
              <w:bottom w:w="40" w:type="dxa"/>
              <w:right w:w="20" w:type="dxa"/>
            </w:tcMar>
            <w:vAlign w:val="bottom"/>
          </w:tcPr>
          <w:p w14:paraId="0B2FA0D8"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0D9"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0DA"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0D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0DC"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0DD"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0D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0D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0E0"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0E1" w14:textId="77777777" w:rsidR="007F1775" w:rsidRDefault="007F1775">
            <w:pPr>
              <w:jc w:val="right"/>
              <w:rPr>
                <w:rFonts w:ascii="宋体"/>
              </w:rPr>
            </w:pPr>
          </w:p>
        </w:tc>
        <w:tc>
          <w:tcPr>
            <w:tcW w:w="0" w:type="auto"/>
            <w:gridSpan w:val="2"/>
            <w:shd w:val="clear" w:color="auto" w:fill="FFFFFF"/>
            <w:tcMar>
              <w:top w:w="0" w:type="dxa"/>
              <w:left w:w="20" w:type="dxa"/>
              <w:bottom w:w="0" w:type="dxa"/>
              <w:right w:w="20" w:type="dxa"/>
            </w:tcMar>
            <w:vAlign w:val="bottom"/>
          </w:tcPr>
          <w:p w14:paraId="0B2FA0E2"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0E3" w14:textId="77777777" w:rsidR="007F1775" w:rsidRDefault="000F083E">
            <w:pPr>
              <w:jc w:val="right"/>
              <w:textAlignment w:val="bottom"/>
            </w:pPr>
            <w:r>
              <w:rPr>
                <w:rFonts w:ascii="Times New Roman" w:eastAsia="宋体" w:hAnsi="Times New Roman"/>
                <w:color w:val="000000"/>
                <w:sz w:val="18"/>
                <w:szCs w:val="18"/>
              </w:rPr>
              <w:t>— </w:t>
            </w:r>
          </w:p>
          <w:p w14:paraId="0B2FA0E4" w14:textId="77777777" w:rsidR="007F1775" w:rsidRDefault="000F083E">
            <w:pPr>
              <w:jc w:val="right"/>
              <w:textAlignment w:val="bottom"/>
            </w:pPr>
            <w:r>
              <w:rPr>
                <w:rFonts w:ascii="Times New Roman" w:eastAsia="宋体" w:hAnsi="Times New Roman"/>
                <w:color w:val="000000"/>
                <w:sz w:val="18"/>
                <w:szCs w:val="18"/>
              </w:rPr>
              <w:t>— </w:t>
            </w:r>
          </w:p>
        </w:tc>
      </w:tr>
      <w:tr w:rsidR="000F083E" w14:paraId="0B2FA107" w14:textId="77777777">
        <w:trPr>
          <w:jc w:val="center"/>
        </w:trPr>
        <w:tc>
          <w:tcPr>
            <w:tcW w:w="0" w:type="auto"/>
            <w:gridSpan w:val="3"/>
            <w:shd w:val="clear" w:color="auto" w:fill="CCEEFF"/>
            <w:tcMar>
              <w:top w:w="40" w:type="dxa"/>
              <w:left w:w="200" w:type="dxa"/>
              <w:bottom w:w="40" w:type="dxa"/>
              <w:right w:w="20" w:type="dxa"/>
            </w:tcMar>
            <w:vAlign w:val="bottom"/>
          </w:tcPr>
          <w:p w14:paraId="0B2FA0E6" w14:textId="77777777" w:rsidR="007F1775" w:rsidRDefault="000F083E">
            <w:pPr>
              <w:textAlignment w:val="bottom"/>
            </w:pPr>
            <w:r>
              <w:rPr>
                <w:rFonts w:ascii="Times New Roman" w:eastAsia="宋体" w:hAnsi="Times New Roman"/>
                <w:color w:val="000000"/>
                <w:sz w:val="18"/>
                <w:szCs w:val="18"/>
              </w:rPr>
              <w:t>Shares withheld related to net share settlement</w:t>
            </w:r>
          </w:p>
        </w:tc>
        <w:tc>
          <w:tcPr>
            <w:tcW w:w="0" w:type="auto"/>
            <w:gridSpan w:val="2"/>
            <w:shd w:val="clear" w:color="auto" w:fill="CCEEFF"/>
            <w:tcMar>
              <w:top w:w="40" w:type="dxa"/>
              <w:left w:w="20" w:type="dxa"/>
              <w:bottom w:w="40" w:type="dxa"/>
              <w:right w:w="0" w:type="dxa"/>
            </w:tcMar>
            <w:vAlign w:val="bottom"/>
          </w:tcPr>
          <w:p w14:paraId="0B2FA0E7" w14:textId="77777777" w:rsidR="007F1775" w:rsidRDefault="000F083E">
            <w:pPr>
              <w:jc w:val="right"/>
              <w:textAlignment w:val="bottom"/>
            </w:pPr>
            <w:r>
              <w:rPr>
                <w:rFonts w:ascii="Times New Roman" w:eastAsia="宋体" w:hAnsi="Times New Roman"/>
                <w:color w:val="000000"/>
                <w:sz w:val="18"/>
                <w:szCs w:val="18"/>
              </w:rPr>
              <w:t>(4)</w:t>
            </w:r>
          </w:p>
        </w:tc>
        <w:tc>
          <w:tcPr>
            <w:tcW w:w="0" w:type="auto"/>
            <w:shd w:val="clear" w:color="auto" w:fill="CCEEFF"/>
            <w:tcMar>
              <w:top w:w="40" w:type="dxa"/>
              <w:left w:w="0" w:type="dxa"/>
              <w:bottom w:w="40" w:type="dxa"/>
              <w:right w:w="20" w:type="dxa"/>
            </w:tcMar>
            <w:vAlign w:val="bottom"/>
          </w:tcPr>
          <w:p w14:paraId="0B2FA0E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E9"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0EA"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0EB"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EC"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0ED" w14:textId="77777777" w:rsidR="007F1775" w:rsidRDefault="000F083E">
            <w:pPr>
              <w:jc w:val="right"/>
              <w:textAlignment w:val="bottom"/>
            </w:pPr>
            <w:r>
              <w:rPr>
                <w:rFonts w:ascii="Times New Roman" w:eastAsia="宋体" w:hAnsi="Times New Roman"/>
                <w:color w:val="000000"/>
                <w:sz w:val="18"/>
                <w:szCs w:val="18"/>
              </w:rPr>
              <w:t>(797)</w:t>
            </w:r>
          </w:p>
        </w:tc>
        <w:tc>
          <w:tcPr>
            <w:tcW w:w="0" w:type="auto"/>
            <w:shd w:val="clear" w:color="auto" w:fill="CCEEFF"/>
            <w:tcMar>
              <w:top w:w="40" w:type="dxa"/>
              <w:left w:w="0" w:type="dxa"/>
              <w:bottom w:w="40" w:type="dxa"/>
              <w:right w:w="20" w:type="dxa"/>
            </w:tcMar>
            <w:vAlign w:val="bottom"/>
          </w:tcPr>
          <w:p w14:paraId="0B2FA0E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EF"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0F0"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0F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F2"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0F3" w14:textId="77777777" w:rsidR="007F1775" w:rsidRDefault="000F083E">
            <w:pPr>
              <w:jc w:val="right"/>
              <w:textAlignment w:val="bottom"/>
            </w:pPr>
            <w:r>
              <w:rPr>
                <w:rFonts w:ascii="Times New Roman" w:eastAsia="宋体" w:hAnsi="Times New Roman"/>
                <w:color w:val="000000"/>
                <w:sz w:val="18"/>
                <w:szCs w:val="18"/>
              </w:rPr>
              <w:t>(128)</w:t>
            </w:r>
          </w:p>
        </w:tc>
        <w:tc>
          <w:tcPr>
            <w:tcW w:w="0" w:type="auto"/>
            <w:shd w:val="clear" w:color="auto" w:fill="CCEEFF"/>
            <w:tcMar>
              <w:top w:w="40" w:type="dxa"/>
              <w:left w:w="0" w:type="dxa"/>
              <w:bottom w:w="40" w:type="dxa"/>
              <w:right w:w="20" w:type="dxa"/>
            </w:tcMar>
            <w:vAlign w:val="bottom"/>
          </w:tcPr>
          <w:p w14:paraId="0B2FA0F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F5"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0F6" w14:textId="77777777" w:rsidR="007F1775" w:rsidRDefault="000F083E">
            <w:pPr>
              <w:jc w:val="right"/>
              <w:textAlignment w:val="bottom"/>
            </w:pPr>
            <w:r>
              <w:rPr>
                <w:rFonts w:ascii="Times New Roman" w:eastAsia="宋体" w:hAnsi="Times New Roman"/>
                <w:color w:val="000000"/>
                <w:sz w:val="18"/>
                <w:szCs w:val="18"/>
              </w:rPr>
              <w:t>(925)</w:t>
            </w:r>
          </w:p>
        </w:tc>
        <w:tc>
          <w:tcPr>
            <w:tcW w:w="0" w:type="auto"/>
            <w:shd w:val="clear" w:color="auto" w:fill="CCEEFF"/>
            <w:tcMar>
              <w:top w:w="40" w:type="dxa"/>
              <w:left w:w="0" w:type="dxa"/>
              <w:bottom w:w="40" w:type="dxa"/>
              <w:right w:w="20" w:type="dxa"/>
            </w:tcMar>
            <w:vAlign w:val="bottom"/>
          </w:tcPr>
          <w:p w14:paraId="0B2FA0F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F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0F9" w14:textId="77777777" w:rsidR="007F1775" w:rsidRDefault="000F083E">
            <w:pPr>
              <w:jc w:val="right"/>
              <w:textAlignment w:val="bottom"/>
            </w:pPr>
            <w:r>
              <w:rPr>
                <w:rFonts w:ascii="Times New Roman" w:eastAsia="宋体" w:hAnsi="Times New Roman"/>
                <w:color w:val="000000"/>
                <w:sz w:val="18"/>
                <w:szCs w:val="18"/>
              </w:rPr>
              <w:t>(4)</w:t>
            </w:r>
          </w:p>
        </w:tc>
        <w:tc>
          <w:tcPr>
            <w:tcW w:w="0" w:type="auto"/>
            <w:shd w:val="clear" w:color="auto" w:fill="CCEEFF"/>
            <w:tcMar>
              <w:top w:w="40" w:type="dxa"/>
              <w:left w:w="0" w:type="dxa"/>
              <w:bottom w:w="40" w:type="dxa"/>
              <w:right w:w="20" w:type="dxa"/>
            </w:tcMar>
            <w:vAlign w:val="bottom"/>
          </w:tcPr>
          <w:p w14:paraId="0B2FA0F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FB"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0FC"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0F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0F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0FF" w14:textId="77777777" w:rsidR="007F1775" w:rsidRDefault="000F083E">
            <w:pPr>
              <w:jc w:val="right"/>
              <w:textAlignment w:val="bottom"/>
            </w:pPr>
            <w:r>
              <w:rPr>
                <w:rFonts w:ascii="Times New Roman" w:eastAsia="宋体" w:hAnsi="Times New Roman"/>
                <w:color w:val="000000"/>
                <w:sz w:val="18"/>
                <w:szCs w:val="18"/>
              </w:rPr>
              <w:t>(688)</w:t>
            </w:r>
          </w:p>
        </w:tc>
        <w:tc>
          <w:tcPr>
            <w:tcW w:w="0" w:type="auto"/>
            <w:shd w:val="clear" w:color="auto" w:fill="CCEEFF"/>
            <w:tcMar>
              <w:top w:w="40" w:type="dxa"/>
              <w:left w:w="0" w:type="dxa"/>
              <w:bottom w:w="40" w:type="dxa"/>
              <w:right w:w="20" w:type="dxa"/>
            </w:tcMar>
            <w:vAlign w:val="bottom"/>
          </w:tcPr>
          <w:p w14:paraId="0B2FA10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01"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02"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03" w14:textId="77777777" w:rsidR="007F1775" w:rsidRDefault="007F1775">
            <w:pPr>
              <w:jc w:val="right"/>
              <w:rPr>
                <w:rFonts w:ascii="宋体"/>
              </w:rPr>
            </w:pPr>
          </w:p>
        </w:tc>
        <w:tc>
          <w:tcPr>
            <w:tcW w:w="0" w:type="auto"/>
            <w:gridSpan w:val="2"/>
            <w:shd w:val="clear" w:color="auto" w:fill="CCEEFF"/>
            <w:tcMar>
              <w:top w:w="0" w:type="dxa"/>
              <w:left w:w="20" w:type="dxa"/>
              <w:bottom w:w="0" w:type="dxa"/>
              <w:right w:w="20" w:type="dxa"/>
            </w:tcMar>
            <w:vAlign w:val="bottom"/>
          </w:tcPr>
          <w:p w14:paraId="0B2FA104"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105" w14:textId="77777777" w:rsidR="007F1775" w:rsidRDefault="000F083E">
            <w:pPr>
              <w:jc w:val="right"/>
              <w:textAlignment w:val="bottom"/>
            </w:pPr>
            <w:r>
              <w:rPr>
                <w:rFonts w:ascii="Times New Roman" w:eastAsia="宋体" w:hAnsi="Times New Roman"/>
                <w:color w:val="000000"/>
                <w:sz w:val="18"/>
                <w:szCs w:val="18"/>
              </w:rPr>
              <w:t>(389)</w:t>
            </w:r>
          </w:p>
          <w:p w14:paraId="0B2FA106" w14:textId="77777777" w:rsidR="007F1775" w:rsidRDefault="000F083E">
            <w:pPr>
              <w:jc w:val="right"/>
              <w:textAlignment w:val="bottom"/>
            </w:pPr>
            <w:r>
              <w:rPr>
                <w:rFonts w:ascii="Times New Roman" w:eastAsia="宋体" w:hAnsi="Times New Roman"/>
                <w:color w:val="000000"/>
                <w:sz w:val="18"/>
                <w:szCs w:val="18"/>
              </w:rPr>
              <w:t>(1,077)</w:t>
            </w:r>
          </w:p>
        </w:tc>
      </w:tr>
      <w:tr w:rsidR="000F083E" w14:paraId="0B2FA129" w14:textId="77777777">
        <w:trPr>
          <w:jc w:val="center"/>
        </w:trPr>
        <w:tc>
          <w:tcPr>
            <w:tcW w:w="0" w:type="auto"/>
            <w:gridSpan w:val="3"/>
            <w:shd w:val="clear" w:color="auto" w:fill="FFFFFF"/>
            <w:tcMar>
              <w:top w:w="40" w:type="dxa"/>
              <w:left w:w="200" w:type="dxa"/>
              <w:bottom w:w="40" w:type="dxa"/>
              <w:right w:w="20" w:type="dxa"/>
            </w:tcMar>
            <w:vAlign w:val="bottom"/>
          </w:tcPr>
          <w:p w14:paraId="0B2FA108" w14:textId="77777777" w:rsidR="007F1775" w:rsidRDefault="000F083E">
            <w:pPr>
              <w:textAlignment w:val="bottom"/>
            </w:pPr>
            <w:r>
              <w:rPr>
                <w:rFonts w:ascii="Times New Roman" w:eastAsia="宋体" w:hAnsi="Times New Roman"/>
                <w:color w:val="000000"/>
                <w:sz w:val="18"/>
                <w:szCs w:val="18"/>
              </w:rPr>
              <w:t>Share-based compensation</w:t>
            </w:r>
          </w:p>
        </w:tc>
        <w:tc>
          <w:tcPr>
            <w:tcW w:w="0" w:type="auto"/>
            <w:gridSpan w:val="2"/>
            <w:shd w:val="clear" w:color="auto" w:fill="FFFFFF"/>
            <w:tcMar>
              <w:top w:w="40" w:type="dxa"/>
              <w:left w:w="20" w:type="dxa"/>
              <w:bottom w:w="40" w:type="dxa"/>
              <w:right w:w="0" w:type="dxa"/>
            </w:tcMar>
            <w:vAlign w:val="bottom"/>
          </w:tcPr>
          <w:p w14:paraId="0B2FA109"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0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0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0C"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0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0E"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0F" w14:textId="77777777" w:rsidR="007F1775" w:rsidRDefault="000F083E">
            <w:pPr>
              <w:jc w:val="right"/>
              <w:textAlignment w:val="bottom"/>
            </w:pPr>
            <w:r>
              <w:rPr>
                <w:rFonts w:ascii="Times New Roman" w:eastAsia="宋体" w:hAnsi="Times New Roman"/>
                <w:color w:val="000000"/>
                <w:sz w:val="18"/>
                <w:szCs w:val="18"/>
              </w:rPr>
              <w:t>2,498 </w:t>
            </w:r>
          </w:p>
        </w:tc>
        <w:tc>
          <w:tcPr>
            <w:tcW w:w="0" w:type="auto"/>
            <w:shd w:val="clear" w:color="auto" w:fill="FFFFFF"/>
            <w:tcMar>
              <w:top w:w="40" w:type="dxa"/>
              <w:left w:w="0" w:type="dxa"/>
              <w:bottom w:w="40" w:type="dxa"/>
              <w:right w:w="20" w:type="dxa"/>
            </w:tcMar>
            <w:vAlign w:val="bottom"/>
          </w:tcPr>
          <w:p w14:paraId="0B2FA11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1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12"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1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14"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15"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1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17"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18" w14:textId="77777777" w:rsidR="007F1775" w:rsidRDefault="000F083E">
            <w:pPr>
              <w:jc w:val="right"/>
              <w:textAlignment w:val="bottom"/>
            </w:pPr>
            <w:r>
              <w:rPr>
                <w:rFonts w:ascii="Times New Roman" w:eastAsia="宋体" w:hAnsi="Times New Roman"/>
                <w:color w:val="000000"/>
                <w:sz w:val="18"/>
                <w:szCs w:val="18"/>
              </w:rPr>
              <w:t>2,498 </w:t>
            </w:r>
          </w:p>
        </w:tc>
        <w:tc>
          <w:tcPr>
            <w:tcW w:w="0" w:type="auto"/>
            <w:shd w:val="clear" w:color="auto" w:fill="FFFFFF"/>
            <w:tcMar>
              <w:top w:w="40" w:type="dxa"/>
              <w:left w:w="0" w:type="dxa"/>
              <w:bottom w:w="40" w:type="dxa"/>
              <w:right w:w="20" w:type="dxa"/>
            </w:tcMar>
            <w:vAlign w:val="bottom"/>
          </w:tcPr>
          <w:p w14:paraId="0B2FA11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1A"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1B"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1C"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1D"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1E"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1F"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20"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21" w14:textId="77777777" w:rsidR="007F1775" w:rsidRDefault="000F083E">
            <w:pPr>
              <w:jc w:val="right"/>
              <w:textAlignment w:val="bottom"/>
            </w:pPr>
            <w:r>
              <w:rPr>
                <w:rFonts w:ascii="Times New Roman" w:eastAsia="宋体" w:hAnsi="Times New Roman"/>
                <w:color w:val="000000"/>
                <w:sz w:val="18"/>
                <w:szCs w:val="18"/>
              </w:rPr>
              <w:t>1,830 </w:t>
            </w:r>
          </w:p>
        </w:tc>
        <w:tc>
          <w:tcPr>
            <w:tcW w:w="0" w:type="auto"/>
            <w:shd w:val="clear" w:color="auto" w:fill="FFFFFF"/>
            <w:tcMar>
              <w:top w:w="40" w:type="dxa"/>
              <w:left w:w="0" w:type="dxa"/>
              <w:bottom w:w="40" w:type="dxa"/>
              <w:right w:w="20" w:type="dxa"/>
            </w:tcMar>
            <w:vAlign w:val="bottom"/>
          </w:tcPr>
          <w:p w14:paraId="0B2FA122"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23"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24"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25" w14:textId="77777777" w:rsidR="007F1775" w:rsidRDefault="007F1775">
            <w:pPr>
              <w:jc w:val="right"/>
              <w:rPr>
                <w:rFonts w:ascii="宋体"/>
              </w:rPr>
            </w:pPr>
          </w:p>
        </w:tc>
        <w:tc>
          <w:tcPr>
            <w:tcW w:w="0" w:type="auto"/>
            <w:gridSpan w:val="2"/>
            <w:shd w:val="clear" w:color="auto" w:fill="FFFFFF"/>
            <w:tcMar>
              <w:top w:w="0" w:type="dxa"/>
              <w:left w:w="20" w:type="dxa"/>
              <w:bottom w:w="0" w:type="dxa"/>
              <w:right w:w="20" w:type="dxa"/>
            </w:tcMar>
            <w:vAlign w:val="bottom"/>
          </w:tcPr>
          <w:p w14:paraId="0B2FA126"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127" w14:textId="77777777" w:rsidR="007F1775" w:rsidRDefault="000F083E">
            <w:pPr>
              <w:jc w:val="right"/>
              <w:textAlignment w:val="bottom"/>
            </w:pPr>
            <w:r>
              <w:rPr>
                <w:rFonts w:ascii="Times New Roman" w:eastAsia="宋体" w:hAnsi="Times New Roman"/>
                <w:color w:val="000000"/>
                <w:sz w:val="18"/>
                <w:szCs w:val="18"/>
              </w:rPr>
              <w:t>— </w:t>
            </w:r>
          </w:p>
          <w:p w14:paraId="0B2FA128" w14:textId="77777777" w:rsidR="007F1775" w:rsidRDefault="000F083E">
            <w:pPr>
              <w:jc w:val="right"/>
              <w:textAlignment w:val="bottom"/>
            </w:pPr>
            <w:r>
              <w:rPr>
                <w:rFonts w:ascii="Times New Roman" w:eastAsia="宋体" w:hAnsi="Times New Roman"/>
                <w:color w:val="000000"/>
                <w:sz w:val="18"/>
                <w:szCs w:val="18"/>
              </w:rPr>
              <w:t>1,830 </w:t>
            </w:r>
          </w:p>
        </w:tc>
      </w:tr>
      <w:tr w:rsidR="000F083E" w14:paraId="0B2FA14B" w14:textId="77777777">
        <w:trPr>
          <w:jc w:val="center"/>
        </w:trPr>
        <w:tc>
          <w:tcPr>
            <w:tcW w:w="0" w:type="auto"/>
            <w:gridSpan w:val="3"/>
            <w:shd w:val="clear" w:color="auto" w:fill="CCEEFF"/>
            <w:tcMar>
              <w:top w:w="40" w:type="dxa"/>
              <w:left w:w="200" w:type="dxa"/>
              <w:bottom w:w="40" w:type="dxa"/>
              <w:right w:w="20" w:type="dxa"/>
            </w:tcMar>
            <w:vAlign w:val="bottom"/>
          </w:tcPr>
          <w:p w14:paraId="0B2FA12A" w14:textId="77777777" w:rsidR="007F1775" w:rsidRDefault="000F083E">
            <w:pPr>
              <w:textAlignment w:val="bottom"/>
            </w:pPr>
            <w:r>
              <w:rPr>
                <w:rFonts w:ascii="Times New Roman" w:eastAsia="宋体" w:hAnsi="Times New Roman"/>
                <w:color w:val="000000"/>
                <w:sz w:val="18"/>
                <w:szCs w:val="18"/>
              </w:rPr>
              <w:t>Share repurchases</w:t>
            </w:r>
          </w:p>
        </w:tc>
        <w:tc>
          <w:tcPr>
            <w:tcW w:w="0" w:type="auto"/>
            <w:gridSpan w:val="2"/>
            <w:shd w:val="clear" w:color="auto" w:fill="CCEEFF"/>
            <w:tcMar>
              <w:top w:w="40" w:type="dxa"/>
              <w:left w:w="20" w:type="dxa"/>
              <w:bottom w:w="40" w:type="dxa"/>
              <w:right w:w="0" w:type="dxa"/>
            </w:tcMar>
            <w:vAlign w:val="bottom"/>
          </w:tcPr>
          <w:p w14:paraId="0B2FA12B" w14:textId="77777777" w:rsidR="007F1775" w:rsidRDefault="000F083E">
            <w:pPr>
              <w:jc w:val="right"/>
              <w:textAlignment w:val="bottom"/>
            </w:pPr>
            <w:r>
              <w:rPr>
                <w:rFonts w:ascii="Times New Roman" w:eastAsia="宋体" w:hAnsi="Times New Roman"/>
                <w:color w:val="000000"/>
                <w:sz w:val="18"/>
                <w:szCs w:val="18"/>
              </w:rPr>
              <w:t>(34)</w:t>
            </w:r>
          </w:p>
        </w:tc>
        <w:tc>
          <w:tcPr>
            <w:tcW w:w="0" w:type="auto"/>
            <w:shd w:val="clear" w:color="auto" w:fill="CCEEFF"/>
            <w:tcMar>
              <w:top w:w="40" w:type="dxa"/>
              <w:left w:w="0" w:type="dxa"/>
              <w:bottom w:w="40" w:type="dxa"/>
              <w:right w:w="20" w:type="dxa"/>
            </w:tcMar>
            <w:vAlign w:val="bottom"/>
          </w:tcPr>
          <w:p w14:paraId="0B2FA12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2D"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2E"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2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30"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31"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3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33"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34"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3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36"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37" w14:textId="77777777" w:rsidR="007F1775" w:rsidRDefault="000F083E">
            <w:pPr>
              <w:jc w:val="right"/>
              <w:textAlignment w:val="bottom"/>
            </w:pPr>
            <w:r>
              <w:rPr>
                <w:rFonts w:ascii="Times New Roman" w:eastAsia="宋体" w:hAnsi="Times New Roman"/>
                <w:color w:val="000000"/>
                <w:sz w:val="18"/>
                <w:szCs w:val="18"/>
              </w:rPr>
              <w:t>(9,386)</w:t>
            </w:r>
          </w:p>
        </w:tc>
        <w:tc>
          <w:tcPr>
            <w:tcW w:w="0" w:type="auto"/>
            <w:shd w:val="clear" w:color="auto" w:fill="CCEEFF"/>
            <w:tcMar>
              <w:top w:w="40" w:type="dxa"/>
              <w:left w:w="0" w:type="dxa"/>
              <w:bottom w:w="40" w:type="dxa"/>
              <w:right w:w="20" w:type="dxa"/>
            </w:tcMar>
            <w:vAlign w:val="bottom"/>
          </w:tcPr>
          <w:p w14:paraId="0B2FA13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39"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3A" w14:textId="77777777" w:rsidR="007F1775" w:rsidRDefault="000F083E">
            <w:pPr>
              <w:jc w:val="right"/>
              <w:textAlignment w:val="bottom"/>
            </w:pPr>
            <w:r>
              <w:rPr>
                <w:rFonts w:ascii="Times New Roman" w:eastAsia="宋体" w:hAnsi="Times New Roman"/>
                <w:color w:val="000000"/>
                <w:sz w:val="18"/>
                <w:szCs w:val="18"/>
              </w:rPr>
              <w:t>(9,386)</w:t>
            </w:r>
          </w:p>
        </w:tc>
        <w:tc>
          <w:tcPr>
            <w:tcW w:w="0" w:type="auto"/>
            <w:shd w:val="clear" w:color="auto" w:fill="CCEEFF"/>
            <w:tcMar>
              <w:top w:w="40" w:type="dxa"/>
              <w:left w:w="0" w:type="dxa"/>
              <w:bottom w:w="40" w:type="dxa"/>
              <w:right w:w="20" w:type="dxa"/>
            </w:tcMar>
            <w:vAlign w:val="bottom"/>
          </w:tcPr>
          <w:p w14:paraId="0B2FA13B"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3C"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3D" w14:textId="77777777" w:rsidR="007F1775" w:rsidRDefault="000F083E">
            <w:pPr>
              <w:jc w:val="right"/>
              <w:textAlignment w:val="bottom"/>
            </w:pPr>
            <w:r>
              <w:rPr>
                <w:rFonts w:ascii="Times New Roman" w:eastAsia="宋体" w:hAnsi="Times New Roman"/>
                <w:color w:val="000000"/>
                <w:sz w:val="18"/>
                <w:szCs w:val="18"/>
              </w:rPr>
              <w:t>(15)</w:t>
            </w:r>
          </w:p>
        </w:tc>
        <w:tc>
          <w:tcPr>
            <w:tcW w:w="0" w:type="auto"/>
            <w:shd w:val="clear" w:color="auto" w:fill="CCEEFF"/>
            <w:tcMar>
              <w:top w:w="40" w:type="dxa"/>
              <w:left w:w="0" w:type="dxa"/>
              <w:bottom w:w="40" w:type="dxa"/>
              <w:right w:w="20" w:type="dxa"/>
            </w:tcMar>
            <w:vAlign w:val="bottom"/>
          </w:tcPr>
          <w:p w14:paraId="0B2FA13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3F"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40"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4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42"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43"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4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45"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46"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47" w14:textId="77777777" w:rsidR="007F1775" w:rsidRDefault="007F1775">
            <w:pPr>
              <w:jc w:val="right"/>
              <w:rPr>
                <w:rFonts w:ascii="宋体"/>
              </w:rPr>
            </w:pPr>
          </w:p>
        </w:tc>
        <w:tc>
          <w:tcPr>
            <w:tcW w:w="0" w:type="auto"/>
            <w:gridSpan w:val="2"/>
            <w:shd w:val="clear" w:color="auto" w:fill="CCEEFF"/>
            <w:tcMar>
              <w:top w:w="0" w:type="dxa"/>
              <w:left w:w="20" w:type="dxa"/>
              <w:bottom w:w="0" w:type="dxa"/>
              <w:right w:w="20" w:type="dxa"/>
            </w:tcMar>
            <w:vAlign w:val="bottom"/>
          </w:tcPr>
          <w:p w14:paraId="0B2FA148"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149" w14:textId="77777777" w:rsidR="007F1775" w:rsidRDefault="000F083E">
            <w:pPr>
              <w:jc w:val="right"/>
              <w:textAlignment w:val="bottom"/>
            </w:pPr>
            <w:r>
              <w:rPr>
                <w:rFonts w:ascii="Times New Roman" w:eastAsia="宋体" w:hAnsi="Times New Roman"/>
                <w:color w:val="000000"/>
                <w:sz w:val="18"/>
                <w:szCs w:val="18"/>
              </w:rPr>
              <w:t>(4,110)</w:t>
            </w:r>
          </w:p>
          <w:p w14:paraId="0B2FA14A" w14:textId="77777777" w:rsidR="007F1775" w:rsidRDefault="000F083E">
            <w:pPr>
              <w:jc w:val="right"/>
              <w:textAlignment w:val="bottom"/>
            </w:pPr>
            <w:r>
              <w:rPr>
                <w:rFonts w:ascii="Times New Roman" w:eastAsia="宋体" w:hAnsi="Times New Roman"/>
                <w:color w:val="000000"/>
                <w:sz w:val="18"/>
                <w:szCs w:val="18"/>
              </w:rPr>
              <w:t>(4,110)</w:t>
            </w:r>
          </w:p>
        </w:tc>
      </w:tr>
      <w:tr w:rsidR="000F083E" w14:paraId="0B2FA16D" w14:textId="77777777">
        <w:trPr>
          <w:jc w:val="center"/>
        </w:trPr>
        <w:tc>
          <w:tcPr>
            <w:tcW w:w="0" w:type="auto"/>
            <w:gridSpan w:val="3"/>
            <w:shd w:val="clear" w:color="auto" w:fill="FFFFFF"/>
            <w:tcMar>
              <w:top w:w="40" w:type="dxa"/>
              <w:left w:w="200" w:type="dxa"/>
              <w:bottom w:w="40" w:type="dxa"/>
              <w:right w:w="20" w:type="dxa"/>
            </w:tcMar>
            <w:vAlign w:val="bottom"/>
          </w:tcPr>
          <w:p w14:paraId="0B2FA14C" w14:textId="77777777" w:rsidR="007F1775" w:rsidRDefault="000F083E">
            <w:pPr>
              <w:textAlignment w:val="bottom"/>
            </w:pPr>
            <w:r>
              <w:rPr>
                <w:rFonts w:ascii="Times New Roman" w:eastAsia="宋体" w:hAnsi="Times New Roman"/>
                <w:color w:val="000000"/>
                <w:sz w:val="18"/>
                <w:szCs w:val="18"/>
              </w:rPr>
              <w:t>Other comprehensive loss</w:t>
            </w:r>
          </w:p>
        </w:tc>
        <w:tc>
          <w:tcPr>
            <w:tcW w:w="0" w:type="auto"/>
            <w:gridSpan w:val="2"/>
            <w:shd w:val="clear" w:color="auto" w:fill="FFFFFF"/>
            <w:tcMar>
              <w:top w:w="40" w:type="dxa"/>
              <w:left w:w="20" w:type="dxa"/>
              <w:bottom w:w="40" w:type="dxa"/>
              <w:right w:w="0" w:type="dxa"/>
            </w:tcMar>
            <w:vAlign w:val="bottom"/>
          </w:tcPr>
          <w:p w14:paraId="0B2FA14D"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4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4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50"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5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52"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53"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5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5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56" w14:textId="77777777" w:rsidR="007F1775" w:rsidRDefault="000F083E">
            <w:pPr>
              <w:jc w:val="right"/>
              <w:textAlignment w:val="bottom"/>
            </w:pPr>
            <w:r>
              <w:rPr>
                <w:rFonts w:ascii="Times New Roman" w:eastAsia="宋体" w:hAnsi="Times New Roman"/>
                <w:color w:val="000000"/>
                <w:sz w:val="18"/>
                <w:szCs w:val="18"/>
              </w:rPr>
              <w:t>(1,303)</w:t>
            </w:r>
          </w:p>
        </w:tc>
        <w:tc>
          <w:tcPr>
            <w:tcW w:w="0" w:type="auto"/>
            <w:shd w:val="clear" w:color="auto" w:fill="FFFFFF"/>
            <w:tcMar>
              <w:top w:w="40" w:type="dxa"/>
              <w:left w:w="0" w:type="dxa"/>
              <w:bottom w:w="40" w:type="dxa"/>
              <w:right w:w="20" w:type="dxa"/>
            </w:tcMar>
            <w:vAlign w:val="bottom"/>
          </w:tcPr>
          <w:p w14:paraId="0B2FA15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5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59"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5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5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5C" w14:textId="77777777" w:rsidR="007F1775" w:rsidRDefault="000F083E">
            <w:pPr>
              <w:jc w:val="right"/>
              <w:textAlignment w:val="bottom"/>
            </w:pPr>
            <w:r>
              <w:rPr>
                <w:rFonts w:ascii="Times New Roman" w:eastAsia="宋体" w:hAnsi="Times New Roman"/>
                <w:color w:val="000000"/>
                <w:sz w:val="18"/>
                <w:szCs w:val="18"/>
              </w:rPr>
              <w:t>(1,303)</w:t>
            </w:r>
          </w:p>
        </w:tc>
        <w:tc>
          <w:tcPr>
            <w:tcW w:w="0" w:type="auto"/>
            <w:shd w:val="clear" w:color="auto" w:fill="FFFFFF"/>
            <w:tcMar>
              <w:top w:w="40" w:type="dxa"/>
              <w:left w:w="0" w:type="dxa"/>
              <w:bottom w:w="40" w:type="dxa"/>
              <w:right w:w="20" w:type="dxa"/>
            </w:tcMar>
            <w:vAlign w:val="bottom"/>
          </w:tcPr>
          <w:p w14:paraId="0B2FA15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5E"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5F"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6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6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62"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6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64"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65"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B2FA16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67"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168" w14:textId="77777777" w:rsidR="007F1775" w:rsidRDefault="000F083E">
            <w:pPr>
              <w:jc w:val="right"/>
              <w:textAlignment w:val="bottom"/>
            </w:pPr>
            <w:r>
              <w:rPr>
                <w:rFonts w:ascii="Times New Roman" w:eastAsia="宋体" w:hAnsi="Times New Roman"/>
                <w:color w:val="000000"/>
                <w:sz w:val="18"/>
                <w:szCs w:val="18"/>
              </w:rPr>
              <w:t>(773)</w:t>
            </w:r>
          </w:p>
        </w:tc>
        <w:tc>
          <w:tcPr>
            <w:tcW w:w="0" w:type="auto"/>
            <w:shd w:val="clear" w:color="auto" w:fill="FFFFFF"/>
            <w:tcMar>
              <w:top w:w="40" w:type="dxa"/>
              <w:left w:w="0" w:type="dxa"/>
              <w:bottom w:w="40" w:type="dxa"/>
              <w:right w:w="20" w:type="dxa"/>
            </w:tcMar>
            <w:vAlign w:val="bottom"/>
          </w:tcPr>
          <w:p w14:paraId="0B2FA169" w14:textId="77777777" w:rsidR="007F1775" w:rsidRDefault="007F1775">
            <w:pPr>
              <w:jc w:val="right"/>
              <w:rPr>
                <w:rFonts w:ascii="宋体"/>
              </w:rPr>
            </w:pPr>
          </w:p>
        </w:tc>
        <w:tc>
          <w:tcPr>
            <w:tcW w:w="0" w:type="auto"/>
            <w:gridSpan w:val="2"/>
            <w:shd w:val="clear" w:color="auto" w:fill="FFFFFF"/>
            <w:tcMar>
              <w:top w:w="0" w:type="dxa"/>
              <w:left w:w="20" w:type="dxa"/>
              <w:bottom w:w="0" w:type="dxa"/>
              <w:right w:w="20" w:type="dxa"/>
            </w:tcMar>
            <w:vAlign w:val="bottom"/>
          </w:tcPr>
          <w:p w14:paraId="0B2FA16A"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16B" w14:textId="77777777" w:rsidR="007F1775" w:rsidRDefault="000F083E">
            <w:pPr>
              <w:jc w:val="right"/>
              <w:textAlignment w:val="bottom"/>
            </w:pPr>
            <w:r>
              <w:rPr>
                <w:rFonts w:ascii="Times New Roman" w:eastAsia="宋体" w:hAnsi="Times New Roman"/>
                <w:color w:val="000000"/>
                <w:sz w:val="18"/>
                <w:szCs w:val="18"/>
              </w:rPr>
              <w:t>— </w:t>
            </w:r>
          </w:p>
          <w:p w14:paraId="0B2FA16C" w14:textId="77777777" w:rsidR="007F1775" w:rsidRDefault="000F083E">
            <w:pPr>
              <w:jc w:val="right"/>
              <w:textAlignment w:val="bottom"/>
            </w:pPr>
            <w:r>
              <w:rPr>
                <w:rFonts w:ascii="Times New Roman" w:eastAsia="宋体" w:hAnsi="Times New Roman"/>
                <w:color w:val="000000"/>
                <w:sz w:val="18"/>
                <w:szCs w:val="18"/>
              </w:rPr>
              <w:t>(773)</w:t>
            </w:r>
          </w:p>
        </w:tc>
      </w:tr>
      <w:tr w:rsidR="000F083E" w14:paraId="0B2FA18F" w14:textId="77777777">
        <w:trPr>
          <w:jc w:val="center"/>
        </w:trPr>
        <w:tc>
          <w:tcPr>
            <w:tcW w:w="0" w:type="auto"/>
            <w:gridSpan w:val="3"/>
            <w:shd w:val="clear" w:color="auto" w:fill="CCEEFF"/>
            <w:tcMar>
              <w:top w:w="40" w:type="dxa"/>
              <w:left w:w="200" w:type="dxa"/>
              <w:bottom w:w="40" w:type="dxa"/>
              <w:right w:w="20" w:type="dxa"/>
            </w:tcMar>
            <w:vAlign w:val="bottom"/>
          </w:tcPr>
          <w:p w14:paraId="0B2FA16E" w14:textId="77777777" w:rsidR="007F1775" w:rsidRDefault="000F083E">
            <w:pPr>
              <w:textAlignment w:val="bottom"/>
            </w:pPr>
            <w:r>
              <w:rPr>
                <w:rFonts w:ascii="Times New Roman" w:eastAsia="宋体" w:hAnsi="Times New Roman"/>
                <w:color w:val="000000"/>
                <w:sz w:val="18"/>
                <w:szCs w:val="18"/>
              </w:rPr>
              <w:t>Net income</w:t>
            </w:r>
          </w:p>
        </w:tc>
        <w:tc>
          <w:tcPr>
            <w:tcW w:w="0" w:type="auto"/>
            <w:gridSpan w:val="2"/>
            <w:shd w:val="clear" w:color="auto" w:fill="CCEEFF"/>
            <w:tcMar>
              <w:top w:w="40" w:type="dxa"/>
              <w:left w:w="20" w:type="dxa"/>
              <w:bottom w:w="40" w:type="dxa"/>
              <w:right w:w="0" w:type="dxa"/>
            </w:tcMar>
            <w:vAlign w:val="bottom"/>
          </w:tcPr>
          <w:p w14:paraId="0B2FA16F"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7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71"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72"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7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74"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75"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7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77"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78"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7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7A"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7B" w14:textId="77777777" w:rsidR="007F1775" w:rsidRDefault="000F083E">
            <w:pPr>
              <w:jc w:val="right"/>
              <w:textAlignment w:val="bottom"/>
            </w:pPr>
            <w:r>
              <w:rPr>
                <w:rFonts w:ascii="Times New Roman" w:eastAsia="宋体" w:hAnsi="Times New Roman"/>
                <w:color w:val="000000"/>
                <w:sz w:val="18"/>
                <w:szCs w:val="18"/>
              </w:rPr>
              <w:t>7,465 </w:t>
            </w:r>
          </w:p>
        </w:tc>
        <w:tc>
          <w:tcPr>
            <w:tcW w:w="0" w:type="auto"/>
            <w:shd w:val="clear" w:color="auto" w:fill="CCEEFF"/>
            <w:tcMar>
              <w:top w:w="40" w:type="dxa"/>
              <w:left w:w="0" w:type="dxa"/>
              <w:bottom w:w="40" w:type="dxa"/>
              <w:right w:w="20" w:type="dxa"/>
            </w:tcMar>
            <w:vAlign w:val="bottom"/>
          </w:tcPr>
          <w:p w14:paraId="0B2FA17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7D"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7E" w14:textId="77777777" w:rsidR="007F1775" w:rsidRDefault="000F083E">
            <w:pPr>
              <w:jc w:val="right"/>
              <w:textAlignment w:val="bottom"/>
            </w:pPr>
            <w:r>
              <w:rPr>
                <w:rFonts w:ascii="Times New Roman" w:eastAsia="宋体" w:hAnsi="Times New Roman"/>
                <w:color w:val="000000"/>
                <w:sz w:val="18"/>
                <w:szCs w:val="18"/>
              </w:rPr>
              <w:t>7,465 </w:t>
            </w:r>
          </w:p>
        </w:tc>
        <w:tc>
          <w:tcPr>
            <w:tcW w:w="0" w:type="auto"/>
            <w:shd w:val="clear" w:color="auto" w:fill="CCEEFF"/>
            <w:tcMar>
              <w:top w:w="40" w:type="dxa"/>
              <w:left w:w="0" w:type="dxa"/>
              <w:bottom w:w="40" w:type="dxa"/>
              <w:right w:w="20" w:type="dxa"/>
            </w:tcMar>
            <w:vAlign w:val="bottom"/>
          </w:tcPr>
          <w:p w14:paraId="0B2FA17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80"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81"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8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83"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84"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8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86"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87"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8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189"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18A" w14:textId="77777777" w:rsidR="007F1775" w:rsidRDefault="000F083E">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B2FA18B" w14:textId="77777777" w:rsidR="007F1775" w:rsidRDefault="007F1775">
            <w:pPr>
              <w:jc w:val="right"/>
              <w:rPr>
                <w:rFonts w:ascii="宋体"/>
              </w:rPr>
            </w:pPr>
          </w:p>
        </w:tc>
        <w:tc>
          <w:tcPr>
            <w:tcW w:w="0" w:type="auto"/>
            <w:gridSpan w:val="2"/>
            <w:shd w:val="clear" w:color="auto" w:fill="CCEEFF"/>
            <w:tcMar>
              <w:top w:w="0" w:type="dxa"/>
              <w:left w:w="20" w:type="dxa"/>
              <w:bottom w:w="0" w:type="dxa"/>
              <w:right w:w="20" w:type="dxa"/>
            </w:tcMar>
            <w:vAlign w:val="bottom"/>
          </w:tcPr>
          <w:p w14:paraId="0B2FA18C"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18D" w14:textId="77777777" w:rsidR="007F1775" w:rsidRDefault="000F083E">
            <w:pPr>
              <w:jc w:val="right"/>
              <w:textAlignment w:val="bottom"/>
            </w:pPr>
            <w:r>
              <w:rPr>
                <w:rFonts w:ascii="Times New Roman" w:eastAsia="宋体" w:hAnsi="Times New Roman"/>
                <w:color w:val="000000"/>
                <w:sz w:val="18"/>
                <w:szCs w:val="18"/>
              </w:rPr>
              <w:t>9,497 </w:t>
            </w:r>
          </w:p>
          <w:p w14:paraId="0B2FA18E" w14:textId="77777777" w:rsidR="007F1775" w:rsidRDefault="000F083E">
            <w:pPr>
              <w:jc w:val="right"/>
              <w:textAlignment w:val="bottom"/>
            </w:pPr>
            <w:r>
              <w:rPr>
                <w:rFonts w:ascii="Times New Roman" w:eastAsia="宋体" w:hAnsi="Times New Roman"/>
                <w:color w:val="000000"/>
                <w:sz w:val="18"/>
                <w:szCs w:val="18"/>
              </w:rPr>
              <w:t>9,497 </w:t>
            </w:r>
          </w:p>
        </w:tc>
      </w:tr>
      <w:tr w:rsidR="000F083E" w14:paraId="0B2FA1BB" w14:textId="77777777">
        <w:trPr>
          <w:jc w:val="center"/>
        </w:trPr>
        <w:tc>
          <w:tcPr>
            <w:tcW w:w="0" w:type="auto"/>
            <w:gridSpan w:val="3"/>
            <w:shd w:val="clear" w:color="auto" w:fill="FFFFFF"/>
            <w:tcMar>
              <w:top w:w="40" w:type="dxa"/>
              <w:left w:w="20" w:type="dxa"/>
              <w:bottom w:w="40" w:type="dxa"/>
              <w:right w:w="20" w:type="dxa"/>
            </w:tcMar>
            <w:vAlign w:val="bottom"/>
          </w:tcPr>
          <w:p w14:paraId="0B2FA190" w14:textId="77777777" w:rsidR="007F1775" w:rsidRDefault="000F083E">
            <w:pPr>
              <w:textAlignment w:val="bottom"/>
            </w:pPr>
            <w:r>
              <w:rPr>
                <w:rFonts w:ascii="Times New Roman" w:eastAsia="宋体" w:hAnsi="Times New Roman"/>
                <w:b/>
                <w:bCs/>
                <w:color w:val="000000"/>
                <w:sz w:val="18"/>
                <w:szCs w:val="18"/>
              </w:rPr>
              <w:t>Balances at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91" w14:textId="77777777" w:rsidR="007F1775" w:rsidRDefault="000F083E">
            <w:pPr>
              <w:jc w:val="right"/>
              <w:textAlignment w:val="bottom"/>
            </w:pPr>
            <w:r>
              <w:rPr>
                <w:rFonts w:ascii="Times New Roman" w:eastAsia="宋体" w:hAnsi="Times New Roman"/>
                <w:color w:val="000000"/>
                <w:sz w:val="18"/>
                <w:szCs w:val="18"/>
              </w:rPr>
              <w:t>2,714 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192"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93"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94"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195" w14:textId="77777777" w:rsidR="007F1775" w:rsidRDefault="000F083E">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19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97"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98"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199" w14:textId="77777777" w:rsidR="007F1775" w:rsidRDefault="000F083E">
            <w:pPr>
              <w:jc w:val="right"/>
              <w:textAlignment w:val="bottom"/>
            </w:pPr>
            <w:r>
              <w:rPr>
                <w:rFonts w:ascii="Times New Roman" w:eastAsia="宋体" w:hAnsi="Times New Roman"/>
                <w:color w:val="000000"/>
                <w:sz w:val="18"/>
                <w:szCs w:val="18"/>
              </w:rPr>
              <w:t>57,512 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19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9B"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9C"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19D" w14:textId="77777777" w:rsidR="007F1775" w:rsidRDefault="000F083E">
            <w:pPr>
              <w:jc w:val="right"/>
              <w:textAlignment w:val="bottom"/>
            </w:pPr>
            <w:r>
              <w:rPr>
                <w:rFonts w:ascii="Times New Roman" w:eastAsia="宋体" w:hAnsi="Times New Roman"/>
                <w:color w:val="000000"/>
                <w:sz w:val="18"/>
                <w:szCs w:val="18"/>
              </w:rPr>
              <w:t>(1,996)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19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9F"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A0"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1A1" w14:textId="77777777" w:rsidR="007F1775" w:rsidRDefault="000F083E">
            <w:pPr>
              <w:jc w:val="right"/>
              <w:textAlignment w:val="bottom"/>
            </w:pPr>
            <w:r>
              <w:rPr>
                <w:rFonts w:ascii="Times New Roman" w:eastAsia="宋体" w:hAnsi="Times New Roman"/>
                <w:color w:val="000000"/>
                <w:sz w:val="18"/>
                <w:szCs w:val="18"/>
              </w:rPr>
              <w:t>67,712 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1A2"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A3"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A4"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1A5" w14:textId="77777777" w:rsidR="007F1775" w:rsidRDefault="000F083E">
            <w:pPr>
              <w:jc w:val="right"/>
              <w:textAlignment w:val="bottom"/>
            </w:pPr>
            <w:r>
              <w:rPr>
                <w:rFonts w:ascii="Times New Roman" w:eastAsia="宋体" w:hAnsi="Times New Roman"/>
                <w:color w:val="000000"/>
                <w:sz w:val="18"/>
                <w:szCs w:val="18"/>
              </w:rPr>
              <w:t>123,228 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1A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A7" w14:textId="77777777" w:rsidR="007F1775" w:rsidRDefault="007F177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A8" w14:textId="77777777" w:rsidR="007F1775" w:rsidRDefault="000F083E">
            <w:pPr>
              <w:jc w:val="right"/>
              <w:textAlignment w:val="bottom"/>
            </w:pPr>
            <w:r>
              <w:rPr>
                <w:rFonts w:ascii="Times New Roman" w:eastAsia="宋体" w:hAnsi="Times New Roman"/>
                <w:color w:val="000000"/>
                <w:sz w:val="18"/>
                <w:szCs w:val="18"/>
              </w:rPr>
              <w:t>2,841 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1A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AA"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AB"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1AC" w14:textId="77777777" w:rsidR="007F1775" w:rsidRDefault="000F083E">
            <w:pPr>
              <w:jc w:val="right"/>
              <w:textAlignment w:val="bottom"/>
            </w:pPr>
            <w:r>
              <w:rPr>
                <w:rFonts w:ascii="Times New Roman" w:eastAsia="宋体" w:hAnsi="Times New Roman"/>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1A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AE"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AF"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1B0" w14:textId="77777777" w:rsidR="007F1775" w:rsidRDefault="000F083E">
            <w:pPr>
              <w:jc w:val="right"/>
              <w:textAlignment w:val="bottom"/>
            </w:pPr>
            <w:r>
              <w:rPr>
                <w:rFonts w:ascii="Times New Roman" w:eastAsia="宋体" w:hAnsi="Times New Roman"/>
                <w:color w:val="000000"/>
                <w:sz w:val="18"/>
                <w:szCs w:val="18"/>
              </w:rPr>
              <w:t>51,160 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1B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1B2"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B3" w14:textId="77777777" w:rsidR="007F1775" w:rsidRDefault="000F083E">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1B4" w14:textId="77777777" w:rsidR="007F1775" w:rsidRDefault="000F083E">
            <w:pPr>
              <w:jc w:val="right"/>
              <w:textAlignment w:val="bottom"/>
            </w:pPr>
            <w:r>
              <w:rPr>
                <w:rFonts w:ascii="Times New Roman" w:eastAsia="宋体" w:hAnsi="Times New Roman"/>
                <w:color w:val="000000"/>
                <w:sz w:val="18"/>
                <w:szCs w:val="18"/>
              </w:rPr>
              <w:t>154 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1B5" w14:textId="77777777" w:rsidR="007F1775" w:rsidRDefault="007F1775">
            <w:pPr>
              <w:jc w:val="right"/>
              <w:rPr>
                <w:rFonts w:ascii="宋体"/>
              </w:rPr>
            </w:pPr>
          </w:p>
        </w:tc>
        <w:tc>
          <w:tcPr>
            <w:tcW w:w="0" w:type="auto"/>
            <w:gridSpan w:val="2"/>
            <w:shd w:val="clear" w:color="auto" w:fill="FFFFFF"/>
            <w:tcMar>
              <w:top w:w="0" w:type="dxa"/>
              <w:left w:w="20" w:type="dxa"/>
              <w:bottom w:w="0" w:type="dxa"/>
              <w:right w:w="20" w:type="dxa"/>
            </w:tcMar>
            <w:vAlign w:val="bottom"/>
          </w:tcPr>
          <w:p w14:paraId="0B2FA1B6"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1B7" w14:textId="77777777" w:rsidR="007F1775" w:rsidRDefault="000F083E">
            <w:pPr>
              <w:textAlignment w:val="bottom"/>
            </w:pPr>
            <w:r>
              <w:rPr>
                <w:rFonts w:ascii="Times New Roman" w:eastAsia="宋体" w:hAnsi="Times New Roman"/>
                <w:color w:val="000000"/>
                <w:sz w:val="18"/>
                <w:szCs w:val="18"/>
              </w:rPr>
              <w:t>$</w:t>
            </w:r>
          </w:p>
          <w:p w14:paraId="0B2FA1B8" w14:textId="77777777" w:rsidR="007F1775" w:rsidRDefault="000F083E">
            <w:pPr>
              <w:jc w:val="right"/>
              <w:textAlignment w:val="bottom"/>
            </w:pPr>
            <w:r>
              <w:rPr>
                <w:rFonts w:ascii="Times New Roman" w:eastAsia="宋体" w:hAnsi="Times New Roman"/>
                <w:color w:val="000000"/>
                <w:sz w:val="18"/>
                <w:szCs w:val="18"/>
              </w:rPr>
              <w:t>82,343 </w:t>
            </w:r>
          </w:p>
          <w:p w14:paraId="0B2FA1B9" w14:textId="77777777" w:rsidR="007F1775" w:rsidRDefault="000F083E">
            <w:pPr>
              <w:textAlignment w:val="bottom"/>
            </w:pPr>
            <w:r>
              <w:rPr>
                <w:rFonts w:ascii="Times New Roman" w:eastAsia="宋体" w:hAnsi="Times New Roman"/>
                <w:color w:val="000000"/>
                <w:sz w:val="18"/>
                <w:szCs w:val="18"/>
              </w:rPr>
              <w:t>$</w:t>
            </w:r>
          </w:p>
          <w:p w14:paraId="0B2FA1BA" w14:textId="77777777" w:rsidR="007F1775" w:rsidRDefault="000F083E">
            <w:pPr>
              <w:jc w:val="right"/>
              <w:textAlignment w:val="bottom"/>
            </w:pPr>
            <w:r>
              <w:rPr>
                <w:rFonts w:ascii="Times New Roman" w:eastAsia="宋体" w:hAnsi="Times New Roman"/>
                <w:color w:val="000000"/>
                <w:sz w:val="18"/>
                <w:szCs w:val="18"/>
              </w:rPr>
              <w:t>133,657 </w:t>
            </w:r>
          </w:p>
        </w:tc>
      </w:tr>
      <w:tr w:rsidR="007F1775" w14:paraId="0B2FA1D2" w14:textId="77777777">
        <w:trPr>
          <w:jc w:val="center"/>
          <w:hidden/>
        </w:trPr>
        <w:tc>
          <w:tcPr>
            <w:tcW w:w="0" w:type="auto"/>
            <w:gridSpan w:val="3"/>
            <w:shd w:val="clear" w:color="auto" w:fill="auto"/>
            <w:vAlign w:val="bottom"/>
          </w:tcPr>
          <w:p w14:paraId="0B2FA1BC" w14:textId="77777777" w:rsidR="007F1775" w:rsidRDefault="007F1775">
            <w:pPr>
              <w:rPr>
                <w:rFonts w:ascii="宋体"/>
                <w:vanish/>
              </w:rPr>
            </w:pPr>
          </w:p>
        </w:tc>
        <w:tc>
          <w:tcPr>
            <w:tcW w:w="0" w:type="auto"/>
            <w:gridSpan w:val="3"/>
            <w:shd w:val="clear" w:color="auto" w:fill="auto"/>
            <w:vAlign w:val="bottom"/>
          </w:tcPr>
          <w:p w14:paraId="0B2FA1BD" w14:textId="77777777" w:rsidR="007F1775" w:rsidRDefault="007F1775">
            <w:pPr>
              <w:rPr>
                <w:rFonts w:ascii="宋体"/>
                <w:vanish/>
              </w:rPr>
            </w:pPr>
          </w:p>
        </w:tc>
        <w:tc>
          <w:tcPr>
            <w:tcW w:w="0" w:type="auto"/>
            <w:gridSpan w:val="3"/>
            <w:shd w:val="clear" w:color="auto" w:fill="auto"/>
            <w:vAlign w:val="bottom"/>
          </w:tcPr>
          <w:p w14:paraId="0B2FA1BE" w14:textId="77777777" w:rsidR="007F1775" w:rsidRDefault="007F1775">
            <w:pPr>
              <w:rPr>
                <w:rFonts w:ascii="宋体"/>
                <w:vanish/>
              </w:rPr>
            </w:pPr>
          </w:p>
        </w:tc>
        <w:tc>
          <w:tcPr>
            <w:tcW w:w="0" w:type="auto"/>
            <w:gridSpan w:val="3"/>
            <w:shd w:val="clear" w:color="auto" w:fill="auto"/>
            <w:vAlign w:val="bottom"/>
          </w:tcPr>
          <w:p w14:paraId="0B2FA1BF" w14:textId="77777777" w:rsidR="007F1775" w:rsidRDefault="007F1775">
            <w:pPr>
              <w:rPr>
                <w:rFonts w:ascii="宋体"/>
                <w:vanish/>
              </w:rPr>
            </w:pPr>
          </w:p>
        </w:tc>
        <w:tc>
          <w:tcPr>
            <w:tcW w:w="0" w:type="auto"/>
            <w:gridSpan w:val="3"/>
            <w:shd w:val="clear" w:color="auto" w:fill="auto"/>
            <w:vAlign w:val="bottom"/>
          </w:tcPr>
          <w:p w14:paraId="0B2FA1C0" w14:textId="77777777" w:rsidR="007F1775" w:rsidRDefault="007F1775">
            <w:pPr>
              <w:rPr>
                <w:rFonts w:ascii="宋体"/>
                <w:vanish/>
              </w:rPr>
            </w:pPr>
          </w:p>
        </w:tc>
        <w:tc>
          <w:tcPr>
            <w:tcW w:w="0" w:type="auto"/>
            <w:gridSpan w:val="3"/>
            <w:shd w:val="clear" w:color="auto" w:fill="auto"/>
            <w:vAlign w:val="bottom"/>
          </w:tcPr>
          <w:p w14:paraId="0B2FA1C1" w14:textId="77777777" w:rsidR="007F1775" w:rsidRDefault="007F1775">
            <w:pPr>
              <w:rPr>
                <w:rFonts w:ascii="宋体"/>
                <w:vanish/>
              </w:rPr>
            </w:pPr>
          </w:p>
        </w:tc>
        <w:tc>
          <w:tcPr>
            <w:tcW w:w="0" w:type="auto"/>
            <w:gridSpan w:val="3"/>
            <w:shd w:val="clear" w:color="auto" w:fill="auto"/>
            <w:vAlign w:val="bottom"/>
          </w:tcPr>
          <w:p w14:paraId="0B2FA1C2" w14:textId="77777777" w:rsidR="007F1775" w:rsidRDefault="007F1775">
            <w:pPr>
              <w:rPr>
                <w:rFonts w:ascii="宋体"/>
                <w:vanish/>
              </w:rPr>
            </w:pPr>
          </w:p>
        </w:tc>
        <w:tc>
          <w:tcPr>
            <w:tcW w:w="0" w:type="auto"/>
            <w:gridSpan w:val="3"/>
            <w:shd w:val="clear" w:color="auto" w:fill="auto"/>
            <w:vAlign w:val="bottom"/>
          </w:tcPr>
          <w:p w14:paraId="0B2FA1C3" w14:textId="77777777" w:rsidR="007F1775" w:rsidRDefault="007F1775">
            <w:pPr>
              <w:rPr>
                <w:rFonts w:ascii="宋体"/>
                <w:vanish/>
              </w:rPr>
            </w:pPr>
          </w:p>
        </w:tc>
        <w:tc>
          <w:tcPr>
            <w:tcW w:w="0" w:type="auto"/>
            <w:gridSpan w:val="3"/>
            <w:shd w:val="clear" w:color="auto" w:fill="auto"/>
            <w:vAlign w:val="bottom"/>
          </w:tcPr>
          <w:p w14:paraId="0B2FA1C4" w14:textId="77777777" w:rsidR="007F1775" w:rsidRDefault="007F1775">
            <w:pPr>
              <w:rPr>
                <w:rFonts w:ascii="宋体"/>
                <w:vanish/>
              </w:rPr>
            </w:pPr>
          </w:p>
        </w:tc>
        <w:tc>
          <w:tcPr>
            <w:tcW w:w="0" w:type="auto"/>
            <w:gridSpan w:val="3"/>
            <w:shd w:val="clear" w:color="auto" w:fill="auto"/>
            <w:vAlign w:val="bottom"/>
          </w:tcPr>
          <w:p w14:paraId="0B2FA1C5" w14:textId="77777777" w:rsidR="007F1775" w:rsidRDefault="007F1775">
            <w:pPr>
              <w:rPr>
                <w:rFonts w:ascii="宋体"/>
                <w:vanish/>
              </w:rPr>
            </w:pPr>
          </w:p>
        </w:tc>
        <w:tc>
          <w:tcPr>
            <w:tcW w:w="0" w:type="auto"/>
            <w:gridSpan w:val="3"/>
            <w:shd w:val="clear" w:color="auto" w:fill="auto"/>
            <w:vAlign w:val="bottom"/>
          </w:tcPr>
          <w:p w14:paraId="0B2FA1C6" w14:textId="77777777" w:rsidR="007F1775" w:rsidRDefault="007F1775">
            <w:pPr>
              <w:rPr>
                <w:rFonts w:ascii="宋体"/>
                <w:vanish/>
              </w:rPr>
            </w:pPr>
          </w:p>
        </w:tc>
        <w:tc>
          <w:tcPr>
            <w:tcW w:w="0" w:type="auto"/>
            <w:gridSpan w:val="3"/>
            <w:shd w:val="clear" w:color="auto" w:fill="auto"/>
            <w:vAlign w:val="bottom"/>
          </w:tcPr>
          <w:p w14:paraId="0B2FA1C7" w14:textId="77777777" w:rsidR="007F1775" w:rsidRDefault="007F1775">
            <w:pPr>
              <w:rPr>
                <w:rFonts w:ascii="宋体"/>
                <w:vanish/>
              </w:rPr>
            </w:pPr>
          </w:p>
        </w:tc>
        <w:tc>
          <w:tcPr>
            <w:tcW w:w="0" w:type="auto"/>
            <w:gridSpan w:val="3"/>
            <w:shd w:val="clear" w:color="auto" w:fill="auto"/>
            <w:vAlign w:val="bottom"/>
          </w:tcPr>
          <w:p w14:paraId="0B2FA1C8" w14:textId="77777777" w:rsidR="007F1775" w:rsidRDefault="007F1775">
            <w:pPr>
              <w:rPr>
                <w:rFonts w:ascii="宋体"/>
                <w:vanish/>
              </w:rPr>
            </w:pPr>
          </w:p>
        </w:tc>
        <w:tc>
          <w:tcPr>
            <w:tcW w:w="0" w:type="auto"/>
            <w:gridSpan w:val="3"/>
            <w:shd w:val="clear" w:color="auto" w:fill="auto"/>
            <w:vAlign w:val="bottom"/>
          </w:tcPr>
          <w:p w14:paraId="0B2FA1C9" w14:textId="77777777" w:rsidR="007F1775" w:rsidRDefault="007F1775">
            <w:pPr>
              <w:rPr>
                <w:rFonts w:ascii="宋体"/>
                <w:vanish/>
              </w:rPr>
            </w:pPr>
          </w:p>
        </w:tc>
        <w:tc>
          <w:tcPr>
            <w:tcW w:w="0" w:type="auto"/>
            <w:gridSpan w:val="3"/>
            <w:shd w:val="clear" w:color="auto" w:fill="auto"/>
            <w:vAlign w:val="bottom"/>
          </w:tcPr>
          <w:p w14:paraId="0B2FA1CA" w14:textId="77777777" w:rsidR="007F1775" w:rsidRDefault="007F1775">
            <w:pPr>
              <w:rPr>
                <w:rFonts w:ascii="宋体"/>
                <w:vanish/>
              </w:rPr>
            </w:pPr>
          </w:p>
        </w:tc>
        <w:tc>
          <w:tcPr>
            <w:tcW w:w="0" w:type="auto"/>
            <w:gridSpan w:val="3"/>
            <w:shd w:val="clear" w:color="auto" w:fill="auto"/>
            <w:vAlign w:val="bottom"/>
          </w:tcPr>
          <w:p w14:paraId="0B2FA1CB" w14:textId="77777777" w:rsidR="007F1775" w:rsidRDefault="007F1775">
            <w:pPr>
              <w:rPr>
                <w:rFonts w:ascii="宋体"/>
                <w:vanish/>
              </w:rPr>
            </w:pPr>
          </w:p>
        </w:tc>
        <w:tc>
          <w:tcPr>
            <w:tcW w:w="0" w:type="auto"/>
            <w:gridSpan w:val="3"/>
            <w:shd w:val="clear" w:color="auto" w:fill="auto"/>
            <w:vAlign w:val="bottom"/>
          </w:tcPr>
          <w:p w14:paraId="0B2FA1CC" w14:textId="77777777" w:rsidR="007F1775" w:rsidRDefault="007F1775">
            <w:pPr>
              <w:rPr>
                <w:rFonts w:ascii="宋体"/>
                <w:vanish/>
              </w:rPr>
            </w:pPr>
          </w:p>
        </w:tc>
        <w:tc>
          <w:tcPr>
            <w:tcW w:w="0" w:type="auto"/>
            <w:gridSpan w:val="3"/>
            <w:shd w:val="clear" w:color="auto" w:fill="auto"/>
            <w:vAlign w:val="bottom"/>
          </w:tcPr>
          <w:p w14:paraId="0B2FA1CD" w14:textId="77777777" w:rsidR="007F1775" w:rsidRDefault="007F1775">
            <w:pPr>
              <w:rPr>
                <w:rFonts w:ascii="宋体"/>
                <w:vanish/>
              </w:rPr>
            </w:pPr>
          </w:p>
        </w:tc>
        <w:tc>
          <w:tcPr>
            <w:tcW w:w="0" w:type="auto"/>
            <w:gridSpan w:val="3"/>
            <w:shd w:val="clear" w:color="auto" w:fill="auto"/>
            <w:vAlign w:val="bottom"/>
          </w:tcPr>
          <w:p w14:paraId="0B2FA1CE" w14:textId="77777777" w:rsidR="007F1775" w:rsidRDefault="007F1775">
            <w:pPr>
              <w:rPr>
                <w:rFonts w:ascii="宋体"/>
                <w:vanish/>
              </w:rPr>
            </w:pPr>
          </w:p>
        </w:tc>
        <w:tc>
          <w:tcPr>
            <w:tcW w:w="0" w:type="auto"/>
            <w:gridSpan w:val="3"/>
            <w:shd w:val="clear" w:color="auto" w:fill="auto"/>
            <w:vAlign w:val="bottom"/>
          </w:tcPr>
          <w:p w14:paraId="0B2FA1CF" w14:textId="77777777" w:rsidR="007F1775" w:rsidRDefault="007F1775">
            <w:pPr>
              <w:rPr>
                <w:rFonts w:ascii="宋体"/>
                <w:vanish/>
              </w:rPr>
            </w:pPr>
          </w:p>
        </w:tc>
        <w:tc>
          <w:tcPr>
            <w:tcW w:w="0" w:type="auto"/>
            <w:gridSpan w:val="2"/>
            <w:shd w:val="clear" w:color="auto" w:fill="auto"/>
            <w:vAlign w:val="bottom"/>
          </w:tcPr>
          <w:p w14:paraId="0B2FA1D0" w14:textId="77777777" w:rsidR="007F1775" w:rsidRDefault="007F1775">
            <w:pPr>
              <w:rPr>
                <w:rFonts w:ascii="宋体"/>
                <w:vanish/>
              </w:rPr>
            </w:pPr>
          </w:p>
        </w:tc>
        <w:tc>
          <w:tcPr>
            <w:tcW w:w="0" w:type="auto"/>
            <w:shd w:val="clear" w:color="auto" w:fill="auto"/>
            <w:vAlign w:val="bottom"/>
          </w:tcPr>
          <w:p w14:paraId="0B2FA1D1" w14:textId="77777777" w:rsidR="007F1775" w:rsidRDefault="007F1775">
            <w:pPr>
              <w:rPr>
                <w:rFonts w:ascii="宋体"/>
                <w:vanish/>
              </w:rPr>
            </w:pPr>
          </w:p>
        </w:tc>
      </w:tr>
      <w:tr w:rsidR="007F1775" w14:paraId="0B2FA20A" w14:textId="77777777">
        <w:trPr>
          <w:jc w:val="center"/>
          <w:hidden/>
        </w:trPr>
        <w:tc>
          <w:tcPr>
            <w:tcW w:w="0" w:type="auto"/>
            <w:gridSpan w:val="3"/>
            <w:shd w:val="clear" w:color="auto" w:fill="auto"/>
            <w:vAlign w:val="bottom"/>
          </w:tcPr>
          <w:p w14:paraId="0B2FA1D3" w14:textId="77777777" w:rsidR="007F1775" w:rsidRDefault="007F1775">
            <w:pPr>
              <w:rPr>
                <w:rFonts w:ascii="宋体"/>
                <w:vanish/>
              </w:rPr>
            </w:pPr>
          </w:p>
        </w:tc>
        <w:tc>
          <w:tcPr>
            <w:tcW w:w="0" w:type="auto"/>
            <w:gridSpan w:val="3"/>
            <w:shd w:val="clear" w:color="auto" w:fill="auto"/>
            <w:vAlign w:val="bottom"/>
          </w:tcPr>
          <w:p w14:paraId="0B2FA1D4" w14:textId="77777777" w:rsidR="007F1775" w:rsidRDefault="007F1775">
            <w:pPr>
              <w:rPr>
                <w:rFonts w:ascii="宋体"/>
                <w:vanish/>
              </w:rPr>
            </w:pPr>
          </w:p>
        </w:tc>
        <w:tc>
          <w:tcPr>
            <w:tcW w:w="0" w:type="auto"/>
            <w:gridSpan w:val="3"/>
            <w:shd w:val="clear" w:color="auto" w:fill="auto"/>
            <w:vAlign w:val="bottom"/>
          </w:tcPr>
          <w:p w14:paraId="0B2FA1D5" w14:textId="77777777" w:rsidR="007F1775" w:rsidRDefault="007F1775">
            <w:pPr>
              <w:rPr>
                <w:rFonts w:ascii="宋体"/>
                <w:vanish/>
              </w:rPr>
            </w:pPr>
          </w:p>
        </w:tc>
        <w:tc>
          <w:tcPr>
            <w:tcW w:w="0" w:type="auto"/>
            <w:gridSpan w:val="3"/>
            <w:shd w:val="clear" w:color="auto" w:fill="auto"/>
            <w:vAlign w:val="bottom"/>
          </w:tcPr>
          <w:p w14:paraId="0B2FA1D6" w14:textId="77777777" w:rsidR="007F1775" w:rsidRDefault="007F1775">
            <w:pPr>
              <w:rPr>
                <w:rFonts w:ascii="宋体"/>
                <w:vanish/>
              </w:rPr>
            </w:pPr>
          </w:p>
        </w:tc>
        <w:tc>
          <w:tcPr>
            <w:tcW w:w="0" w:type="auto"/>
            <w:shd w:val="clear" w:color="auto" w:fill="auto"/>
            <w:vAlign w:val="bottom"/>
          </w:tcPr>
          <w:p w14:paraId="0B2FA1D7" w14:textId="77777777" w:rsidR="007F1775" w:rsidRDefault="007F1775">
            <w:pPr>
              <w:rPr>
                <w:rFonts w:ascii="宋体"/>
              </w:rPr>
            </w:pPr>
          </w:p>
        </w:tc>
        <w:tc>
          <w:tcPr>
            <w:tcW w:w="0" w:type="auto"/>
            <w:shd w:val="clear" w:color="auto" w:fill="auto"/>
            <w:vAlign w:val="bottom"/>
          </w:tcPr>
          <w:p w14:paraId="0B2FA1D8" w14:textId="77777777" w:rsidR="007F1775" w:rsidRDefault="007F1775">
            <w:pPr>
              <w:rPr>
                <w:rFonts w:ascii="宋体"/>
              </w:rPr>
            </w:pPr>
          </w:p>
        </w:tc>
        <w:tc>
          <w:tcPr>
            <w:tcW w:w="0" w:type="auto"/>
            <w:shd w:val="clear" w:color="auto" w:fill="auto"/>
            <w:vAlign w:val="bottom"/>
          </w:tcPr>
          <w:p w14:paraId="0B2FA1D9" w14:textId="77777777" w:rsidR="007F1775" w:rsidRDefault="007F1775">
            <w:pPr>
              <w:rPr>
                <w:rFonts w:ascii="宋体"/>
              </w:rPr>
            </w:pPr>
          </w:p>
        </w:tc>
        <w:tc>
          <w:tcPr>
            <w:tcW w:w="0" w:type="auto"/>
            <w:shd w:val="clear" w:color="auto" w:fill="auto"/>
            <w:vAlign w:val="bottom"/>
          </w:tcPr>
          <w:p w14:paraId="0B2FA1DA" w14:textId="77777777" w:rsidR="007F1775" w:rsidRDefault="007F1775">
            <w:pPr>
              <w:rPr>
                <w:rFonts w:ascii="宋体"/>
              </w:rPr>
            </w:pPr>
          </w:p>
        </w:tc>
        <w:tc>
          <w:tcPr>
            <w:tcW w:w="0" w:type="auto"/>
            <w:shd w:val="clear" w:color="auto" w:fill="auto"/>
            <w:vAlign w:val="bottom"/>
          </w:tcPr>
          <w:p w14:paraId="0B2FA1DB" w14:textId="77777777" w:rsidR="007F1775" w:rsidRDefault="007F1775">
            <w:pPr>
              <w:rPr>
                <w:rFonts w:ascii="宋体"/>
              </w:rPr>
            </w:pPr>
          </w:p>
        </w:tc>
        <w:tc>
          <w:tcPr>
            <w:tcW w:w="0" w:type="auto"/>
            <w:shd w:val="clear" w:color="auto" w:fill="auto"/>
            <w:vAlign w:val="bottom"/>
          </w:tcPr>
          <w:p w14:paraId="0B2FA1DC" w14:textId="77777777" w:rsidR="007F1775" w:rsidRDefault="007F1775">
            <w:pPr>
              <w:rPr>
                <w:rFonts w:ascii="宋体"/>
              </w:rPr>
            </w:pPr>
          </w:p>
        </w:tc>
        <w:tc>
          <w:tcPr>
            <w:tcW w:w="0" w:type="auto"/>
            <w:shd w:val="clear" w:color="auto" w:fill="auto"/>
            <w:vAlign w:val="bottom"/>
          </w:tcPr>
          <w:p w14:paraId="0B2FA1DD" w14:textId="77777777" w:rsidR="007F1775" w:rsidRDefault="007F1775">
            <w:pPr>
              <w:rPr>
                <w:rFonts w:ascii="宋体"/>
              </w:rPr>
            </w:pPr>
          </w:p>
        </w:tc>
        <w:tc>
          <w:tcPr>
            <w:tcW w:w="0" w:type="auto"/>
            <w:shd w:val="clear" w:color="auto" w:fill="auto"/>
            <w:vAlign w:val="bottom"/>
          </w:tcPr>
          <w:p w14:paraId="0B2FA1DE" w14:textId="77777777" w:rsidR="007F1775" w:rsidRDefault="007F1775">
            <w:pPr>
              <w:rPr>
                <w:rFonts w:ascii="宋体"/>
              </w:rPr>
            </w:pPr>
          </w:p>
        </w:tc>
        <w:tc>
          <w:tcPr>
            <w:tcW w:w="0" w:type="auto"/>
            <w:shd w:val="clear" w:color="auto" w:fill="auto"/>
            <w:vAlign w:val="bottom"/>
          </w:tcPr>
          <w:p w14:paraId="0B2FA1DF" w14:textId="77777777" w:rsidR="007F1775" w:rsidRDefault="007F1775">
            <w:pPr>
              <w:rPr>
                <w:rFonts w:ascii="宋体"/>
              </w:rPr>
            </w:pPr>
          </w:p>
        </w:tc>
        <w:tc>
          <w:tcPr>
            <w:tcW w:w="0" w:type="auto"/>
            <w:shd w:val="clear" w:color="auto" w:fill="auto"/>
            <w:vAlign w:val="bottom"/>
          </w:tcPr>
          <w:p w14:paraId="0B2FA1E0" w14:textId="77777777" w:rsidR="007F1775" w:rsidRDefault="007F1775">
            <w:pPr>
              <w:rPr>
                <w:rFonts w:ascii="宋体"/>
              </w:rPr>
            </w:pPr>
          </w:p>
        </w:tc>
        <w:tc>
          <w:tcPr>
            <w:tcW w:w="0" w:type="auto"/>
            <w:shd w:val="clear" w:color="auto" w:fill="auto"/>
            <w:vAlign w:val="bottom"/>
          </w:tcPr>
          <w:p w14:paraId="0B2FA1E1" w14:textId="77777777" w:rsidR="007F1775" w:rsidRDefault="007F1775">
            <w:pPr>
              <w:rPr>
                <w:rFonts w:ascii="宋体"/>
              </w:rPr>
            </w:pPr>
          </w:p>
        </w:tc>
        <w:tc>
          <w:tcPr>
            <w:tcW w:w="0" w:type="auto"/>
            <w:shd w:val="clear" w:color="auto" w:fill="auto"/>
            <w:vAlign w:val="bottom"/>
          </w:tcPr>
          <w:p w14:paraId="0B2FA1E2" w14:textId="77777777" w:rsidR="007F1775" w:rsidRDefault="007F1775">
            <w:pPr>
              <w:rPr>
                <w:rFonts w:ascii="宋体"/>
              </w:rPr>
            </w:pPr>
          </w:p>
        </w:tc>
        <w:tc>
          <w:tcPr>
            <w:tcW w:w="0" w:type="auto"/>
            <w:shd w:val="clear" w:color="auto" w:fill="auto"/>
            <w:vAlign w:val="bottom"/>
          </w:tcPr>
          <w:p w14:paraId="0B2FA1E3" w14:textId="77777777" w:rsidR="007F1775" w:rsidRDefault="007F1775">
            <w:pPr>
              <w:rPr>
                <w:rFonts w:ascii="宋体"/>
              </w:rPr>
            </w:pPr>
          </w:p>
        </w:tc>
        <w:tc>
          <w:tcPr>
            <w:tcW w:w="0" w:type="auto"/>
            <w:shd w:val="clear" w:color="auto" w:fill="auto"/>
            <w:vAlign w:val="bottom"/>
          </w:tcPr>
          <w:p w14:paraId="0B2FA1E4" w14:textId="77777777" w:rsidR="007F1775" w:rsidRDefault="007F1775">
            <w:pPr>
              <w:rPr>
                <w:rFonts w:ascii="宋体"/>
              </w:rPr>
            </w:pPr>
          </w:p>
        </w:tc>
        <w:tc>
          <w:tcPr>
            <w:tcW w:w="0" w:type="auto"/>
            <w:shd w:val="clear" w:color="auto" w:fill="auto"/>
            <w:vAlign w:val="bottom"/>
          </w:tcPr>
          <w:p w14:paraId="0B2FA1E5" w14:textId="77777777" w:rsidR="007F1775" w:rsidRDefault="007F1775">
            <w:pPr>
              <w:rPr>
                <w:rFonts w:ascii="宋体"/>
              </w:rPr>
            </w:pPr>
          </w:p>
        </w:tc>
        <w:tc>
          <w:tcPr>
            <w:tcW w:w="0" w:type="auto"/>
            <w:shd w:val="clear" w:color="auto" w:fill="auto"/>
            <w:vAlign w:val="bottom"/>
          </w:tcPr>
          <w:p w14:paraId="0B2FA1E6" w14:textId="77777777" w:rsidR="007F1775" w:rsidRDefault="007F1775">
            <w:pPr>
              <w:rPr>
                <w:rFonts w:ascii="宋体"/>
              </w:rPr>
            </w:pPr>
          </w:p>
        </w:tc>
        <w:tc>
          <w:tcPr>
            <w:tcW w:w="0" w:type="auto"/>
            <w:shd w:val="clear" w:color="auto" w:fill="auto"/>
            <w:vAlign w:val="bottom"/>
          </w:tcPr>
          <w:p w14:paraId="0B2FA1E7" w14:textId="77777777" w:rsidR="007F1775" w:rsidRDefault="007F1775">
            <w:pPr>
              <w:rPr>
                <w:rFonts w:ascii="宋体"/>
              </w:rPr>
            </w:pPr>
          </w:p>
        </w:tc>
        <w:tc>
          <w:tcPr>
            <w:tcW w:w="0" w:type="auto"/>
            <w:shd w:val="clear" w:color="auto" w:fill="auto"/>
            <w:vAlign w:val="bottom"/>
          </w:tcPr>
          <w:p w14:paraId="0B2FA1E8" w14:textId="77777777" w:rsidR="007F1775" w:rsidRDefault="007F1775">
            <w:pPr>
              <w:rPr>
                <w:rFonts w:ascii="宋体"/>
              </w:rPr>
            </w:pPr>
          </w:p>
        </w:tc>
        <w:tc>
          <w:tcPr>
            <w:tcW w:w="0" w:type="auto"/>
            <w:shd w:val="clear" w:color="auto" w:fill="auto"/>
            <w:vAlign w:val="bottom"/>
          </w:tcPr>
          <w:p w14:paraId="0B2FA1E9" w14:textId="77777777" w:rsidR="007F1775" w:rsidRDefault="007F1775">
            <w:pPr>
              <w:rPr>
                <w:rFonts w:ascii="宋体"/>
              </w:rPr>
            </w:pPr>
          </w:p>
        </w:tc>
        <w:tc>
          <w:tcPr>
            <w:tcW w:w="0" w:type="auto"/>
            <w:shd w:val="clear" w:color="auto" w:fill="auto"/>
            <w:vAlign w:val="bottom"/>
          </w:tcPr>
          <w:p w14:paraId="0B2FA1EA" w14:textId="77777777" w:rsidR="007F1775" w:rsidRDefault="007F1775">
            <w:pPr>
              <w:rPr>
                <w:rFonts w:ascii="宋体"/>
              </w:rPr>
            </w:pPr>
          </w:p>
        </w:tc>
        <w:tc>
          <w:tcPr>
            <w:tcW w:w="0" w:type="auto"/>
            <w:shd w:val="clear" w:color="auto" w:fill="auto"/>
            <w:vAlign w:val="bottom"/>
          </w:tcPr>
          <w:p w14:paraId="0B2FA1EB" w14:textId="77777777" w:rsidR="007F1775" w:rsidRDefault="007F1775">
            <w:pPr>
              <w:rPr>
                <w:rFonts w:ascii="宋体"/>
              </w:rPr>
            </w:pPr>
          </w:p>
        </w:tc>
        <w:tc>
          <w:tcPr>
            <w:tcW w:w="0" w:type="auto"/>
            <w:shd w:val="clear" w:color="auto" w:fill="auto"/>
            <w:vAlign w:val="bottom"/>
          </w:tcPr>
          <w:p w14:paraId="0B2FA1EC" w14:textId="77777777" w:rsidR="007F1775" w:rsidRDefault="007F1775">
            <w:pPr>
              <w:rPr>
                <w:rFonts w:ascii="宋体"/>
              </w:rPr>
            </w:pPr>
          </w:p>
        </w:tc>
        <w:tc>
          <w:tcPr>
            <w:tcW w:w="0" w:type="auto"/>
            <w:shd w:val="clear" w:color="auto" w:fill="auto"/>
            <w:vAlign w:val="bottom"/>
          </w:tcPr>
          <w:p w14:paraId="0B2FA1ED" w14:textId="77777777" w:rsidR="007F1775" w:rsidRDefault="007F1775">
            <w:pPr>
              <w:rPr>
                <w:rFonts w:ascii="宋体"/>
              </w:rPr>
            </w:pPr>
          </w:p>
        </w:tc>
        <w:tc>
          <w:tcPr>
            <w:tcW w:w="0" w:type="auto"/>
            <w:shd w:val="clear" w:color="auto" w:fill="auto"/>
            <w:vAlign w:val="bottom"/>
          </w:tcPr>
          <w:p w14:paraId="0B2FA1EE" w14:textId="77777777" w:rsidR="007F1775" w:rsidRDefault="007F1775">
            <w:pPr>
              <w:rPr>
                <w:rFonts w:ascii="宋体"/>
              </w:rPr>
            </w:pPr>
          </w:p>
        </w:tc>
        <w:tc>
          <w:tcPr>
            <w:tcW w:w="0" w:type="auto"/>
            <w:shd w:val="clear" w:color="auto" w:fill="auto"/>
            <w:vAlign w:val="bottom"/>
          </w:tcPr>
          <w:p w14:paraId="0B2FA1EF" w14:textId="77777777" w:rsidR="007F1775" w:rsidRDefault="007F1775">
            <w:pPr>
              <w:rPr>
                <w:rFonts w:ascii="宋体"/>
              </w:rPr>
            </w:pPr>
          </w:p>
        </w:tc>
        <w:tc>
          <w:tcPr>
            <w:tcW w:w="0" w:type="auto"/>
            <w:shd w:val="clear" w:color="auto" w:fill="auto"/>
            <w:vAlign w:val="bottom"/>
          </w:tcPr>
          <w:p w14:paraId="0B2FA1F0" w14:textId="77777777" w:rsidR="007F1775" w:rsidRDefault="007F1775">
            <w:pPr>
              <w:rPr>
                <w:rFonts w:ascii="宋体"/>
              </w:rPr>
            </w:pPr>
          </w:p>
        </w:tc>
        <w:tc>
          <w:tcPr>
            <w:tcW w:w="0" w:type="auto"/>
            <w:shd w:val="clear" w:color="auto" w:fill="auto"/>
            <w:vAlign w:val="bottom"/>
          </w:tcPr>
          <w:p w14:paraId="0B2FA1F1" w14:textId="77777777" w:rsidR="007F1775" w:rsidRDefault="007F1775">
            <w:pPr>
              <w:rPr>
                <w:rFonts w:ascii="宋体"/>
              </w:rPr>
            </w:pPr>
          </w:p>
        </w:tc>
        <w:tc>
          <w:tcPr>
            <w:tcW w:w="0" w:type="auto"/>
            <w:shd w:val="clear" w:color="auto" w:fill="auto"/>
            <w:vAlign w:val="bottom"/>
          </w:tcPr>
          <w:p w14:paraId="0B2FA1F2" w14:textId="77777777" w:rsidR="007F1775" w:rsidRDefault="007F1775">
            <w:pPr>
              <w:rPr>
                <w:rFonts w:ascii="宋体"/>
              </w:rPr>
            </w:pPr>
          </w:p>
        </w:tc>
        <w:tc>
          <w:tcPr>
            <w:tcW w:w="0" w:type="auto"/>
            <w:shd w:val="clear" w:color="auto" w:fill="auto"/>
            <w:vAlign w:val="bottom"/>
          </w:tcPr>
          <w:p w14:paraId="0B2FA1F3" w14:textId="77777777" w:rsidR="007F1775" w:rsidRDefault="007F1775">
            <w:pPr>
              <w:rPr>
                <w:rFonts w:ascii="宋体"/>
              </w:rPr>
            </w:pPr>
          </w:p>
        </w:tc>
        <w:tc>
          <w:tcPr>
            <w:tcW w:w="0" w:type="auto"/>
            <w:shd w:val="clear" w:color="auto" w:fill="auto"/>
            <w:vAlign w:val="bottom"/>
          </w:tcPr>
          <w:p w14:paraId="0B2FA1F4" w14:textId="77777777" w:rsidR="007F1775" w:rsidRDefault="007F1775">
            <w:pPr>
              <w:rPr>
                <w:rFonts w:ascii="宋体"/>
              </w:rPr>
            </w:pPr>
          </w:p>
        </w:tc>
        <w:tc>
          <w:tcPr>
            <w:tcW w:w="0" w:type="auto"/>
            <w:shd w:val="clear" w:color="auto" w:fill="auto"/>
            <w:vAlign w:val="bottom"/>
          </w:tcPr>
          <w:p w14:paraId="0B2FA1F5" w14:textId="77777777" w:rsidR="007F1775" w:rsidRDefault="007F1775">
            <w:pPr>
              <w:rPr>
                <w:rFonts w:ascii="宋体"/>
              </w:rPr>
            </w:pPr>
          </w:p>
        </w:tc>
        <w:tc>
          <w:tcPr>
            <w:tcW w:w="0" w:type="auto"/>
            <w:shd w:val="clear" w:color="auto" w:fill="auto"/>
            <w:vAlign w:val="bottom"/>
          </w:tcPr>
          <w:p w14:paraId="0B2FA1F6" w14:textId="77777777" w:rsidR="007F1775" w:rsidRDefault="007F1775">
            <w:pPr>
              <w:rPr>
                <w:rFonts w:ascii="宋体"/>
              </w:rPr>
            </w:pPr>
          </w:p>
        </w:tc>
        <w:tc>
          <w:tcPr>
            <w:tcW w:w="0" w:type="auto"/>
            <w:shd w:val="clear" w:color="auto" w:fill="auto"/>
            <w:vAlign w:val="bottom"/>
          </w:tcPr>
          <w:p w14:paraId="0B2FA1F7" w14:textId="77777777" w:rsidR="007F1775" w:rsidRDefault="007F1775">
            <w:pPr>
              <w:rPr>
                <w:rFonts w:ascii="宋体"/>
              </w:rPr>
            </w:pPr>
          </w:p>
        </w:tc>
        <w:tc>
          <w:tcPr>
            <w:tcW w:w="0" w:type="auto"/>
            <w:shd w:val="clear" w:color="auto" w:fill="auto"/>
            <w:vAlign w:val="bottom"/>
          </w:tcPr>
          <w:p w14:paraId="0B2FA1F8" w14:textId="77777777" w:rsidR="007F1775" w:rsidRDefault="007F1775">
            <w:pPr>
              <w:rPr>
                <w:rFonts w:ascii="宋体"/>
              </w:rPr>
            </w:pPr>
          </w:p>
        </w:tc>
        <w:tc>
          <w:tcPr>
            <w:tcW w:w="0" w:type="auto"/>
            <w:shd w:val="clear" w:color="auto" w:fill="auto"/>
            <w:vAlign w:val="bottom"/>
          </w:tcPr>
          <w:p w14:paraId="0B2FA1F9" w14:textId="77777777" w:rsidR="007F1775" w:rsidRDefault="007F1775">
            <w:pPr>
              <w:rPr>
                <w:rFonts w:ascii="宋体"/>
              </w:rPr>
            </w:pPr>
          </w:p>
        </w:tc>
        <w:tc>
          <w:tcPr>
            <w:tcW w:w="0" w:type="auto"/>
            <w:shd w:val="clear" w:color="auto" w:fill="auto"/>
            <w:vAlign w:val="bottom"/>
          </w:tcPr>
          <w:p w14:paraId="0B2FA1FA" w14:textId="77777777" w:rsidR="007F1775" w:rsidRDefault="007F1775">
            <w:pPr>
              <w:rPr>
                <w:rFonts w:ascii="宋体"/>
              </w:rPr>
            </w:pPr>
          </w:p>
        </w:tc>
        <w:tc>
          <w:tcPr>
            <w:tcW w:w="0" w:type="auto"/>
            <w:shd w:val="clear" w:color="auto" w:fill="auto"/>
            <w:vAlign w:val="bottom"/>
          </w:tcPr>
          <w:p w14:paraId="0B2FA1FB" w14:textId="77777777" w:rsidR="007F1775" w:rsidRDefault="007F1775">
            <w:pPr>
              <w:rPr>
                <w:rFonts w:ascii="宋体"/>
              </w:rPr>
            </w:pPr>
          </w:p>
        </w:tc>
        <w:tc>
          <w:tcPr>
            <w:tcW w:w="0" w:type="auto"/>
            <w:shd w:val="clear" w:color="auto" w:fill="auto"/>
            <w:vAlign w:val="bottom"/>
          </w:tcPr>
          <w:p w14:paraId="0B2FA1FC" w14:textId="77777777" w:rsidR="007F1775" w:rsidRDefault="007F1775">
            <w:pPr>
              <w:rPr>
                <w:rFonts w:ascii="宋体"/>
              </w:rPr>
            </w:pPr>
          </w:p>
        </w:tc>
        <w:tc>
          <w:tcPr>
            <w:tcW w:w="0" w:type="auto"/>
            <w:shd w:val="clear" w:color="auto" w:fill="auto"/>
            <w:vAlign w:val="bottom"/>
          </w:tcPr>
          <w:p w14:paraId="0B2FA1FD" w14:textId="77777777" w:rsidR="007F1775" w:rsidRDefault="007F1775">
            <w:pPr>
              <w:rPr>
                <w:rFonts w:ascii="宋体"/>
              </w:rPr>
            </w:pPr>
          </w:p>
        </w:tc>
        <w:tc>
          <w:tcPr>
            <w:tcW w:w="0" w:type="auto"/>
            <w:shd w:val="clear" w:color="auto" w:fill="auto"/>
            <w:vAlign w:val="bottom"/>
          </w:tcPr>
          <w:p w14:paraId="0B2FA1FE" w14:textId="77777777" w:rsidR="007F1775" w:rsidRDefault="007F1775">
            <w:pPr>
              <w:rPr>
                <w:rFonts w:ascii="宋体"/>
              </w:rPr>
            </w:pPr>
          </w:p>
        </w:tc>
        <w:tc>
          <w:tcPr>
            <w:tcW w:w="0" w:type="auto"/>
            <w:shd w:val="clear" w:color="auto" w:fill="auto"/>
            <w:vAlign w:val="bottom"/>
          </w:tcPr>
          <w:p w14:paraId="0B2FA1FF" w14:textId="77777777" w:rsidR="007F1775" w:rsidRDefault="007F1775">
            <w:pPr>
              <w:rPr>
                <w:rFonts w:ascii="宋体"/>
              </w:rPr>
            </w:pPr>
          </w:p>
        </w:tc>
        <w:tc>
          <w:tcPr>
            <w:tcW w:w="0" w:type="auto"/>
            <w:shd w:val="clear" w:color="auto" w:fill="auto"/>
            <w:vAlign w:val="bottom"/>
          </w:tcPr>
          <w:p w14:paraId="0B2FA200" w14:textId="77777777" w:rsidR="007F1775" w:rsidRDefault="007F1775">
            <w:pPr>
              <w:rPr>
                <w:rFonts w:ascii="宋体"/>
              </w:rPr>
            </w:pPr>
          </w:p>
        </w:tc>
        <w:tc>
          <w:tcPr>
            <w:tcW w:w="0" w:type="auto"/>
            <w:shd w:val="clear" w:color="auto" w:fill="auto"/>
            <w:vAlign w:val="bottom"/>
          </w:tcPr>
          <w:p w14:paraId="0B2FA201" w14:textId="77777777" w:rsidR="007F1775" w:rsidRDefault="007F1775">
            <w:pPr>
              <w:rPr>
                <w:rFonts w:ascii="宋体"/>
              </w:rPr>
            </w:pPr>
          </w:p>
        </w:tc>
        <w:tc>
          <w:tcPr>
            <w:tcW w:w="0" w:type="auto"/>
            <w:shd w:val="clear" w:color="auto" w:fill="auto"/>
            <w:vAlign w:val="bottom"/>
          </w:tcPr>
          <w:p w14:paraId="0B2FA202" w14:textId="77777777" w:rsidR="007F1775" w:rsidRDefault="007F1775">
            <w:pPr>
              <w:rPr>
                <w:rFonts w:ascii="宋体"/>
              </w:rPr>
            </w:pPr>
          </w:p>
        </w:tc>
        <w:tc>
          <w:tcPr>
            <w:tcW w:w="0" w:type="auto"/>
            <w:shd w:val="clear" w:color="auto" w:fill="auto"/>
            <w:vAlign w:val="bottom"/>
          </w:tcPr>
          <w:p w14:paraId="0B2FA203" w14:textId="77777777" w:rsidR="007F1775" w:rsidRDefault="007F1775">
            <w:pPr>
              <w:rPr>
                <w:rFonts w:ascii="宋体"/>
              </w:rPr>
            </w:pPr>
          </w:p>
        </w:tc>
        <w:tc>
          <w:tcPr>
            <w:tcW w:w="0" w:type="auto"/>
            <w:shd w:val="clear" w:color="auto" w:fill="auto"/>
            <w:vAlign w:val="bottom"/>
          </w:tcPr>
          <w:p w14:paraId="0B2FA204" w14:textId="77777777" w:rsidR="007F1775" w:rsidRDefault="007F1775">
            <w:pPr>
              <w:rPr>
                <w:rFonts w:ascii="宋体"/>
              </w:rPr>
            </w:pPr>
          </w:p>
        </w:tc>
        <w:tc>
          <w:tcPr>
            <w:tcW w:w="0" w:type="auto"/>
            <w:shd w:val="clear" w:color="auto" w:fill="auto"/>
            <w:vAlign w:val="bottom"/>
          </w:tcPr>
          <w:p w14:paraId="0B2FA205" w14:textId="77777777" w:rsidR="007F1775" w:rsidRDefault="007F1775">
            <w:pPr>
              <w:rPr>
                <w:rFonts w:ascii="宋体"/>
              </w:rPr>
            </w:pPr>
          </w:p>
        </w:tc>
        <w:tc>
          <w:tcPr>
            <w:tcW w:w="0" w:type="auto"/>
            <w:shd w:val="clear" w:color="auto" w:fill="auto"/>
            <w:vAlign w:val="bottom"/>
          </w:tcPr>
          <w:p w14:paraId="0B2FA206" w14:textId="77777777" w:rsidR="007F1775" w:rsidRDefault="007F1775">
            <w:pPr>
              <w:rPr>
                <w:rFonts w:ascii="宋体"/>
              </w:rPr>
            </w:pPr>
          </w:p>
        </w:tc>
        <w:tc>
          <w:tcPr>
            <w:tcW w:w="0" w:type="auto"/>
            <w:shd w:val="clear" w:color="auto" w:fill="auto"/>
            <w:vAlign w:val="bottom"/>
          </w:tcPr>
          <w:p w14:paraId="0B2FA207" w14:textId="77777777" w:rsidR="007F1775" w:rsidRDefault="007F1775">
            <w:pPr>
              <w:rPr>
                <w:rFonts w:ascii="宋体"/>
              </w:rPr>
            </w:pPr>
          </w:p>
        </w:tc>
        <w:tc>
          <w:tcPr>
            <w:tcW w:w="0" w:type="auto"/>
            <w:shd w:val="clear" w:color="auto" w:fill="auto"/>
            <w:vAlign w:val="bottom"/>
          </w:tcPr>
          <w:p w14:paraId="0B2FA208" w14:textId="77777777" w:rsidR="007F1775" w:rsidRDefault="007F1775">
            <w:pPr>
              <w:rPr>
                <w:rFonts w:ascii="宋体"/>
              </w:rPr>
            </w:pPr>
          </w:p>
        </w:tc>
        <w:tc>
          <w:tcPr>
            <w:tcW w:w="0" w:type="auto"/>
            <w:shd w:val="clear" w:color="auto" w:fill="auto"/>
            <w:vAlign w:val="bottom"/>
          </w:tcPr>
          <w:p w14:paraId="0B2FA209" w14:textId="77777777" w:rsidR="007F1775" w:rsidRDefault="007F1775">
            <w:pPr>
              <w:rPr>
                <w:rFonts w:ascii="宋体"/>
              </w:rPr>
            </w:pPr>
          </w:p>
        </w:tc>
      </w:tr>
      <w:tr w:rsidR="007F1775" w14:paraId="0B2FA222" w14:textId="77777777">
        <w:trPr>
          <w:jc w:val="center"/>
          <w:hidden/>
        </w:trPr>
        <w:tc>
          <w:tcPr>
            <w:tcW w:w="0" w:type="auto"/>
            <w:gridSpan w:val="3"/>
            <w:shd w:val="clear" w:color="auto" w:fill="auto"/>
            <w:vAlign w:val="bottom"/>
          </w:tcPr>
          <w:p w14:paraId="0B2FA20B" w14:textId="77777777" w:rsidR="007F1775" w:rsidRDefault="007F1775">
            <w:pPr>
              <w:rPr>
                <w:rFonts w:ascii="宋体"/>
                <w:vanish/>
              </w:rPr>
            </w:pPr>
          </w:p>
        </w:tc>
        <w:tc>
          <w:tcPr>
            <w:tcW w:w="0" w:type="auto"/>
            <w:gridSpan w:val="3"/>
            <w:shd w:val="clear" w:color="auto" w:fill="auto"/>
            <w:vAlign w:val="bottom"/>
          </w:tcPr>
          <w:p w14:paraId="0B2FA20C" w14:textId="77777777" w:rsidR="007F1775" w:rsidRDefault="007F1775">
            <w:pPr>
              <w:rPr>
                <w:rFonts w:ascii="宋体"/>
                <w:vanish/>
              </w:rPr>
            </w:pPr>
          </w:p>
        </w:tc>
        <w:tc>
          <w:tcPr>
            <w:tcW w:w="0" w:type="auto"/>
            <w:gridSpan w:val="3"/>
            <w:shd w:val="clear" w:color="auto" w:fill="auto"/>
            <w:vAlign w:val="bottom"/>
          </w:tcPr>
          <w:p w14:paraId="0B2FA20D" w14:textId="77777777" w:rsidR="007F1775" w:rsidRDefault="007F1775">
            <w:pPr>
              <w:rPr>
                <w:rFonts w:ascii="宋体"/>
                <w:vanish/>
              </w:rPr>
            </w:pPr>
          </w:p>
        </w:tc>
        <w:tc>
          <w:tcPr>
            <w:tcW w:w="0" w:type="auto"/>
            <w:gridSpan w:val="3"/>
            <w:shd w:val="clear" w:color="auto" w:fill="auto"/>
            <w:vAlign w:val="bottom"/>
          </w:tcPr>
          <w:p w14:paraId="0B2FA20E" w14:textId="77777777" w:rsidR="007F1775" w:rsidRDefault="007F1775">
            <w:pPr>
              <w:rPr>
                <w:rFonts w:ascii="宋体"/>
                <w:vanish/>
              </w:rPr>
            </w:pPr>
          </w:p>
        </w:tc>
        <w:tc>
          <w:tcPr>
            <w:tcW w:w="0" w:type="auto"/>
            <w:gridSpan w:val="3"/>
            <w:shd w:val="clear" w:color="auto" w:fill="auto"/>
            <w:vAlign w:val="bottom"/>
          </w:tcPr>
          <w:p w14:paraId="0B2FA20F" w14:textId="77777777" w:rsidR="007F1775" w:rsidRDefault="007F1775">
            <w:pPr>
              <w:rPr>
                <w:rFonts w:ascii="宋体"/>
                <w:vanish/>
              </w:rPr>
            </w:pPr>
          </w:p>
        </w:tc>
        <w:tc>
          <w:tcPr>
            <w:tcW w:w="0" w:type="auto"/>
            <w:gridSpan w:val="3"/>
            <w:shd w:val="clear" w:color="auto" w:fill="auto"/>
            <w:vAlign w:val="bottom"/>
          </w:tcPr>
          <w:p w14:paraId="0B2FA210" w14:textId="77777777" w:rsidR="007F1775" w:rsidRDefault="007F1775">
            <w:pPr>
              <w:rPr>
                <w:rFonts w:ascii="宋体"/>
                <w:vanish/>
              </w:rPr>
            </w:pPr>
          </w:p>
        </w:tc>
        <w:tc>
          <w:tcPr>
            <w:tcW w:w="0" w:type="auto"/>
            <w:gridSpan w:val="3"/>
            <w:shd w:val="clear" w:color="auto" w:fill="auto"/>
            <w:vAlign w:val="bottom"/>
          </w:tcPr>
          <w:p w14:paraId="0B2FA211" w14:textId="77777777" w:rsidR="007F1775" w:rsidRDefault="007F1775">
            <w:pPr>
              <w:rPr>
                <w:rFonts w:ascii="宋体"/>
                <w:vanish/>
              </w:rPr>
            </w:pPr>
          </w:p>
        </w:tc>
        <w:tc>
          <w:tcPr>
            <w:tcW w:w="0" w:type="auto"/>
            <w:gridSpan w:val="3"/>
            <w:shd w:val="clear" w:color="auto" w:fill="auto"/>
            <w:vAlign w:val="bottom"/>
          </w:tcPr>
          <w:p w14:paraId="0B2FA212" w14:textId="77777777" w:rsidR="007F1775" w:rsidRDefault="007F1775">
            <w:pPr>
              <w:rPr>
                <w:rFonts w:ascii="宋体"/>
                <w:vanish/>
              </w:rPr>
            </w:pPr>
          </w:p>
        </w:tc>
        <w:tc>
          <w:tcPr>
            <w:tcW w:w="0" w:type="auto"/>
            <w:gridSpan w:val="3"/>
            <w:shd w:val="clear" w:color="auto" w:fill="auto"/>
            <w:vAlign w:val="bottom"/>
          </w:tcPr>
          <w:p w14:paraId="0B2FA213" w14:textId="77777777" w:rsidR="007F1775" w:rsidRDefault="007F1775">
            <w:pPr>
              <w:rPr>
                <w:rFonts w:ascii="宋体"/>
                <w:vanish/>
              </w:rPr>
            </w:pPr>
          </w:p>
        </w:tc>
        <w:tc>
          <w:tcPr>
            <w:tcW w:w="0" w:type="auto"/>
            <w:gridSpan w:val="3"/>
            <w:shd w:val="clear" w:color="auto" w:fill="auto"/>
            <w:vAlign w:val="bottom"/>
          </w:tcPr>
          <w:p w14:paraId="0B2FA214" w14:textId="77777777" w:rsidR="007F1775" w:rsidRDefault="007F1775">
            <w:pPr>
              <w:rPr>
                <w:rFonts w:ascii="宋体"/>
                <w:vanish/>
              </w:rPr>
            </w:pPr>
          </w:p>
        </w:tc>
        <w:tc>
          <w:tcPr>
            <w:tcW w:w="0" w:type="auto"/>
            <w:gridSpan w:val="3"/>
            <w:shd w:val="clear" w:color="auto" w:fill="auto"/>
            <w:vAlign w:val="bottom"/>
          </w:tcPr>
          <w:p w14:paraId="0B2FA215" w14:textId="77777777" w:rsidR="007F1775" w:rsidRDefault="007F1775">
            <w:pPr>
              <w:rPr>
                <w:rFonts w:ascii="宋体"/>
                <w:vanish/>
              </w:rPr>
            </w:pPr>
          </w:p>
        </w:tc>
        <w:tc>
          <w:tcPr>
            <w:tcW w:w="0" w:type="auto"/>
            <w:gridSpan w:val="3"/>
            <w:shd w:val="clear" w:color="auto" w:fill="auto"/>
            <w:vAlign w:val="bottom"/>
          </w:tcPr>
          <w:p w14:paraId="0B2FA216" w14:textId="77777777" w:rsidR="007F1775" w:rsidRDefault="007F1775">
            <w:pPr>
              <w:rPr>
                <w:rFonts w:ascii="宋体"/>
                <w:vanish/>
              </w:rPr>
            </w:pPr>
          </w:p>
        </w:tc>
        <w:tc>
          <w:tcPr>
            <w:tcW w:w="0" w:type="auto"/>
            <w:gridSpan w:val="3"/>
            <w:shd w:val="clear" w:color="auto" w:fill="auto"/>
            <w:vAlign w:val="bottom"/>
          </w:tcPr>
          <w:p w14:paraId="0B2FA217" w14:textId="77777777" w:rsidR="007F1775" w:rsidRDefault="007F1775">
            <w:pPr>
              <w:rPr>
                <w:rFonts w:ascii="宋体"/>
                <w:vanish/>
              </w:rPr>
            </w:pPr>
          </w:p>
        </w:tc>
        <w:tc>
          <w:tcPr>
            <w:tcW w:w="0" w:type="auto"/>
            <w:gridSpan w:val="3"/>
            <w:shd w:val="clear" w:color="auto" w:fill="auto"/>
            <w:vAlign w:val="bottom"/>
          </w:tcPr>
          <w:p w14:paraId="0B2FA218" w14:textId="77777777" w:rsidR="007F1775" w:rsidRDefault="007F1775">
            <w:pPr>
              <w:rPr>
                <w:rFonts w:ascii="宋体"/>
                <w:vanish/>
              </w:rPr>
            </w:pPr>
          </w:p>
        </w:tc>
        <w:tc>
          <w:tcPr>
            <w:tcW w:w="0" w:type="auto"/>
            <w:gridSpan w:val="3"/>
            <w:shd w:val="clear" w:color="auto" w:fill="auto"/>
            <w:vAlign w:val="bottom"/>
          </w:tcPr>
          <w:p w14:paraId="0B2FA219" w14:textId="77777777" w:rsidR="007F1775" w:rsidRDefault="007F1775">
            <w:pPr>
              <w:rPr>
                <w:rFonts w:ascii="宋体"/>
                <w:vanish/>
              </w:rPr>
            </w:pPr>
          </w:p>
        </w:tc>
        <w:tc>
          <w:tcPr>
            <w:tcW w:w="0" w:type="auto"/>
            <w:gridSpan w:val="3"/>
            <w:shd w:val="clear" w:color="auto" w:fill="auto"/>
            <w:vAlign w:val="bottom"/>
          </w:tcPr>
          <w:p w14:paraId="0B2FA21A" w14:textId="77777777" w:rsidR="007F1775" w:rsidRDefault="007F1775">
            <w:pPr>
              <w:rPr>
                <w:rFonts w:ascii="宋体"/>
                <w:vanish/>
              </w:rPr>
            </w:pPr>
          </w:p>
        </w:tc>
        <w:tc>
          <w:tcPr>
            <w:tcW w:w="0" w:type="auto"/>
            <w:gridSpan w:val="3"/>
            <w:shd w:val="clear" w:color="auto" w:fill="auto"/>
            <w:vAlign w:val="bottom"/>
          </w:tcPr>
          <w:p w14:paraId="0B2FA21B" w14:textId="77777777" w:rsidR="007F1775" w:rsidRDefault="007F1775">
            <w:pPr>
              <w:rPr>
                <w:rFonts w:ascii="宋体"/>
                <w:vanish/>
              </w:rPr>
            </w:pPr>
          </w:p>
        </w:tc>
        <w:tc>
          <w:tcPr>
            <w:tcW w:w="0" w:type="auto"/>
            <w:gridSpan w:val="3"/>
            <w:shd w:val="clear" w:color="auto" w:fill="auto"/>
            <w:vAlign w:val="bottom"/>
          </w:tcPr>
          <w:p w14:paraId="0B2FA21C" w14:textId="77777777" w:rsidR="007F1775" w:rsidRDefault="007F1775">
            <w:pPr>
              <w:rPr>
                <w:rFonts w:ascii="宋体"/>
                <w:vanish/>
              </w:rPr>
            </w:pPr>
          </w:p>
        </w:tc>
        <w:tc>
          <w:tcPr>
            <w:tcW w:w="0" w:type="auto"/>
            <w:gridSpan w:val="3"/>
            <w:shd w:val="clear" w:color="auto" w:fill="auto"/>
            <w:vAlign w:val="bottom"/>
          </w:tcPr>
          <w:p w14:paraId="0B2FA21D" w14:textId="77777777" w:rsidR="007F1775" w:rsidRDefault="007F1775">
            <w:pPr>
              <w:rPr>
                <w:rFonts w:ascii="宋体"/>
                <w:vanish/>
              </w:rPr>
            </w:pPr>
          </w:p>
        </w:tc>
        <w:tc>
          <w:tcPr>
            <w:tcW w:w="0" w:type="auto"/>
            <w:gridSpan w:val="3"/>
            <w:shd w:val="clear" w:color="auto" w:fill="auto"/>
            <w:vAlign w:val="bottom"/>
          </w:tcPr>
          <w:p w14:paraId="0B2FA21E" w14:textId="77777777" w:rsidR="007F1775" w:rsidRDefault="007F1775">
            <w:pPr>
              <w:rPr>
                <w:rFonts w:ascii="宋体"/>
                <w:vanish/>
              </w:rPr>
            </w:pPr>
          </w:p>
        </w:tc>
        <w:tc>
          <w:tcPr>
            <w:tcW w:w="0" w:type="auto"/>
            <w:shd w:val="clear" w:color="auto" w:fill="auto"/>
            <w:vAlign w:val="bottom"/>
          </w:tcPr>
          <w:p w14:paraId="0B2FA21F" w14:textId="77777777" w:rsidR="007F1775" w:rsidRDefault="007F1775">
            <w:pPr>
              <w:rPr>
                <w:rFonts w:ascii="宋体"/>
              </w:rPr>
            </w:pPr>
          </w:p>
        </w:tc>
        <w:tc>
          <w:tcPr>
            <w:tcW w:w="0" w:type="auto"/>
            <w:shd w:val="clear" w:color="auto" w:fill="auto"/>
            <w:vAlign w:val="bottom"/>
          </w:tcPr>
          <w:p w14:paraId="0B2FA220" w14:textId="77777777" w:rsidR="007F1775" w:rsidRDefault="007F1775">
            <w:pPr>
              <w:rPr>
                <w:rFonts w:ascii="宋体"/>
              </w:rPr>
            </w:pPr>
          </w:p>
        </w:tc>
        <w:tc>
          <w:tcPr>
            <w:tcW w:w="0" w:type="auto"/>
            <w:shd w:val="clear" w:color="auto" w:fill="auto"/>
            <w:vAlign w:val="bottom"/>
          </w:tcPr>
          <w:p w14:paraId="0B2FA221" w14:textId="77777777" w:rsidR="007F1775" w:rsidRDefault="007F1775">
            <w:pPr>
              <w:rPr>
                <w:rFonts w:ascii="宋体"/>
              </w:rPr>
            </w:pPr>
          </w:p>
        </w:tc>
      </w:tr>
      <w:tr w:rsidR="007F1775" w14:paraId="0B2FA24E" w14:textId="77777777">
        <w:trPr>
          <w:jc w:val="center"/>
          <w:hidden/>
        </w:trPr>
        <w:tc>
          <w:tcPr>
            <w:tcW w:w="0" w:type="auto"/>
            <w:gridSpan w:val="3"/>
            <w:shd w:val="clear" w:color="auto" w:fill="auto"/>
            <w:vAlign w:val="bottom"/>
          </w:tcPr>
          <w:p w14:paraId="0B2FA223" w14:textId="77777777" w:rsidR="007F1775" w:rsidRDefault="007F1775">
            <w:pPr>
              <w:rPr>
                <w:rFonts w:ascii="宋体"/>
                <w:vanish/>
              </w:rPr>
            </w:pPr>
          </w:p>
        </w:tc>
        <w:tc>
          <w:tcPr>
            <w:tcW w:w="0" w:type="auto"/>
            <w:gridSpan w:val="3"/>
            <w:shd w:val="clear" w:color="auto" w:fill="auto"/>
            <w:vAlign w:val="bottom"/>
          </w:tcPr>
          <w:p w14:paraId="0B2FA224" w14:textId="77777777" w:rsidR="007F1775" w:rsidRDefault="007F1775">
            <w:pPr>
              <w:rPr>
                <w:rFonts w:ascii="宋体"/>
                <w:vanish/>
              </w:rPr>
            </w:pPr>
          </w:p>
        </w:tc>
        <w:tc>
          <w:tcPr>
            <w:tcW w:w="0" w:type="auto"/>
            <w:gridSpan w:val="3"/>
            <w:shd w:val="clear" w:color="auto" w:fill="auto"/>
            <w:vAlign w:val="bottom"/>
          </w:tcPr>
          <w:p w14:paraId="0B2FA225" w14:textId="77777777" w:rsidR="007F1775" w:rsidRDefault="007F1775">
            <w:pPr>
              <w:rPr>
                <w:rFonts w:ascii="宋体"/>
                <w:vanish/>
              </w:rPr>
            </w:pPr>
          </w:p>
        </w:tc>
        <w:tc>
          <w:tcPr>
            <w:tcW w:w="0" w:type="auto"/>
            <w:gridSpan w:val="3"/>
            <w:shd w:val="clear" w:color="auto" w:fill="auto"/>
            <w:vAlign w:val="bottom"/>
          </w:tcPr>
          <w:p w14:paraId="0B2FA226" w14:textId="77777777" w:rsidR="007F1775" w:rsidRDefault="007F1775">
            <w:pPr>
              <w:rPr>
                <w:rFonts w:ascii="宋体"/>
                <w:vanish/>
              </w:rPr>
            </w:pPr>
          </w:p>
        </w:tc>
        <w:tc>
          <w:tcPr>
            <w:tcW w:w="0" w:type="auto"/>
            <w:gridSpan w:val="3"/>
            <w:shd w:val="clear" w:color="auto" w:fill="auto"/>
            <w:vAlign w:val="bottom"/>
          </w:tcPr>
          <w:p w14:paraId="0B2FA227" w14:textId="77777777" w:rsidR="007F1775" w:rsidRDefault="007F1775">
            <w:pPr>
              <w:rPr>
                <w:rFonts w:ascii="宋体"/>
                <w:vanish/>
              </w:rPr>
            </w:pPr>
          </w:p>
        </w:tc>
        <w:tc>
          <w:tcPr>
            <w:tcW w:w="0" w:type="auto"/>
            <w:gridSpan w:val="3"/>
            <w:shd w:val="clear" w:color="auto" w:fill="auto"/>
            <w:vAlign w:val="bottom"/>
          </w:tcPr>
          <w:p w14:paraId="0B2FA228" w14:textId="77777777" w:rsidR="007F1775" w:rsidRDefault="007F1775">
            <w:pPr>
              <w:rPr>
                <w:rFonts w:ascii="宋体"/>
                <w:vanish/>
              </w:rPr>
            </w:pPr>
          </w:p>
        </w:tc>
        <w:tc>
          <w:tcPr>
            <w:tcW w:w="0" w:type="auto"/>
            <w:gridSpan w:val="3"/>
            <w:shd w:val="clear" w:color="auto" w:fill="auto"/>
            <w:vAlign w:val="bottom"/>
          </w:tcPr>
          <w:p w14:paraId="0B2FA229" w14:textId="77777777" w:rsidR="007F1775" w:rsidRDefault="007F1775">
            <w:pPr>
              <w:rPr>
                <w:rFonts w:ascii="宋体"/>
                <w:vanish/>
              </w:rPr>
            </w:pPr>
          </w:p>
        </w:tc>
        <w:tc>
          <w:tcPr>
            <w:tcW w:w="0" w:type="auto"/>
            <w:gridSpan w:val="3"/>
            <w:shd w:val="clear" w:color="auto" w:fill="auto"/>
            <w:vAlign w:val="bottom"/>
          </w:tcPr>
          <w:p w14:paraId="0B2FA22A" w14:textId="77777777" w:rsidR="007F1775" w:rsidRDefault="007F1775">
            <w:pPr>
              <w:rPr>
                <w:rFonts w:ascii="宋体"/>
                <w:vanish/>
              </w:rPr>
            </w:pPr>
          </w:p>
        </w:tc>
        <w:tc>
          <w:tcPr>
            <w:tcW w:w="0" w:type="auto"/>
            <w:gridSpan w:val="3"/>
            <w:shd w:val="clear" w:color="auto" w:fill="auto"/>
            <w:vAlign w:val="bottom"/>
          </w:tcPr>
          <w:p w14:paraId="0B2FA22B" w14:textId="77777777" w:rsidR="007F1775" w:rsidRDefault="007F1775">
            <w:pPr>
              <w:rPr>
                <w:rFonts w:ascii="宋体"/>
                <w:vanish/>
              </w:rPr>
            </w:pPr>
          </w:p>
        </w:tc>
        <w:tc>
          <w:tcPr>
            <w:tcW w:w="0" w:type="auto"/>
            <w:gridSpan w:val="3"/>
            <w:shd w:val="clear" w:color="auto" w:fill="auto"/>
            <w:vAlign w:val="bottom"/>
          </w:tcPr>
          <w:p w14:paraId="0B2FA22C" w14:textId="77777777" w:rsidR="007F1775" w:rsidRDefault="007F1775">
            <w:pPr>
              <w:rPr>
                <w:rFonts w:ascii="宋体"/>
                <w:vanish/>
              </w:rPr>
            </w:pPr>
          </w:p>
        </w:tc>
        <w:tc>
          <w:tcPr>
            <w:tcW w:w="0" w:type="auto"/>
            <w:shd w:val="clear" w:color="auto" w:fill="auto"/>
            <w:vAlign w:val="bottom"/>
          </w:tcPr>
          <w:p w14:paraId="0B2FA22D" w14:textId="77777777" w:rsidR="007F1775" w:rsidRDefault="007F1775">
            <w:pPr>
              <w:rPr>
                <w:rFonts w:ascii="宋体"/>
              </w:rPr>
            </w:pPr>
          </w:p>
        </w:tc>
        <w:tc>
          <w:tcPr>
            <w:tcW w:w="0" w:type="auto"/>
            <w:shd w:val="clear" w:color="auto" w:fill="auto"/>
            <w:vAlign w:val="bottom"/>
          </w:tcPr>
          <w:p w14:paraId="0B2FA22E" w14:textId="77777777" w:rsidR="007F1775" w:rsidRDefault="007F1775">
            <w:pPr>
              <w:rPr>
                <w:rFonts w:ascii="宋体"/>
              </w:rPr>
            </w:pPr>
          </w:p>
        </w:tc>
        <w:tc>
          <w:tcPr>
            <w:tcW w:w="0" w:type="auto"/>
            <w:shd w:val="clear" w:color="auto" w:fill="auto"/>
            <w:vAlign w:val="bottom"/>
          </w:tcPr>
          <w:p w14:paraId="0B2FA22F" w14:textId="77777777" w:rsidR="007F1775" w:rsidRDefault="007F1775">
            <w:pPr>
              <w:rPr>
                <w:rFonts w:ascii="宋体"/>
              </w:rPr>
            </w:pPr>
          </w:p>
        </w:tc>
        <w:tc>
          <w:tcPr>
            <w:tcW w:w="0" w:type="auto"/>
            <w:shd w:val="clear" w:color="auto" w:fill="auto"/>
            <w:vAlign w:val="bottom"/>
          </w:tcPr>
          <w:p w14:paraId="0B2FA230" w14:textId="77777777" w:rsidR="007F1775" w:rsidRDefault="007F1775">
            <w:pPr>
              <w:rPr>
                <w:rFonts w:ascii="宋体"/>
              </w:rPr>
            </w:pPr>
          </w:p>
        </w:tc>
        <w:tc>
          <w:tcPr>
            <w:tcW w:w="0" w:type="auto"/>
            <w:shd w:val="clear" w:color="auto" w:fill="auto"/>
            <w:vAlign w:val="bottom"/>
          </w:tcPr>
          <w:p w14:paraId="0B2FA231" w14:textId="77777777" w:rsidR="007F1775" w:rsidRDefault="007F1775">
            <w:pPr>
              <w:rPr>
                <w:rFonts w:ascii="宋体"/>
              </w:rPr>
            </w:pPr>
          </w:p>
        </w:tc>
        <w:tc>
          <w:tcPr>
            <w:tcW w:w="0" w:type="auto"/>
            <w:shd w:val="clear" w:color="auto" w:fill="auto"/>
            <w:vAlign w:val="bottom"/>
          </w:tcPr>
          <w:p w14:paraId="0B2FA232" w14:textId="77777777" w:rsidR="007F1775" w:rsidRDefault="007F1775">
            <w:pPr>
              <w:rPr>
                <w:rFonts w:ascii="宋体"/>
              </w:rPr>
            </w:pPr>
          </w:p>
        </w:tc>
        <w:tc>
          <w:tcPr>
            <w:tcW w:w="0" w:type="auto"/>
            <w:shd w:val="clear" w:color="auto" w:fill="auto"/>
            <w:vAlign w:val="bottom"/>
          </w:tcPr>
          <w:p w14:paraId="0B2FA233" w14:textId="77777777" w:rsidR="007F1775" w:rsidRDefault="007F1775">
            <w:pPr>
              <w:rPr>
                <w:rFonts w:ascii="宋体"/>
              </w:rPr>
            </w:pPr>
          </w:p>
        </w:tc>
        <w:tc>
          <w:tcPr>
            <w:tcW w:w="0" w:type="auto"/>
            <w:shd w:val="clear" w:color="auto" w:fill="auto"/>
            <w:vAlign w:val="bottom"/>
          </w:tcPr>
          <w:p w14:paraId="0B2FA234" w14:textId="77777777" w:rsidR="007F1775" w:rsidRDefault="007F1775">
            <w:pPr>
              <w:rPr>
                <w:rFonts w:ascii="宋体"/>
              </w:rPr>
            </w:pPr>
          </w:p>
        </w:tc>
        <w:tc>
          <w:tcPr>
            <w:tcW w:w="0" w:type="auto"/>
            <w:shd w:val="clear" w:color="auto" w:fill="auto"/>
            <w:vAlign w:val="bottom"/>
          </w:tcPr>
          <w:p w14:paraId="0B2FA235" w14:textId="77777777" w:rsidR="007F1775" w:rsidRDefault="007F1775">
            <w:pPr>
              <w:rPr>
                <w:rFonts w:ascii="宋体"/>
              </w:rPr>
            </w:pPr>
          </w:p>
        </w:tc>
        <w:tc>
          <w:tcPr>
            <w:tcW w:w="0" w:type="auto"/>
            <w:shd w:val="clear" w:color="auto" w:fill="auto"/>
            <w:vAlign w:val="bottom"/>
          </w:tcPr>
          <w:p w14:paraId="0B2FA236" w14:textId="77777777" w:rsidR="007F1775" w:rsidRDefault="007F1775">
            <w:pPr>
              <w:rPr>
                <w:rFonts w:ascii="宋体"/>
              </w:rPr>
            </w:pPr>
          </w:p>
        </w:tc>
        <w:tc>
          <w:tcPr>
            <w:tcW w:w="0" w:type="auto"/>
            <w:shd w:val="clear" w:color="auto" w:fill="auto"/>
            <w:vAlign w:val="bottom"/>
          </w:tcPr>
          <w:p w14:paraId="0B2FA237" w14:textId="77777777" w:rsidR="007F1775" w:rsidRDefault="007F1775">
            <w:pPr>
              <w:rPr>
                <w:rFonts w:ascii="宋体"/>
              </w:rPr>
            </w:pPr>
          </w:p>
        </w:tc>
        <w:tc>
          <w:tcPr>
            <w:tcW w:w="0" w:type="auto"/>
            <w:shd w:val="clear" w:color="auto" w:fill="auto"/>
            <w:vAlign w:val="bottom"/>
          </w:tcPr>
          <w:p w14:paraId="0B2FA238" w14:textId="77777777" w:rsidR="007F1775" w:rsidRDefault="007F1775">
            <w:pPr>
              <w:rPr>
                <w:rFonts w:ascii="宋体"/>
              </w:rPr>
            </w:pPr>
          </w:p>
        </w:tc>
        <w:tc>
          <w:tcPr>
            <w:tcW w:w="0" w:type="auto"/>
            <w:shd w:val="clear" w:color="auto" w:fill="auto"/>
            <w:vAlign w:val="bottom"/>
          </w:tcPr>
          <w:p w14:paraId="0B2FA239" w14:textId="77777777" w:rsidR="007F1775" w:rsidRDefault="007F1775">
            <w:pPr>
              <w:rPr>
                <w:rFonts w:ascii="宋体"/>
              </w:rPr>
            </w:pPr>
          </w:p>
        </w:tc>
        <w:tc>
          <w:tcPr>
            <w:tcW w:w="0" w:type="auto"/>
            <w:shd w:val="clear" w:color="auto" w:fill="auto"/>
            <w:vAlign w:val="bottom"/>
          </w:tcPr>
          <w:p w14:paraId="0B2FA23A" w14:textId="77777777" w:rsidR="007F1775" w:rsidRDefault="007F1775">
            <w:pPr>
              <w:rPr>
                <w:rFonts w:ascii="宋体"/>
              </w:rPr>
            </w:pPr>
          </w:p>
        </w:tc>
        <w:tc>
          <w:tcPr>
            <w:tcW w:w="0" w:type="auto"/>
            <w:shd w:val="clear" w:color="auto" w:fill="auto"/>
            <w:vAlign w:val="bottom"/>
          </w:tcPr>
          <w:p w14:paraId="0B2FA23B" w14:textId="77777777" w:rsidR="007F1775" w:rsidRDefault="007F1775">
            <w:pPr>
              <w:rPr>
                <w:rFonts w:ascii="宋体"/>
              </w:rPr>
            </w:pPr>
          </w:p>
        </w:tc>
        <w:tc>
          <w:tcPr>
            <w:tcW w:w="0" w:type="auto"/>
            <w:shd w:val="clear" w:color="auto" w:fill="auto"/>
            <w:vAlign w:val="bottom"/>
          </w:tcPr>
          <w:p w14:paraId="0B2FA23C" w14:textId="77777777" w:rsidR="007F1775" w:rsidRDefault="007F1775">
            <w:pPr>
              <w:rPr>
                <w:rFonts w:ascii="宋体"/>
              </w:rPr>
            </w:pPr>
          </w:p>
        </w:tc>
        <w:tc>
          <w:tcPr>
            <w:tcW w:w="0" w:type="auto"/>
            <w:shd w:val="clear" w:color="auto" w:fill="auto"/>
            <w:vAlign w:val="bottom"/>
          </w:tcPr>
          <w:p w14:paraId="0B2FA23D" w14:textId="77777777" w:rsidR="007F1775" w:rsidRDefault="007F1775">
            <w:pPr>
              <w:rPr>
                <w:rFonts w:ascii="宋体"/>
              </w:rPr>
            </w:pPr>
          </w:p>
        </w:tc>
        <w:tc>
          <w:tcPr>
            <w:tcW w:w="0" w:type="auto"/>
            <w:shd w:val="clear" w:color="auto" w:fill="auto"/>
            <w:vAlign w:val="bottom"/>
          </w:tcPr>
          <w:p w14:paraId="0B2FA23E" w14:textId="77777777" w:rsidR="007F1775" w:rsidRDefault="007F1775">
            <w:pPr>
              <w:rPr>
                <w:rFonts w:ascii="宋体"/>
              </w:rPr>
            </w:pPr>
          </w:p>
        </w:tc>
        <w:tc>
          <w:tcPr>
            <w:tcW w:w="0" w:type="auto"/>
            <w:shd w:val="clear" w:color="auto" w:fill="auto"/>
            <w:vAlign w:val="bottom"/>
          </w:tcPr>
          <w:p w14:paraId="0B2FA23F" w14:textId="77777777" w:rsidR="007F1775" w:rsidRDefault="007F1775">
            <w:pPr>
              <w:rPr>
                <w:rFonts w:ascii="宋体"/>
              </w:rPr>
            </w:pPr>
          </w:p>
        </w:tc>
        <w:tc>
          <w:tcPr>
            <w:tcW w:w="0" w:type="auto"/>
            <w:shd w:val="clear" w:color="auto" w:fill="auto"/>
            <w:vAlign w:val="bottom"/>
          </w:tcPr>
          <w:p w14:paraId="0B2FA240" w14:textId="77777777" w:rsidR="007F1775" w:rsidRDefault="007F1775">
            <w:pPr>
              <w:rPr>
                <w:rFonts w:ascii="宋体"/>
              </w:rPr>
            </w:pPr>
          </w:p>
        </w:tc>
        <w:tc>
          <w:tcPr>
            <w:tcW w:w="0" w:type="auto"/>
            <w:shd w:val="clear" w:color="auto" w:fill="auto"/>
            <w:vAlign w:val="bottom"/>
          </w:tcPr>
          <w:p w14:paraId="0B2FA241" w14:textId="77777777" w:rsidR="007F1775" w:rsidRDefault="007F1775">
            <w:pPr>
              <w:rPr>
                <w:rFonts w:ascii="宋体"/>
              </w:rPr>
            </w:pPr>
          </w:p>
        </w:tc>
        <w:tc>
          <w:tcPr>
            <w:tcW w:w="0" w:type="auto"/>
            <w:shd w:val="clear" w:color="auto" w:fill="auto"/>
            <w:vAlign w:val="bottom"/>
          </w:tcPr>
          <w:p w14:paraId="0B2FA242" w14:textId="77777777" w:rsidR="007F1775" w:rsidRDefault="007F1775">
            <w:pPr>
              <w:rPr>
                <w:rFonts w:ascii="宋体"/>
              </w:rPr>
            </w:pPr>
          </w:p>
        </w:tc>
        <w:tc>
          <w:tcPr>
            <w:tcW w:w="0" w:type="auto"/>
            <w:shd w:val="clear" w:color="auto" w:fill="auto"/>
            <w:vAlign w:val="bottom"/>
          </w:tcPr>
          <w:p w14:paraId="0B2FA243" w14:textId="77777777" w:rsidR="007F1775" w:rsidRDefault="007F1775">
            <w:pPr>
              <w:rPr>
                <w:rFonts w:ascii="宋体"/>
              </w:rPr>
            </w:pPr>
          </w:p>
        </w:tc>
        <w:tc>
          <w:tcPr>
            <w:tcW w:w="0" w:type="auto"/>
            <w:shd w:val="clear" w:color="auto" w:fill="auto"/>
            <w:vAlign w:val="bottom"/>
          </w:tcPr>
          <w:p w14:paraId="0B2FA244" w14:textId="77777777" w:rsidR="007F1775" w:rsidRDefault="007F1775">
            <w:pPr>
              <w:rPr>
                <w:rFonts w:ascii="宋体"/>
              </w:rPr>
            </w:pPr>
          </w:p>
        </w:tc>
        <w:tc>
          <w:tcPr>
            <w:tcW w:w="0" w:type="auto"/>
            <w:shd w:val="clear" w:color="auto" w:fill="auto"/>
            <w:vAlign w:val="bottom"/>
          </w:tcPr>
          <w:p w14:paraId="0B2FA245" w14:textId="77777777" w:rsidR="007F1775" w:rsidRDefault="007F1775">
            <w:pPr>
              <w:rPr>
                <w:rFonts w:ascii="宋体"/>
              </w:rPr>
            </w:pPr>
          </w:p>
        </w:tc>
        <w:tc>
          <w:tcPr>
            <w:tcW w:w="0" w:type="auto"/>
            <w:shd w:val="clear" w:color="auto" w:fill="auto"/>
            <w:vAlign w:val="bottom"/>
          </w:tcPr>
          <w:p w14:paraId="0B2FA246" w14:textId="77777777" w:rsidR="007F1775" w:rsidRDefault="007F1775">
            <w:pPr>
              <w:rPr>
                <w:rFonts w:ascii="宋体"/>
              </w:rPr>
            </w:pPr>
          </w:p>
        </w:tc>
        <w:tc>
          <w:tcPr>
            <w:tcW w:w="0" w:type="auto"/>
            <w:shd w:val="clear" w:color="auto" w:fill="auto"/>
            <w:vAlign w:val="bottom"/>
          </w:tcPr>
          <w:p w14:paraId="0B2FA247" w14:textId="77777777" w:rsidR="007F1775" w:rsidRDefault="007F1775">
            <w:pPr>
              <w:rPr>
                <w:rFonts w:ascii="宋体"/>
              </w:rPr>
            </w:pPr>
          </w:p>
        </w:tc>
        <w:tc>
          <w:tcPr>
            <w:tcW w:w="0" w:type="auto"/>
            <w:shd w:val="clear" w:color="auto" w:fill="auto"/>
            <w:vAlign w:val="bottom"/>
          </w:tcPr>
          <w:p w14:paraId="0B2FA248" w14:textId="77777777" w:rsidR="007F1775" w:rsidRDefault="007F1775">
            <w:pPr>
              <w:rPr>
                <w:rFonts w:ascii="宋体"/>
              </w:rPr>
            </w:pPr>
          </w:p>
        </w:tc>
        <w:tc>
          <w:tcPr>
            <w:tcW w:w="0" w:type="auto"/>
            <w:shd w:val="clear" w:color="auto" w:fill="auto"/>
            <w:vAlign w:val="bottom"/>
          </w:tcPr>
          <w:p w14:paraId="0B2FA249" w14:textId="77777777" w:rsidR="007F1775" w:rsidRDefault="007F1775">
            <w:pPr>
              <w:rPr>
                <w:rFonts w:ascii="宋体"/>
              </w:rPr>
            </w:pPr>
          </w:p>
        </w:tc>
        <w:tc>
          <w:tcPr>
            <w:tcW w:w="0" w:type="auto"/>
            <w:shd w:val="clear" w:color="auto" w:fill="auto"/>
            <w:vAlign w:val="bottom"/>
          </w:tcPr>
          <w:p w14:paraId="0B2FA24A" w14:textId="77777777" w:rsidR="007F1775" w:rsidRDefault="007F1775">
            <w:pPr>
              <w:rPr>
                <w:rFonts w:ascii="宋体"/>
              </w:rPr>
            </w:pPr>
          </w:p>
        </w:tc>
        <w:tc>
          <w:tcPr>
            <w:tcW w:w="0" w:type="auto"/>
            <w:shd w:val="clear" w:color="auto" w:fill="auto"/>
            <w:vAlign w:val="bottom"/>
          </w:tcPr>
          <w:p w14:paraId="0B2FA24B" w14:textId="77777777" w:rsidR="007F1775" w:rsidRDefault="007F1775">
            <w:pPr>
              <w:rPr>
                <w:rFonts w:ascii="宋体"/>
              </w:rPr>
            </w:pPr>
          </w:p>
        </w:tc>
        <w:tc>
          <w:tcPr>
            <w:tcW w:w="0" w:type="auto"/>
            <w:shd w:val="clear" w:color="auto" w:fill="auto"/>
            <w:vAlign w:val="bottom"/>
          </w:tcPr>
          <w:p w14:paraId="0B2FA24C" w14:textId="77777777" w:rsidR="007F1775" w:rsidRDefault="007F1775">
            <w:pPr>
              <w:rPr>
                <w:rFonts w:ascii="宋体"/>
              </w:rPr>
            </w:pPr>
          </w:p>
        </w:tc>
        <w:tc>
          <w:tcPr>
            <w:tcW w:w="0" w:type="auto"/>
            <w:shd w:val="clear" w:color="auto" w:fill="auto"/>
            <w:vAlign w:val="bottom"/>
          </w:tcPr>
          <w:p w14:paraId="0B2FA24D" w14:textId="77777777" w:rsidR="007F1775" w:rsidRDefault="007F1775">
            <w:pPr>
              <w:rPr>
                <w:rFonts w:ascii="宋体"/>
              </w:rPr>
            </w:pPr>
          </w:p>
        </w:tc>
      </w:tr>
      <w:tr w:rsidR="007F1775" w14:paraId="0B2FA265" w14:textId="77777777">
        <w:trPr>
          <w:jc w:val="center"/>
          <w:hidden/>
        </w:trPr>
        <w:tc>
          <w:tcPr>
            <w:tcW w:w="0" w:type="auto"/>
            <w:gridSpan w:val="3"/>
            <w:shd w:val="clear" w:color="auto" w:fill="auto"/>
            <w:vAlign w:val="bottom"/>
          </w:tcPr>
          <w:p w14:paraId="0B2FA24F" w14:textId="77777777" w:rsidR="007F1775" w:rsidRDefault="007F1775">
            <w:pPr>
              <w:rPr>
                <w:rFonts w:ascii="宋体"/>
                <w:vanish/>
              </w:rPr>
            </w:pPr>
          </w:p>
        </w:tc>
        <w:tc>
          <w:tcPr>
            <w:tcW w:w="0" w:type="auto"/>
            <w:gridSpan w:val="3"/>
            <w:shd w:val="clear" w:color="auto" w:fill="auto"/>
            <w:vAlign w:val="bottom"/>
          </w:tcPr>
          <w:p w14:paraId="0B2FA250" w14:textId="77777777" w:rsidR="007F1775" w:rsidRDefault="007F1775">
            <w:pPr>
              <w:rPr>
                <w:rFonts w:ascii="宋体"/>
                <w:vanish/>
              </w:rPr>
            </w:pPr>
          </w:p>
        </w:tc>
        <w:tc>
          <w:tcPr>
            <w:tcW w:w="0" w:type="auto"/>
            <w:gridSpan w:val="3"/>
            <w:shd w:val="clear" w:color="auto" w:fill="auto"/>
            <w:vAlign w:val="bottom"/>
          </w:tcPr>
          <w:p w14:paraId="0B2FA251" w14:textId="77777777" w:rsidR="007F1775" w:rsidRDefault="007F1775">
            <w:pPr>
              <w:rPr>
                <w:rFonts w:ascii="宋体"/>
                <w:vanish/>
              </w:rPr>
            </w:pPr>
          </w:p>
        </w:tc>
        <w:tc>
          <w:tcPr>
            <w:tcW w:w="0" w:type="auto"/>
            <w:gridSpan w:val="3"/>
            <w:shd w:val="clear" w:color="auto" w:fill="auto"/>
            <w:vAlign w:val="bottom"/>
          </w:tcPr>
          <w:p w14:paraId="0B2FA252" w14:textId="77777777" w:rsidR="007F1775" w:rsidRDefault="007F1775">
            <w:pPr>
              <w:rPr>
                <w:rFonts w:ascii="宋体"/>
                <w:vanish/>
              </w:rPr>
            </w:pPr>
          </w:p>
        </w:tc>
        <w:tc>
          <w:tcPr>
            <w:tcW w:w="0" w:type="auto"/>
            <w:gridSpan w:val="3"/>
            <w:shd w:val="clear" w:color="auto" w:fill="auto"/>
            <w:vAlign w:val="bottom"/>
          </w:tcPr>
          <w:p w14:paraId="0B2FA253" w14:textId="77777777" w:rsidR="007F1775" w:rsidRDefault="007F1775">
            <w:pPr>
              <w:rPr>
                <w:rFonts w:ascii="宋体"/>
                <w:vanish/>
              </w:rPr>
            </w:pPr>
          </w:p>
        </w:tc>
        <w:tc>
          <w:tcPr>
            <w:tcW w:w="0" w:type="auto"/>
            <w:gridSpan w:val="3"/>
            <w:shd w:val="clear" w:color="auto" w:fill="auto"/>
            <w:vAlign w:val="bottom"/>
          </w:tcPr>
          <w:p w14:paraId="0B2FA254" w14:textId="77777777" w:rsidR="007F1775" w:rsidRDefault="007F1775">
            <w:pPr>
              <w:rPr>
                <w:rFonts w:ascii="宋体"/>
                <w:vanish/>
              </w:rPr>
            </w:pPr>
          </w:p>
        </w:tc>
        <w:tc>
          <w:tcPr>
            <w:tcW w:w="0" w:type="auto"/>
            <w:gridSpan w:val="3"/>
            <w:shd w:val="clear" w:color="auto" w:fill="auto"/>
            <w:vAlign w:val="bottom"/>
          </w:tcPr>
          <w:p w14:paraId="0B2FA255" w14:textId="77777777" w:rsidR="007F1775" w:rsidRDefault="007F1775">
            <w:pPr>
              <w:rPr>
                <w:rFonts w:ascii="宋体"/>
                <w:vanish/>
              </w:rPr>
            </w:pPr>
          </w:p>
        </w:tc>
        <w:tc>
          <w:tcPr>
            <w:tcW w:w="0" w:type="auto"/>
            <w:gridSpan w:val="3"/>
            <w:shd w:val="clear" w:color="auto" w:fill="auto"/>
            <w:vAlign w:val="bottom"/>
          </w:tcPr>
          <w:p w14:paraId="0B2FA256" w14:textId="77777777" w:rsidR="007F1775" w:rsidRDefault="007F1775">
            <w:pPr>
              <w:rPr>
                <w:rFonts w:ascii="宋体"/>
                <w:vanish/>
              </w:rPr>
            </w:pPr>
          </w:p>
        </w:tc>
        <w:tc>
          <w:tcPr>
            <w:tcW w:w="0" w:type="auto"/>
            <w:gridSpan w:val="3"/>
            <w:shd w:val="clear" w:color="auto" w:fill="auto"/>
            <w:vAlign w:val="bottom"/>
          </w:tcPr>
          <w:p w14:paraId="0B2FA257" w14:textId="77777777" w:rsidR="007F1775" w:rsidRDefault="007F1775">
            <w:pPr>
              <w:rPr>
                <w:rFonts w:ascii="宋体"/>
                <w:vanish/>
              </w:rPr>
            </w:pPr>
          </w:p>
        </w:tc>
        <w:tc>
          <w:tcPr>
            <w:tcW w:w="0" w:type="auto"/>
            <w:gridSpan w:val="3"/>
            <w:shd w:val="clear" w:color="auto" w:fill="auto"/>
            <w:vAlign w:val="bottom"/>
          </w:tcPr>
          <w:p w14:paraId="0B2FA258" w14:textId="77777777" w:rsidR="007F1775" w:rsidRDefault="007F1775">
            <w:pPr>
              <w:rPr>
                <w:rFonts w:ascii="宋体"/>
                <w:vanish/>
              </w:rPr>
            </w:pPr>
          </w:p>
        </w:tc>
        <w:tc>
          <w:tcPr>
            <w:tcW w:w="0" w:type="auto"/>
            <w:gridSpan w:val="3"/>
            <w:shd w:val="clear" w:color="auto" w:fill="auto"/>
            <w:vAlign w:val="bottom"/>
          </w:tcPr>
          <w:p w14:paraId="0B2FA259" w14:textId="77777777" w:rsidR="007F1775" w:rsidRDefault="007F1775">
            <w:pPr>
              <w:rPr>
                <w:rFonts w:ascii="宋体"/>
                <w:vanish/>
              </w:rPr>
            </w:pPr>
          </w:p>
        </w:tc>
        <w:tc>
          <w:tcPr>
            <w:tcW w:w="0" w:type="auto"/>
            <w:gridSpan w:val="3"/>
            <w:shd w:val="clear" w:color="auto" w:fill="auto"/>
            <w:vAlign w:val="bottom"/>
          </w:tcPr>
          <w:p w14:paraId="0B2FA25A" w14:textId="77777777" w:rsidR="007F1775" w:rsidRDefault="007F1775">
            <w:pPr>
              <w:rPr>
                <w:rFonts w:ascii="宋体"/>
                <w:vanish/>
              </w:rPr>
            </w:pPr>
          </w:p>
        </w:tc>
        <w:tc>
          <w:tcPr>
            <w:tcW w:w="0" w:type="auto"/>
            <w:gridSpan w:val="3"/>
            <w:shd w:val="clear" w:color="auto" w:fill="auto"/>
            <w:vAlign w:val="bottom"/>
          </w:tcPr>
          <w:p w14:paraId="0B2FA25B" w14:textId="77777777" w:rsidR="007F1775" w:rsidRDefault="007F1775">
            <w:pPr>
              <w:rPr>
                <w:rFonts w:ascii="宋体"/>
                <w:vanish/>
              </w:rPr>
            </w:pPr>
          </w:p>
        </w:tc>
        <w:tc>
          <w:tcPr>
            <w:tcW w:w="0" w:type="auto"/>
            <w:gridSpan w:val="3"/>
            <w:shd w:val="clear" w:color="auto" w:fill="auto"/>
            <w:vAlign w:val="bottom"/>
          </w:tcPr>
          <w:p w14:paraId="0B2FA25C" w14:textId="77777777" w:rsidR="007F1775" w:rsidRDefault="007F1775">
            <w:pPr>
              <w:rPr>
                <w:rFonts w:ascii="宋体"/>
                <w:vanish/>
              </w:rPr>
            </w:pPr>
          </w:p>
        </w:tc>
        <w:tc>
          <w:tcPr>
            <w:tcW w:w="0" w:type="auto"/>
            <w:gridSpan w:val="3"/>
            <w:shd w:val="clear" w:color="auto" w:fill="auto"/>
            <w:vAlign w:val="bottom"/>
          </w:tcPr>
          <w:p w14:paraId="0B2FA25D" w14:textId="77777777" w:rsidR="007F1775" w:rsidRDefault="007F1775">
            <w:pPr>
              <w:rPr>
                <w:rFonts w:ascii="宋体"/>
                <w:vanish/>
              </w:rPr>
            </w:pPr>
          </w:p>
        </w:tc>
        <w:tc>
          <w:tcPr>
            <w:tcW w:w="0" w:type="auto"/>
            <w:gridSpan w:val="3"/>
            <w:shd w:val="clear" w:color="auto" w:fill="auto"/>
            <w:vAlign w:val="bottom"/>
          </w:tcPr>
          <w:p w14:paraId="0B2FA25E" w14:textId="77777777" w:rsidR="007F1775" w:rsidRDefault="007F1775">
            <w:pPr>
              <w:rPr>
                <w:rFonts w:ascii="宋体"/>
                <w:vanish/>
              </w:rPr>
            </w:pPr>
          </w:p>
        </w:tc>
        <w:tc>
          <w:tcPr>
            <w:tcW w:w="0" w:type="auto"/>
            <w:gridSpan w:val="3"/>
            <w:shd w:val="clear" w:color="auto" w:fill="auto"/>
            <w:vAlign w:val="bottom"/>
          </w:tcPr>
          <w:p w14:paraId="0B2FA25F" w14:textId="77777777" w:rsidR="007F1775" w:rsidRDefault="007F1775">
            <w:pPr>
              <w:rPr>
                <w:rFonts w:ascii="宋体"/>
                <w:vanish/>
              </w:rPr>
            </w:pPr>
          </w:p>
        </w:tc>
        <w:tc>
          <w:tcPr>
            <w:tcW w:w="0" w:type="auto"/>
            <w:gridSpan w:val="3"/>
            <w:shd w:val="clear" w:color="auto" w:fill="auto"/>
            <w:vAlign w:val="bottom"/>
          </w:tcPr>
          <w:p w14:paraId="0B2FA260" w14:textId="77777777" w:rsidR="007F1775" w:rsidRDefault="007F1775">
            <w:pPr>
              <w:rPr>
                <w:rFonts w:ascii="宋体"/>
                <w:vanish/>
              </w:rPr>
            </w:pPr>
          </w:p>
        </w:tc>
        <w:tc>
          <w:tcPr>
            <w:tcW w:w="0" w:type="auto"/>
            <w:gridSpan w:val="3"/>
            <w:shd w:val="clear" w:color="auto" w:fill="auto"/>
            <w:vAlign w:val="bottom"/>
          </w:tcPr>
          <w:p w14:paraId="0B2FA261" w14:textId="77777777" w:rsidR="007F1775" w:rsidRDefault="007F1775">
            <w:pPr>
              <w:rPr>
                <w:rFonts w:ascii="宋体"/>
                <w:vanish/>
              </w:rPr>
            </w:pPr>
          </w:p>
        </w:tc>
        <w:tc>
          <w:tcPr>
            <w:tcW w:w="0" w:type="auto"/>
            <w:gridSpan w:val="3"/>
            <w:shd w:val="clear" w:color="auto" w:fill="auto"/>
            <w:vAlign w:val="bottom"/>
          </w:tcPr>
          <w:p w14:paraId="0B2FA262" w14:textId="77777777" w:rsidR="007F1775" w:rsidRDefault="007F1775">
            <w:pPr>
              <w:rPr>
                <w:rFonts w:ascii="宋体"/>
                <w:vanish/>
              </w:rPr>
            </w:pPr>
          </w:p>
        </w:tc>
        <w:tc>
          <w:tcPr>
            <w:tcW w:w="0" w:type="auto"/>
            <w:gridSpan w:val="2"/>
            <w:shd w:val="clear" w:color="auto" w:fill="auto"/>
            <w:vAlign w:val="bottom"/>
          </w:tcPr>
          <w:p w14:paraId="0B2FA263" w14:textId="77777777" w:rsidR="007F1775" w:rsidRDefault="007F1775">
            <w:pPr>
              <w:rPr>
                <w:rFonts w:ascii="宋体"/>
                <w:vanish/>
              </w:rPr>
            </w:pPr>
          </w:p>
        </w:tc>
        <w:tc>
          <w:tcPr>
            <w:tcW w:w="0" w:type="auto"/>
            <w:shd w:val="clear" w:color="auto" w:fill="auto"/>
            <w:vAlign w:val="bottom"/>
          </w:tcPr>
          <w:p w14:paraId="0B2FA264" w14:textId="77777777" w:rsidR="007F1775" w:rsidRDefault="007F1775">
            <w:pPr>
              <w:rPr>
                <w:rFonts w:ascii="宋体"/>
                <w:vanish/>
              </w:rPr>
            </w:pPr>
          </w:p>
        </w:tc>
      </w:tr>
      <w:tr w:rsidR="007F1775" w14:paraId="0B2FA27C" w14:textId="77777777">
        <w:trPr>
          <w:jc w:val="center"/>
          <w:hidden/>
        </w:trPr>
        <w:tc>
          <w:tcPr>
            <w:tcW w:w="0" w:type="auto"/>
            <w:gridSpan w:val="3"/>
            <w:shd w:val="clear" w:color="auto" w:fill="auto"/>
            <w:vAlign w:val="bottom"/>
          </w:tcPr>
          <w:p w14:paraId="0B2FA266" w14:textId="77777777" w:rsidR="007F1775" w:rsidRDefault="007F1775">
            <w:pPr>
              <w:rPr>
                <w:rFonts w:ascii="宋体"/>
                <w:vanish/>
              </w:rPr>
            </w:pPr>
          </w:p>
        </w:tc>
        <w:tc>
          <w:tcPr>
            <w:tcW w:w="0" w:type="auto"/>
            <w:gridSpan w:val="3"/>
            <w:shd w:val="clear" w:color="auto" w:fill="auto"/>
            <w:vAlign w:val="bottom"/>
          </w:tcPr>
          <w:p w14:paraId="0B2FA267" w14:textId="77777777" w:rsidR="007F1775" w:rsidRDefault="007F1775">
            <w:pPr>
              <w:rPr>
                <w:rFonts w:ascii="宋体"/>
                <w:vanish/>
              </w:rPr>
            </w:pPr>
          </w:p>
        </w:tc>
        <w:tc>
          <w:tcPr>
            <w:tcW w:w="0" w:type="auto"/>
            <w:gridSpan w:val="3"/>
            <w:shd w:val="clear" w:color="auto" w:fill="auto"/>
            <w:vAlign w:val="bottom"/>
          </w:tcPr>
          <w:p w14:paraId="0B2FA268" w14:textId="77777777" w:rsidR="007F1775" w:rsidRDefault="007F1775">
            <w:pPr>
              <w:rPr>
                <w:rFonts w:ascii="宋体"/>
                <w:vanish/>
              </w:rPr>
            </w:pPr>
          </w:p>
        </w:tc>
        <w:tc>
          <w:tcPr>
            <w:tcW w:w="0" w:type="auto"/>
            <w:gridSpan w:val="3"/>
            <w:shd w:val="clear" w:color="auto" w:fill="auto"/>
            <w:vAlign w:val="bottom"/>
          </w:tcPr>
          <w:p w14:paraId="0B2FA269" w14:textId="77777777" w:rsidR="007F1775" w:rsidRDefault="007F1775">
            <w:pPr>
              <w:rPr>
                <w:rFonts w:ascii="宋体"/>
                <w:vanish/>
              </w:rPr>
            </w:pPr>
          </w:p>
        </w:tc>
        <w:tc>
          <w:tcPr>
            <w:tcW w:w="0" w:type="auto"/>
            <w:gridSpan w:val="3"/>
            <w:shd w:val="clear" w:color="auto" w:fill="auto"/>
            <w:vAlign w:val="bottom"/>
          </w:tcPr>
          <w:p w14:paraId="0B2FA26A" w14:textId="77777777" w:rsidR="007F1775" w:rsidRDefault="007F1775">
            <w:pPr>
              <w:rPr>
                <w:rFonts w:ascii="宋体"/>
                <w:vanish/>
              </w:rPr>
            </w:pPr>
          </w:p>
        </w:tc>
        <w:tc>
          <w:tcPr>
            <w:tcW w:w="0" w:type="auto"/>
            <w:gridSpan w:val="3"/>
            <w:shd w:val="clear" w:color="auto" w:fill="auto"/>
            <w:vAlign w:val="bottom"/>
          </w:tcPr>
          <w:p w14:paraId="0B2FA26B" w14:textId="77777777" w:rsidR="007F1775" w:rsidRDefault="007F1775">
            <w:pPr>
              <w:rPr>
                <w:rFonts w:ascii="宋体"/>
                <w:vanish/>
              </w:rPr>
            </w:pPr>
          </w:p>
        </w:tc>
        <w:tc>
          <w:tcPr>
            <w:tcW w:w="0" w:type="auto"/>
            <w:gridSpan w:val="3"/>
            <w:shd w:val="clear" w:color="auto" w:fill="auto"/>
            <w:vAlign w:val="bottom"/>
          </w:tcPr>
          <w:p w14:paraId="0B2FA26C" w14:textId="77777777" w:rsidR="007F1775" w:rsidRDefault="007F1775">
            <w:pPr>
              <w:rPr>
                <w:rFonts w:ascii="宋体"/>
                <w:vanish/>
              </w:rPr>
            </w:pPr>
          </w:p>
        </w:tc>
        <w:tc>
          <w:tcPr>
            <w:tcW w:w="0" w:type="auto"/>
            <w:gridSpan w:val="3"/>
            <w:shd w:val="clear" w:color="auto" w:fill="auto"/>
            <w:vAlign w:val="bottom"/>
          </w:tcPr>
          <w:p w14:paraId="0B2FA26D" w14:textId="77777777" w:rsidR="007F1775" w:rsidRDefault="007F1775">
            <w:pPr>
              <w:rPr>
                <w:rFonts w:ascii="宋体"/>
                <w:vanish/>
              </w:rPr>
            </w:pPr>
          </w:p>
        </w:tc>
        <w:tc>
          <w:tcPr>
            <w:tcW w:w="0" w:type="auto"/>
            <w:gridSpan w:val="3"/>
            <w:shd w:val="clear" w:color="auto" w:fill="auto"/>
            <w:vAlign w:val="bottom"/>
          </w:tcPr>
          <w:p w14:paraId="0B2FA26E" w14:textId="77777777" w:rsidR="007F1775" w:rsidRDefault="007F1775">
            <w:pPr>
              <w:rPr>
                <w:rFonts w:ascii="宋体"/>
                <w:vanish/>
              </w:rPr>
            </w:pPr>
          </w:p>
        </w:tc>
        <w:tc>
          <w:tcPr>
            <w:tcW w:w="0" w:type="auto"/>
            <w:gridSpan w:val="3"/>
            <w:shd w:val="clear" w:color="auto" w:fill="auto"/>
            <w:vAlign w:val="bottom"/>
          </w:tcPr>
          <w:p w14:paraId="0B2FA26F" w14:textId="77777777" w:rsidR="007F1775" w:rsidRDefault="007F1775">
            <w:pPr>
              <w:rPr>
                <w:rFonts w:ascii="宋体"/>
                <w:vanish/>
              </w:rPr>
            </w:pPr>
          </w:p>
        </w:tc>
        <w:tc>
          <w:tcPr>
            <w:tcW w:w="0" w:type="auto"/>
            <w:gridSpan w:val="3"/>
            <w:shd w:val="clear" w:color="auto" w:fill="auto"/>
            <w:vAlign w:val="bottom"/>
          </w:tcPr>
          <w:p w14:paraId="0B2FA270" w14:textId="77777777" w:rsidR="007F1775" w:rsidRDefault="007F1775">
            <w:pPr>
              <w:rPr>
                <w:rFonts w:ascii="宋体"/>
                <w:vanish/>
              </w:rPr>
            </w:pPr>
          </w:p>
        </w:tc>
        <w:tc>
          <w:tcPr>
            <w:tcW w:w="0" w:type="auto"/>
            <w:gridSpan w:val="3"/>
            <w:shd w:val="clear" w:color="auto" w:fill="auto"/>
            <w:vAlign w:val="bottom"/>
          </w:tcPr>
          <w:p w14:paraId="0B2FA271" w14:textId="77777777" w:rsidR="007F1775" w:rsidRDefault="007F1775">
            <w:pPr>
              <w:rPr>
                <w:rFonts w:ascii="宋体"/>
                <w:vanish/>
              </w:rPr>
            </w:pPr>
          </w:p>
        </w:tc>
        <w:tc>
          <w:tcPr>
            <w:tcW w:w="0" w:type="auto"/>
            <w:gridSpan w:val="3"/>
            <w:shd w:val="clear" w:color="auto" w:fill="auto"/>
            <w:vAlign w:val="bottom"/>
          </w:tcPr>
          <w:p w14:paraId="0B2FA272" w14:textId="77777777" w:rsidR="007F1775" w:rsidRDefault="007F1775">
            <w:pPr>
              <w:rPr>
                <w:rFonts w:ascii="宋体"/>
                <w:vanish/>
              </w:rPr>
            </w:pPr>
          </w:p>
        </w:tc>
        <w:tc>
          <w:tcPr>
            <w:tcW w:w="0" w:type="auto"/>
            <w:gridSpan w:val="3"/>
            <w:shd w:val="clear" w:color="auto" w:fill="auto"/>
            <w:vAlign w:val="bottom"/>
          </w:tcPr>
          <w:p w14:paraId="0B2FA273" w14:textId="77777777" w:rsidR="007F1775" w:rsidRDefault="007F1775">
            <w:pPr>
              <w:rPr>
                <w:rFonts w:ascii="宋体"/>
                <w:vanish/>
              </w:rPr>
            </w:pPr>
          </w:p>
        </w:tc>
        <w:tc>
          <w:tcPr>
            <w:tcW w:w="0" w:type="auto"/>
            <w:gridSpan w:val="3"/>
            <w:shd w:val="clear" w:color="auto" w:fill="auto"/>
            <w:vAlign w:val="bottom"/>
          </w:tcPr>
          <w:p w14:paraId="0B2FA274" w14:textId="77777777" w:rsidR="007F1775" w:rsidRDefault="007F1775">
            <w:pPr>
              <w:rPr>
                <w:rFonts w:ascii="宋体"/>
                <w:vanish/>
              </w:rPr>
            </w:pPr>
          </w:p>
        </w:tc>
        <w:tc>
          <w:tcPr>
            <w:tcW w:w="0" w:type="auto"/>
            <w:gridSpan w:val="3"/>
            <w:shd w:val="clear" w:color="auto" w:fill="auto"/>
            <w:vAlign w:val="bottom"/>
          </w:tcPr>
          <w:p w14:paraId="0B2FA275" w14:textId="77777777" w:rsidR="007F1775" w:rsidRDefault="007F1775">
            <w:pPr>
              <w:rPr>
                <w:rFonts w:ascii="宋体"/>
                <w:vanish/>
              </w:rPr>
            </w:pPr>
          </w:p>
        </w:tc>
        <w:tc>
          <w:tcPr>
            <w:tcW w:w="0" w:type="auto"/>
            <w:gridSpan w:val="3"/>
            <w:shd w:val="clear" w:color="auto" w:fill="auto"/>
            <w:vAlign w:val="bottom"/>
          </w:tcPr>
          <w:p w14:paraId="0B2FA276" w14:textId="77777777" w:rsidR="007F1775" w:rsidRDefault="007F1775">
            <w:pPr>
              <w:rPr>
                <w:rFonts w:ascii="宋体"/>
                <w:vanish/>
              </w:rPr>
            </w:pPr>
          </w:p>
        </w:tc>
        <w:tc>
          <w:tcPr>
            <w:tcW w:w="0" w:type="auto"/>
            <w:gridSpan w:val="3"/>
            <w:shd w:val="clear" w:color="auto" w:fill="auto"/>
            <w:vAlign w:val="bottom"/>
          </w:tcPr>
          <w:p w14:paraId="0B2FA277" w14:textId="77777777" w:rsidR="007F1775" w:rsidRDefault="007F1775">
            <w:pPr>
              <w:rPr>
                <w:rFonts w:ascii="宋体"/>
                <w:vanish/>
              </w:rPr>
            </w:pPr>
          </w:p>
        </w:tc>
        <w:tc>
          <w:tcPr>
            <w:tcW w:w="0" w:type="auto"/>
            <w:gridSpan w:val="3"/>
            <w:shd w:val="clear" w:color="auto" w:fill="auto"/>
            <w:vAlign w:val="bottom"/>
          </w:tcPr>
          <w:p w14:paraId="0B2FA278" w14:textId="77777777" w:rsidR="007F1775" w:rsidRDefault="007F1775">
            <w:pPr>
              <w:rPr>
                <w:rFonts w:ascii="宋体"/>
                <w:vanish/>
              </w:rPr>
            </w:pPr>
          </w:p>
        </w:tc>
        <w:tc>
          <w:tcPr>
            <w:tcW w:w="0" w:type="auto"/>
            <w:gridSpan w:val="3"/>
            <w:shd w:val="clear" w:color="auto" w:fill="auto"/>
            <w:vAlign w:val="bottom"/>
          </w:tcPr>
          <w:p w14:paraId="0B2FA279" w14:textId="77777777" w:rsidR="007F1775" w:rsidRDefault="007F1775">
            <w:pPr>
              <w:rPr>
                <w:rFonts w:ascii="宋体"/>
                <w:vanish/>
              </w:rPr>
            </w:pPr>
          </w:p>
        </w:tc>
        <w:tc>
          <w:tcPr>
            <w:tcW w:w="0" w:type="auto"/>
            <w:gridSpan w:val="2"/>
            <w:shd w:val="clear" w:color="auto" w:fill="auto"/>
            <w:vAlign w:val="bottom"/>
          </w:tcPr>
          <w:p w14:paraId="0B2FA27A" w14:textId="77777777" w:rsidR="007F1775" w:rsidRDefault="007F1775">
            <w:pPr>
              <w:rPr>
                <w:rFonts w:ascii="宋体"/>
                <w:vanish/>
              </w:rPr>
            </w:pPr>
          </w:p>
        </w:tc>
        <w:tc>
          <w:tcPr>
            <w:tcW w:w="0" w:type="auto"/>
            <w:shd w:val="clear" w:color="auto" w:fill="auto"/>
            <w:vAlign w:val="bottom"/>
          </w:tcPr>
          <w:p w14:paraId="0B2FA27B" w14:textId="77777777" w:rsidR="007F1775" w:rsidRDefault="007F1775">
            <w:pPr>
              <w:rPr>
                <w:rFonts w:ascii="宋体"/>
                <w:vanish/>
              </w:rPr>
            </w:pPr>
          </w:p>
        </w:tc>
      </w:tr>
      <w:tr w:rsidR="007F1775" w14:paraId="0B2FA293" w14:textId="77777777">
        <w:trPr>
          <w:jc w:val="center"/>
          <w:hidden/>
        </w:trPr>
        <w:tc>
          <w:tcPr>
            <w:tcW w:w="0" w:type="auto"/>
            <w:gridSpan w:val="3"/>
            <w:shd w:val="clear" w:color="auto" w:fill="auto"/>
            <w:vAlign w:val="bottom"/>
          </w:tcPr>
          <w:p w14:paraId="0B2FA27D" w14:textId="77777777" w:rsidR="007F1775" w:rsidRDefault="007F1775">
            <w:pPr>
              <w:rPr>
                <w:rFonts w:ascii="宋体"/>
                <w:vanish/>
              </w:rPr>
            </w:pPr>
          </w:p>
        </w:tc>
        <w:tc>
          <w:tcPr>
            <w:tcW w:w="0" w:type="auto"/>
            <w:gridSpan w:val="3"/>
            <w:shd w:val="clear" w:color="auto" w:fill="auto"/>
            <w:vAlign w:val="bottom"/>
          </w:tcPr>
          <w:p w14:paraId="0B2FA27E" w14:textId="77777777" w:rsidR="007F1775" w:rsidRDefault="007F1775">
            <w:pPr>
              <w:rPr>
                <w:rFonts w:ascii="宋体"/>
                <w:vanish/>
              </w:rPr>
            </w:pPr>
          </w:p>
        </w:tc>
        <w:tc>
          <w:tcPr>
            <w:tcW w:w="0" w:type="auto"/>
            <w:gridSpan w:val="3"/>
            <w:shd w:val="clear" w:color="auto" w:fill="auto"/>
            <w:vAlign w:val="bottom"/>
          </w:tcPr>
          <w:p w14:paraId="0B2FA27F" w14:textId="77777777" w:rsidR="007F1775" w:rsidRDefault="007F1775">
            <w:pPr>
              <w:rPr>
                <w:rFonts w:ascii="宋体"/>
                <w:vanish/>
              </w:rPr>
            </w:pPr>
          </w:p>
        </w:tc>
        <w:tc>
          <w:tcPr>
            <w:tcW w:w="0" w:type="auto"/>
            <w:gridSpan w:val="3"/>
            <w:shd w:val="clear" w:color="auto" w:fill="auto"/>
            <w:vAlign w:val="bottom"/>
          </w:tcPr>
          <w:p w14:paraId="0B2FA280" w14:textId="77777777" w:rsidR="007F1775" w:rsidRDefault="007F1775">
            <w:pPr>
              <w:rPr>
                <w:rFonts w:ascii="宋体"/>
                <w:vanish/>
              </w:rPr>
            </w:pPr>
          </w:p>
        </w:tc>
        <w:tc>
          <w:tcPr>
            <w:tcW w:w="0" w:type="auto"/>
            <w:gridSpan w:val="3"/>
            <w:shd w:val="clear" w:color="auto" w:fill="auto"/>
            <w:vAlign w:val="bottom"/>
          </w:tcPr>
          <w:p w14:paraId="0B2FA281" w14:textId="77777777" w:rsidR="007F1775" w:rsidRDefault="007F1775">
            <w:pPr>
              <w:rPr>
                <w:rFonts w:ascii="宋体"/>
                <w:vanish/>
              </w:rPr>
            </w:pPr>
          </w:p>
        </w:tc>
        <w:tc>
          <w:tcPr>
            <w:tcW w:w="0" w:type="auto"/>
            <w:gridSpan w:val="3"/>
            <w:shd w:val="clear" w:color="auto" w:fill="auto"/>
            <w:vAlign w:val="bottom"/>
          </w:tcPr>
          <w:p w14:paraId="0B2FA282" w14:textId="77777777" w:rsidR="007F1775" w:rsidRDefault="007F1775">
            <w:pPr>
              <w:rPr>
                <w:rFonts w:ascii="宋体"/>
                <w:vanish/>
              </w:rPr>
            </w:pPr>
          </w:p>
        </w:tc>
        <w:tc>
          <w:tcPr>
            <w:tcW w:w="0" w:type="auto"/>
            <w:gridSpan w:val="3"/>
            <w:shd w:val="clear" w:color="auto" w:fill="auto"/>
            <w:vAlign w:val="bottom"/>
          </w:tcPr>
          <w:p w14:paraId="0B2FA283" w14:textId="77777777" w:rsidR="007F1775" w:rsidRDefault="007F1775">
            <w:pPr>
              <w:rPr>
                <w:rFonts w:ascii="宋体"/>
                <w:vanish/>
              </w:rPr>
            </w:pPr>
          </w:p>
        </w:tc>
        <w:tc>
          <w:tcPr>
            <w:tcW w:w="0" w:type="auto"/>
            <w:gridSpan w:val="3"/>
            <w:shd w:val="clear" w:color="auto" w:fill="auto"/>
            <w:vAlign w:val="bottom"/>
          </w:tcPr>
          <w:p w14:paraId="0B2FA284" w14:textId="77777777" w:rsidR="007F1775" w:rsidRDefault="007F1775">
            <w:pPr>
              <w:rPr>
                <w:rFonts w:ascii="宋体"/>
                <w:vanish/>
              </w:rPr>
            </w:pPr>
          </w:p>
        </w:tc>
        <w:tc>
          <w:tcPr>
            <w:tcW w:w="0" w:type="auto"/>
            <w:gridSpan w:val="3"/>
            <w:shd w:val="clear" w:color="auto" w:fill="auto"/>
            <w:vAlign w:val="bottom"/>
          </w:tcPr>
          <w:p w14:paraId="0B2FA285" w14:textId="77777777" w:rsidR="007F1775" w:rsidRDefault="007F1775">
            <w:pPr>
              <w:rPr>
                <w:rFonts w:ascii="宋体"/>
                <w:vanish/>
              </w:rPr>
            </w:pPr>
          </w:p>
        </w:tc>
        <w:tc>
          <w:tcPr>
            <w:tcW w:w="0" w:type="auto"/>
            <w:gridSpan w:val="3"/>
            <w:shd w:val="clear" w:color="auto" w:fill="auto"/>
            <w:vAlign w:val="bottom"/>
          </w:tcPr>
          <w:p w14:paraId="0B2FA286" w14:textId="77777777" w:rsidR="007F1775" w:rsidRDefault="007F1775">
            <w:pPr>
              <w:rPr>
                <w:rFonts w:ascii="宋体"/>
                <w:vanish/>
              </w:rPr>
            </w:pPr>
          </w:p>
        </w:tc>
        <w:tc>
          <w:tcPr>
            <w:tcW w:w="0" w:type="auto"/>
            <w:gridSpan w:val="3"/>
            <w:shd w:val="clear" w:color="auto" w:fill="auto"/>
            <w:vAlign w:val="bottom"/>
          </w:tcPr>
          <w:p w14:paraId="0B2FA287" w14:textId="77777777" w:rsidR="007F1775" w:rsidRDefault="007F1775">
            <w:pPr>
              <w:rPr>
                <w:rFonts w:ascii="宋体"/>
                <w:vanish/>
              </w:rPr>
            </w:pPr>
          </w:p>
        </w:tc>
        <w:tc>
          <w:tcPr>
            <w:tcW w:w="0" w:type="auto"/>
            <w:gridSpan w:val="3"/>
            <w:shd w:val="clear" w:color="auto" w:fill="auto"/>
            <w:vAlign w:val="bottom"/>
          </w:tcPr>
          <w:p w14:paraId="0B2FA288" w14:textId="77777777" w:rsidR="007F1775" w:rsidRDefault="007F1775">
            <w:pPr>
              <w:rPr>
                <w:rFonts w:ascii="宋体"/>
                <w:vanish/>
              </w:rPr>
            </w:pPr>
          </w:p>
        </w:tc>
        <w:tc>
          <w:tcPr>
            <w:tcW w:w="0" w:type="auto"/>
            <w:gridSpan w:val="3"/>
            <w:shd w:val="clear" w:color="auto" w:fill="auto"/>
            <w:vAlign w:val="bottom"/>
          </w:tcPr>
          <w:p w14:paraId="0B2FA289" w14:textId="77777777" w:rsidR="007F1775" w:rsidRDefault="007F1775">
            <w:pPr>
              <w:rPr>
                <w:rFonts w:ascii="宋体"/>
                <w:vanish/>
              </w:rPr>
            </w:pPr>
          </w:p>
        </w:tc>
        <w:tc>
          <w:tcPr>
            <w:tcW w:w="0" w:type="auto"/>
            <w:gridSpan w:val="3"/>
            <w:shd w:val="clear" w:color="auto" w:fill="auto"/>
            <w:vAlign w:val="bottom"/>
          </w:tcPr>
          <w:p w14:paraId="0B2FA28A" w14:textId="77777777" w:rsidR="007F1775" w:rsidRDefault="007F1775">
            <w:pPr>
              <w:rPr>
                <w:rFonts w:ascii="宋体"/>
                <w:vanish/>
              </w:rPr>
            </w:pPr>
          </w:p>
        </w:tc>
        <w:tc>
          <w:tcPr>
            <w:tcW w:w="0" w:type="auto"/>
            <w:gridSpan w:val="3"/>
            <w:shd w:val="clear" w:color="auto" w:fill="auto"/>
            <w:vAlign w:val="bottom"/>
          </w:tcPr>
          <w:p w14:paraId="0B2FA28B" w14:textId="77777777" w:rsidR="007F1775" w:rsidRDefault="007F1775">
            <w:pPr>
              <w:rPr>
                <w:rFonts w:ascii="宋体"/>
                <w:vanish/>
              </w:rPr>
            </w:pPr>
          </w:p>
        </w:tc>
        <w:tc>
          <w:tcPr>
            <w:tcW w:w="0" w:type="auto"/>
            <w:gridSpan w:val="3"/>
            <w:shd w:val="clear" w:color="auto" w:fill="auto"/>
            <w:vAlign w:val="bottom"/>
          </w:tcPr>
          <w:p w14:paraId="0B2FA28C" w14:textId="77777777" w:rsidR="007F1775" w:rsidRDefault="007F1775">
            <w:pPr>
              <w:rPr>
                <w:rFonts w:ascii="宋体"/>
                <w:vanish/>
              </w:rPr>
            </w:pPr>
          </w:p>
        </w:tc>
        <w:tc>
          <w:tcPr>
            <w:tcW w:w="0" w:type="auto"/>
            <w:gridSpan w:val="3"/>
            <w:shd w:val="clear" w:color="auto" w:fill="auto"/>
            <w:vAlign w:val="bottom"/>
          </w:tcPr>
          <w:p w14:paraId="0B2FA28D" w14:textId="77777777" w:rsidR="007F1775" w:rsidRDefault="007F1775">
            <w:pPr>
              <w:rPr>
                <w:rFonts w:ascii="宋体"/>
                <w:vanish/>
              </w:rPr>
            </w:pPr>
          </w:p>
        </w:tc>
        <w:tc>
          <w:tcPr>
            <w:tcW w:w="0" w:type="auto"/>
            <w:gridSpan w:val="3"/>
            <w:shd w:val="clear" w:color="auto" w:fill="auto"/>
            <w:vAlign w:val="bottom"/>
          </w:tcPr>
          <w:p w14:paraId="0B2FA28E" w14:textId="77777777" w:rsidR="007F1775" w:rsidRDefault="007F1775">
            <w:pPr>
              <w:rPr>
                <w:rFonts w:ascii="宋体"/>
                <w:vanish/>
              </w:rPr>
            </w:pPr>
          </w:p>
        </w:tc>
        <w:tc>
          <w:tcPr>
            <w:tcW w:w="0" w:type="auto"/>
            <w:gridSpan w:val="3"/>
            <w:shd w:val="clear" w:color="auto" w:fill="auto"/>
            <w:vAlign w:val="bottom"/>
          </w:tcPr>
          <w:p w14:paraId="0B2FA28F" w14:textId="77777777" w:rsidR="007F1775" w:rsidRDefault="007F1775">
            <w:pPr>
              <w:rPr>
                <w:rFonts w:ascii="宋体"/>
                <w:vanish/>
              </w:rPr>
            </w:pPr>
          </w:p>
        </w:tc>
        <w:tc>
          <w:tcPr>
            <w:tcW w:w="0" w:type="auto"/>
            <w:gridSpan w:val="3"/>
            <w:shd w:val="clear" w:color="auto" w:fill="auto"/>
            <w:vAlign w:val="bottom"/>
          </w:tcPr>
          <w:p w14:paraId="0B2FA290" w14:textId="77777777" w:rsidR="007F1775" w:rsidRDefault="007F1775">
            <w:pPr>
              <w:rPr>
                <w:rFonts w:ascii="宋体"/>
                <w:vanish/>
              </w:rPr>
            </w:pPr>
          </w:p>
        </w:tc>
        <w:tc>
          <w:tcPr>
            <w:tcW w:w="0" w:type="auto"/>
            <w:gridSpan w:val="2"/>
            <w:shd w:val="clear" w:color="auto" w:fill="auto"/>
            <w:vAlign w:val="bottom"/>
          </w:tcPr>
          <w:p w14:paraId="0B2FA291" w14:textId="77777777" w:rsidR="007F1775" w:rsidRDefault="007F1775">
            <w:pPr>
              <w:rPr>
                <w:rFonts w:ascii="宋体"/>
                <w:vanish/>
              </w:rPr>
            </w:pPr>
          </w:p>
        </w:tc>
        <w:tc>
          <w:tcPr>
            <w:tcW w:w="0" w:type="auto"/>
            <w:shd w:val="clear" w:color="auto" w:fill="auto"/>
            <w:vAlign w:val="bottom"/>
          </w:tcPr>
          <w:p w14:paraId="0B2FA292" w14:textId="77777777" w:rsidR="007F1775" w:rsidRDefault="007F1775">
            <w:pPr>
              <w:rPr>
                <w:rFonts w:ascii="宋体"/>
                <w:vanish/>
              </w:rPr>
            </w:pPr>
          </w:p>
        </w:tc>
      </w:tr>
      <w:tr w:rsidR="007F1775" w14:paraId="0B2FA2AA" w14:textId="77777777">
        <w:trPr>
          <w:jc w:val="center"/>
          <w:hidden/>
        </w:trPr>
        <w:tc>
          <w:tcPr>
            <w:tcW w:w="0" w:type="auto"/>
            <w:gridSpan w:val="3"/>
            <w:shd w:val="clear" w:color="auto" w:fill="auto"/>
            <w:vAlign w:val="bottom"/>
          </w:tcPr>
          <w:p w14:paraId="0B2FA294" w14:textId="77777777" w:rsidR="007F1775" w:rsidRDefault="007F1775">
            <w:pPr>
              <w:rPr>
                <w:rFonts w:ascii="宋体"/>
                <w:vanish/>
              </w:rPr>
            </w:pPr>
          </w:p>
        </w:tc>
        <w:tc>
          <w:tcPr>
            <w:tcW w:w="0" w:type="auto"/>
            <w:gridSpan w:val="3"/>
            <w:shd w:val="clear" w:color="auto" w:fill="auto"/>
            <w:vAlign w:val="bottom"/>
          </w:tcPr>
          <w:p w14:paraId="0B2FA295" w14:textId="77777777" w:rsidR="007F1775" w:rsidRDefault="007F1775">
            <w:pPr>
              <w:rPr>
                <w:rFonts w:ascii="宋体"/>
                <w:vanish/>
              </w:rPr>
            </w:pPr>
          </w:p>
        </w:tc>
        <w:tc>
          <w:tcPr>
            <w:tcW w:w="0" w:type="auto"/>
            <w:gridSpan w:val="3"/>
            <w:shd w:val="clear" w:color="auto" w:fill="auto"/>
            <w:vAlign w:val="bottom"/>
          </w:tcPr>
          <w:p w14:paraId="0B2FA296" w14:textId="77777777" w:rsidR="007F1775" w:rsidRDefault="007F1775">
            <w:pPr>
              <w:rPr>
                <w:rFonts w:ascii="宋体"/>
                <w:vanish/>
              </w:rPr>
            </w:pPr>
          </w:p>
        </w:tc>
        <w:tc>
          <w:tcPr>
            <w:tcW w:w="0" w:type="auto"/>
            <w:gridSpan w:val="3"/>
            <w:shd w:val="clear" w:color="auto" w:fill="auto"/>
            <w:vAlign w:val="bottom"/>
          </w:tcPr>
          <w:p w14:paraId="0B2FA297" w14:textId="77777777" w:rsidR="007F1775" w:rsidRDefault="007F1775">
            <w:pPr>
              <w:rPr>
                <w:rFonts w:ascii="宋体"/>
                <w:vanish/>
              </w:rPr>
            </w:pPr>
          </w:p>
        </w:tc>
        <w:tc>
          <w:tcPr>
            <w:tcW w:w="0" w:type="auto"/>
            <w:gridSpan w:val="3"/>
            <w:shd w:val="clear" w:color="auto" w:fill="auto"/>
            <w:vAlign w:val="bottom"/>
          </w:tcPr>
          <w:p w14:paraId="0B2FA298" w14:textId="77777777" w:rsidR="007F1775" w:rsidRDefault="007F1775">
            <w:pPr>
              <w:rPr>
                <w:rFonts w:ascii="宋体"/>
                <w:vanish/>
              </w:rPr>
            </w:pPr>
          </w:p>
        </w:tc>
        <w:tc>
          <w:tcPr>
            <w:tcW w:w="0" w:type="auto"/>
            <w:gridSpan w:val="3"/>
            <w:shd w:val="clear" w:color="auto" w:fill="auto"/>
            <w:vAlign w:val="bottom"/>
          </w:tcPr>
          <w:p w14:paraId="0B2FA299" w14:textId="77777777" w:rsidR="007F1775" w:rsidRDefault="007F1775">
            <w:pPr>
              <w:rPr>
                <w:rFonts w:ascii="宋体"/>
                <w:vanish/>
              </w:rPr>
            </w:pPr>
          </w:p>
        </w:tc>
        <w:tc>
          <w:tcPr>
            <w:tcW w:w="0" w:type="auto"/>
            <w:gridSpan w:val="3"/>
            <w:shd w:val="clear" w:color="auto" w:fill="auto"/>
            <w:vAlign w:val="bottom"/>
          </w:tcPr>
          <w:p w14:paraId="0B2FA29A" w14:textId="77777777" w:rsidR="007F1775" w:rsidRDefault="007F1775">
            <w:pPr>
              <w:rPr>
                <w:rFonts w:ascii="宋体"/>
                <w:vanish/>
              </w:rPr>
            </w:pPr>
          </w:p>
        </w:tc>
        <w:tc>
          <w:tcPr>
            <w:tcW w:w="0" w:type="auto"/>
            <w:gridSpan w:val="3"/>
            <w:shd w:val="clear" w:color="auto" w:fill="auto"/>
            <w:vAlign w:val="bottom"/>
          </w:tcPr>
          <w:p w14:paraId="0B2FA29B" w14:textId="77777777" w:rsidR="007F1775" w:rsidRDefault="007F1775">
            <w:pPr>
              <w:rPr>
                <w:rFonts w:ascii="宋体"/>
                <w:vanish/>
              </w:rPr>
            </w:pPr>
          </w:p>
        </w:tc>
        <w:tc>
          <w:tcPr>
            <w:tcW w:w="0" w:type="auto"/>
            <w:gridSpan w:val="3"/>
            <w:shd w:val="clear" w:color="auto" w:fill="auto"/>
            <w:vAlign w:val="bottom"/>
          </w:tcPr>
          <w:p w14:paraId="0B2FA29C" w14:textId="77777777" w:rsidR="007F1775" w:rsidRDefault="007F1775">
            <w:pPr>
              <w:rPr>
                <w:rFonts w:ascii="宋体"/>
                <w:vanish/>
              </w:rPr>
            </w:pPr>
          </w:p>
        </w:tc>
        <w:tc>
          <w:tcPr>
            <w:tcW w:w="0" w:type="auto"/>
            <w:gridSpan w:val="3"/>
            <w:shd w:val="clear" w:color="auto" w:fill="auto"/>
            <w:vAlign w:val="bottom"/>
          </w:tcPr>
          <w:p w14:paraId="0B2FA29D" w14:textId="77777777" w:rsidR="007F1775" w:rsidRDefault="007F1775">
            <w:pPr>
              <w:rPr>
                <w:rFonts w:ascii="宋体"/>
                <w:vanish/>
              </w:rPr>
            </w:pPr>
          </w:p>
        </w:tc>
        <w:tc>
          <w:tcPr>
            <w:tcW w:w="0" w:type="auto"/>
            <w:gridSpan w:val="3"/>
            <w:shd w:val="clear" w:color="auto" w:fill="auto"/>
            <w:vAlign w:val="bottom"/>
          </w:tcPr>
          <w:p w14:paraId="0B2FA29E" w14:textId="77777777" w:rsidR="007F1775" w:rsidRDefault="007F1775">
            <w:pPr>
              <w:rPr>
                <w:rFonts w:ascii="宋体"/>
                <w:vanish/>
              </w:rPr>
            </w:pPr>
          </w:p>
        </w:tc>
        <w:tc>
          <w:tcPr>
            <w:tcW w:w="0" w:type="auto"/>
            <w:gridSpan w:val="3"/>
            <w:shd w:val="clear" w:color="auto" w:fill="auto"/>
            <w:vAlign w:val="bottom"/>
          </w:tcPr>
          <w:p w14:paraId="0B2FA29F" w14:textId="77777777" w:rsidR="007F1775" w:rsidRDefault="007F1775">
            <w:pPr>
              <w:rPr>
                <w:rFonts w:ascii="宋体"/>
                <w:vanish/>
              </w:rPr>
            </w:pPr>
          </w:p>
        </w:tc>
        <w:tc>
          <w:tcPr>
            <w:tcW w:w="0" w:type="auto"/>
            <w:gridSpan w:val="3"/>
            <w:shd w:val="clear" w:color="auto" w:fill="auto"/>
            <w:vAlign w:val="bottom"/>
          </w:tcPr>
          <w:p w14:paraId="0B2FA2A0" w14:textId="77777777" w:rsidR="007F1775" w:rsidRDefault="007F1775">
            <w:pPr>
              <w:rPr>
                <w:rFonts w:ascii="宋体"/>
                <w:vanish/>
              </w:rPr>
            </w:pPr>
          </w:p>
        </w:tc>
        <w:tc>
          <w:tcPr>
            <w:tcW w:w="0" w:type="auto"/>
            <w:gridSpan w:val="3"/>
            <w:shd w:val="clear" w:color="auto" w:fill="auto"/>
            <w:vAlign w:val="bottom"/>
          </w:tcPr>
          <w:p w14:paraId="0B2FA2A1" w14:textId="77777777" w:rsidR="007F1775" w:rsidRDefault="007F1775">
            <w:pPr>
              <w:rPr>
                <w:rFonts w:ascii="宋体"/>
                <w:vanish/>
              </w:rPr>
            </w:pPr>
          </w:p>
        </w:tc>
        <w:tc>
          <w:tcPr>
            <w:tcW w:w="0" w:type="auto"/>
            <w:gridSpan w:val="3"/>
            <w:shd w:val="clear" w:color="auto" w:fill="auto"/>
            <w:vAlign w:val="bottom"/>
          </w:tcPr>
          <w:p w14:paraId="0B2FA2A2" w14:textId="77777777" w:rsidR="007F1775" w:rsidRDefault="007F1775">
            <w:pPr>
              <w:rPr>
                <w:rFonts w:ascii="宋体"/>
                <w:vanish/>
              </w:rPr>
            </w:pPr>
          </w:p>
        </w:tc>
        <w:tc>
          <w:tcPr>
            <w:tcW w:w="0" w:type="auto"/>
            <w:gridSpan w:val="3"/>
            <w:shd w:val="clear" w:color="auto" w:fill="auto"/>
            <w:vAlign w:val="bottom"/>
          </w:tcPr>
          <w:p w14:paraId="0B2FA2A3" w14:textId="77777777" w:rsidR="007F1775" w:rsidRDefault="007F1775">
            <w:pPr>
              <w:rPr>
                <w:rFonts w:ascii="宋体"/>
                <w:vanish/>
              </w:rPr>
            </w:pPr>
          </w:p>
        </w:tc>
        <w:tc>
          <w:tcPr>
            <w:tcW w:w="0" w:type="auto"/>
            <w:gridSpan w:val="3"/>
            <w:shd w:val="clear" w:color="auto" w:fill="auto"/>
            <w:vAlign w:val="bottom"/>
          </w:tcPr>
          <w:p w14:paraId="0B2FA2A4" w14:textId="77777777" w:rsidR="007F1775" w:rsidRDefault="007F1775">
            <w:pPr>
              <w:rPr>
                <w:rFonts w:ascii="宋体"/>
                <w:vanish/>
              </w:rPr>
            </w:pPr>
          </w:p>
        </w:tc>
        <w:tc>
          <w:tcPr>
            <w:tcW w:w="0" w:type="auto"/>
            <w:gridSpan w:val="3"/>
            <w:shd w:val="clear" w:color="auto" w:fill="auto"/>
            <w:vAlign w:val="bottom"/>
          </w:tcPr>
          <w:p w14:paraId="0B2FA2A5" w14:textId="77777777" w:rsidR="007F1775" w:rsidRDefault="007F1775">
            <w:pPr>
              <w:rPr>
                <w:rFonts w:ascii="宋体"/>
                <w:vanish/>
              </w:rPr>
            </w:pPr>
          </w:p>
        </w:tc>
        <w:tc>
          <w:tcPr>
            <w:tcW w:w="0" w:type="auto"/>
            <w:gridSpan w:val="3"/>
            <w:shd w:val="clear" w:color="auto" w:fill="auto"/>
            <w:vAlign w:val="bottom"/>
          </w:tcPr>
          <w:p w14:paraId="0B2FA2A6" w14:textId="77777777" w:rsidR="007F1775" w:rsidRDefault="007F1775">
            <w:pPr>
              <w:rPr>
                <w:rFonts w:ascii="宋体"/>
                <w:vanish/>
              </w:rPr>
            </w:pPr>
          </w:p>
        </w:tc>
        <w:tc>
          <w:tcPr>
            <w:tcW w:w="0" w:type="auto"/>
            <w:gridSpan w:val="3"/>
            <w:shd w:val="clear" w:color="auto" w:fill="auto"/>
            <w:vAlign w:val="bottom"/>
          </w:tcPr>
          <w:p w14:paraId="0B2FA2A7" w14:textId="77777777" w:rsidR="007F1775" w:rsidRDefault="007F1775">
            <w:pPr>
              <w:rPr>
                <w:rFonts w:ascii="宋体"/>
                <w:vanish/>
              </w:rPr>
            </w:pPr>
          </w:p>
        </w:tc>
        <w:tc>
          <w:tcPr>
            <w:tcW w:w="0" w:type="auto"/>
            <w:gridSpan w:val="2"/>
            <w:shd w:val="clear" w:color="auto" w:fill="auto"/>
            <w:vAlign w:val="bottom"/>
          </w:tcPr>
          <w:p w14:paraId="0B2FA2A8" w14:textId="77777777" w:rsidR="007F1775" w:rsidRDefault="007F1775">
            <w:pPr>
              <w:rPr>
                <w:rFonts w:ascii="宋体"/>
                <w:vanish/>
              </w:rPr>
            </w:pPr>
          </w:p>
        </w:tc>
        <w:tc>
          <w:tcPr>
            <w:tcW w:w="0" w:type="auto"/>
            <w:shd w:val="clear" w:color="auto" w:fill="auto"/>
            <w:vAlign w:val="bottom"/>
          </w:tcPr>
          <w:p w14:paraId="0B2FA2A9" w14:textId="77777777" w:rsidR="007F1775" w:rsidRDefault="007F1775">
            <w:pPr>
              <w:rPr>
                <w:rFonts w:ascii="宋体"/>
                <w:vanish/>
              </w:rPr>
            </w:pPr>
          </w:p>
        </w:tc>
      </w:tr>
      <w:tr w:rsidR="007F1775" w14:paraId="0B2FA2C1" w14:textId="77777777">
        <w:trPr>
          <w:jc w:val="center"/>
          <w:hidden/>
        </w:trPr>
        <w:tc>
          <w:tcPr>
            <w:tcW w:w="0" w:type="auto"/>
            <w:gridSpan w:val="3"/>
            <w:shd w:val="clear" w:color="auto" w:fill="auto"/>
            <w:vAlign w:val="bottom"/>
          </w:tcPr>
          <w:p w14:paraId="0B2FA2AB" w14:textId="77777777" w:rsidR="007F1775" w:rsidRDefault="007F1775">
            <w:pPr>
              <w:rPr>
                <w:rFonts w:ascii="宋体"/>
                <w:vanish/>
              </w:rPr>
            </w:pPr>
          </w:p>
        </w:tc>
        <w:tc>
          <w:tcPr>
            <w:tcW w:w="0" w:type="auto"/>
            <w:gridSpan w:val="3"/>
            <w:shd w:val="clear" w:color="auto" w:fill="auto"/>
            <w:vAlign w:val="bottom"/>
          </w:tcPr>
          <w:p w14:paraId="0B2FA2AC" w14:textId="77777777" w:rsidR="007F1775" w:rsidRDefault="007F1775">
            <w:pPr>
              <w:rPr>
                <w:rFonts w:ascii="宋体"/>
                <w:vanish/>
              </w:rPr>
            </w:pPr>
          </w:p>
        </w:tc>
        <w:tc>
          <w:tcPr>
            <w:tcW w:w="0" w:type="auto"/>
            <w:gridSpan w:val="3"/>
            <w:shd w:val="clear" w:color="auto" w:fill="auto"/>
            <w:vAlign w:val="bottom"/>
          </w:tcPr>
          <w:p w14:paraId="0B2FA2AD" w14:textId="77777777" w:rsidR="007F1775" w:rsidRDefault="007F1775">
            <w:pPr>
              <w:rPr>
                <w:rFonts w:ascii="宋体"/>
                <w:vanish/>
              </w:rPr>
            </w:pPr>
          </w:p>
        </w:tc>
        <w:tc>
          <w:tcPr>
            <w:tcW w:w="0" w:type="auto"/>
            <w:gridSpan w:val="3"/>
            <w:shd w:val="clear" w:color="auto" w:fill="auto"/>
            <w:vAlign w:val="bottom"/>
          </w:tcPr>
          <w:p w14:paraId="0B2FA2AE" w14:textId="77777777" w:rsidR="007F1775" w:rsidRDefault="007F1775">
            <w:pPr>
              <w:rPr>
                <w:rFonts w:ascii="宋体"/>
                <w:vanish/>
              </w:rPr>
            </w:pPr>
          </w:p>
        </w:tc>
        <w:tc>
          <w:tcPr>
            <w:tcW w:w="0" w:type="auto"/>
            <w:gridSpan w:val="3"/>
            <w:shd w:val="clear" w:color="auto" w:fill="auto"/>
            <w:vAlign w:val="bottom"/>
          </w:tcPr>
          <w:p w14:paraId="0B2FA2AF" w14:textId="77777777" w:rsidR="007F1775" w:rsidRDefault="007F1775">
            <w:pPr>
              <w:rPr>
                <w:rFonts w:ascii="宋体"/>
                <w:vanish/>
              </w:rPr>
            </w:pPr>
          </w:p>
        </w:tc>
        <w:tc>
          <w:tcPr>
            <w:tcW w:w="0" w:type="auto"/>
            <w:gridSpan w:val="3"/>
            <w:shd w:val="clear" w:color="auto" w:fill="auto"/>
            <w:vAlign w:val="bottom"/>
          </w:tcPr>
          <w:p w14:paraId="0B2FA2B0" w14:textId="77777777" w:rsidR="007F1775" w:rsidRDefault="007F1775">
            <w:pPr>
              <w:rPr>
                <w:rFonts w:ascii="宋体"/>
                <w:vanish/>
              </w:rPr>
            </w:pPr>
          </w:p>
        </w:tc>
        <w:tc>
          <w:tcPr>
            <w:tcW w:w="0" w:type="auto"/>
            <w:gridSpan w:val="3"/>
            <w:shd w:val="clear" w:color="auto" w:fill="auto"/>
            <w:vAlign w:val="bottom"/>
          </w:tcPr>
          <w:p w14:paraId="0B2FA2B1" w14:textId="77777777" w:rsidR="007F1775" w:rsidRDefault="007F1775">
            <w:pPr>
              <w:rPr>
                <w:rFonts w:ascii="宋体"/>
                <w:vanish/>
              </w:rPr>
            </w:pPr>
          </w:p>
        </w:tc>
        <w:tc>
          <w:tcPr>
            <w:tcW w:w="0" w:type="auto"/>
            <w:gridSpan w:val="3"/>
            <w:shd w:val="clear" w:color="auto" w:fill="auto"/>
            <w:vAlign w:val="bottom"/>
          </w:tcPr>
          <w:p w14:paraId="0B2FA2B2" w14:textId="77777777" w:rsidR="007F1775" w:rsidRDefault="007F1775">
            <w:pPr>
              <w:rPr>
                <w:rFonts w:ascii="宋体"/>
                <w:vanish/>
              </w:rPr>
            </w:pPr>
          </w:p>
        </w:tc>
        <w:tc>
          <w:tcPr>
            <w:tcW w:w="0" w:type="auto"/>
            <w:gridSpan w:val="3"/>
            <w:shd w:val="clear" w:color="auto" w:fill="auto"/>
            <w:vAlign w:val="bottom"/>
          </w:tcPr>
          <w:p w14:paraId="0B2FA2B3" w14:textId="77777777" w:rsidR="007F1775" w:rsidRDefault="007F1775">
            <w:pPr>
              <w:rPr>
                <w:rFonts w:ascii="宋体"/>
                <w:vanish/>
              </w:rPr>
            </w:pPr>
          </w:p>
        </w:tc>
        <w:tc>
          <w:tcPr>
            <w:tcW w:w="0" w:type="auto"/>
            <w:gridSpan w:val="3"/>
            <w:shd w:val="clear" w:color="auto" w:fill="auto"/>
            <w:vAlign w:val="bottom"/>
          </w:tcPr>
          <w:p w14:paraId="0B2FA2B4" w14:textId="77777777" w:rsidR="007F1775" w:rsidRDefault="007F1775">
            <w:pPr>
              <w:rPr>
                <w:rFonts w:ascii="宋体"/>
                <w:vanish/>
              </w:rPr>
            </w:pPr>
          </w:p>
        </w:tc>
        <w:tc>
          <w:tcPr>
            <w:tcW w:w="0" w:type="auto"/>
            <w:gridSpan w:val="3"/>
            <w:shd w:val="clear" w:color="auto" w:fill="auto"/>
            <w:vAlign w:val="bottom"/>
          </w:tcPr>
          <w:p w14:paraId="0B2FA2B5" w14:textId="77777777" w:rsidR="007F1775" w:rsidRDefault="007F1775">
            <w:pPr>
              <w:rPr>
                <w:rFonts w:ascii="宋体"/>
                <w:vanish/>
              </w:rPr>
            </w:pPr>
          </w:p>
        </w:tc>
        <w:tc>
          <w:tcPr>
            <w:tcW w:w="0" w:type="auto"/>
            <w:gridSpan w:val="3"/>
            <w:shd w:val="clear" w:color="auto" w:fill="auto"/>
            <w:vAlign w:val="bottom"/>
          </w:tcPr>
          <w:p w14:paraId="0B2FA2B6" w14:textId="77777777" w:rsidR="007F1775" w:rsidRDefault="007F1775">
            <w:pPr>
              <w:rPr>
                <w:rFonts w:ascii="宋体"/>
                <w:vanish/>
              </w:rPr>
            </w:pPr>
          </w:p>
        </w:tc>
        <w:tc>
          <w:tcPr>
            <w:tcW w:w="0" w:type="auto"/>
            <w:gridSpan w:val="3"/>
            <w:shd w:val="clear" w:color="auto" w:fill="auto"/>
            <w:vAlign w:val="bottom"/>
          </w:tcPr>
          <w:p w14:paraId="0B2FA2B7" w14:textId="77777777" w:rsidR="007F1775" w:rsidRDefault="007F1775">
            <w:pPr>
              <w:rPr>
                <w:rFonts w:ascii="宋体"/>
                <w:vanish/>
              </w:rPr>
            </w:pPr>
          </w:p>
        </w:tc>
        <w:tc>
          <w:tcPr>
            <w:tcW w:w="0" w:type="auto"/>
            <w:gridSpan w:val="3"/>
            <w:shd w:val="clear" w:color="auto" w:fill="auto"/>
            <w:vAlign w:val="bottom"/>
          </w:tcPr>
          <w:p w14:paraId="0B2FA2B8" w14:textId="77777777" w:rsidR="007F1775" w:rsidRDefault="007F1775">
            <w:pPr>
              <w:rPr>
                <w:rFonts w:ascii="宋体"/>
                <w:vanish/>
              </w:rPr>
            </w:pPr>
          </w:p>
        </w:tc>
        <w:tc>
          <w:tcPr>
            <w:tcW w:w="0" w:type="auto"/>
            <w:gridSpan w:val="3"/>
            <w:shd w:val="clear" w:color="auto" w:fill="auto"/>
            <w:vAlign w:val="bottom"/>
          </w:tcPr>
          <w:p w14:paraId="0B2FA2B9" w14:textId="77777777" w:rsidR="007F1775" w:rsidRDefault="007F1775">
            <w:pPr>
              <w:rPr>
                <w:rFonts w:ascii="宋体"/>
                <w:vanish/>
              </w:rPr>
            </w:pPr>
          </w:p>
        </w:tc>
        <w:tc>
          <w:tcPr>
            <w:tcW w:w="0" w:type="auto"/>
            <w:gridSpan w:val="3"/>
            <w:shd w:val="clear" w:color="auto" w:fill="auto"/>
            <w:vAlign w:val="bottom"/>
          </w:tcPr>
          <w:p w14:paraId="0B2FA2BA" w14:textId="77777777" w:rsidR="007F1775" w:rsidRDefault="007F1775">
            <w:pPr>
              <w:rPr>
                <w:rFonts w:ascii="宋体"/>
                <w:vanish/>
              </w:rPr>
            </w:pPr>
          </w:p>
        </w:tc>
        <w:tc>
          <w:tcPr>
            <w:tcW w:w="0" w:type="auto"/>
            <w:gridSpan w:val="3"/>
            <w:shd w:val="clear" w:color="auto" w:fill="auto"/>
            <w:vAlign w:val="bottom"/>
          </w:tcPr>
          <w:p w14:paraId="0B2FA2BB" w14:textId="77777777" w:rsidR="007F1775" w:rsidRDefault="007F1775">
            <w:pPr>
              <w:rPr>
                <w:rFonts w:ascii="宋体"/>
                <w:vanish/>
              </w:rPr>
            </w:pPr>
          </w:p>
        </w:tc>
        <w:tc>
          <w:tcPr>
            <w:tcW w:w="0" w:type="auto"/>
            <w:gridSpan w:val="3"/>
            <w:shd w:val="clear" w:color="auto" w:fill="auto"/>
            <w:vAlign w:val="bottom"/>
          </w:tcPr>
          <w:p w14:paraId="0B2FA2BC" w14:textId="77777777" w:rsidR="007F1775" w:rsidRDefault="007F1775">
            <w:pPr>
              <w:rPr>
                <w:rFonts w:ascii="宋体"/>
                <w:vanish/>
              </w:rPr>
            </w:pPr>
          </w:p>
        </w:tc>
        <w:tc>
          <w:tcPr>
            <w:tcW w:w="0" w:type="auto"/>
            <w:gridSpan w:val="3"/>
            <w:shd w:val="clear" w:color="auto" w:fill="auto"/>
            <w:vAlign w:val="bottom"/>
          </w:tcPr>
          <w:p w14:paraId="0B2FA2BD" w14:textId="77777777" w:rsidR="007F1775" w:rsidRDefault="007F1775">
            <w:pPr>
              <w:rPr>
                <w:rFonts w:ascii="宋体"/>
                <w:vanish/>
              </w:rPr>
            </w:pPr>
          </w:p>
        </w:tc>
        <w:tc>
          <w:tcPr>
            <w:tcW w:w="0" w:type="auto"/>
            <w:gridSpan w:val="3"/>
            <w:shd w:val="clear" w:color="auto" w:fill="auto"/>
            <w:vAlign w:val="bottom"/>
          </w:tcPr>
          <w:p w14:paraId="0B2FA2BE" w14:textId="77777777" w:rsidR="007F1775" w:rsidRDefault="007F1775">
            <w:pPr>
              <w:rPr>
                <w:rFonts w:ascii="宋体"/>
                <w:vanish/>
              </w:rPr>
            </w:pPr>
          </w:p>
        </w:tc>
        <w:tc>
          <w:tcPr>
            <w:tcW w:w="0" w:type="auto"/>
            <w:gridSpan w:val="2"/>
            <w:shd w:val="clear" w:color="auto" w:fill="auto"/>
            <w:vAlign w:val="bottom"/>
          </w:tcPr>
          <w:p w14:paraId="0B2FA2BF" w14:textId="77777777" w:rsidR="007F1775" w:rsidRDefault="007F1775">
            <w:pPr>
              <w:rPr>
                <w:rFonts w:ascii="宋体"/>
                <w:vanish/>
              </w:rPr>
            </w:pPr>
          </w:p>
        </w:tc>
        <w:tc>
          <w:tcPr>
            <w:tcW w:w="0" w:type="auto"/>
            <w:shd w:val="clear" w:color="auto" w:fill="auto"/>
            <w:vAlign w:val="bottom"/>
          </w:tcPr>
          <w:p w14:paraId="0B2FA2C0" w14:textId="77777777" w:rsidR="007F1775" w:rsidRDefault="007F1775">
            <w:pPr>
              <w:rPr>
                <w:rFonts w:ascii="宋体"/>
                <w:vanish/>
              </w:rPr>
            </w:pPr>
          </w:p>
        </w:tc>
      </w:tr>
      <w:tr w:rsidR="007F1775" w14:paraId="0B2FA2D8" w14:textId="77777777">
        <w:trPr>
          <w:jc w:val="center"/>
          <w:hidden/>
        </w:trPr>
        <w:tc>
          <w:tcPr>
            <w:tcW w:w="0" w:type="auto"/>
            <w:gridSpan w:val="3"/>
            <w:shd w:val="clear" w:color="auto" w:fill="auto"/>
            <w:vAlign w:val="bottom"/>
          </w:tcPr>
          <w:p w14:paraId="0B2FA2C2" w14:textId="77777777" w:rsidR="007F1775" w:rsidRDefault="007F1775">
            <w:pPr>
              <w:rPr>
                <w:rFonts w:ascii="宋体"/>
                <w:vanish/>
              </w:rPr>
            </w:pPr>
          </w:p>
        </w:tc>
        <w:tc>
          <w:tcPr>
            <w:tcW w:w="0" w:type="auto"/>
            <w:gridSpan w:val="3"/>
            <w:shd w:val="clear" w:color="auto" w:fill="auto"/>
            <w:vAlign w:val="bottom"/>
          </w:tcPr>
          <w:p w14:paraId="0B2FA2C3" w14:textId="77777777" w:rsidR="007F1775" w:rsidRDefault="007F1775">
            <w:pPr>
              <w:rPr>
                <w:rFonts w:ascii="宋体"/>
                <w:vanish/>
              </w:rPr>
            </w:pPr>
          </w:p>
        </w:tc>
        <w:tc>
          <w:tcPr>
            <w:tcW w:w="0" w:type="auto"/>
            <w:gridSpan w:val="3"/>
            <w:shd w:val="clear" w:color="auto" w:fill="auto"/>
            <w:vAlign w:val="bottom"/>
          </w:tcPr>
          <w:p w14:paraId="0B2FA2C4" w14:textId="77777777" w:rsidR="007F1775" w:rsidRDefault="007F1775">
            <w:pPr>
              <w:rPr>
                <w:rFonts w:ascii="宋体"/>
                <w:vanish/>
              </w:rPr>
            </w:pPr>
          </w:p>
        </w:tc>
        <w:tc>
          <w:tcPr>
            <w:tcW w:w="0" w:type="auto"/>
            <w:gridSpan w:val="3"/>
            <w:shd w:val="clear" w:color="auto" w:fill="auto"/>
            <w:vAlign w:val="bottom"/>
          </w:tcPr>
          <w:p w14:paraId="0B2FA2C5" w14:textId="77777777" w:rsidR="007F1775" w:rsidRDefault="007F1775">
            <w:pPr>
              <w:rPr>
                <w:rFonts w:ascii="宋体"/>
                <w:vanish/>
              </w:rPr>
            </w:pPr>
          </w:p>
        </w:tc>
        <w:tc>
          <w:tcPr>
            <w:tcW w:w="0" w:type="auto"/>
            <w:gridSpan w:val="3"/>
            <w:shd w:val="clear" w:color="auto" w:fill="auto"/>
            <w:vAlign w:val="bottom"/>
          </w:tcPr>
          <w:p w14:paraId="0B2FA2C6" w14:textId="77777777" w:rsidR="007F1775" w:rsidRDefault="007F1775">
            <w:pPr>
              <w:rPr>
                <w:rFonts w:ascii="宋体"/>
                <w:vanish/>
              </w:rPr>
            </w:pPr>
          </w:p>
        </w:tc>
        <w:tc>
          <w:tcPr>
            <w:tcW w:w="0" w:type="auto"/>
            <w:gridSpan w:val="3"/>
            <w:shd w:val="clear" w:color="auto" w:fill="auto"/>
            <w:vAlign w:val="bottom"/>
          </w:tcPr>
          <w:p w14:paraId="0B2FA2C7" w14:textId="77777777" w:rsidR="007F1775" w:rsidRDefault="007F1775">
            <w:pPr>
              <w:rPr>
                <w:rFonts w:ascii="宋体"/>
                <w:vanish/>
              </w:rPr>
            </w:pPr>
          </w:p>
        </w:tc>
        <w:tc>
          <w:tcPr>
            <w:tcW w:w="0" w:type="auto"/>
            <w:gridSpan w:val="3"/>
            <w:shd w:val="clear" w:color="auto" w:fill="auto"/>
            <w:vAlign w:val="bottom"/>
          </w:tcPr>
          <w:p w14:paraId="0B2FA2C8" w14:textId="77777777" w:rsidR="007F1775" w:rsidRDefault="007F1775">
            <w:pPr>
              <w:rPr>
                <w:rFonts w:ascii="宋体"/>
                <w:vanish/>
              </w:rPr>
            </w:pPr>
          </w:p>
        </w:tc>
        <w:tc>
          <w:tcPr>
            <w:tcW w:w="0" w:type="auto"/>
            <w:gridSpan w:val="3"/>
            <w:shd w:val="clear" w:color="auto" w:fill="auto"/>
            <w:vAlign w:val="bottom"/>
          </w:tcPr>
          <w:p w14:paraId="0B2FA2C9" w14:textId="77777777" w:rsidR="007F1775" w:rsidRDefault="007F1775">
            <w:pPr>
              <w:rPr>
                <w:rFonts w:ascii="宋体"/>
                <w:vanish/>
              </w:rPr>
            </w:pPr>
          </w:p>
        </w:tc>
        <w:tc>
          <w:tcPr>
            <w:tcW w:w="0" w:type="auto"/>
            <w:gridSpan w:val="3"/>
            <w:shd w:val="clear" w:color="auto" w:fill="auto"/>
            <w:vAlign w:val="bottom"/>
          </w:tcPr>
          <w:p w14:paraId="0B2FA2CA" w14:textId="77777777" w:rsidR="007F1775" w:rsidRDefault="007F1775">
            <w:pPr>
              <w:rPr>
                <w:rFonts w:ascii="宋体"/>
                <w:vanish/>
              </w:rPr>
            </w:pPr>
          </w:p>
        </w:tc>
        <w:tc>
          <w:tcPr>
            <w:tcW w:w="0" w:type="auto"/>
            <w:gridSpan w:val="3"/>
            <w:shd w:val="clear" w:color="auto" w:fill="auto"/>
            <w:vAlign w:val="bottom"/>
          </w:tcPr>
          <w:p w14:paraId="0B2FA2CB" w14:textId="77777777" w:rsidR="007F1775" w:rsidRDefault="007F1775">
            <w:pPr>
              <w:rPr>
                <w:rFonts w:ascii="宋体"/>
                <w:vanish/>
              </w:rPr>
            </w:pPr>
          </w:p>
        </w:tc>
        <w:tc>
          <w:tcPr>
            <w:tcW w:w="0" w:type="auto"/>
            <w:gridSpan w:val="3"/>
            <w:shd w:val="clear" w:color="auto" w:fill="auto"/>
            <w:vAlign w:val="bottom"/>
          </w:tcPr>
          <w:p w14:paraId="0B2FA2CC" w14:textId="77777777" w:rsidR="007F1775" w:rsidRDefault="007F1775">
            <w:pPr>
              <w:rPr>
                <w:rFonts w:ascii="宋体"/>
                <w:vanish/>
              </w:rPr>
            </w:pPr>
          </w:p>
        </w:tc>
        <w:tc>
          <w:tcPr>
            <w:tcW w:w="0" w:type="auto"/>
            <w:gridSpan w:val="3"/>
            <w:shd w:val="clear" w:color="auto" w:fill="auto"/>
            <w:vAlign w:val="bottom"/>
          </w:tcPr>
          <w:p w14:paraId="0B2FA2CD" w14:textId="77777777" w:rsidR="007F1775" w:rsidRDefault="007F1775">
            <w:pPr>
              <w:rPr>
                <w:rFonts w:ascii="宋体"/>
                <w:vanish/>
              </w:rPr>
            </w:pPr>
          </w:p>
        </w:tc>
        <w:tc>
          <w:tcPr>
            <w:tcW w:w="0" w:type="auto"/>
            <w:gridSpan w:val="3"/>
            <w:shd w:val="clear" w:color="auto" w:fill="auto"/>
            <w:vAlign w:val="bottom"/>
          </w:tcPr>
          <w:p w14:paraId="0B2FA2CE" w14:textId="77777777" w:rsidR="007F1775" w:rsidRDefault="007F1775">
            <w:pPr>
              <w:rPr>
                <w:rFonts w:ascii="宋体"/>
                <w:vanish/>
              </w:rPr>
            </w:pPr>
          </w:p>
        </w:tc>
        <w:tc>
          <w:tcPr>
            <w:tcW w:w="0" w:type="auto"/>
            <w:gridSpan w:val="3"/>
            <w:shd w:val="clear" w:color="auto" w:fill="auto"/>
            <w:vAlign w:val="bottom"/>
          </w:tcPr>
          <w:p w14:paraId="0B2FA2CF" w14:textId="77777777" w:rsidR="007F1775" w:rsidRDefault="007F1775">
            <w:pPr>
              <w:rPr>
                <w:rFonts w:ascii="宋体"/>
                <w:vanish/>
              </w:rPr>
            </w:pPr>
          </w:p>
        </w:tc>
        <w:tc>
          <w:tcPr>
            <w:tcW w:w="0" w:type="auto"/>
            <w:gridSpan w:val="3"/>
            <w:shd w:val="clear" w:color="auto" w:fill="auto"/>
            <w:vAlign w:val="bottom"/>
          </w:tcPr>
          <w:p w14:paraId="0B2FA2D0" w14:textId="77777777" w:rsidR="007F1775" w:rsidRDefault="007F1775">
            <w:pPr>
              <w:rPr>
                <w:rFonts w:ascii="宋体"/>
                <w:vanish/>
              </w:rPr>
            </w:pPr>
          </w:p>
        </w:tc>
        <w:tc>
          <w:tcPr>
            <w:tcW w:w="0" w:type="auto"/>
            <w:gridSpan w:val="3"/>
            <w:shd w:val="clear" w:color="auto" w:fill="auto"/>
            <w:vAlign w:val="bottom"/>
          </w:tcPr>
          <w:p w14:paraId="0B2FA2D1" w14:textId="77777777" w:rsidR="007F1775" w:rsidRDefault="007F1775">
            <w:pPr>
              <w:rPr>
                <w:rFonts w:ascii="宋体"/>
                <w:vanish/>
              </w:rPr>
            </w:pPr>
          </w:p>
        </w:tc>
        <w:tc>
          <w:tcPr>
            <w:tcW w:w="0" w:type="auto"/>
            <w:gridSpan w:val="3"/>
            <w:shd w:val="clear" w:color="auto" w:fill="auto"/>
            <w:vAlign w:val="bottom"/>
          </w:tcPr>
          <w:p w14:paraId="0B2FA2D2" w14:textId="77777777" w:rsidR="007F1775" w:rsidRDefault="007F1775">
            <w:pPr>
              <w:rPr>
                <w:rFonts w:ascii="宋体"/>
                <w:vanish/>
              </w:rPr>
            </w:pPr>
          </w:p>
        </w:tc>
        <w:tc>
          <w:tcPr>
            <w:tcW w:w="0" w:type="auto"/>
            <w:gridSpan w:val="3"/>
            <w:shd w:val="clear" w:color="auto" w:fill="auto"/>
            <w:vAlign w:val="bottom"/>
          </w:tcPr>
          <w:p w14:paraId="0B2FA2D3" w14:textId="77777777" w:rsidR="007F1775" w:rsidRDefault="007F1775">
            <w:pPr>
              <w:rPr>
                <w:rFonts w:ascii="宋体"/>
                <w:vanish/>
              </w:rPr>
            </w:pPr>
          </w:p>
        </w:tc>
        <w:tc>
          <w:tcPr>
            <w:tcW w:w="0" w:type="auto"/>
            <w:gridSpan w:val="3"/>
            <w:shd w:val="clear" w:color="auto" w:fill="auto"/>
            <w:vAlign w:val="bottom"/>
          </w:tcPr>
          <w:p w14:paraId="0B2FA2D4" w14:textId="77777777" w:rsidR="007F1775" w:rsidRDefault="007F1775">
            <w:pPr>
              <w:rPr>
                <w:rFonts w:ascii="宋体"/>
                <w:vanish/>
              </w:rPr>
            </w:pPr>
          </w:p>
        </w:tc>
        <w:tc>
          <w:tcPr>
            <w:tcW w:w="0" w:type="auto"/>
            <w:gridSpan w:val="3"/>
            <w:shd w:val="clear" w:color="auto" w:fill="auto"/>
            <w:vAlign w:val="bottom"/>
          </w:tcPr>
          <w:p w14:paraId="0B2FA2D5" w14:textId="77777777" w:rsidR="007F1775" w:rsidRDefault="007F1775">
            <w:pPr>
              <w:rPr>
                <w:rFonts w:ascii="宋体"/>
                <w:vanish/>
              </w:rPr>
            </w:pPr>
          </w:p>
        </w:tc>
        <w:tc>
          <w:tcPr>
            <w:tcW w:w="0" w:type="auto"/>
            <w:gridSpan w:val="2"/>
            <w:shd w:val="clear" w:color="auto" w:fill="auto"/>
            <w:vAlign w:val="bottom"/>
          </w:tcPr>
          <w:p w14:paraId="0B2FA2D6" w14:textId="77777777" w:rsidR="007F1775" w:rsidRDefault="007F1775">
            <w:pPr>
              <w:rPr>
                <w:rFonts w:ascii="宋体"/>
                <w:vanish/>
              </w:rPr>
            </w:pPr>
          </w:p>
        </w:tc>
        <w:tc>
          <w:tcPr>
            <w:tcW w:w="0" w:type="auto"/>
            <w:shd w:val="clear" w:color="auto" w:fill="auto"/>
            <w:vAlign w:val="bottom"/>
          </w:tcPr>
          <w:p w14:paraId="0B2FA2D7" w14:textId="77777777" w:rsidR="007F1775" w:rsidRDefault="007F1775">
            <w:pPr>
              <w:rPr>
                <w:rFonts w:ascii="宋体"/>
                <w:vanish/>
              </w:rPr>
            </w:pPr>
          </w:p>
        </w:tc>
      </w:tr>
      <w:tr w:rsidR="007F1775" w14:paraId="0B2FA2EF" w14:textId="77777777">
        <w:trPr>
          <w:jc w:val="center"/>
          <w:hidden/>
        </w:trPr>
        <w:tc>
          <w:tcPr>
            <w:tcW w:w="0" w:type="auto"/>
            <w:gridSpan w:val="3"/>
            <w:shd w:val="clear" w:color="auto" w:fill="auto"/>
            <w:vAlign w:val="bottom"/>
          </w:tcPr>
          <w:p w14:paraId="0B2FA2D9" w14:textId="77777777" w:rsidR="007F1775" w:rsidRDefault="007F1775">
            <w:pPr>
              <w:rPr>
                <w:rFonts w:ascii="宋体"/>
                <w:vanish/>
              </w:rPr>
            </w:pPr>
          </w:p>
        </w:tc>
        <w:tc>
          <w:tcPr>
            <w:tcW w:w="0" w:type="auto"/>
            <w:gridSpan w:val="3"/>
            <w:shd w:val="clear" w:color="auto" w:fill="auto"/>
            <w:vAlign w:val="bottom"/>
          </w:tcPr>
          <w:p w14:paraId="0B2FA2DA" w14:textId="77777777" w:rsidR="007F1775" w:rsidRDefault="007F1775">
            <w:pPr>
              <w:rPr>
                <w:rFonts w:ascii="宋体"/>
                <w:vanish/>
              </w:rPr>
            </w:pPr>
          </w:p>
        </w:tc>
        <w:tc>
          <w:tcPr>
            <w:tcW w:w="0" w:type="auto"/>
            <w:gridSpan w:val="3"/>
            <w:shd w:val="clear" w:color="auto" w:fill="auto"/>
            <w:vAlign w:val="bottom"/>
          </w:tcPr>
          <w:p w14:paraId="0B2FA2DB" w14:textId="77777777" w:rsidR="007F1775" w:rsidRDefault="007F1775">
            <w:pPr>
              <w:rPr>
                <w:rFonts w:ascii="宋体"/>
                <w:vanish/>
              </w:rPr>
            </w:pPr>
          </w:p>
        </w:tc>
        <w:tc>
          <w:tcPr>
            <w:tcW w:w="0" w:type="auto"/>
            <w:gridSpan w:val="3"/>
            <w:shd w:val="clear" w:color="auto" w:fill="auto"/>
            <w:vAlign w:val="bottom"/>
          </w:tcPr>
          <w:p w14:paraId="0B2FA2DC" w14:textId="77777777" w:rsidR="007F1775" w:rsidRDefault="007F1775">
            <w:pPr>
              <w:rPr>
                <w:rFonts w:ascii="宋体"/>
                <w:vanish/>
              </w:rPr>
            </w:pPr>
          </w:p>
        </w:tc>
        <w:tc>
          <w:tcPr>
            <w:tcW w:w="0" w:type="auto"/>
            <w:gridSpan w:val="3"/>
            <w:shd w:val="clear" w:color="auto" w:fill="auto"/>
            <w:vAlign w:val="bottom"/>
          </w:tcPr>
          <w:p w14:paraId="0B2FA2DD" w14:textId="77777777" w:rsidR="007F1775" w:rsidRDefault="007F1775">
            <w:pPr>
              <w:rPr>
                <w:rFonts w:ascii="宋体"/>
                <w:vanish/>
              </w:rPr>
            </w:pPr>
          </w:p>
        </w:tc>
        <w:tc>
          <w:tcPr>
            <w:tcW w:w="0" w:type="auto"/>
            <w:gridSpan w:val="3"/>
            <w:shd w:val="clear" w:color="auto" w:fill="auto"/>
            <w:vAlign w:val="bottom"/>
          </w:tcPr>
          <w:p w14:paraId="0B2FA2DE" w14:textId="77777777" w:rsidR="007F1775" w:rsidRDefault="007F1775">
            <w:pPr>
              <w:rPr>
                <w:rFonts w:ascii="宋体"/>
                <w:vanish/>
              </w:rPr>
            </w:pPr>
          </w:p>
        </w:tc>
        <w:tc>
          <w:tcPr>
            <w:tcW w:w="0" w:type="auto"/>
            <w:gridSpan w:val="3"/>
            <w:shd w:val="clear" w:color="auto" w:fill="auto"/>
            <w:vAlign w:val="bottom"/>
          </w:tcPr>
          <w:p w14:paraId="0B2FA2DF" w14:textId="77777777" w:rsidR="007F1775" w:rsidRDefault="007F1775">
            <w:pPr>
              <w:rPr>
                <w:rFonts w:ascii="宋体"/>
                <w:vanish/>
              </w:rPr>
            </w:pPr>
          </w:p>
        </w:tc>
        <w:tc>
          <w:tcPr>
            <w:tcW w:w="0" w:type="auto"/>
            <w:gridSpan w:val="3"/>
            <w:shd w:val="clear" w:color="auto" w:fill="auto"/>
            <w:vAlign w:val="bottom"/>
          </w:tcPr>
          <w:p w14:paraId="0B2FA2E0" w14:textId="77777777" w:rsidR="007F1775" w:rsidRDefault="007F1775">
            <w:pPr>
              <w:rPr>
                <w:rFonts w:ascii="宋体"/>
                <w:vanish/>
              </w:rPr>
            </w:pPr>
          </w:p>
        </w:tc>
        <w:tc>
          <w:tcPr>
            <w:tcW w:w="0" w:type="auto"/>
            <w:gridSpan w:val="3"/>
            <w:shd w:val="clear" w:color="auto" w:fill="auto"/>
            <w:vAlign w:val="bottom"/>
          </w:tcPr>
          <w:p w14:paraId="0B2FA2E1" w14:textId="77777777" w:rsidR="007F1775" w:rsidRDefault="007F1775">
            <w:pPr>
              <w:rPr>
                <w:rFonts w:ascii="宋体"/>
                <w:vanish/>
              </w:rPr>
            </w:pPr>
          </w:p>
        </w:tc>
        <w:tc>
          <w:tcPr>
            <w:tcW w:w="0" w:type="auto"/>
            <w:gridSpan w:val="3"/>
            <w:shd w:val="clear" w:color="auto" w:fill="auto"/>
            <w:vAlign w:val="bottom"/>
          </w:tcPr>
          <w:p w14:paraId="0B2FA2E2" w14:textId="77777777" w:rsidR="007F1775" w:rsidRDefault="007F1775">
            <w:pPr>
              <w:rPr>
                <w:rFonts w:ascii="宋体"/>
                <w:vanish/>
              </w:rPr>
            </w:pPr>
          </w:p>
        </w:tc>
        <w:tc>
          <w:tcPr>
            <w:tcW w:w="0" w:type="auto"/>
            <w:gridSpan w:val="3"/>
            <w:shd w:val="clear" w:color="auto" w:fill="auto"/>
            <w:vAlign w:val="bottom"/>
          </w:tcPr>
          <w:p w14:paraId="0B2FA2E3" w14:textId="77777777" w:rsidR="007F1775" w:rsidRDefault="007F1775">
            <w:pPr>
              <w:rPr>
                <w:rFonts w:ascii="宋体"/>
                <w:vanish/>
              </w:rPr>
            </w:pPr>
          </w:p>
        </w:tc>
        <w:tc>
          <w:tcPr>
            <w:tcW w:w="0" w:type="auto"/>
            <w:gridSpan w:val="3"/>
            <w:shd w:val="clear" w:color="auto" w:fill="auto"/>
            <w:vAlign w:val="bottom"/>
          </w:tcPr>
          <w:p w14:paraId="0B2FA2E4" w14:textId="77777777" w:rsidR="007F1775" w:rsidRDefault="007F1775">
            <w:pPr>
              <w:rPr>
                <w:rFonts w:ascii="宋体"/>
                <w:vanish/>
              </w:rPr>
            </w:pPr>
          </w:p>
        </w:tc>
        <w:tc>
          <w:tcPr>
            <w:tcW w:w="0" w:type="auto"/>
            <w:gridSpan w:val="3"/>
            <w:shd w:val="clear" w:color="auto" w:fill="auto"/>
            <w:vAlign w:val="bottom"/>
          </w:tcPr>
          <w:p w14:paraId="0B2FA2E5" w14:textId="77777777" w:rsidR="007F1775" w:rsidRDefault="007F1775">
            <w:pPr>
              <w:rPr>
                <w:rFonts w:ascii="宋体"/>
                <w:vanish/>
              </w:rPr>
            </w:pPr>
          </w:p>
        </w:tc>
        <w:tc>
          <w:tcPr>
            <w:tcW w:w="0" w:type="auto"/>
            <w:gridSpan w:val="3"/>
            <w:shd w:val="clear" w:color="auto" w:fill="auto"/>
            <w:vAlign w:val="bottom"/>
          </w:tcPr>
          <w:p w14:paraId="0B2FA2E6" w14:textId="77777777" w:rsidR="007F1775" w:rsidRDefault="007F1775">
            <w:pPr>
              <w:rPr>
                <w:rFonts w:ascii="宋体"/>
                <w:vanish/>
              </w:rPr>
            </w:pPr>
          </w:p>
        </w:tc>
        <w:tc>
          <w:tcPr>
            <w:tcW w:w="0" w:type="auto"/>
            <w:gridSpan w:val="3"/>
            <w:shd w:val="clear" w:color="auto" w:fill="auto"/>
            <w:vAlign w:val="bottom"/>
          </w:tcPr>
          <w:p w14:paraId="0B2FA2E7" w14:textId="77777777" w:rsidR="007F1775" w:rsidRDefault="007F1775">
            <w:pPr>
              <w:rPr>
                <w:rFonts w:ascii="宋体"/>
                <w:vanish/>
              </w:rPr>
            </w:pPr>
          </w:p>
        </w:tc>
        <w:tc>
          <w:tcPr>
            <w:tcW w:w="0" w:type="auto"/>
            <w:gridSpan w:val="3"/>
            <w:shd w:val="clear" w:color="auto" w:fill="auto"/>
            <w:vAlign w:val="bottom"/>
          </w:tcPr>
          <w:p w14:paraId="0B2FA2E8" w14:textId="77777777" w:rsidR="007F1775" w:rsidRDefault="007F1775">
            <w:pPr>
              <w:rPr>
                <w:rFonts w:ascii="宋体"/>
                <w:vanish/>
              </w:rPr>
            </w:pPr>
          </w:p>
        </w:tc>
        <w:tc>
          <w:tcPr>
            <w:tcW w:w="0" w:type="auto"/>
            <w:gridSpan w:val="3"/>
            <w:shd w:val="clear" w:color="auto" w:fill="auto"/>
            <w:vAlign w:val="bottom"/>
          </w:tcPr>
          <w:p w14:paraId="0B2FA2E9" w14:textId="77777777" w:rsidR="007F1775" w:rsidRDefault="007F1775">
            <w:pPr>
              <w:rPr>
                <w:rFonts w:ascii="宋体"/>
                <w:vanish/>
              </w:rPr>
            </w:pPr>
          </w:p>
        </w:tc>
        <w:tc>
          <w:tcPr>
            <w:tcW w:w="0" w:type="auto"/>
            <w:gridSpan w:val="3"/>
            <w:shd w:val="clear" w:color="auto" w:fill="auto"/>
            <w:vAlign w:val="bottom"/>
          </w:tcPr>
          <w:p w14:paraId="0B2FA2EA" w14:textId="77777777" w:rsidR="007F1775" w:rsidRDefault="007F1775">
            <w:pPr>
              <w:rPr>
                <w:rFonts w:ascii="宋体"/>
                <w:vanish/>
              </w:rPr>
            </w:pPr>
          </w:p>
        </w:tc>
        <w:tc>
          <w:tcPr>
            <w:tcW w:w="0" w:type="auto"/>
            <w:gridSpan w:val="3"/>
            <w:shd w:val="clear" w:color="auto" w:fill="auto"/>
            <w:vAlign w:val="bottom"/>
          </w:tcPr>
          <w:p w14:paraId="0B2FA2EB" w14:textId="77777777" w:rsidR="007F1775" w:rsidRDefault="007F1775">
            <w:pPr>
              <w:rPr>
                <w:rFonts w:ascii="宋体"/>
                <w:vanish/>
              </w:rPr>
            </w:pPr>
          </w:p>
        </w:tc>
        <w:tc>
          <w:tcPr>
            <w:tcW w:w="0" w:type="auto"/>
            <w:gridSpan w:val="3"/>
            <w:shd w:val="clear" w:color="auto" w:fill="auto"/>
            <w:vAlign w:val="bottom"/>
          </w:tcPr>
          <w:p w14:paraId="0B2FA2EC" w14:textId="77777777" w:rsidR="007F1775" w:rsidRDefault="007F1775">
            <w:pPr>
              <w:rPr>
                <w:rFonts w:ascii="宋体"/>
                <w:vanish/>
              </w:rPr>
            </w:pPr>
          </w:p>
        </w:tc>
        <w:tc>
          <w:tcPr>
            <w:tcW w:w="0" w:type="auto"/>
            <w:gridSpan w:val="2"/>
            <w:shd w:val="clear" w:color="auto" w:fill="auto"/>
            <w:vAlign w:val="bottom"/>
          </w:tcPr>
          <w:p w14:paraId="0B2FA2ED" w14:textId="77777777" w:rsidR="007F1775" w:rsidRDefault="007F1775">
            <w:pPr>
              <w:rPr>
                <w:rFonts w:ascii="宋体"/>
                <w:vanish/>
              </w:rPr>
            </w:pPr>
          </w:p>
        </w:tc>
        <w:tc>
          <w:tcPr>
            <w:tcW w:w="0" w:type="auto"/>
            <w:shd w:val="clear" w:color="auto" w:fill="auto"/>
            <w:vAlign w:val="bottom"/>
          </w:tcPr>
          <w:p w14:paraId="0B2FA2EE" w14:textId="77777777" w:rsidR="007F1775" w:rsidRDefault="007F1775">
            <w:pPr>
              <w:rPr>
                <w:rFonts w:ascii="宋体"/>
                <w:vanish/>
              </w:rPr>
            </w:pPr>
          </w:p>
        </w:tc>
      </w:tr>
      <w:tr w:rsidR="007F1775" w14:paraId="0B2FA306" w14:textId="77777777">
        <w:trPr>
          <w:jc w:val="center"/>
          <w:hidden/>
        </w:trPr>
        <w:tc>
          <w:tcPr>
            <w:tcW w:w="0" w:type="auto"/>
            <w:gridSpan w:val="3"/>
            <w:shd w:val="clear" w:color="auto" w:fill="auto"/>
            <w:vAlign w:val="bottom"/>
          </w:tcPr>
          <w:p w14:paraId="0B2FA2F0" w14:textId="77777777" w:rsidR="007F1775" w:rsidRDefault="007F1775">
            <w:pPr>
              <w:rPr>
                <w:rFonts w:ascii="宋体"/>
                <w:vanish/>
              </w:rPr>
            </w:pPr>
          </w:p>
        </w:tc>
        <w:tc>
          <w:tcPr>
            <w:tcW w:w="0" w:type="auto"/>
            <w:gridSpan w:val="3"/>
            <w:shd w:val="clear" w:color="auto" w:fill="auto"/>
            <w:vAlign w:val="bottom"/>
          </w:tcPr>
          <w:p w14:paraId="0B2FA2F1" w14:textId="77777777" w:rsidR="007F1775" w:rsidRDefault="007F1775">
            <w:pPr>
              <w:rPr>
                <w:rFonts w:ascii="宋体"/>
                <w:vanish/>
              </w:rPr>
            </w:pPr>
          </w:p>
        </w:tc>
        <w:tc>
          <w:tcPr>
            <w:tcW w:w="0" w:type="auto"/>
            <w:gridSpan w:val="3"/>
            <w:shd w:val="clear" w:color="auto" w:fill="auto"/>
            <w:vAlign w:val="bottom"/>
          </w:tcPr>
          <w:p w14:paraId="0B2FA2F2" w14:textId="77777777" w:rsidR="007F1775" w:rsidRDefault="007F1775">
            <w:pPr>
              <w:rPr>
                <w:rFonts w:ascii="宋体"/>
                <w:vanish/>
              </w:rPr>
            </w:pPr>
          </w:p>
        </w:tc>
        <w:tc>
          <w:tcPr>
            <w:tcW w:w="0" w:type="auto"/>
            <w:gridSpan w:val="3"/>
            <w:shd w:val="clear" w:color="auto" w:fill="auto"/>
            <w:vAlign w:val="bottom"/>
          </w:tcPr>
          <w:p w14:paraId="0B2FA2F3" w14:textId="77777777" w:rsidR="007F1775" w:rsidRDefault="007F1775">
            <w:pPr>
              <w:rPr>
                <w:rFonts w:ascii="宋体"/>
                <w:vanish/>
              </w:rPr>
            </w:pPr>
          </w:p>
        </w:tc>
        <w:tc>
          <w:tcPr>
            <w:tcW w:w="0" w:type="auto"/>
            <w:gridSpan w:val="3"/>
            <w:shd w:val="clear" w:color="auto" w:fill="auto"/>
            <w:vAlign w:val="bottom"/>
          </w:tcPr>
          <w:p w14:paraId="0B2FA2F4" w14:textId="77777777" w:rsidR="007F1775" w:rsidRDefault="007F1775">
            <w:pPr>
              <w:rPr>
                <w:rFonts w:ascii="宋体"/>
                <w:vanish/>
              </w:rPr>
            </w:pPr>
          </w:p>
        </w:tc>
        <w:tc>
          <w:tcPr>
            <w:tcW w:w="0" w:type="auto"/>
            <w:gridSpan w:val="3"/>
            <w:shd w:val="clear" w:color="auto" w:fill="auto"/>
            <w:vAlign w:val="bottom"/>
          </w:tcPr>
          <w:p w14:paraId="0B2FA2F5" w14:textId="77777777" w:rsidR="007F1775" w:rsidRDefault="007F1775">
            <w:pPr>
              <w:rPr>
                <w:rFonts w:ascii="宋体"/>
                <w:vanish/>
              </w:rPr>
            </w:pPr>
          </w:p>
        </w:tc>
        <w:tc>
          <w:tcPr>
            <w:tcW w:w="0" w:type="auto"/>
            <w:gridSpan w:val="3"/>
            <w:shd w:val="clear" w:color="auto" w:fill="auto"/>
            <w:vAlign w:val="bottom"/>
          </w:tcPr>
          <w:p w14:paraId="0B2FA2F6" w14:textId="77777777" w:rsidR="007F1775" w:rsidRDefault="007F1775">
            <w:pPr>
              <w:rPr>
                <w:rFonts w:ascii="宋体"/>
                <w:vanish/>
              </w:rPr>
            </w:pPr>
          </w:p>
        </w:tc>
        <w:tc>
          <w:tcPr>
            <w:tcW w:w="0" w:type="auto"/>
            <w:gridSpan w:val="3"/>
            <w:shd w:val="clear" w:color="auto" w:fill="auto"/>
            <w:vAlign w:val="bottom"/>
          </w:tcPr>
          <w:p w14:paraId="0B2FA2F7" w14:textId="77777777" w:rsidR="007F1775" w:rsidRDefault="007F1775">
            <w:pPr>
              <w:rPr>
                <w:rFonts w:ascii="宋体"/>
                <w:vanish/>
              </w:rPr>
            </w:pPr>
          </w:p>
        </w:tc>
        <w:tc>
          <w:tcPr>
            <w:tcW w:w="0" w:type="auto"/>
            <w:gridSpan w:val="3"/>
            <w:shd w:val="clear" w:color="auto" w:fill="auto"/>
            <w:vAlign w:val="bottom"/>
          </w:tcPr>
          <w:p w14:paraId="0B2FA2F8" w14:textId="77777777" w:rsidR="007F1775" w:rsidRDefault="007F1775">
            <w:pPr>
              <w:rPr>
                <w:rFonts w:ascii="宋体"/>
                <w:vanish/>
              </w:rPr>
            </w:pPr>
          </w:p>
        </w:tc>
        <w:tc>
          <w:tcPr>
            <w:tcW w:w="0" w:type="auto"/>
            <w:gridSpan w:val="3"/>
            <w:shd w:val="clear" w:color="auto" w:fill="auto"/>
            <w:vAlign w:val="bottom"/>
          </w:tcPr>
          <w:p w14:paraId="0B2FA2F9" w14:textId="77777777" w:rsidR="007F1775" w:rsidRDefault="007F1775">
            <w:pPr>
              <w:rPr>
                <w:rFonts w:ascii="宋体"/>
                <w:vanish/>
              </w:rPr>
            </w:pPr>
          </w:p>
        </w:tc>
        <w:tc>
          <w:tcPr>
            <w:tcW w:w="0" w:type="auto"/>
            <w:gridSpan w:val="3"/>
            <w:shd w:val="clear" w:color="auto" w:fill="auto"/>
            <w:vAlign w:val="bottom"/>
          </w:tcPr>
          <w:p w14:paraId="0B2FA2FA" w14:textId="77777777" w:rsidR="007F1775" w:rsidRDefault="007F1775">
            <w:pPr>
              <w:rPr>
                <w:rFonts w:ascii="宋体"/>
                <w:vanish/>
              </w:rPr>
            </w:pPr>
          </w:p>
        </w:tc>
        <w:tc>
          <w:tcPr>
            <w:tcW w:w="0" w:type="auto"/>
            <w:gridSpan w:val="3"/>
            <w:shd w:val="clear" w:color="auto" w:fill="auto"/>
            <w:vAlign w:val="bottom"/>
          </w:tcPr>
          <w:p w14:paraId="0B2FA2FB" w14:textId="77777777" w:rsidR="007F1775" w:rsidRDefault="007F1775">
            <w:pPr>
              <w:rPr>
                <w:rFonts w:ascii="宋体"/>
                <w:vanish/>
              </w:rPr>
            </w:pPr>
          </w:p>
        </w:tc>
        <w:tc>
          <w:tcPr>
            <w:tcW w:w="0" w:type="auto"/>
            <w:gridSpan w:val="3"/>
            <w:shd w:val="clear" w:color="auto" w:fill="auto"/>
            <w:vAlign w:val="bottom"/>
          </w:tcPr>
          <w:p w14:paraId="0B2FA2FC" w14:textId="77777777" w:rsidR="007F1775" w:rsidRDefault="007F1775">
            <w:pPr>
              <w:rPr>
                <w:rFonts w:ascii="宋体"/>
                <w:vanish/>
              </w:rPr>
            </w:pPr>
          </w:p>
        </w:tc>
        <w:tc>
          <w:tcPr>
            <w:tcW w:w="0" w:type="auto"/>
            <w:gridSpan w:val="3"/>
            <w:shd w:val="clear" w:color="auto" w:fill="auto"/>
            <w:vAlign w:val="bottom"/>
          </w:tcPr>
          <w:p w14:paraId="0B2FA2FD" w14:textId="77777777" w:rsidR="007F1775" w:rsidRDefault="007F1775">
            <w:pPr>
              <w:rPr>
                <w:rFonts w:ascii="宋体"/>
                <w:vanish/>
              </w:rPr>
            </w:pPr>
          </w:p>
        </w:tc>
        <w:tc>
          <w:tcPr>
            <w:tcW w:w="0" w:type="auto"/>
            <w:gridSpan w:val="3"/>
            <w:shd w:val="clear" w:color="auto" w:fill="auto"/>
            <w:vAlign w:val="bottom"/>
          </w:tcPr>
          <w:p w14:paraId="0B2FA2FE" w14:textId="77777777" w:rsidR="007F1775" w:rsidRDefault="007F1775">
            <w:pPr>
              <w:rPr>
                <w:rFonts w:ascii="宋体"/>
                <w:vanish/>
              </w:rPr>
            </w:pPr>
          </w:p>
        </w:tc>
        <w:tc>
          <w:tcPr>
            <w:tcW w:w="0" w:type="auto"/>
            <w:gridSpan w:val="3"/>
            <w:shd w:val="clear" w:color="auto" w:fill="auto"/>
            <w:vAlign w:val="bottom"/>
          </w:tcPr>
          <w:p w14:paraId="0B2FA2FF" w14:textId="77777777" w:rsidR="007F1775" w:rsidRDefault="007F1775">
            <w:pPr>
              <w:rPr>
                <w:rFonts w:ascii="宋体"/>
                <w:vanish/>
              </w:rPr>
            </w:pPr>
          </w:p>
        </w:tc>
        <w:tc>
          <w:tcPr>
            <w:tcW w:w="0" w:type="auto"/>
            <w:gridSpan w:val="3"/>
            <w:shd w:val="clear" w:color="auto" w:fill="auto"/>
            <w:vAlign w:val="bottom"/>
          </w:tcPr>
          <w:p w14:paraId="0B2FA300" w14:textId="77777777" w:rsidR="007F1775" w:rsidRDefault="007F1775">
            <w:pPr>
              <w:rPr>
                <w:rFonts w:ascii="宋体"/>
                <w:vanish/>
              </w:rPr>
            </w:pPr>
          </w:p>
        </w:tc>
        <w:tc>
          <w:tcPr>
            <w:tcW w:w="0" w:type="auto"/>
            <w:gridSpan w:val="3"/>
            <w:shd w:val="clear" w:color="auto" w:fill="auto"/>
            <w:vAlign w:val="bottom"/>
          </w:tcPr>
          <w:p w14:paraId="0B2FA301" w14:textId="77777777" w:rsidR="007F1775" w:rsidRDefault="007F1775">
            <w:pPr>
              <w:rPr>
                <w:rFonts w:ascii="宋体"/>
                <w:vanish/>
              </w:rPr>
            </w:pPr>
          </w:p>
        </w:tc>
        <w:tc>
          <w:tcPr>
            <w:tcW w:w="0" w:type="auto"/>
            <w:gridSpan w:val="3"/>
            <w:shd w:val="clear" w:color="auto" w:fill="auto"/>
            <w:vAlign w:val="bottom"/>
          </w:tcPr>
          <w:p w14:paraId="0B2FA302" w14:textId="77777777" w:rsidR="007F1775" w:rsidRDefault="007F1775">
            <w:pPr>
              <w:rPr>
                <w:rFonts w:ascii="宋体"/>
                <w:vanish/>
              </w:rPr>
            </w:pPr>
          </w:p>
        </w:tc>
        <w:tc>
          <w:tcPr>
            <w:tcW w:w="0" w:type="auto"/>
            <w:gridSpan w:val="3"/>
            <w:shd w:val="clear" w:color="auto" w:fill="auto"/>
            <w:vAlign w:val="bottom"/>
          </w:tcPr>
          <w:p w14:paraId="0B2FA303" w14:textId="77777777" w:rsidR="007F1775" w:rsidRDefault="007F1775">
            <w:pPr>
              <w:rPr>
                <w:rFonts w:ascii="宋体"/>
                <w:vanish/>
              </w:rPr>
            </w:pPr>
          </w:p>
        </w:tc>
        <w:tc>
          <w:tcPr>
            <w:tcW w:w="0" w:type="auto"/>
            <w:gridSpan w:val="2"/>
            <w:shd w:val="clear" w:color="auto" w:fill="auto"/>
            <w:vAlign w:val="bottom"/>
          </w:tcPr>
          <w:p w14:paraId="0B2FA304" w14:textId="77777777" w:rsidR="007F1775" w:rsidRDefault="007F1775">
            <w:pPr>
              <w:rPr>
                <w:rFonts w:ascii="宋体"/>
                <w:vanish/>
              </w:rPr>
            </w:pPr>
          </w:p>
        </w:tc>
        <w:tc>
          <w:tcPr>
            <w:tcW w:w="0" w:type="auto"/>
            <w:shd w:val="clear" w:color="auto" w:fill="auto"/>
            <w:vAlign w:val="bottom"/>
          </w:tcPr>
          <w:p w14:paraId="0B2FA305" w14:textId="77777777" w:rsidR="007F1775" w:rsidRDefault="007F1775">
            <w:pPr>
              <w:rPr>
                <w:rFonts w:ascii="宋体"/>
                <w:vanish/>
              </w:rPr>
            </w:pPr>
          </w:p>
        </w:tc>
      </w:tr>
    </w:tbl>
    <w:p w14:paraId="0B2FA307" w14:textId="77777777" w:rsidR="007F1775" w:rsidRDefault="000F083E">
      <w:pPr>
        <w:spacing w:before="180"/>
        <w:jc w:val="center"/>
      </w:pPr>
      <w:r>
        <w:rPr>
          <w:rFonts w:ascii="Times New Roman" w:eastAsia="宋体" w:hAnsi="Times New Roman"/>
          <w:i/>
          <w:iCs/>
          <w:color w:val="000000"/>
          <w:sz w:val="18"/>
          <w:szCs w:val="18"/>
        </w:rPr>
        <w:t>See Accompanying Notes to Condensed Consolidated Financial Statements.</w:t>
      </w:r>
    </w:p>
    <w:p w14:paraId="0B2FA308" w14:textId="77777777" w:rsidR="007F1775" w:rsidRDefault="000F083E">
      <w:pPr>
        <w:jc w:val="center"/>
      </w:pPr>
      <w:r>
        <w:rPr>
          <w:rFonts w:ascii="Times New Roman" w:eastAsia="宋体" w:hAnsi="Times New Roman"/>
          <w:color w:val="000000"/>
          <w:sz w:val="20"/>
          <w:szCs w:val="20"/>
        </w:rPr>
        <w:t>10</w:t>
      </w:r>
    </w:p>
    <w:p w14:paraId="0B2FA309" w14:textId="77777777" w:rsidR="007F1775" w:rsidRDefault="000F083E">
      <w:r>
        <w:pict w14:anchorId="0B2FBF6B">
          <v:rect id="_x0000_i1034" style="width:415.3pt;height:1.5pt" o:hralign="center" o:hrstd="t" o:hr="t" fillcolor="#a0a0a0" stroked="f"/>
        </w:pict>
      </w:r>
    </w:p>
    <w:p w14:paraId="0B2FA30A" w14:textId="77777777" w:rsidR="007F1775" w:rsidRDefault="007F1775"/>
    <w:p w14:paraId="0B2FA30B" w14:textId="77777777" w:rsidR="007F1775" w:rsidRDefault="007F1775"/>
    <w:p w14:paraId="0B2FA30C" w14:textId="77777777" w:rsidR="007F1775" w:rsidRDefault="000F083E">
      <w:hyperlink r:id="rId88" w:anchor="iea70e328caa94cefb76a9db6ed6338fc_7" w:history="1">
        <w:r>
          <w:rPr>
            <w:rStyle w:val="a5"/>
            <w:rFonts w:ascii="Times New Roman" w:eastAsia="宋体" w:hAnsi="Times New Roman"/>
            <w:sz w:val="20"/>
            <w:szCs w:val="20"/>
          </w:rPr>
          <w:t>Table of Contents</w:t>
        </w:r>
      </w:hyperlink>
    </w:p>
    <w:p w14:paraId="0B2FA30D" w14:textId="77777777" w:rsidR="007F1775" w:rsidRDefault="000F083E">
      <w:pPr>
        <w:spacing w:before="180"/>
        <w:jc w:val="center"/>
      </w:pPr>
      <w:r>
        <w:rPr>
          <w:rFonts w:ascii="Times New Roman" w:eastAsia="宋体" w:hAnsi="Times New Roman"/>
          <w:b/>
          <w:bCs/>
          <w:color w:val="000000"/>
          <w:sz w:val="20"/>
          <w:szCs w:val="20"/>
        </w:rPr>
        <w:t xml:space="preserve">META PLATFORMS, INC. </w:t>
      </w:r>
    </w:p>
    <w:p w14:paraId="0B2FA30E" w14:textId="77777777" w:rsidR="007F1775" w:rsidRDefault="000F083E">
      <w:pPr>
        <w:jc w:val="center"/>
      </w:pPr>
      <w:r>
        <w:rPr>
          <w:rFonts w:ascii="Times New Roman" w:eastAsia="宋体" w:hAnsi="Times New Roman"/>
          <w:b/>
          <w:bCs/>
          <w:color w:val="000000"/>
          <w:sz w:val="20"/>
          <w:szCs w:val="20"/>
        </w:rPr>
        <w:t>CONDENSED CONSOLIDATED STATEMENTS OF CASH FLOWS</w:t>
      </w:r>
    </w:p>
    <w:p w14:paraId="0B2FA30F" w14:textId="77777777" w:rsidR="007F1775" w:rsidRDefault="000F083E">
      <w:pPr>
        <w:jc w:val="center"/>
      </w:pPr>
      <w:r>
        <w:rPr>
          <w:rFonts w:ascii="Times New Roman" w:eastAsia="宋体" w:hAnsi="Times New Roman"/>
          <w:i/>
          <w:iCs/>
          <w:color w:val="000000"/>
          <w:sz w:val="18"/>
          <w:szCs w:val="18"/>
        </w:rPr>
        <w:t xml:space="preserve">(In </w:t>
      </w:r>
      <w:r>
        <w:rPr>
          <w:rFonts w:ascii="Times New Roman" w:eastAsia="宋体" w:hAnsi="Times New Roman"/>
          <w:i/>
          <w:iCs/>
          <w:color w:val="000000"/>
          <w:sz w:val="18"/>
          <w:szCs w:val="18"/>
        </w:rPr>
        <w:t>millions)</w:t>
      </w:r>
    </w:p>
    <w:p w14:paraId="0B2FA310" w14:textId="77777777" w:rsidR="007F1775" w:rsidRDefault="000F083E">
      <w:pPr>
        <w:jc w:val="center"/>
      </w:pP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9"/>
        <w:gridCol w:w="120"/>
        <w:gridCol w:w="944"/>
        <w:gridCol w:w="36"/>
        <w:gridCol w:w="36"/>
        <w:gridCol w:w="36"/>
        <w:gridCol w:w="36"/>
        <w:gridCol w:w="120"/>
        <w:gridCol w:w="911"/>
        <w:gridCol w:w="36"/>
      </w:tblGrid>
      <w:tr w:rsidR="007F1775" w14:paraId="0B2FA31D" w14:textId="77777777">
        <w:trPr>
          <w:jc w:val="center"/>
        </w:trPr>
        <w:tc>
          <w:tcPr>
            <w:tcW w:w="50" w:type="pct"/>
            <w:shd w:val="clear" w:color="auto" w:fill="auto"/>
            <w:vAlign w:val="bottom"/>
          </w:tcPr>
          <w:p w14:paraId="0B2FA311" w14:textId="77777777" w:rsidR="007F1775" w:rsidRDefault="007F1775">
            <w:pPr>
              <w:rPr>
                <w:rFonts w:ascii="宋体"/>
              </w:rPr>
            </w:pPr>
          </w:p>
        </w:tc>
        <w:tc>
          <w:tcPr>
            <w:tcW w:w="3613" w:type="pct"/>
            <w:shd w:val="clear" w:color="auto" w:fill="auto"/>
            <w:vAlign w:val="bottom"/>
          </w:tcPr>
          <w:p w14:paraId="0B2FA312" w14:textId="77777777" w:rsidR="007F1775" w:rsidRDefault="007F1775">
            <w:pPr>
              <w:rPr>
                <w:rFonts w:ascii="宋体"/>
              </w:rPr>
            </w:pPr>
          </w:p>
        </w:tc>
        <w:tc>
          <w:tcPr>
            <w:tcW w:w="5" w:type="pct"/>
            <w:shd w:val="clear" w:color="auto" w:fill="auto"/>
            <w:vAlign w:val="bottom"/>
          </w:tcPr>
          <w:p w14:paraId="0B2FA313" w14:textId="77777777" w:rsidR="007F1775" w:rsidRDefault="007F1775">
            <w:pPr>
              <w:rPr>
                <w:rFonts w:ascii="宋体"/>
              </w:rPr>
            </w:pPr>
          </w:p>
        </w:tc>
        <w:tc>
          <w:tcPr>
            <w:tcW w:w="50" w:type="pct"/>
            <w:shd w:val="clear" w:color="auto" w:fill="auto"/>
            <w:vAlign w:val="bottom"/>
          </w:tcPr>
          <w:p w14:paraId="0B2FA314" w14:textId="77777777" w:rsidR="007F1775" w:rsidRDefault="007F1775">
            <w:pPr>
              <w:rPr>
                <w:rFonts w:ascii="宋体"/>
              </w:rPr>
            </w:pPr>
          </w:p>
        </w:tc>
        <w:tc>
          <w:tcPr>
            <w:tcW w:w="592" w:type="pct"/>
            <w:shd w:val="clear" w:color="auto" w:fill="auto"/>
            <w:vAlign w:val="bottom"/>
          </w:tcPr>
          <w:p w14:paraId="0B2FA315" w14:textId="77777777" w:rsidR="007F1775" w:rsidRDefault="007F1775">
            <w:pPr>
              <w:rPr>
                <w:rFonts w:ascii="宋体"/>
              </w:rPr>
            </w:pPr>
          </w:p>
        </w:tc>
        <w:tc>
          <w:tcPr>
            <w:tcW w:w="5" w:type="pct"/>
            <w:shd w:val="clear" w:color="auto" w:fill="auto"/>
            <w:vAlign w:val="bottom"/>
          </w:tcPr>
          <w:p w14:paraId="0B2FA316" w14:textId="77777777" w:rsidR="007F1775" w:rsidRDefault="007F1775">
            <w:pPr>
              <w:rPr>
                <w:rFonts w:ascii="宋体"/>
              </w:rPr>
            </w:pPr>
          </w:p>
        </w:tc>
        <w:tc>
          <w:tcPr>
            <w:tcW w:w="5" w:type="pct"/>
            <w:shd w:val="clear" w:color="auto" w:fill="auto"/>
            <w:vAlign w:val="bottom"/>
          </w:tcPr>
          <w:p w14:paraId="0B2FA317" w14:textId="77777777" w:rsidR="007F1775" w:rsidRDefault="007F1775">
            <w:pPr>
              <w:rPr>
                <w:rFonts w:ascii="宋体"/>
              </w:rPr>
            </w:pPr>
          </w:p>
        </w:tc>
        <w:tc>
          <w:tcPr>
            <w:tcW w:w="27" w:type="pct"/>
            <w:shd w:val="clear" w:color="auto" w:fill="auto"/>
            <w:vAlign w:val="bottom"/>
          </w:tcPr>
          <w:p w14:paraId="0B2FA318" w14:textId="77777777" w:rsidR="007F1775" w:rsidRDefault="007F1775">
            <w:pPr>
              <w:rPr>
                <w:rFonts w:ascii="宋体"/>
              </w:rPr>
            </w:pPr>
          </w:p>
        </w:tc>
        <w:tc>
          <w:tcPr>
            <w:tcW w:w="5" w:type="pct"/>
            <w:shd w:val="clear" w:color="auto" w:fill="auto"/>
            <w:vAlign w:val="bottom"/>
          </w:tcPr>
          <w:p w14:paraId="0B2FA319" w14:textId="77777777" w:rsidR="007F1775" w:rsidRDefault="007F1775">
            <w:pPr>
              <w:rPr>
                <w:rFonts w:ascii="宋体"/>
              </w:rPr>
            </w:pPr>
          </w:p>
        </w:tc>
        <w:tc>
          <w:tcPr>
            <w:tcW w:w="50" w:type="pct"/>
            <w:shd w:val="clear" w:color="auto" w:fill="auto"/>
            <w:vAlign w:val="bottom"/>
          </w:tcPr>
          <w:p w14:paraId="0B2FA31A" w14:textId="77777777" w:rsidR="007F1775" w:rsidRDefault="007F1775">
            <w:pPr>
              <w:rPr>
                <w:rFonts w:ascii="宋体"/>
              </w:rPr>
            </w:pPr>
          </w:p>
        </w:tc>
        <w:tc>
          <w:tcPr>
            <w:tcW w:w="592" w:type="pct"/>
            <w:shd w:val="clear" w:color="auto" w:fill="auto"/>
            <w:vAlign w:val="bottom"/>
          </w:tcPr>
          <w:p w14:paraId="0B2FA31B" w14:textId="77777777" w:rsidR="007F1775" w:rsidRDefault="007F1775">
            <w:pPr>
              <w:rPr>
                <w:rFonts w:ascii="宋体"/>
              </w:rPr>
            </w:pPr>
          </w:p>
        </w:tc>
        <w:tc>
          <w:tcPr>
            <w:tcW w:w="5" w:type="pct"/>
            <w:shd w:val="clear" w:color="auto" w:fill="auto"/>
            <w:vAlign w:val="bottom"/>
          </w:tcPr>
          <w:p w14:paraId="0B2FA31C" w14:textId="77777777" w:rsidR="007F1775" w:rsidRDefault="007F1775">
            <w:pPr>
              <w:rPr>
                <w:rFonts w:ascii="宋体"/>
              </w:rPr>
            </w:pPr>
          </w:p>
        </w:tc>
      </w:tr>
      <w:tr w:rsidR="007F1775" w14:paraId="0B2FA320" w14:textId="77777777">
        <w:trPr>
          <w:jc w:val="center"/>
        </w:trPr>
        <w:tc>
          <w:tcPr>
            <w:tcW w:w="0" w:type="auto"/>
            <w:gridSpan w:val="3"/>
            <w:shd w:val="clear" w:color="auto" w:fill="auto"/>
            <w:tcMar>
              <w:top w:w="40" w:type="dxa"/>
              <w:left w:w="20" w:type="dxa"/>
              <w:bottom w:w="40" w:type="dxa"/>
              <w:right w:w="20" w:type="dxa"/>
            </w:tcMar>
            <w:vAlign w:val="bottom"/>
          </w:tcPr>
          <w:p w14:paraId="0B2FA31E"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A31F"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r>
      <w:tr w:rsidR="007F1775" w14:paraId="0B2FA325" w14:textId="77777777">
        <w:trPr>
          <w:jc w:val="center"/>
        </w:trPr>
        <w:tc>
          <w:tcPr>
            <w:tcW w:w="0" w:type="auto"/>
            <w:gridSpan w:val="3"/>
            <w:shd w:val="clear" w:color="auto" w:fill="auto"/>
            <w:tcMar>
              <w:top w:w="40" w:type="dxa"/>
              <w:left w:w="20" w:type="dxa"/>
              <w:bottom w:w="40" w:type="dxa"/>
              <w:right w:w="20" w:type="dxa"/>
            </w:tcMar>
            <w:vAlign w:val="bottom"/>
          </w:tcPr>
          <w:p w14:paraId="0B2FA321"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322"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323"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324" w14:textId="77777777" w:rsidR="007F1775" w:rsidRDefault="000F083E">
            <w:pPr>
              <w:jc w:val="center"/>
              <w:textAlignment w:val="bottom"/>
            </w:pPr>
            <w:r>
              <w:rPr>
                <w:rFonts w:ascii="Times New Roman" w:eastAsia="宋体" w:hAnsi="Times New Roman"/>
                <w:b/>
                <w:bCs/>
                <w:color w:val="000000"/>
                <w:sz w:val="16"/>
                <w:szCs w:val="16"/>
              </w:rPr>
              <w:t>2021</w:t>
            </w:r>
          </w:p>
        </w:tc>
      </w:tr>
      <w:tr w:rsidR="007F1775" w14:paraId="0B2FA32A" w14:textId="77777777">
        <w:trPr>
          <w:jc w:val="center"/>
        </w:trPr>
        <w:tc>
          <w:tcPr>
            <w:tcW w:w="0" w:type="auto"/>
            <w:gridSpan w:val="3"/>
            <w:shd w:val="clear" w:color="auto" w:fill="CCEEFF"/>
            <w:tcMar>
              <w:top w:w="40" w:type="dxa"/>
              <w:left w:w="20" w:type="dxa"/>
              <w:bottom w:w="40" w:type="dxa"/>
              <w:right w:w="20" w:type="dxa"/>
            </w:tcMar>
          </w:tcPr>
          <w:p w14:paraId="0B2FA326" w14:textId="77777777" w:rsidR="007F1775" w:rsidRDefault="000F083E">
            <w:pPr>
              <w:textAlignment w:val="top"/>
            </w:pPr>
            <w:r>
              <w:rPr>
                <w:rFonts w:ascii="Times New Roman" w:eastAsia="宋体" w:hAnsi="Times New Roman"/>
                <w:b/>
                <w:bCs/>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327"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328"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329" w14:textId="77777777" w:rsidR="007F1775" w:rsidRDefault="007F1775">
            <w:pPr>
              <w:rPr>
                <w:rFonts w:ascii="宋体"/>
              </w:rPr>
            </w:pPr>
          </w:p>
        </w:tc>
      </w:tr>
      <w:tr w:rsidR="007F1775" w14:paraId="0B2FA333" w14:textId="77777777">
        <w:trPr>
          <w:jc w:val="center"/>
        </w:trPr>
        <w:tc>
          <w:tcPr>
            <w:tcW w:w="0" w:type="auto"/>
            <w:gridSpan w:val="3"/>
            <w:shd w:val="clear" w:color="auto" w:fill="FFFFFF"/>
            <w:tcMar>
              <w:top w:w="40" w:type="dxa"/>
              <w:left w:w="200" w:type="dxa"/>
              <w:bottom w:w="40" w:type="dxa"/>
              <w:right w:w="20" w:type="dxa"/>
            </w:tcMar>
          </w:tcPr>
          <w:p w14:paraId="0B2FA32B" w14:textId="77777777" w:rsidR="007F1775" w:rsidRDefault="000F083E">
            <w:pPr>
              <w:textAlignment w:val="top"/>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0B2FA32C"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32D" w14:textId="77777777" w:rsidR="007F1775" w:rsidRDefault="000F083E">
            <w:pPr>
              <w:jc w:val="right"/>
              <w:textAlignment w:val="bottom"/>
            </w:pPr>
            <w:r>
              <w:rPr>
                <w:rFonts w:ascii="Times New Roman" w:eastAsia="宋体" w:hAnsi="Times New Roman"/>
                <w:color w:val="000000"/>
                <w:sz w:val="20"/>
                <w:szCs w:val="20"/>
              </w:rPr>
              <w:t>7,465 </w:t>
            </w:r>
          </w:p>
        </w:tc>
        <w:tc>
          <w:tcPr>
            <w:tcW w:w="0" w:type="auto"/>
            <w:shd w:val="clear" w:color="auto" w:fill="FFFFFF"/>
            <w:tcMar>
              <w:top w:w="40" w:type="dxa"/>
              <w:left w:w="0" w:type="dxa"/>
              <w:bottom w:w="40" w:type="dxa"/>
              <w:right w:w="20" w:type="dxa"/>
            </w:tcMar>
            <w:vAlign w:val="bottom"/>
          </w:tcPr>
          <w:p w14:paraId="0B2FA32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2F"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330"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331" w14:textId="77777777" w:rsidR="007F1775" w:rsidRDefault="000F083E">
            <w:pPr>
              <w:jc w:val="right"/>
              <w:textAlignment w:val="bottom"/>
            </w:pPr>
            <w:r>
              <w:rPr>
                <w:rFonts w:ascii="Times New Roman" w:eastAsia="宋体" w:hAnsi="Times New Roman"/>
                <w:color w:val="000000"/>
                <w:sz w:val="20"/>
                <w:szCs w:val="20"/>
              </w:rPr>
              <w:t>9,497 </w:t>
            </w:r>
          </w:p>
        </w:tc>
        <w:tc>
          <w:tcPr>
            <w:tcW w:w="0" w:type="auto"/>
            <w:shd w:val="clear" w:color="auto" w:fill="FFFFFF"/>
            <w:tcMar>
              <w:top w:w="40" w:type="dxa"/>
              <w:left w:w="0" w:type="dxa"/>
              <w:bottom w:w="40" w:type="dxa"/>
              <w:right w:w="20" w:type="dxa"/>
            </w:tcMar>
            <w:vAlign w:val="bottom"/>
          </w:tcPr>
          <w:p w14:paraId="0B2FA332" w14:textId="77777777" w:rsidR="007F1775" w:rsidRDefault="007F1775">
            <w:pPr>
              <w:jc w:val="right"/>
              <w:rPr>
                <w:rFonts w:ascii="宋体"/>
              </w:rPr>
            </w:pPr>
          </w:p>
        </w:tc>
      </w:tr>
      <w:tr w:rsidR="007F1775" w14:paraId="0B2FA338" w14:textId="77777777">
        <w:trPr>
          <w:jc w:val="center"/>
        </w:trPr>
        <w:tc>
          <w:tcPr>
            <w:tcW w:w="0" w:type="auto"/>
            <w:gridSpan w:val="3"/>
            <w:shd w:val="clear" w:color="auto" w:fill="CCEEFF"/>
            <w:tcMar>
              <w:top w:w="40" w:type="dxa"/>
              <w:left w:w="200" w:type="dxa"/>
              <w:bottom w:w="40" w:type="dxa"/>
              <w:right w:w="20" w:type="dxa"/>
            </w:tcMar>
          </w:tcPr>
          <w:p w14:paraId="0B2FA334" w14:textId="77777777" w:rsidR="007F1775" w:rsidRDefault="000F083E">
            <w:pPr>
              <w:textAlignment w:val="top"/>
            </w:pPr>
            <w:r>
              <w:rPr>
                <w:rFonts w:ascii="Times New Roman" w:eastAsia="宋体" w:hAnsi="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bottom"/>
          </w:tcPr>
          <w:p w14:paraId="0B2FA335"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336"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337" w14:textId="77777777" w:rsidR="007F1775" w:rsidRDefault="007F1775">
            <w:pPr>
              <w:rPr>
                <w:rFonts w:ascii="宋体"/>
              </w:rPr>
            </w:pPr>
          </w:p>
        </w:tc>
      </w:tr>
      <w:tr w:rsidR="007F1775" w14:paraId="0B2FA33F" w14:textId="77777777">
        <w:trPr>
          <w:jc w:val="center"/>
        </w:trPr>
        <w:tc>
          <w:tcPr>
            <w:tcW w:w="0" w:type="auto"/>
            <w:gridSpan w:val="3"/>
            <w:shd w:val="clear" w:color="auto" w:fill="FFFFFF"/>
            <w:tcMar>
              <w:top w:w="40" w:type="dxa"/>
              <w:left w:w="380" w:type="dxa"/>
              <w:bottom w:w="40" w:type="dxa"/>
              <w:right w:w="20" w:type="dxa"/>
            </w:tcMar>
          </w:tcPr>
          <w:p w14:paraId="0B2FA339" w14:textId="77777777" w:rsidR="007F1775" w:rsidRDefault="000F083E">
            <w:pPr>
              <w:textAlignment w:val="top"/>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0B2FA33A" w14:textId="77777777" w:rsidR="007F1775" w:rsidRDefault="000F083E">
            <w:pPr>
              <w:jc w:val="right"/>
              <w:textAlignment w:val="bottom"/>
            </w:pPr>
            <w:r>
              <w:rPr>
                <w:rFonts w:ascii="Times New Roman" w:eastAsia="宋体" w:hAnsi="Times New Roman"/>
                <w:color w:val="000000"/>
                <w:sz w:val="20"/>
                <w:szCs w:val="20"/>
              </w:rPr>
              <w:t>2,156 </w:t>
            </w:r>
          </w:p>
        </w:tc>
        <w:tc>
          <w:tcPr>
            <w:tcW w:w="0" w:type="auto"/>
            <w:shd w:val="clear" w:color="auto" w:fill="FFFFFF"/>
            <w:tcMar>
              <w:top w:w="40" w:type="dxa"/>
              <w:left w:w="0" w:type="dxa"/>
              <w:bottom w:w="40" w:type="dxa"/>
              <w:right w:w="20" w:type="dxa"/>
            </w:tcMar>
            <w:vAlign w:val="bottom"/>
          </w:tcPr>
          <w:p w14:paraId="0B2FA33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3C"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3D" w14:textId="77777777" w:rsidR="007F1775" w:rsidRDefault="000F083E">
            <w:pPr>
              <w:jc w:val="right"/>
              <w:textAlignment w:val="bottom"/>
            </w:pPr>
            <w:r>
              <w:rPr>
                <w:rFonts w:ascii="Times New Roman" w:eastAsia="宋体" w:hAnsi="Times New Roman"/>
                <w:color w:val="000000"/>
                <w:sz w:val="20"/>
                <w:szCs w:val="20"/>
              </w:rPr>
              <w:t>1,972 </w:t>
            </w:r>
          </w:p>
        </w:tc>
        <w:tc>
          <w:tcPr>
            <w:tcW w:w="0" w:type="auto"/>
            <w:shd w:val="clear" w:color="auto" w:fill="FFFFFF"/>
            <w:tcMar>
              <w:top w:w="40" w:type="dxa"/>
              <w:left w:w="0" w:type="dxa"/>
              <w:bottom w:w="40" w:type="dxa"/>
              <w:right w:w="20" w:type="dxa"/>
            </w:tcMar>
            <w:vAlign w:val="bottom"/>
          </w:tcPr>
          <w:p w14:paraId="0B2FA33E" w14:textId="77777777" w:rsidR="007F1775" w:rsidRDefault="007F1775">
            <w:pPr>
              <w:jc w:val="right"/>
              <w:rPr>
                <w:rFonts w:ascii="宋体"/>
              </w:rPr>
            </w:pPr>
          </w:p>
        </w:tc>
      </w:tr>
      <w:tr w:rsidR="007F1775" w14:paraId="0B2FA346" w14:textId="77777777">
        <w:trPr>
          <w:jc w:val="center"/>
        </w:trPr>
        <w:tc>
          <w:tcPr>
            <w:tcW w:w="0" w:type="auto"/>
            <w:gridSpan w:val="3"/>
            <w:shd w:val="clear" w:color="auto" w:fill="CCEEFF"/>
            <w:tcMar>
              <w:top w:w="40" w:type="dxa"/>
              <w:left w:w="380" w:type="dxa"/>
              <w:bottom w:w="40" w:type="dxa"/>
              <w:right w:w="20" w:type="dxa"/>
            </w:tcMar>
          </w:tcPr>
          <w:p w14:paraId="0B2FA340" w14:textId="77777777" w:rsidR="007F1775" w:rsidRDefault="000F083E">
            <w:pPr>
              <w:textAlignment w:val="top"/>
            </w:pPr>
            <w:r>
              <w:rPr>
                <w:rFonts w:ascii="Times New Roman" w:eastAsia="宋体" w:hAnsi="Times New Roman"/>
                <w:color w:val="000000"/>
                <w:sz w:val="20"/>
                <w:szCs w:val="20"/>
              </w:rPr>
              <w:t>Share-based compensation</w:t>
            </w:r>
          </w:p>
        </w:tc>
        <w:tc>
          <w:tcPr>
            <w:tcW w:w="0" w:type="auto"/>
            <w:gridSpan w:val="2"/>
            <w:shd w:val="clear" w:color="auto" w:fill="CCEEFF"/>
            <w:tcMar>
              <w:top w:w="40" w:type="dxa"/>
              <w:left w:w="20" w:type="dxa"/>
              <w:bottom w:w="40" w:type="dxa"/>
              <w:right w:w="0" w:type="dxa"/>
            </w:tcMar>
            <w:vAlign w:val="bottom"/>
          </w:tcPr>
          <w:p w14:paraId="0B2FA341" w14:textId="77777777" w:rsidR="007F1775" w:rsidRDefault="000F083E">
            <w:pPr>
              <w:jc w:val="right"/>
              <w:textAlignment w:val="bottom"/>
            </w:pPr>
            <w:r>
              <w:rPr>
                <w:rFonts w:ascii="Times New Roman" w:eastAsia="宋体" w:hAnsi="Times New Roman"/>
                <w:color w:val="000000"/>
                <w:sz w:val="20"/>
                <w:szCs w:val="20"/>
              </w:rPr>
              <w:t>2,498 </w:t>
            </w:r>
          </w:p>
        </w:tc>
        <w:tc>
          <w:tcPr>
            <w:tcW w:w="0" w:type="auto"/>
            <w:shd w:val="clear" w:color="auto" w:fill="CCEEFF"/>
            <w:tcMar>
              <w:top w:w="40" w:type="dxa"/>
              <w:left w:w="0" w:type="dxa"/>
              <w:bottom w:w="40" w:type="dxa"/>
              <w:right w:w="20" w:type="dxa"/>
            </w:tcMar>
            <w:vAlign w:val="bottom"/>
          </w:tcPr>
          <w:p w14:paraId="0B2FA34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43"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44" w14:textId="77777777" w:rsidR="007F1775" w:rsidRDefault="000F083E">
            <w:pPr>
              <w:jc w:val="right"/>
              <w:textAlignment w:val="bottom"/>
            </w:pPr>
            <w:r>
              <w:rPr>
                <w:rFonts w:ascii="Times New Roman" w:eastAsia="宋体" w:hAnsi="Times New Roman"/>
                <w:color w:val="000000"/>
                <w:sz w:val="20"/>
                <w:szCs w:val="20"/>
              </w:rPr>
              <w:t>1,830 </w:t>
            </w:r>
          </w:p>
        </w:tc>
        <w:tc>
          <w:tcPr>
            <w:tcW w:w="0" w:type="auto"/>
            <w:shd w:val="clear" w:color="auto" w:fill="CCEEFF"/>
            <w:tcMar>
              <w:top w:w="40" w:type="dxa"/>
              <w:left w:w="0" w:type="dxa"/>
              <w:bottom w:w="40" w:type="dxa"/>
              <w:right w:w="20" w:type="dxa"/>
            </w:tcMar>
            <w:vAlign w:val="bottom"/>
          </w:tcPr>
          <w:p w14:paraId="0B2FA345" w14:textId="77777777" w:rsidR="007F1775" w:rsidRDefault="007F1775">
            <w:pPr>
              <w:jc w:val="right"/>
              <w:rPr>
                <w:rFonts w:ascii="宋体"/>
              </w:rPr>
            </w:pPr>
          </w:p>
        </w:tc>
      </w:tr>
      <w:tr w:rsidR="007F1775" w14:paraId="0B2FA34D" w14:textId="77777777">
        <w:trPr>
          <w:jc w:val="center"/>
        </w:trPr>
        <w:tc>
          <w:tcPr>
            <w:tcW w:w="0" w:type="auto"/>
            <w:gridSpan w:val="3"/>
            <w:shd w:val="clear" w:color="auto" w:fill="FFFFFF"/>
            <w:tcMar>
              <w:top w:w="40" w:type="dxa"/>
              <w:left w:w="380" w:type="dxa"/>
              <w:bottom w:w="40" w:type="dxa"/>
              <w:right w:w="20" w:type="dxa"/>
            </w:tcMar>
          </w:tcPr>
          <w:p w14:paraId="0B2FA347" w14:textId="77777777" w:rsidR="007F1775" w:rsidRDefault="000F083E">
            <w:pPr>
              <w:textAlignment w:val="top"/>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0B2FA348" w14:textId="77777777" w:rsidR="007F1775" w:rsidRDefault="000F083E">
            <w:pPr>
              <w:jc w:val="right"/>
              <w:textAlignment w:val="bottom"/>
            </w:pPr>
            <w:r>
              <w:rPr>
                <w:rFonts w:ascii="Times New Roman" w:eastAsia="宋体" w:hAnsi="Times New Roman"/>
                <w:color w:val="000000"/>
                <w:sz w:val="20"/>
                <w:szCs w:val="20"/>
              </w:rPr>
              <w:t>(563)</w:t>
            </w:r>
          </w:p>
        </w:tc>
        <w:tc>
          <w:tcPr>
            <w:tcW w:w="0" w:type="auto"/>
            <w:shd w:val="clear" w:color="auto" w:fill="FFFFFF"/>
            <w:tcMar>
              <w:top w:w="40" w:type="dxa"/>
              <w:left w:w="0" w:type="dxa"/>
              <w:bottom w:w="40" w:type="dxa"/>
              <w:right w:w="20" w:type="dxa"/>
            </w:tcMar>
            <w:vAlign w:val="bottom"/>
          </w:tcPr>
          <w:p w14:paraId="0B2FA34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4A"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4B" w14:textId="77777777" w:rsidR="007F1775" w:rsidRDefault="000F083E">
            <w:pPr>
              <w:jc w:val="right"/>
              <w:textAlignment w:val="bottom"/>
            </w:pPr>
            <w:r>
              <w:rPr>
                <w:rFonts w:ascii="Times New Roman" w:eastAsia="宋体" w:hAnsi="Times New Roman"/>
                <w:color w:val="000000"/>
                <w:sz w:val="20"/>
                <w:szCs w:val="20"/>
              </w:rPr>
              <w:t>418 </w:t>
            </w:r>
          </w:p>
        </w:tc>
        <w:tc>
          <w:tcPr>
            <w:tcW w:w="0" w:type="auto"/>
            <w:shd w:val="clear" w:color="auto" w:fill="FFFFFF"/>
            <w:tcMar>
              <w:top w:w="40" w:type="dxa"/>
              <w:left w:w="0" w:type="dxa"/>
              <w:bottom w:w="40" w:type="dxa"/>
              <w:right w:w="20" w:type="dxa"/>
            </w:tcMar>
            <w:vAlign w:val="bottom"/>
          </w:tcPr>
          <w:p w14:paraId="0B2FA34C" w14:textId="77777777" w:rsidR="007F1775" w:rsidRDefault="007F1775">
            <w:pPr>
              <w:jc w:val="right"/>
              <w:rPr>
                <w:rFonts w:ascii="宋体"/>
              </w:rPr>
            </w:pPr>
          </w:p>
        </w:tc>
      </w:tr>
      <w:tr w:rsidR="007F1775" w14:paraId="0B2FA354" w14:textId="77777777">
        <w:trPr>
          <w:jc w:val="center"/>
        </w:trPr>
        <w:tc>
          <w:tcPr>
            <w:tcW w:w="0" w:type="auto"/>
            <w:gridSpan w:val="3"/>
            <w:shd w:val="clear" w:color="auto" w:fill="CCEEFF"/>
            <w:tcMar>
              <w:top w:w="40" w:type="dxa"/>
              <w:left w:w="380" w:type="dxa"/>
              <w:bottom w:w="40" w:type="dxa"/>
              <w:right w:w="20" w:type="dxa"/>
            </w:tcMar>
          </w:tcPr>
          <w:p w14:paraId="0B2FA34E" w14:textId="77777777" w:rsidR="007F1775" w:rsidRDefault="000F083E">
            <w:pPr>
              <w:textAlignment w:val="top"/>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0B2FA34F" w14:textId="77777777" w:rsidR="007F1775" w:rsidRDefault="000F083E">
            <w:pPr>
              <w:jc w:val="right"/>
              <w:textAlignment w:val="bottom"/>
            </w:pPr>
            <w:r>
              <w:rPr>
                <w:rFonts w:ascii="Times New Roman" w:eastAsia="宋体" w:hAnsi="Times New Roman"/>
                <w:color w:val="000000"/>
                <w:sz w:val="20"/>
                <w:szCs w:val="20"/>
              </w:rPr>
              <w:t>(221)</w:t>
            </w:r>
          </w:p>
        </w:tc>
        <w:tc>
          <w:tcPr>
            <w:tcW w:w="0" w:type="auto"/>
            <w:shd w:val="clear" w:color="auto" w:fill="CCEEFF"/>
            <w:tcMar>
              <w:top w:w="40" w:type="dxa"/>
              <w:left w:w="0" w:type="dxa"/>
              <w:bottom w:w="40" w:type="dxa"/>
              <w:right w:w="20" w:type="dxa"/>
            </w:tcMar>
            <w:vAlign w:val="bottom"/>
          </w:tcPr>
          <w:p w14:paraId="0B2FA35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51"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52" w14:textId="77777777" w:rsidR="007F1775" w:rsidRDefault="000F083E">
            <w:pPr>
              <w:jc w:val="right"/>
              <w:textAlignment w:val="bottom"/>
            </w:pPr>
            <w:r>
              <w:rPr>
                <w:rFonts w:ascii="Times New Roman" w:eastAsia="宋体" w:hAnsi="Times New Roman"/>
                <w:color w:val="000000"/>
                <w:sz w:val="20"/>
                <w:szCs w:val="20"/>
              </w:rPr>
              <w:t>(66)</w:t>
            </w:r>
          </w:p>
        </w:tc>
        <w:tc>
          <w:tcPr>
            <w:tcW w:w="0" w:type="auto"/>
            <w:shd w:val="clear" w:color="auto" w:fill="CCEEFF"/>
            <w:tcMar>
              <w:top w:w="40" w:type="dxa"/>
              <w:left w:w="0" w:type="dxa"/>
              <w:bottom w:w="40" w:type="dxa"/>
              <w:right w:w="20" w:type="dxa"/>
            </w:tcMar>
            <w:vAlign w:val="bottom"/>
          </w:tcPr>
          <w:p w14:paraId="0B2FA353" w14:textId="77777777" w:rsidR="007F1775" w:rsidRDefault="007F1775">
            <w:pPr>
              <w:jc w:val="right"/>
              <w:rPr>
                <w:rFonts w:ascii="宋体"/>
              </w:rPr>
            </w:pPr>
          </w:p>
        </w:tc>
      </w:tr>
      <w:tr w:rsidR="007F1775" w14:paraId="0B2FA359" w14:textId="77777777">
        <w:trPr>
          <w:jc w:val="center"/>
        </w:trPr>
        <w:tc>
          <w:tcPr>
            <w:tcW w:w="0" w:type="auto"/>
            <w:gridSpan w:val="3"/>
            <w:shd w:val="clear" w:color="auto" w:fill="FFFFFF"/>
            <w:tcMar>
              <w:top w:w="40" w:type="dxa"/>
              <w:left w:w="200" w:type="dxa"/>
              <w:bottom w:w="40" w:type="dxa"/>
              <w:right w:w="20" w:type="dxa"/>
            </w:tcMar>
          </w:tcPr>
          <w:p w14:paraId="0B2FA355" w14:textId="77777777" w:rsidR="007F1775" w:rsidRDefault="000F083E">
            <w:pPr>
              <w:textAlignment w:val="top"/>
            </w:pPr>
            <w:r>
              <w:rPr>
                <w:rFonts w:ascii="Times New Roman" w:eastAsia="宋体" w:hAnsi="Times New Roman"/>
                <w:color w:val="000000"/>
                <w:sz w:val="20"/>
                <w:szCs w:val="20"/>
              </w:rPr>
              <w:t>Changes in assets and liabilities:</w:t>
            </w:r>
          </w:p>
        </w:tc>
        <w:tc>
          <w:tcPr>
            <w:tcW w:w="0" w:type="auto"/>
            <w:gridSpan w:val="3"/>
            <w:shd w:val="clear" w:color="auto" w:fill="FFFFFF"/>
            <w:tcMar>
              <w:top w:w="0" w:type="dxa"/>
              <w:left w:w="20" w:type="dxa"/>
              <w:bottom w:w="0" w:type="dxa"/>
              <w:right w:w="20" w:type="dxa"/>
            </w:tcMar>
            <w:vAlign w:val="bottom"/>
          </w:tcPr>
          <w:p w14:paraId="0B2FA356"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357"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358" w14:textId="77777777" w:rsidR="007F1775" w:rsidRDefault="007F1775">
            <w:pPr>
              <w:rPr>
                <w:rFonts w:ascii="宋体"/>
              </w:rPr>
            </w:pPr>
          </w:p>
        </w:tc>
      </w:tr>
      <w:tr w:rsidR="007F1775" w14:paraId="0B2FA360" w14:textId="77777777">
        <w:trPr>
          <w:jc w:val="center"/>
        </w:trPr>
        <w:tc>
          <w:tcPr>
            <w:tcW w:w="0" w:type="auto"/>
            <w:gridSpan w:val="3"/>
            <w:shd w:val="clear" w:color="auto" w:fill="CCEEFF"/>
            <w:tcMar>
              <w:top w:w="40" w:type="dxa"/>
              <w:left w:w="380" w:type="dxa"/>
              <w:bottom w:w="40" w:type="dxa"/>
              <w:right w:w="20" w:type="dxa"/>
            </w:tcMar>
          </w:tcPr>
          <w:p w14:paraId="0B2FA35A" w14:textId="77777777" w:rsidR="007F1775" w:rsidRDefault="000F083E">
            <w:pPr>
              <w:textAlignment w:val="top"/>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0B2FA35B" w14:textId="77777777" w:rsidR="007F1775" w:rsidRDefault="000F083E">
            <w:pPr>
              <w:jc w:val="right"/>
              <w:textAlignment w:val="bottom"/>
            </w:pPr>
            <w:r>
              <w:rPr>
                <w:rFonts w:ascii="Times New Roman" w:eastAsia="宋体" w:hAnsi="Times New Roman"/>
                <w:color w:val="000000"/>
                <w:sz w:val="20"/>
                <w:szCs w:val="20"/>
              </w:rPr>
              <w:t>2,557 </w:t>
            </w:r>
          </w:p>
        </w:tc>
        <w:tc>
          <w:tcPr>
            <w:tcW w:w="0" w:type="auto"/>
            <w:shd w:val="clear" w:color="auto" w:fill="CCEEFF"/>
            <w:tcMar>
              <w:top w:w="40" w:type="dxa"/>
              <w:left w:w="0" w:type="dxa"/>
              <w:bottom w:w="40" w:type="dxa"/>
              <w:right w:w="20" w:type="dxa"/>
            </w:tcMar>
            <w:vAlign w:val="bottom"/>
          </w:tcPr>
          <w:p w14:paraId="0B2FA35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5D"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5E" w14:textId="77777777" w:rsidR="007F1775" w:rsidRDefault="000F083E">
            <w:pPr>
              <w:jc w:val="right"/>
              <w:textAlignment w:val="bottom"/>
            </w:pPr>
            <w:r>
              <w:rPr>
                <w:rFonts w:ascii="Times New Roman" w:eastAsia="宋体" w:hAnsi="Times New Roman"/>
                <w:color w:val="000000"/>
                <w:sz w:val="20"/>
                <w:szCs w:val="20"/>
              </w:rPr>
              <w:t>849 </w:t>
            </w:r>
          </w:p>
        </w:tc>
        <w:tc>
          <w:tcPr>
            <w:tcW w:w="0" w:type="auto"/>
            <w:shd w:val="clear" w:color="auto" w:fill="CCEEFF"/>
            <w:tcMar>
              <w:top w:w="40" w:type="dxa"/>
              <w:left w:w="0" w:type="dxa"/>
              <w:bottom w:w="40" w:type="dxa"/>
              <w:right w:w="20" w:type="dxa"/>
            </w:tcMar>
            <w:vAlign w:val="bottom"/>
          </w:tcPr>
          <w:p w14:paraId="0B2FA35F" w14:textId="77777777" w:rsidR="007F1775" w:rsidRDefault="007F1775">
            <w:pPr>
              <w:jc w:val="right"/>
              <w:rPr>
                <w:rFonts w:ascii="宋体"/>
              </w:rPr>
            </w:pPr>
          </w:p>
        </w:tc>
      </w:tr>
      <w:tr w:rsidR="007F1775" w14:paraId="0B2FA367" w14:textId="77777777">
        <w:trPr>
          <w:jc w:val="center"/>
        </w:trPr>
        <w:tc>
          <w:tcPr>
            <w:tcW w:w="0" w:type="auto"/>
            <w:gridSpan w:val="3"/>
            <w:shd w:val="clear" w:color="auto" w:fill="FFFFFF"/>
            <w:tcMar>
              <w:top w:w="40" w:type="dxa"/>
              <w:left w:w="380" w:type="dxa"/>
              <w:bottom w:w="40" w:type="dxa"/>
              <w:right w:w="20" w:type="dxa"/>
            </w:tcMar>
          </w:tcPr>
          <w:p w14:paraId="0B2FA361" w14:textId="77777777" w:rsidR="007F1775" w:rsidRDefault="000F083E">
            <w:pPr>
              <w:textAlignment w:val="top"/>
            </w:pPr>
            <w:r>
              <w:rPr>
                <w:rFonts w:ascii="Times New Roman" w:eastAsia="宋体" w:hAnsi="Times New Roman"/>
                <w:color w:val="000000"/>
                <w:sz w:val="20"/>
                <w:szCs w:val="20"/>
              </w:rPr>
              <w:t xml:space="preserve">Prepaid expenses and other </w:t>
            </w:r>
            <w:r>
              <w:rPr>
                <w:rFonts w:ascii="Times New Roman" w:eastAsia="宋体" w:hAnsi="Times New Roman"/>
                <w:color w:val="000000"/>
                <w:sz w:val="20"/>
                <w:szCs w:val="20"/>
              </w:rPr>
              <w:t>current assets</w:t>
            </w:r>
          </w:p>
        </w:tc>
        <w:tc>
          <w:tcPr>
            <w:tcW w:w="0" w:type="auto"/>
            <w:gridSpan w:val="2"/>
            <w:shd w:val="clear" w:color="auto" w:fill="FFFFFF"/>
            <w:tcMar>
              <w:top w:w="40" w:type="dxa"/>
              <w:left w:w="20" w:type="dxa"/>
              <w:bottom w:w="40" w:type="dxa"/>
              <w:right w:w="0" w:type="dxa"/>
            </w:tcMar>
            <w:vAlign w:val="bottom"/>
          </w:tcPr>
          <w:p w14:paraId="0B2FA362" w14:textId="77777777" w:rsidR="007F1775" w:rsidRDefault="000F083E">
            <w:pPr>
              <w:jc w:val="right"/>
              <w:textAlignment w:val="bottom"/>
            </w:pPr>
            <w:r>
              <w:rPr>
                <w:rFonts w:ascii="Times New Roman" w:eastAsia="宋体" w:hAnsi="Times New Roman"/>
                <w:color w:val="000000"/>
                <w:sz w:val="20"/>
                <w:szCs w:val="20"/>
              </w:rPr>
              <w:t>573 </w:t>
            </w:r>
          </w:p>
        </w:tc>
        <w:tc>
          <w:tcPr>
            <w:tcW w:w="0" w:type="auto"/>
            <w:shd w:val="clear" w:color="auto" w:fill="FFFFFF"/>
            <w:tcMar>
              <w:top w:w="40" w:type="dxa"/>
              <w:left w:w="0" w:type="dxa"/>
              <w:bottom w:w="40" w:type="dxa"/>
              <w:right w:w="20" w:type="dxa"/>
            </w:tcMar>
            <w:vAlign w:val="bottom"/>
          </w:tcPr>
          <w:p w14:paraId="0B2FA36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64"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65" w14:textId="77777777" w:rsidR="007F1775" w:rsidRDefault="000F083E">
            <w:pPr>
              <w:jc w:val="right"/>
              <w:textAlignment w:val="bottom"/>
            </w:pPr>
            <w:r>
              <w:rPr>
                <w:rFonts w:ascii="Times New Roman" w:eastAsia="宋体" w:hAnsi="Times New Roman"/>
                <w:color w:val="000000"/>
                <w:sz w:val="20"/>
                <w:szCs w:val="20"/>
              </w:rPr>
              <w:t>(461)</w:t>
            </w:r>
          </w:p>
        </w:tc>
        <w:tc>
          <w:tcPr>
            <w:tcW w:w="0" w:type="auto"/>
            <w:shd w:val="clear" w:color="auto" w:fill="FFFFFF"/>
            <w:tcMar>
              <w:top w:w="40" w:type="dxa"/>
              <w:left w:w="0" w:type="dxa"/>
              <w:bottom w:w="40" w:type="dxa"/>
              <w:right w:w="20" w:type="dxa"/>
            </w:tcMar>
            <w:vAlign w:val="bottom"/>
          </w:tcPr>
          <w:p w14:paraId="0B2FA366" w14:textId="77777777" w:rsidR="007F1775" w:rsidRDefault="007F1775">
            <w:pPr>
              <w:jc w:val="right"/>
              <w:rPr>
                <w:rFonts w:ascii="宋体"/>
              </w:rPr>
            </w:pPr>
          </w:p>
        </w:tc>
      </w:tr>
      <w:tr w:rsidR="007F1775" w14:paraId="0B2FA36E" w14:textId="77777777">
        <w:trPr>
          <w:jc w:val="center"/>
        </w:trPr>
        <w:tc>
          <w:tcPr>
            <w:tcW w:w="0" w:type="auto"/>
            <w:gridSpan w:val="3"/>
            <w:shd w:val="clear" w:color="auto" w:fill="CCEEFF"/>
            <w:tcMar>
              <w:top w:w="40" w:type="dxa"/>
              <w:left w:w="380" w:type="dxa"/>
              <w:bottom w:w="40" w:type="dxa"/>
              <w:right w:w="20" w:type="dxa"/>
            </w:tcMar>
          </w:tcPr>
          <w:p w14:paraId="0B2FA368" w14:textId="77777777" w:rsidR="007F1775" w:rsidRDefault="000F083E">
            <w:pPr>
              <w:textAlignment w:val="top"/>
            </w:pPr>
            <w:r>
              <w:rPr>
                <w:rFonts w:ascii="Times New Roman" w:eastAsia="宋体" w:hAnsi="Times New Roman"/>
                <w:color w:val="000000"/>
                <w:sz w:val="20"/>
                <w:szCs w:val="20"/>
              </w:rPr>
              <w:t>Other assets</w:t>
            </w:r>
          </w:p>
        </w:tc>
        <w:tc>
          <w:tcPr>
            <w:tcW w:w="0" w:type="auto"/>
            <w:gridSpan w:val="2"/>
            <w:shd w:val="clear" w:color="auto" w:fill="CCEEFF"/>
            <w:tcMar>
              <w:top w:w="40" w:type="dxa"/>
              <w:left w:w="20" w:type="dxa"/>
              <w:bottom w:w="40" w:type="dxa"/>
              <w:right w:w="0" w:type="dxa"/>
            </w:tcMar>
            <w:vAlign w:val="bottom"/>
          </w:tcPr>
          <w:p w14:paraId="0B2FA369" w14:textId="77777777" w:rsidR="007F1775" w:rsidRDefault="000F083E">
            <w:pPr>
              <w:jc w:val="right"/>
              <w:textAlignment w:val="bottom"/>
            </w:pPr>
            <w:r>
              <w:rPr>
                <w:rFonts w:ascii="Times New Roman" w:eastAsia="宋体" w:hAnsi="Times New Roman"/>
                <w:color w:val="000000"/>
                <w:sz w:val="20"/>
                <w:szCs w:val="20"/>
              </w:rPr>
              <w:t>(108)</w:t>
            </w:r>
          </w:p>
        </w:tc>
        <w:tc>
          <w:tcPr>
            <w:tcW w:w="0" w:type="auto"/>
            <w:shd w:val="clear" w:color="auto" w:fill="CCEEFF"/>
            <w:tcMar>
              <w:top w:w="40" w:type="dxa"/>
              <w:left w:w="0" w:type="dxa"/>
              <w:bottom w:w="40" w:type="dxa"/>
              <w:right w:w="20" w:type="dxa"/>
            </w:tcMar>
            <w:vAlign w:val="bottom"/>
          </w:tcPr>
          <w:p w14:paraId="0B2FA36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6B"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6C" w14:textId="77777777" w:rsidR="007F1775" w:rsidRDefault="000F083E">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0B2FA36D" w14:textId="77777777" w:rsidR="007F1775" w:rsidRDefault="007F1775">
            <w:pPr>
              <w:jc w:val="right"/>
              <w:rPr>
                <w:rFonts w:ascii="宋体"/>
              </w:rPr>
            </w:pPr>
          </w:p>
        </w:tc>
      </w:tr>
      <w:tr w:rsidR="007F1775" w14:paraId="0B2FA375" w14:textId="77777777">
        <w:trPr>
          <w:jc w:val="center"/>
        </w:trPr>
        <w:tc>
          <w:tcPr>
            <w:tcW w:w="0" w:type="auto"/>
            <w:gridSpan w:val="3"/>
            <w:shd w:val="clear" w:color="auto" w:fill="FFFFFF"/>
            <w:tcMar>
              <w:top w:w="40" w:type="dxa"/>
              <w:left w:w="380" w:type="dxa"/>
              <w:bottom w:w="40" w:type="dxa"/>
              <w:right w:w="20" w:type="dxa"/>
            </w:tcMar>
          </w:tcPr>
          <w:p w14:paraId="0B2FA36F" w14:textId="77777777" w:rsidR="007F1775" w:rsidRDefault="000F083E">
            <w:pPr>
              <w:textAlignment w:val="top"/>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0B2FA370" w14:textId="77777777" w:rsidR="007F1775" w:rsidRDefault="000F083E">
            <w:pPr>
              <w:jc w:val="right"/>
              <w:textAlignment w:val="bottom"/>
            </w:pPr>
            <w:r>
              <w:rPr>
                <w:rFonts w:ascii="Times New Roman" w:eastAsia="宋体" w:hAnsi="Times New Roman"/>
                <w:color w:val="000000"/>
                <w:sz w:val="20"/>
                <w:szCs w:val="20"/>
              </w:rPr>
              <w:t>(882)</w:t>
            </w:r>
          </w:p>
        </w:tc>
        <w:tc>
          <w:tcPr>
            <w:tcW w:w="0" w:type="auto"/>
            <w:shd w:val="clear" w:color="auto" w:fill="FFFFFF"/>
            <w:tcMar>
              <w:top w:w="40" w:type="dxa"/>
              <w:left w:w="0" w:type="dxa"/>
              <w:bottom w:w="40" w:type="dxa"/>
              <w:right w:w="20" w:type="dxa"/>
            </w:tcMar>
            <w:vAlign w:val="bottom"/>
          </w:tcPr>
          <w:p w14:paraId="0B2FA37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72"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73" w14:textId="77777777" w:rsidR="007F1775" w:rsidRDefault="000F083E">
            <w:pPr>
              <w:jc w:val="right"/>
              <w:textAlignment w:val="bottom"/>
            </w:pPr>
            <w:r>
              <w:rPr>
                <w:rFonts w:ascii="Times New Roman" w:eastAsia="宋体" w:hAnsi="Times New Roman"/>
                <w:color w:val="000000"/>
                <w:sz w:val="20"/>
                <w:szCs w:val="20"/>
              </w:rPr>
              <w:t>(250)</w:t>
            </w:r>
          </w:p>
        </w:tc>
        <w:tc>
          <w:tcPr>
            <w:tcW w:w="0" w:type="auto"/>
            <w:shd w:val="clear" w:color="auto" w:fill="FFFFFF"/>
            <w:tcMar>
              <w:top w:w="40" w:type="dxa"/>
              <w:left w:w="0" w:type="dxa"/>
              <w:bottom w:w="40" w:type="dxa"/>
              <w:right w:w="20" w:type="dxa"/>
            </w:tcMar>
            <w:vAlign w:val="bottom"/>
          </w:tcPr>
          <w:p w14:paraId="0B2FA374" w14:textId="77777777" w:rsidR="007F1775" w:rsidRDefault="007F1775">
            <w:pPr>
              <w:jc w:val="right"/>
              <w:rPr>
                <w:rFonts w:ascii="宋体"/>
              </w:rPr>
            </w:pPr>
          </w:p>
        </w:tc>
      </w:tr>
      <w:tr w:rsidR="007F1775" w14:paraId="0B2FA37C" w14:textId="77777777">
        <w:trPr>
          <w:jc w:val="center"/>
        </w:trPr>
        <w:tc>
          <w:tcPr>
            <w:tcW w:w="0" w:type="auto"/>
            <w:gridSpan w:val="3"/>
            <w:shd w:val="clear" w:color="auto" w:fill="CCEEFF"/>
            <w:tcMar>
              <w:top w:w="40" w:type="dxa"/>
              <w:left w:w="380" w:type="dxa"/>
              <w:bottom w:w="40" w:type="dxa"/>
              <w:right w:w="20" w:type="dxa"/>
            </w:tcMar>
          </w:tcPr>
          <w:p w14:paraId="0B2FA376" w14:textId="77777777" w:rsidR="007F1775" w:rsidRDefault="000F083E">
            <w:pPr>
              <w:textAlignment w:val="top"/>
            </w:pPr>
            <w:r>
              <w:rPr>
                <w:rFonts w:ascii="Times New Roman" w:eastAsia="宋体" w:hAnsi="Times New Roman"/>
                <w:color w:val="000000"/>
                <w:sz w:val="20"/>
                <w:szCs w:val="20"/>
              </w:rPr>
              <w:t>Partners payable</w:t>
            </w:r>
          </w:p>
        </w:tc>
        <w:tc>
          <w:tcPr>
            <w:tcW w:w="0" w:type="auto"/>
            <w:gridSpan w:val="2"/>
            <w:shd w:val="clear" w:color="auto" w:fill="CCEEFF"/>
            <w:tcMar>
              <w:top w:w="40" w:type="dxa"/>
              <w:left w:w="20" w:type="dxa"/>
              <w:bottom w:w="40" w:type="dxa"/>
              <w:right w:w="0" w:type="dxa"/>
            </w:tcMar>
            <w:vAlign w:val="bottom"/>
          </w:tcPr>
          <w:p w14:paraId="0B2FA377" w14:textId="77777777" w:rsidR="007F1775" w:rsidRDefault="000F083E">
            <w:pPr>
              <w:jc w:val="right"/>
              <w:textAlignment w:val="bottom"/>
            </w:pPr>
            <w:r>
              <w:rPr>
                <w:rFonts w:ascii="Times New Roman" w:eastAsia="宋体" w:hAnsi="Times New Roman"/>
                <w:color w:val="000000"/>
                <w:sz w:val="20"/>
                <w:szCs w:val="20"/>
              </w:rPr>
              <w:t>(105)</w:t>
            </w:r>
          </w:p>
        </w:tc>
        <w:tc>
          <w:tcPr>
            <w:tcW w:w="0" w:type="auto"/>
            <w:shd w:val="clear" w:color="auto" w:fill="CCEEFF"/>
            <w:tcMar>
              <w:top w:w="40" w:type="dxa"/>
              <w:left w:w="0" w:type="dxa"/>
              <w:bottom w:w="40" w:type="dxa"/>
              <w:right w:w="20" w:type="dxa"/>
            </w:tcMar>
            <w:vAlign w:val="bottom"/>
          </w:tcPr>
          <w:p w14:paraId="0B2FA37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79"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7A" w14:textId="77777777" w:rsidR="007F1775" w:rsidRDefault="000F083E">
            <w:pPr>
              <w:jc w:val="right"/>
              <w:textAlignment w:val="bottom"/>
            </w:pPr>
            <w:r>
              <w:rPr>
                <w:rFonts w:ascii="Times New Roman" w:eastAsia="宋体" w:hAnsi="Times New Roman"/>
                <w:color w:val="000000"/>
                <w:sz w:val="20"/>
                <w:szCs w:val="20"/>
              </w:rPr>
              <w:t>(72)</w:t>
            </w:r>
          </w:p>
        </w:tc>
        <w:tc>
          <w:tcPr>
            <w:tcW w:w="0" w:type="auto"/>
            <w:shd w:val="clear" w:color="auto" w:fill="CCEEFF"/>
            <w:tcMar>
              <w:top w:w="40" w:type="dxa"/>
              <w:left w:w="0" w:type="dxa"/>
              <w:bottom w:w="40" w:type="dxa"/>
              <w:right w:w="20" w:type="dxa"/>
            </w:tcMar>
            <w:vAlign w:val="bottom"/>
          </w:tcPr>
          <w:p w14:paraId="0B2FA37B" w14:textId="77777777" w:rsidR="007F1775" w:rsidRDefault="007F1775">
            <w:pPr>
              <w:jc w:val="right"/>
              <w:rPr>
                <w:rFonts w:ascii="宋体"/>
              </w:rPr>
            </w:pPr>
          </w:p>
        </w:tc>
      </w:tr>
      <w:tr w:rsidR="007F1775" w14:paraId="0B2FA383" w14:textId="77777777">
        <w:trPr>
          <w:jc w:val="center"/>
        </w:trPr>
        <w:tc>
          <w:tcPr>
            <w:tcW w:w="0" w:type="auto"/>
            <w:gridSpan w:val="3"/>
            <w:shd w:val="clear" w:color="auto" w:fill="FFFFFF"/>
            <w:tcMar>
              <w:top w:w="40" w:type="dxa"/>
              <w:left w:w="380" w:type="dxa"/>
              <w:bottom w:w="40" w:type="dxa"/>
              <w:right w:w="20" w:type="dxa"/>
            </w:tcMar>
          </w:tcPr>
          <w:p w14:paraId="0B2FA37D" w14:textId="77777777" w:rsidR="007F1775" w:rsidRDefault="000F083E">
            <w:pPr>
              <w:textAlignment w:val="top"/>
            </w:pPr>
            <w:r>
              <w:rPr>
                <w:rFonts w:ascii="Times New Roman" w:eastAsia="宋体" w:hAnsi="Times New Roman"/>
                <w:color w:val="000000"/>
                <w:sz w:val="20"/>
                <w:szCs w:val="20"/>
              </w:rPr>
              <w:t>Accrued expenses and other current liabilities</w:t>
            </w:r>
          </w:p>
        </w:tc>
        <w:tc>
          <w:tcPr>
            <w:tcW w:w="0" w:type="auto"/>
            <w:gridSpan w:val="2"/>
            <w:shd w:val="clear" w:color="auto" w:fill="FFFFFF"/>
            <w:tcMar>
              <w:top w:w="40" w:type="dxa"/>
              <w:left w:w="20" w:type="dxa"/>
              <w:bottom w:w="40" w:type="dxa"/>
              <w:right w:w="0" w:type="dxa"/>
            </w:tcMar>
            <w:vAlign w:val="bottom"/>
          </w:tcPr>
          <w:p w14:paraId="0B2FA37E" w14:textId="77777777" w:rsidR="007F1775" w:rsidRDefault="000F083E">
            <w:pPr>
              <w:jc w:val="right"/>
              <w:textAlignment w:val="bottom"/>
            </w:pPr>
            <w:r>
              <w:rPr>
                <w:rFonts w:ascii="Times New Roman" w:eastAsia="宋体" w:hAnsi="Times New Roman"/>
                <w:color w:val="000000"/>
                <w:sz w:val="20"/>
                <w:szCs w:val="20"/>
              </w:rPr>
              <w:t>763 </w:t>
            </w:r>
          </w:p>
        </w:tc>
        <w:tc>
          <w:tcPr>
            <w:tcW w:w="0" w:type="auto"/>
            <w:shd w:val="clear" w:color="auto" w:fill="FFFFFF"/>
            <w:tcMar>
              <w:top w:w="40" w:type="dxa"/>
              <w:left w:w="0" w:type="dxa"/>
              <w:bottom w:w="40" w:type="dxa"/>
              <w:right w:w="20" w:type="dxa"/>
            </w:tcMar>
            <w:vAlign w:val="bottom"/>
          </w:tcPr>
          <w:p w14:paraId="0B2FA37F"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80"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81" w14:textId="77777777" w:rsidR="007F1775" w:rsidRDefault="000F083E">
            <w:pPr>
              <w:jc w:val="right"/>
              <w:textAlignment w:val="bottom"/>
            </w:pPr>
            <w:r>
              <w:rPr>
                <w:rFonts w:ascii="Times New Roman" w:eastAsia="宋体" w:hAnsi="Times New Roman"/>
                <w:color w:val="000000"/>
                <w:sz w:val="20"/>
                <w:szCs w:val="20"/>
              </w:rPr>
              <w:t>(1,681)</w:t>
            </w:r>
          </w:p>
        </w:tc>
        <w:tc>
          <w:tcPr>
            <w:tcW w:w="0" w:type="auto"/>
            <w:shd w:val="clear" w:color="auto" w:fill="FFFFFF"/>
            <w:tcMar>
              <w:top w:w="40" w:type="dxa"/>
              <w:left w:w="0" w:type="dxa"/>
              <w:bottom w:w="40" w:type="dxa"/>
              <w:right w:w="20" w:type="dxa"/>
            </w:tcMar>
            <w:vAlign w:val="bottom"/>
          </w:tcPr>
          <w:p w14:paraId="0B2FA382" w14:textId="77777777" w:rsidR="007F1775" w:rsidRDefault="007F1775">
            <w:pPr>
              <w:jc w:val="right"/>
              <w:rPr>
                <w:rFonts w:ascii="宋体"/>
              </w:rPr>
            </w:pPr>
          </w:p>
        </w:tc>
      </w:tr>
      <w:tr w:rsidR="007F1775" w14:paraId="0B2FA38A" w14:textId="77777777">
        <w:trPr>
          <w:jc w:val="center"/>
        </w:trPr>
        <w:tc>
          <w:tcPr>
            <w:tcW w:w="0" w:type="auto"/>
            <w:gridSpan w:val="3"/>
            <w:shd w:val="clear" w:color="auto" w:fill="CCEEFF"/>
            <w:tcMar>
              <w:top w:w="40" w:type="dxa"/>
              <w:left w:w="380" w:type="dxa"/>
              <w:bottom w:w="40" w:type="dxa"/>
              <w:right w:w="20" w:type="dxa"/>
            </w:tcMar>
          </w:tcPr>
          <w:p w14:paraId="0B2FA384" w14:textId="77777777" w:rsidR="007F1775" w:rsidRDefault="000F083E">
            <w:pPr>
              <w:textAlignment w:val="top"/>
            </w:pPr>
            <w:r>
              <w:rPr>
                <w:rFonts w:ascii="Times New Roman" w:eastAsia="宋体" w:hAnsi="Times New Roman"/>
                <w:color w:val="000000"/>
                <w:sz w:val="20"/>
                <w:szCs w:val="20"/>
              </w:rPr>
              <w:t>Deferred revenue and deposits</w:t>
            </w:r>
          </w:p>
        </w:tc>
        <w:tc>
          <w:tcPr>
            <w:tcW w:w="0" w:type="auto"/>
            <w:gridSpan w:val="2"/>
            <w:shd w:val="clear" w:color="auto" w:fill="CCEEFF"/>
            <w:tcMar>
              <w:top w:w="40" w:type="dxa"/>
              <w:left w:w="20" w:type="dxa"/>
              <w:bottom w:w="40" w:type="dxa"/>
              <w:right w:w="0" w:type="dxa"/>
            </w:tcMar>
            <w:vAlign w:val="bottom"/>
          </w:tcPr>
          <w:p w14:paraId="0B2FA385" w14:textId="77777777" w:rsidR="007F1775" w:rsidRDefault="000F083E">
            <w:pPr>
              <w:jc w:val="right"/>
              <w:textAlignment w:val="bottom"/>
            </w:pPr>
            <w:r>
              <w:rPr>
                <w:rFonts w:ascii="Times New Roman" w:eastAsia="宋体" w:hAnsi="Times New Roman"/>
                <w:color w:val="000000"/>
                <w:sz w:val="20"/>
                <w:szCs w:val="20"/>
              </w:rPr>
              <w:t>(52)</w:t>
            </w:r>
          </w:p>
        </w:tc>
        <w:tc>
          <w:tcPr>
            <w:tcW w:w="0" w:type="auto"/>
            <w:shd w:val="clear" w:color="auto" w:fill="CCEEFF"/>
            <w:tcMar>
              <w:top w:w="40" w:type="dxa"/>
              <w:left w:w="0" w:type="dxa"/>
              <w:bottom w:w="40" w:type="dxa"/>
              <w:right w:w="20" w:type="dxa"/>
            </w:tcMar>
            <w:vAlign w:val="bottom"/>
          </w:tcPr>
          <w:p w14:paraId="0B2FA38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87"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88" w14:textId="77777777" w:rsidR="007F1775" w:rsidRDefault="000F083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0B2FA389" w14:textId="77777777" w:rsidR="007F1775" w:rsidRDefault="007F1775">
            <w:pPr>
              <w:jc w:val="right"/>
              <w:rPr>
                <w:rFonts w:ascii="宋体"/>
              </w:rPr>
            </w:pPr>
          </w:p>
        </w:tc>
      </w:tr>
      <w:tr w:rsidR="007F1775" w14:paraId="0B2FA391" w14:textId="77777777">
        <w:trPr>
          <w:jc w:val="center"/>
        </w:trPr>
        <w:tc>
          <w:tcPr>
            <w:tcW w:w="0" w:type="auto"/>
            <w:gridSpan w:val="3"/>
            <w:shd w:val="clear" w:color="auto" w:fill="FFFFFF"/>
            <w:tcMar>
              <w:top w:w="40" w:type="dxa"/>
              <w:left w:w="380" w:type="dxa"/>
              <w:bottom w:w="40" w:type="dxa"/>
              <w:right w:w="20" w:type="dxa"/>
            </w:tcMar>
          </w:tcPr>
          <w:p w14:paraId="0B2FA38B" w14:textId="77777777" w:rsidR="007F1775" w:rsidRDefault="000F083E">
            <w:pPr>
              <w:textAlignment w:val="top"/>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liabilities</w:t>
            </w:r>
          </w:p>
        </w:tc>
        <w:tc>
          <w:tcPr>
            <w:tcW w:w="0" w:type="auto"/>
            <w:gridSpan w:val="2"/>
            <w:shd w:val="clear" w:color="auto" w:fill="FFFFFF"/>
            <w:tcMar>
              <w:top w:w="40" w:type="dxa"/>
              <w:left w:w="20" w:type="dxa"/>
              <w:bottom w:w="40" w:type="dxa"/>
              <w:right w:w="0" w:type="dxa"/>
            </w:tcMar>
            <w:vAlign w:val="bottom"/>
          </w:tcPr>
          <w:p w14:paraId="0B2FA38C" w14:textId="77777777" w:rsidR="007F1775" w:rsidRDefault="000F083E">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0B2FA38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8E"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8F" w14:textId="77777777" w:rsidR="007F1775" w:rsidRDefault="000F083E">
            <w:pPr>
              <w:jc w:val="right"/>
              <w:textAlignment w:val="bottom"/>
            </w:pPr>
            <w:r>
              <w:rPr>
                <w:rFonts w:ascii="Times New Roman" w:eastAsia="宋体" w:hAnsi="Times New Roman"/>
                <w:color w:val="000000"/>
                <w:sz w:val="20"/>
                <w:szCs w:val="20"/>
              </w:rPr>
              <w:t>210 </w:t>
            </w:r>
          </w:p>
        </w:tc>
        <w:tc>
          <w:tcPr>
            <w:tcW w:w="0" w:type="auto"/>
            <w:shd w:val="clear" w:color="auto" w:fill="FFFFFF"/>
            <w:tcMar>
              <w:top w:w="40" w:type="dxa"/>
              <w:left w:w="0" w:type="dxa"/>
              <w:bottom w:w="40" w:type="dxa"/>
              <w:right w:w="20" w:type="dxa"/>
            </w:tcMar>
            <w:vAlign w:val="bottom"/>
          </w:tcPr>
          <w:p w14:paraId="0B2FA390" w14:textId="77777777" w:rsidR="007F1775" w:rsidRDefault="007F1775">
            <w:pPr>
              <w:jc w:val="right"/>
              <w:rPr>
                <w:rFonts w:ascii="宋体"/>
              </w:rPr>
            </w:pPr>
          </w:p>
        </w:tc>
      </w:tr>
      <w:tr w:rsidR="007F1775" w14:paraId="0B2FA398" w14:textId="77777777">
        <w:trPr>
          <w:jc w:val="center"/>
        </w:trPr>
        <w:tc>
          <w:tcPr>
            <w:tcW w:w="0" w:type="auto"/>
            <w:gridSpan w:val="3"/>
            <w:shd w:val="clear" w:color="auto" w:fill="CCEEFF"/>
            <w:tcMar>
              <w:top w:w="40" w:type="dxa"/>
              <w:left w:w="560" w:type="dxa"/>
              <w:bottom w:w="40" w:type="dxa"/>
              <w:right w:w="20" w:type="dxa"/>
            </w:tcMar>
          </w:tcPr>
          <w:p w14:paraId="0B2FA392" w14:textId="77777777" w:rsidR="007F1775" w:rsidRDefault="000F083E">
            <w:pPr>
              <w:textAlignment w:val="top"/>
            </w:pPr>
            <w:r>
              <w:rPr>
                <w:rFonts w:ascii="Times New Roman" w:eastAsia="宋体" w:hAnsi="Times New Roman"/>
                <w:b/>
                <w:bCs/>
                <w:color w:val="000000"/>
                <w:sz w:val="20"/>
                <w:szCs w:val="20"/>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393" w14:textId="77777777" w:rsidR="007F1775" w:rsidRDefault="000F083E">
            <w:pPr>
              <w:jc w:val="right"/>
              <w:textAlignment w:val="bottom"/>
            </w:pPr>
            <w:r>
              <w:rPr>
                <w:rFonts w:ascii="Times New Roman" w:eastAsia="宋体" w:hAnsi="Times New Roman"/>
                <w:color w:val="000000"/>
                <w:sz w:val="20"/>
                <w:szCs w:val="20"/>
              </w:rPr>
              <w:t>14,076 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39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95"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396" w14:textId="77777777" w:rsidR="007F1775" w:rsidRDefault="000F083E">
            <w:pPr>
              <w:jc w:val="right"/>
              <w:textAlignment w:val="bottom"/>
            </w:pPr>
            <w:r>
              <w:rPr>
                <w:rFonts w:ascii="Times New Roman" w:eastAsia="宋体" w:hAnsi="Times New Roman"/>
                <w:color w:val="000000"/>
                <w:sz w:val="20"/>
                <w:szCs w:val="20"/>
              </w:rPr>
              <w:t>12,242 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397" w14:textId="77777777" w:rsidR="007F1775" w:rsidRDefault="007F1775">
            <w:pPr>
              <w:jc w:val="right"/>
              <w:rPr>
                <w:rFonts w:ascii="宋体"/>
              </w:rPr>
            </w:pPr>
          </w:p>
        </w:tc>
      </w:tr>
      <w:tr w:rsidR="007F1775" w14:paraId="0B2FA39D" w14:textId="77777777">
        <w:trPr>
          <w:jc w:val="center"/>
        </w:trPr>
        <w:tc>
          <w:tcPr>
            <w:tcW w:w="0" w:type="auto"/>
            <w:gridSpan w:val="3"/>
            <w:shd w:val="clear" w:color="auto" w:fill="FFFFFF"/>
            <w:tcMar>
              <w:top w:w="40" w:type="dxa"/>
              <w:left w:w="20" w:type="dxa"/>
              <w:bottom w:w="40" w:type="dxa"/>
              <w:right w:w="20" w:type="dxa"/>
            </w:tcMar>
          </w:tcPr>
          <w:p w14:paraId="0B2FA399" w14:textId="77777777" w:rsidR="007F1775" w:rsidRDefault="000F083E">
            <w:pPr>
              <w:textAlignment w:val="top"/>
            </w:pPr>
            <w:r>
              <w:rPr>
                <w:rFonts w:ascii="Times New Roman" w:eastAsia="宋体" w:hAnsi="Times New Roman"/>
                <w:b/>
                <w:bCs/>
                <w:color w:val="000000"/>
                <w:sz w:val="20"/>
                <w:szCs w:val="20"/>
              </w:rPr>
              <w:t>Cash flows from investing activities</w:t>
            </w:r>
          </w:p>
        </w:tc>
        <w:tc>
          <w:tcPr>
            <w:tcW w:w="0" w:type="auto"/>
            <w:gridSpan w:val="3"/>
            <w:shd w:val="clear" w:color="auto" w:fill="FFFFFF"/>
            <w:tcMar>
              <w:top w:w="0" w:type="dxa"/>
              <w:left w:w="20" w:type="dxa"/>
              <w:bottom w:w="0" w:type="dxa"/>
              <w:right w:w="20" w:type="dxa"/>
            </w:tcMar>
            <w:vAlign w:val="bottom"/>
          </w:tcPr>
          <w:p w14:paraId="0B2FA39A"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39B"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39C" w14:textId="77777777" w:rsidR="007F1775" w:rsidRDefault="007F1775">
            <w:pPr>
              <w:rPr>
                <w:rFonts w:ascii="宋体"/>
              </w:rPr>
            </w:pPr>
          </w:p>
        </w:tc>
      </w:tr>
      <w:tr w:rsidR="007F1775" w14:paraId="0B2FA3A4" w14:textId="77777777">
        <w:trPr>
          <w:jc w:val="center"/>
        </w:trPr>
        <w:tc>
          <w:tcPr>
            <w:tcW w:w="0" w:type="auto"/>
            <w:gridSpan w:val="3"/>
            <w:shd w:val="clear" w:color="auto" w:fill="CCEEFF"/>
            <w:tcMar>
              <w:top w:w="40" w:type="dxa"/>
              <w:left w:w="200" w:type="dxa"/>
              <w:bottom w:w="40" w:type="dxa"/>
              <w:right w:w="20" w:type="dxa"/>
            </w:tcMar>
          </w:tcPr>
          <w:p w14:paraId="0B2FA39E" w14:textId="77777777" w:rsidR="007F1775" w:rsidRDefault="000F083E">
            <w:pPr>
              <w:textAlignment w:val="top"/>
            </w:pPr>
            <w:r>
              <w:rPr>
                <w:rFonts w:ascii="Times New Roman" w:eastAsia="宋体" w:hAnsi="Times New Roman"/>
                <w:color w:val="000000"/>
                <w:sz w:val="20"/>
                <w:szCs w:val="20"/>
              </w:rPr>
              <w:t>Purchases of property and equipment</w:t>
            </w:r>
          </w:p>
        </w:tc>
        <w:tc>
          <w:tcPr>
            <w:tcW w:w="0" w:type="auto"/>
            <w:gridSpan w:val="2"/>
            <w:shd w:val="clear" w:color="auto" w:fill="CCEEFF"/>
            <w:tcMar>
              <w:top w:w="40" w:type="dxa"/>
              <w:left w:w="20" w:type="dxa"/>
              <w:bottom w:w="40" w:type="dxa"/>
              <w:right w:w="0" w:type="dxa"/>
            </w:tcMar>
            <w:vAlign w:val="bottom"/>
          </w:tcPr>
          <w:p w14:paraId="0B2FA39F" w14:textId="77777777" w:rsidR="007F1775" w:rsidRDefault="000F083E">
            <w:pPr>
              <w:jc w:val="right"/>
              <w:textAlignment w:val="bottom"/>
            </w:pPr>
            <w:r>
              <w:rPr>
                <w:rFonts w:ascii="Times New Roman" w:eastAsia="宋体" w:hAnsi="Times New Roman"/>
                <w:color w:val="000000"/>
                <w:sz w:val="20"/>
                <w:szCs w:val="20"/>
              </w:rPr>
              <w:t>(5,441)</w:t>
            </w:r>
          </w:p>
        </w:tc>
        <w:tc>
          <w:tcPr>
            <w:tcW w:w="0" w:type="auto"/>
            <w:shd w:val="clear" w:color="auto" w:fill="CCEEFF"/>
            <w:tcMar>
              <w:top w:w="40" w:type="dxa"/>
              <w:left w:w="0" w:type="dxa"/>
              <w:bottom w:w="40" w:type="dxa"/>
              <w:right w:w="20" w:type="dxa"/>
            </w:tcMar>
            <w:vAlign w:val="bottom"/>
          </w:tcPr>
          <w:p w14:paraId="0B2FA3A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A1"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A2" w14:textId="77777777" w:rsidR="007F1775" w:rsidRDefault="000F083E">
            <w:pPr>
              <w:jc w:val="right"/>
              <w:textAlignment w:val="bottom"/>
            </w:pPr>
            <w:r>
              <w:rPr>
                <w:rFonts w:ascii="Times New Roman" w:eastAsia="宋体" w:hAnsi="Times New Roman"/>
                <w:color w:val="000000"/>
                <w:sz w:val="20"/>
                <w:szCs w:val="20"/>
              </w:rPr>
              <w:t>(4,303)</w:t>
            </w:r>
          </w:p>
        </w:tc>
        <w:tc>
          <w:tcPr>
            <w:tcW w:w="0" w:type="auto"/>
            <w:shd w:val="clear" w:color="auto" w:fill="CCEEFF"/>
            <w:tcMar>
              <w:top w:w="40" w:type="dxa"/>
              <w:left w:w="0" w:type="dxa"/>
              <w:bottom w:w="40" w:type="dxa"/>
              <w:right w:w="20" w:type="dxa"/>
            </w:tcMar>
            <w:vAlign w:val="bottom"/>
          </w:tcPr>
          <w:p w14:paraId="0B2FA3A3" w14:textId="77777777" w:rsidR="007F1775" w:rsidRDefault="007F1775">
            <w:pPr>
              <w:jc w:val="right"/>
              <w:rPr>
                <w:rFonts w:ascii="宋体"/>
              </w:rPr>
            </w:pPr>
          </w:p>
        </w:tc>
      </w:tr>
      <w:tr w:rsidR="007F1775" w14:paraId="0B2FA3AB" w14:textId="77777777">
        <w:trPr>
          <w:jc w:val="center"/>
        </w:trPr>
        <w:tc>
          <w:tcPr>
            <w:tcW w:w="0" w:type="auto"/>
            <w:gridSpan w:val="3"/>
            <w:shd w:val="clear" w:color="auto" w:fill="FFFFFF"/>
            <w:tcMar>
              <w:top w:w="40" w:type="dxa"/>
              <w:left w:w="200" w:type="dxa"/>
              <w:bottom w:w="40" w:type="dxa"/>
              <w:right w:w="20" w:type="dxa"/>
            </w:tcMar>
          </w:tcPr>
          <w:p w14:paraId="0B2FA3A5" w14:textId="77777777" w:rsidR="007F1775" w:rsidRDefault="000F083E">
            <w:pPr>
              <w:textAlignment w:val="top"/>
            </w:pPr>
            <w:r>
              <w:rPr>
                <w:rFonts w:ascii="Times New Roman" w:eastAsia="宋体" w:hAnsi="Times New Roman"/>
                <w:color w:val="000000"/>
                <w:sz w:val="20"/>
                <w:szCs w:val="20"/>
              </w:rPr>
              <w:t>Proceeds relating to property and equipment</w:t>
            </w:r>
          </w:p>
        </w:tc>
        <w:tc>
          <w:tcPr>
            <w:tcW w:w="0" w:type="auto"/>
            <w:gridSpan w:val="2"/>
            <w:shd w:val="clear" w:color="auto" w:fill="FFFFFF"/>
            <w:tcMar>
              <w:top w:w="40" w:type="dxa"/>
              <w:left w:w="20" w:type="dxa"/>
              <w:bottom w:w="40" w:type="dxa"/>
              <w:right w:w="0" w:type="dxa"/>
            </w:tcMar>
            <w:vAlign w:val="bottom"/>
          </w:tcPr>
          <w:p w14:paraId="0B2FA3A6" w14:textId="77777777" w:rsidR="007F1775" w:rsidRDefault="000F083E">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0B2FA3A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A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A9" w14:textId="77777777" w:rsidR="007F1775" w:rsidRDefault="000F083E">
            <w:pPr>
              <w:jc w:val="right"/>
              <w:textAlignment w:val="bottom"/>
            </w:pPr>
            <w:r>
              <w:rPr>
                <w:rFonts w:ascii="Times New Roman" w:eastAsia="宋体" w:hAnsi="Times New Roman"/>
                <w:color w:val="000000"/>
                <w:sz w:val="20"/>
                <w:szCs w:val="20"/>
              </w:rPr>
              <w:t>31 </w:t>
            </w:r>
          </w:p>
        </w:tc>
        <w:tc>
          <w:tcPr>
            <w:tcW w:w="0" w:type="auto"/>
            <w:shd w:val="clear" w:color="auto" w:fill="FFFFFF"/>
            <w:tcMar>
              <w:top w:w="40" w:type="dxa"/>
              <w:left w:w="0" w:type="dxa"/>
              <w:bottom w:w="40" w:type="dxa"/>
              <w:right w:w="20" w:type="dxa"/>
            </w:tcMar>
            <w:vAlign w:val="bottom"/>
          </w:tcPr>
          <w:p w14:paraId="0B2FA3AA" w14:textId="77777777" w:rsidR="007F1775" w:rsidRDefault="007F1775">
            <w:pPr>
              <w:jc w:val="right"/>
              <w:rPr>
                <w:rFonts w:ascii="宋体"/>
              </w:rPr>
            </w:pPr>
          </w:p>
        </w:tc>
      </w:tr>
      <w:tr w:rsidR="007F1775" w14:paraId="0B2FA3B2" w14:textId="77777777">
        <w:trPr>
          <w:jc w:val="center"/>
        </w:trPr>
        <w:tc>
          <w:tcPr>
            <w:tcW w:w="0" w:type="auto"/>
            <w:gridSpan w:val="3"/>
            <w:shd w:val="clear" w:color="auto" w:fill="CCEEFF"/>
            <w:tcMar>
              <w:top w:w="40" w:type="dxa"/>
              <w:left w:w="200" w:type="dxa"/>
              <w:bottom w:w="40" w:type="dxa"/>
              <w:right w:w="20" w:type="dxa"/>
            </w:tcMar>
          </w:tcPr>
          <w:p w14:paraId="0B2FA3AC" w14:textId="77777777" w:rsidR="007F1775" w:rsidRDefault="000F083E">
            <w:pPr>
              <w:textAlignment w:val="top"/>
            </w:pPr>
            <w:r>
              <w:rPr>
                <w:rFonts w:ascii="Times New Roman" w:eastAsia="宋体" w:hAnsi="Times New Roman"/>
                <w:color w:val="000000"/>
                <w:sz w:val="20"/>
                <w:szCs w:val="20"/>
              </w:rPr>
              <w:t>Purchases of marketable securities</w:t>
            </w:r>
          </w:p>
        </w:tc>
        <w:tc>
          <w:tcPr>
            <w:tcW w:w="0" w:type="auto"/>
            <w:gridSpan w:val="2"/>
            <w:shd w:val="clear" w:color="auto" w:fill="CCEEFF"/>
            <w:tcMar>
              <w:top w:w="40" w:type="dxa"/>
              <w:left w:w="20" w:type="dxa"/>
              <w:bottom w:w="40" w:type="dxa"/>
              <w:right w:w="0" w:type="dxa"/>
            </w:tcMar>
            <w:vAlign w:val="bottom"/>
          </w:tcPr>
          <w:p w14:paraId="0B2FA3AD" w14:textId="77777777" w:rsidR="007F1775" w:rsidRDefault="000F083E">
            <w:pPr>
              <w:jc w:val="right"/>
              <w:textAlignment w:val="bottom"/>
            </w:pPr>
            <w:r>
              <w:rPr>
                <w:rFonts w:ascii="Times New Roman" w:eastAsia="宋体" w:hAnsi="Times New Roman"/>
                <w:color w:val="000000"/>
                <w:sz w:val="20"/>
                <w:szCs w:val="20"/>
              </w:rPr>
              <w:t>(4,068)</w:t>
            </w:r>
          </w:p>
        </w:tc>
        <w:tc>
          <w:tcPr>
            <w:tcW w:w="0" w:type="auto"/>
            <w:shd w:val="clear" w:color="auto" w:fill="CCEEFF"/>
            <w:tcMar>
              <w:top w:w="40" w:type="dxa"/>
              <w:left w:w="0" w:type="dxa"/>
              <w:bottom w:w="40" w:type="dxa"/>
              <w:right w:w="20" w:type="dxa"/>
            </w:tcMar>
            <w:vAlign w:val="bottom"/>
          </w:tcPr>
          <w:p w14:paraId="0B2FA3A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AF"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B0" w14:textId="77777777" w:rsidR="007F1775" w:rsidRDefault="000F083E">
            <w:pPr>
              <w:jc w:val="right"/>
              <w:textAlignment w:val="bottom"/>
            </w:pPr>
            <w:r>
              <w:rPr>
                <w:rFonts w:ascii="Times New Roman" w:eastAsia="宋体" w:hAnsi="Times New Roman"/>
                <w:color w:val="000000"/>
                <w:sz w:val="20"/>
                <w:szCs w:val="20"/>
              </w:rPr>
              <w:t>(6,231)</w:t>
            </w:r>
          </w:p>
        </w:tc>
        <w:tc>
          <w:tcPr>
            <w:tcW w:w="0" w:type="auto"/>
            <w:shd w:val="clear" w:color="auto" w:fill="CCEEFF"/>
            <w:tcMar>
              <w:top w:w="40" w:type="dxa"/>
              <w:left w:w="0" w:type="dxa"/>
              <w:bottom w:w="40" w:type="dxa"/>
              <w:right w:w="20" w:type="dxa"/>
            </w:tcMar>
            <w:vAlign w:val="bottom"/>
          </w:tcPr>
          <w:p w14:paraId="0B2FA3B1" w14:textId="77777777" w:rsidR="007F1775" w:rsidRDefault="007F1775">
            <w:pPr>
              <w:jc w:val="right"/>
              <w:rPr>
                <w:rFonts w:ascii="宋体"/>
              </w:rPr>
            </w:pPr>
          </w:p>
        </w:tc>
      </w:tr>
      <w:tr w:rsidR="007F1775" w14:paraId="0B2FA3B9" w14:textId="77777777">
        <w:trPr>
          <w:jc w:val="center"/>
        </w:trPr>
        <w:tc>
          <w:tcPr>
            <w:tcW w:w="0" w:type="auto"/>
            <w:gridSpan w:val="3"/>
            <w:shd w:val="clear" w:color="auto" w:fill="FFFFFF"/>
            <w:tcMar>
              <w:top w:w="40" w:type="dxa"/>
              <w:left w:w="200" w:type="dxa"/>
              <w:bottom w:w="40" w:type="dxa"/>
              <w:right w:w="20" w:type="dxa"/>
            </w:tcMar>
          </w:tcPr>
          <w:p w14:paraId="0B2FA3B3" w14:textId="77777777" w:rsidR="007F1775" w:rsidRDefault="000F083E">
            <w:pPr>
              <w:textAlignment w:val="top"/>
            </w:pPr>
            <w:r>
              <w:rPr>
                <w:rFonts w:ascii="Times New Roman" w:eastAsia="宋体" w:hAnsi="Times New Roman"/>
                <w:color w:val="000000"/>
                <w:sz w:val="20"/>
                <w:szCs w:val="20"/>
              </w:rPr>
              <w:t>Sales of marketable securities</w:t>
            </w:r>
          </w:p>
        </w:tc>
        <w:tc>
          <w:tcPr>
            <w:tcW w:w="0" w:type="auto"/>
            <w:gridSpan w:val="2"/>
            <w:shd w:val="clear" w:color="auto" w:fill="FFFFFF"/>
            <w:tcMar>
              <w:top w:w="40" w:type="dxa"/>
              <w:left w:w="20" w:type="dxa"/>
              <w:bottom w:w="40" w:type="dxa"/>
              <w:right w:w="0" w:type="dxa"/>
            </w:tcMar>
            <w:vAlign w:val="bottom"/>
          </w:tcPr>
          <w:p w14:paraId="0B2FA3B4" w14:textId="77777777" w:rsidR="007F1775" w:rsidRDefault="000F083E">
            <w:pPr>
              <w:jc w:val="right"/>
              <w:textAlignment w:val="bottom"/>
            </w:pPr>
            <w:r>
              <w:rPr>
                <w:rFonts w:ascii="Times New Roman" w:eastAsia="宋体" w:hAnsi="Times New Roman"/>
                <w:color w:val="000000"/>
                <w:sz w:val="20"/>
                <w:szCs w:val="20"/>
              </w:rPr>
              <w:t>5,065 </w:t>
            </w:r>
          </w:p>
        </w:tc>
        <w:tc>
          <w:tcPr>
            <w:tcW w:w="0" w:type="auto"/>
            <w:shd w:val="clear" w:color="auto" w:fill="FFFFFF"/>
            <w:tcMar>
              <w:top w:w="40" w:type="dxa"/>
              <w:left w:w="0" w:type="dxa"/>
              <w:bottom w:w="40" w:type="dxa"/>
              <w:right w:w="20" w:type="dxa"/>
            </w:tcMar>
            <w:vAlign w:val="bottom"/>
          </w:tcPr>
          <w:p w14:paraId="0B2FA3B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B6"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B7" w14:textId="77777777" w:rsidR="007F1775" w:rsidRDefault="000F083E">
            <w:pPr>
              <w:jc w:val="right"/>
              <w:textAlignment w:val="bottom"/>
            </w:pPr>
            <w:r>
              <w:rPr>
                <w:rFonts w:ascii="Times New Roman" w:eastAsia="宋体" w:hAnsi="Times New Roman"/>
                <w:color w:val="000000"/>
                <w:sz w:val="20"/>
                <w:szCs w:val="20"/>
              </w:rPr>
              <w:t>1,650 </w:t>
            </w:r>
          </w:p>
        </w:tc>
        <w:tc>
          <w:tcPr>
            <w:tcW w:w="0" w:type="auto"/>
            <w:shd w:val="clear" w:color="auto" w:fill="FFFFFF"/>
            <w:tcMar>
              <w:top w:w="40" w:type="dxa"/>
              <w:left w:w="0" w:type="dxa"/>
              <w:bottom w:w="40" w:type="dxa"/>
              <w:right w:w="20" w:type="dxa"/>
            </w:tcMar>
            <w:vAlign w:val="bottom"/>
          </w:tcPr>
          <w:p w14:paraId="0B2FA3B8" w14:textId="77777777" w:rsidR="007F1775" w:rsidRDefault="007F1775">
            <w:pPr>
              <w:jc w:val="right"/>
              <w:rPr>
                <w:rFonts w:ascii="宋体"/>
              </w:rPr>
            </w:pPr>
          </w:p>
        </w:tc>
      </w:tr>
      <w:tr w:rsidR="007F1775" w14:paraId="0B2FA3C0" w14:textId="77777777">
        <w:trPr>
          <w:jc w:val="center"/>
        </w:trPr>
        <w:tc>
          <w:tcPr>
            <w:tcW w:w="0" w:type="auto"/>
            <w:gridSpan w:val="3"/>
            <w:shd w:val="clear" w:color="auto" w:fill="CCEEFF"/>
            <w:tcMar>
              <w:top w:w="40" w:type="dxa"/>
              <w:left w:w="200" w:type="dxa"/>
              <w:bottom w:w="40" w:type="dxa"/>
              <w:right w:w="20" w:type="dxa"/>
            </w:tcMar>
          </w:tcPr>
          <w:p w14:paraId="0B2FA3BA" w14:textId="77777777" w:rsidR="007F1775" w:rsidRDefault="000F083E">
            <w:pPr>
              <w:textAlignment w:val="top"/>
            </w:pPr>
            <w:r>
              <w:rPr>
                <w:rFonts w:ascii="Times New Roman" w:eastAsia="宋体" w:hAnsi="Times New Roman"/>
                <w:color w:val="000000"/>
                <w:sz w:val="20"/>
                <w:szCs w:val="20"/>
              </w:rPr>
              <w:t>Maturities of marketable securities</w:t>
            </w:r>
          </w:p>
        </w:tc>
        <w:tc>
          <w:tcPr>
            <w:tcW w:w="0" w:type="auto"/>
            <w:gridSpan w:val="2"/>
            <w:shd w:val="clear" w:color="auto" w:fill="CCEEFF"/>
            <w:tcMar>
              <w:top w:w="40" w:type="dxa"/>
              <w:left w:w="20" w:type="dxa"/>
              <w:bottom w:w="40" w:type="dxa"/>
              <w:right w:w="0" w:type="dxa"/>
            </w:tcMar>
            <w:vAlign w:val="bottom"/>
          </w:tcPr>
          <w:p w14:paraId="0B2FA3BB" w14:textId="77777777" w:rsidR="007F1775" w:rsidRDefault="000F083E">
            <w:pPr>
              <w:jc w:val="right"/>
              <w:textAlignment w:val="bottom"/>
            </w:pPr>
            <w:r>
              <w:rPr>
                <w:rFonts w:ascii="Times New Roman" w:eastAsia="宋体" w:hAnsi="Times New Roman"/>
                <w:color w:val="000000"/>
                <w:sz w:val="20"/>
                <w:szCs w:val="20"/>
              </w:rPr>
              <w:t>402 </w:t>
            </w:r>
          </w:p>
        </w:tc>
        <w:tc>
          <w:tcPr>
            <w:tcW w:w="0" w:type="auto"/>
            <w:shd w:val="clear" w:color="auto" w:fill="CCEEFF"/>
            <w:tcMar>
              <w:top w:w="40" w:type="dxa"/>
              <w:left w:w="0" w:type="dxa"/>
              <w:bottom w:w="40" w:type="dxa"/>
              <w:right w:w="20" w:type="dxa"/>
            </w:tcMar>
            <w:vAlign w:val="bottom"/>
          </w:tcPr>
          <w:p w14:paraId="0B2FA3B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BD"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BE" w14:textId="77777777" w:rsidR="007F1775" w:rsidRDefault="000F083E">
            <w:pPr>
              <w:jc w:val="right"/>
              <w:textAlignment w:val="bottom"/>
            </w:pPr>
            <w:r>
              <w:rPr>
                <w:rFonts w:ascii="Times New Roman" w:eastAsia="宋体" w:hAnsi="Times New Roman"/>
                <w:color w:val="000000"/>
                <w:sz w:val="20"/>
                <w:szCs w:val="20"/>
              </w:rPr>
              <w:t>3,981 </w:t>
            </w:r>
          </w:p>
        </w:tc>
        <w:tc>
          <w:tcPr>
            <w:tcW w:w="0" w:type="auto"/>
            <w:shd w:val="clear" w:color="auto" w:fill="CCEEFF"/>
            <w:tcMar>
              <w:top w:w="40" w:type="dxa"/>
              <w:left w:w="0" w:type="dxa"/>
              <w:bottom w:w="40" w:type="dxa"/>
              <w:right w:w="20" w:type="dxa"/>
            </w:tcMar>
            <w:vAlign w:val="bottom"/>
          </w:tcPr>
          <w:p w14:paraId="0B2FA3BF" w14:textId="77777777" w:rsidR="007F1775" w:rsidRDefault="007F1775">
            <w:pPr>
              <w:jc w:val="right"/>
              <w:rPr>
                <w:rFonts w:ascii="宋体"/>
              </w:rPr>
            </w:pPr>
          </w:p>
        </w:tc>
      </w:tr>
      <w:tr w:rsidR="007F1775" w14:paraId="0B2FA3C5" w14:textId="77777777">
        <w:trPr>
          <w:jc w:val="center"/>
          <w:hidden/>
        </w:trPr>
        <w:tc>
          <w:tcPr>
            <w:tcW w:w="0" w:type="auto"/>
            <w:gridSpan w:val="3"/>
            <w:shd w:val="clear" w:color="auto" w:fill="auto"/>
            <w:vAlign w:val="bottom"/>
          </w:tcPr>
          <w:p w14:paraId="0B2FA3C1" w14:textId="77777777" w:rsidR="007F1775" w:rsidRDefault="007F1775">
            <w:pPr>
              <w:rPr>
                <w:rFonts w:ascii="宋体"/>
                <w:vanish/>
              </w:rPr>
            </w:pPr>
          </w:p>
        </w:tc>
        <w:tc>
          <w:tcPr>
            <w:tcW w:w="0" w:type="auto"/>
            <w:gridSpan w:val="3"/>
            <w:shd w:val="clear" w:color="auto" w:fill="auto"/>
            <w:vAlign w:val="bottom"/>
          </w:tcPr>
          <w:p w14:paraId="0B2FA3C2" w14:textId="77777777" w:rsidR="007F1775" w:rsidRDefault="007F1775">
            <w:pPr>
              <w:rPr>
                <w:rFonts w:ascii="宋体"/>
                <w:vanish/>
              </w:rPr>
            </w:pPr>
          </w:p>
        </w:tc>
        <w:tc>
          <w:tcPr>
            <w:tcW w:w="0" w:type="auto"/>
            <w:gridSpan w:val="3"/>
            <w:shd w:val="clear" w:color="auto" w:fill="auto"/>
            <w:vAlign w:val="bottom"/>
          </w:tcPr>
          <w:p w14:paraId="0B2FA3C3" w14:textId="77777777" w:rsidR="007F1775" w:rsidRDefault="007F1775">
            <w:pPr>
              <w:rPr>
                <w:rFonts w:ascii="宋体"/>
                <w:vanish/>
              </w:rPr>
            </w:pPr>
          </w:p>
        </w:tc>
        <w:tc>
          <w:tcPr>
            <w:tcW w:w="0" w:type="auto"/>
            <w:gridSpan w:val="3"/>
            <w:shd w:val="clear" w:color="auto" w:fill="auto"/>
            <w:vAlign w:val="bottom"/>
          </w:tcPr>
          <w:p w14:paraId="0B2FA3C4" w14:textId="77777777" w:rsidR="007F1775" w:rsidRDefault="007F1775">
            <w:pPr>
              <w:rPr>
                <w:rFonts w:ascii="宋体"/>
                <w:vanish/>
              </w:rPr>
            </w:pPr>
          </w:p>
        </w:tc>
      </w:tr>
      <w:tr w:rsidR="007F1775" w14:paraId="0B2FA3CC" w14:textId="77777777">
        <w:trPr>
          <w:jc w:val="center"/>
        </w:trPr>
        <w:tc>
          <w:tcPr>
            <w:tcW w:w="0" w:type="auto"/>
            <w:gridSpan w:val="3"/>
            <w:shd w:val="clear" w:color="auto" w:fill="FFFFFF"/>
            <w:tcMar>
              <w:top w:w="40" w:type="dxa"/>
              <w:left w:w="200" w:type="dxa"/>
              <w:bottom w:w="40" w:type="dxa"/>
              <w:right w:w="20" w:type="dxa"/>
            </w:tcMar>
          </w:tcPr>
          <w:p w14:paraId="0B2FA3C6" w14:textId="77777777" w:rsidR="007F1775" w:rsidRDefault="000F083E">
            <w:pPr>
              <w:textAlignment w:val="top"/>
            </w:pPr>
            <w:r>
              <w:rPr>
                <w:rFonts w:ascii="Times New Roman" w:eastAsia="宋体" w:hAnsi="Times New Roman"/>
                <w:color w:val="000000"/>
                <w:sz w:val="20"/>
                <w:szCs w:val="20"/>
              </w:rPr>
              <w:t>Acquisitions of businesses and intangible assets</w:t>
            </w:r>
          </w:p>
        </w:tc>
        <w:tc>
          <w:tcPr>
            <w:tcW w:w="0" w:type="auto"/>
            <w:gridSpan w:val="2"/>
            <w:shd w:val="clear" w:color="auto" w:fill="FFFFFF"/>
            <w:tcMar>
              <w:top w:w="40" w:type="dxa"/>
              <w:left w:w="20" w:type="dxa"/>
              <w:bottom w:w="40" w:type="dxa"/>
              <w:right w:w="0" w:type="dxa"/>
            </w:tcMar>
            <w:vAlign w:val="bottom"/>
          </w:tcPr>
          <w:p w14:paraId="0B2FA3C7" w14:textId="77777777" w:rsidR="007F1775" w:rsidRDefault="000F083E">
            <w:pPr>
              <w:jc w:val="right"/>
              <w:textAlignment w:val="bottom"/>
            </w:pPr>
            <w:r>
              <w:rPr>
                <w:rFonts w:ascii="Times New Roman" w:eastAsia="宋体" w:hAnsi="Times New Roman"/>
                <w:color w:val="000000"/>
                <w:sz w:val="20"/>
                <w:szCs w:val="20"/>
              </w:rPr>
              <w:t>(853)</w:t>
            </w:r>
          </w:p>
        </w:tc>
        <w:tc>
          <w:tcPr>
            <w:tcW w:w="0" w:type="auto"/>
            <w:shd w:val="clear" w:color="auto" w:fill="FFFFFF"/>
            <w:tcMar>
              <w:top w:w="40" w:type="dxa"/>
              <w:left w:w="0" w:type="dxa"/>
              <w:bottom w:w="40" w:type="dxa"/>
              <w:right w:w="20" w:type="dxa"/>
            </w:tcMar>
            <w:vAlign w:val="bottom"/>
          </w:tcPr>
          <w:p w14:paraId="0B2FA3C8"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C9"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CA"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3CB" w14:textId="77777777" w:rsidR="007F1775" w:rsidRDefault="007F1775">
            <w:pPr>
              <w:jc w:val="right"/>
              <w:rPr>
                <w:rFonts w:ascii="宋体"/>
              </w:rPr>
            </w:pPr>
          </w:p>
        </w:tc>
      </w:tr>
      <w:tr w:rsidR="007F1775" w14:paraId="0B2FA3D3" w14:textId="77777777">
        <w:trPr>
          <w:jc w:val="center"/>
        </w:trPr>
        <w:tc>
          <w:tcPr>
            <w:tcW w:w="0" w:type="auto"/>
            <w:gridSpan w:val="3"/>
            <w:shd w:val="clear" w:color="auto" w:fill="CCEEFF"/>
            <w:tcMar>
              <w:top w:w="40" w:type="dxa"/>
              <w:left w:w="200" w:type="dxa"/>
              <w:bottom w:w="40" w:type="dxa"/>
              <w:right w:w="20" w:type="dxa"/>
            </w:tcMar>
          </w:tcPr>
          <w:p w14:paraId="0B2FA3CD" w14:textId="77777777" w:rsidR="007F1775" w:rsidRDefault="000F083E">
            <w:pPr>
              <w:textAlignment w:val="top"/>
            </w:pPr>
            <w:r>
              <w:rPr>
                <w:rFonts w:ascii="Times New Roman" w:eastAsia="宋体" w:hAnsi="Times New Roman"/>
                <w:color w:val="000000"/>
                <w:sz w:val="20"/>
                <w:szCs w:val="20"/>
              </w:rPr>
              <w:t xml:space="preserve">Other investing </w:t>
            </w:r>
            <w:r>
              <w:rPr>
                <w:rFonts w:ascii="Times New Roman" w:eastAsia="宋体" w:hAnsi="Times New Roman"/>
                <w:color w:val="000000"/>
                <w:sz w:val="20"/>
                <w:szCs w:val="20"/>
              </w:rPr>
              <w:t>activities</w:t>
            </w:r>
          </w:p>
        </w:tc>
        <w:tc>
          <w:tcPr>
            <w:tcW w:w="0" w:type="auto"/>
            <w:gridSpan w:val="2"/>
            <w:shd w:val="clear" w:color="auto" w:fill="CCEEFF"/>
            <w:tcMar>
              <w:top w:w="40" w:type="dxa"/>
              <w:left w:w="20" w:type="dxa"/>
              <w:bottom w:w="40" w:type="dxa"/>
              <w:right w:w="0" w:type="dxa"/>
            </w:tcMar>
            <w:vAlign w:val="bottom"/>
          </w:tcPr>
          <w:p w14:paraId="0B2FA3CE" w14:textId="77777777" w:rsidR="007F1775" w:rsidRDefault="000F083E">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0B2FA3C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D0"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D1" w14:textId="77777777" w:rsidR="007F1775" w:rsidRDefault="000F083E">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0B2FA3D2" w14:textId="77777777" w:rsidR="007F1775" w:rsidRDefault="007F1775">
            <w:pPr>
              <w:jc w:val="right"/>
              <w:rPr>
                <w:rFonts w:ascii="宋体"/>
              </w:rPr>
            </w:pPr>
          </w:p>
        </w:tc>
      </w:tr>
      <w:tr w:rsidR="007F1775" w14:paraId="0B2FA3DA" w14:textId="77777777">
        <w:trPr>
          <w:jc w:val="center"/>
        </w:trPr>
        <w:tc>
          <w:tcPr>
            <w:tcW w:w="0" w:type="auto"/>
            <w:gridSpan w:val="3"/>
            <w:shd w:val="clear" w:color="auto" w:fill="FFFFFF"/>
            <w:tcMar>
              <w:top w:w="40" w:type="dxa"/>
              <w:left w:w="560" w:type="dxa"/>
              <w:bottom w:w="40" w:type="dxa"/>
              <w:right w:w="20" w:type="dxa"/>
            </w:tcMar>
          </w:tcPr>
          <w:p w14:paraId="0B2FA3D4" w14:textId="77777777" w:rsidR="007F1775" w:rsidRDefault="000F083E">
            <w:pPr>
              <w:textAlignment w:val="top"/>
            </w:pPr>
            <w:r>
              <w:rPr>
                <w:rFonts w:ascii="Times New Roman" w:eastAsia="宋体" w:hAnsi="Times New Roman"/>
                <w:b/>
                <w:bCs/>
                <w:color w:val="000000"/>
                <w:sz w:val="20"/>
                <w:szCs w:val="20"/>
              </w:rPr>
              <w:t>Net cash used in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A3D5" w14:textId="77777777" w:rsidR="007F1775" w:rsidRDefault="000F083E">
            <w:pPr>
              <w:jc w:val="right"/>
              <w:textAlignment w:val="bottom"/>
            </w:pPr>
            <w:r>
              <w:rPr>
                <w:rFonts w:ascii="Times New Roman" w:eastAsia="宋体" w:hAnsi="Times New Roman"/>
                <w:color w:val="000000"/>
                <w:sz w:val="20"/>
                <w:szCs w:val="20"/>
              </w:rPr>
              <w:t>(4,779)</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3D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D7"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A3D8" w14:textId="77777777" w:rsidR="007F1775" w:rsidRDefault="000F083E">
            <w:pPr>
              <w:jc w:val="right"/>
              <w:textAlignment w:val="bottom"/>
            </w:pPr>
            <w:r>
              <w:rPr>
                <w:rFonts w:ascii="Times New Roman" w:eastAsia="宋体" w:hAnsi="Times New Roman"/>
                <w:color w:val="000000"/>
                <w:sz w:val="20"/>
                <w:szCs w:val="20"/>
              </w:rPr>
              <w:t>(4,874)</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3D9" w14:textId="77777777" w:rsidR="007F1775" w:rsidRDefault="007F1775">
            <w:pPr>
              <w:jc w:val="right"/>
              <w:rPr>
                <w:rFonts w:ascii="宋体"/>
              </w:rPr>
            </w:pPr>
          </w:p>
        </w:tc>
      </w:tr>
      <w:tr w:rsidR="007F1775" w14:paraId="0B2FA3DF" w14:textId="77777777">
        <w:trPr>
          <w:jc w:val="center"/>
        </w:trPr>
        <w:tc>
          <w:tcPr>
            <w:tcW w:w="0" w:type="auto"/>
            <w:gridSpan w:val="3"/>
            <w:shd w:val="clear" w:color="auto" w:fill="CCEEFF"/>
            <w:tcMar>
              <w:top w:w="40" w:type="dxa"/>
              <w:left w:w="20" w:type="dxa"/>
              <w:bottom w:w="40" w:type="dxa"/>
              <w:right w:w="20" w:type="dxa"/>
            </w:tcMar>
          </w:tcPr>
          <w:p w14:paraId="0B2FA3DB" w14:textId="77777777" w:rsidR="007F1775" w:rsidRDefault="000F083E">
            <w:pPr>
              <w:textAlignment w:val="top"/>
            </w:pPr>
            <w:r>
              <w:rPr>
                <w:rFonts w:ascii="Times New Roman" w:eastAsia="宋体" w:hAnsi="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bottom"/>
          </w:tcPr>
          <w:p w14:paraId="0B2FA3DC"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3DD"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3DE" w14:textId="77777777" w:rsidR="007F1775" w:rsidRDefault="007F1775">
            <w:pPr>
              <w:rPr>
                <w:rFonts w:ascii="宋体"/>
              </w:rPr>
            </w:pPr>
          </w:p>
        </w:tc>
      </w:tr>
      <w:tr w:rsidR="007F1775" w14:paraId="0B2FA3E6" w14:textId="77777777">
        <w:trPr>
          <w:jc w:val="center"/>
        </w:trPr>
        <w:tc>
          <w:tcPr>
            <w:tcW w:w="0" w:type="auto"/>
            <w:gridSpan w:val="3"/>
            <w:shd w:val="clear" w:color="auto" w:fill="FFFFFF"/>
            <w:tcMar>
              <w:top w:w="40" w:type="dxa"/>
              <w:left w:w="200" w:type="dxa"/>
              <w:bottom w:w="40" w:type="dxa"/>
              <w:right w:w="20" w:type="dxa"/>
            </w:tcMar>
          </w:tcPr>
          <w:p w14:paraId="0B2FA3E0" w14:textId="77777777" w:rsidR="007F1775" w:rsidRDefault="000F083E">
            <w:pPr>
              <w:textAlignment w:val="top"/>
            </w:pPr>
            <w:r>
              <w:rPr>
                <w:rFonts w:ascii="Times New Roman" w:eastAsia="宋体" w:hAnsi="Times New Roman"/>
                <w:color w:val="000000"/>
                <w:sz w:val="20"/>
                <w:szCs w:val="20"/>
              </w:rPr>
              <w:t>Taxes paid related to net share settlement of equity awards</w:t>
            </w:r>
          </w:p>
        </w:tc>
        <w:tc>
          <w:tcPr>
            <w:tcW w:w="0" w:type="auto"/>
            <w:gridSpan w:val="2"/>
            <w:shd w:val="clear" w:color="auto" w:fill="FFFFFF"/>
            <w:tcMar>
              <w:top w:w="40" w:type="dxa"/>
              <w:left w:w="20" w:type="dxa"/>
              <w:bottom w:w="40" w:type="dxa"/>
              <w:right w:w="0" w:type="dxa"/>
            </w:tcMar>
            <w:vAlign w:val="bottom"/>
          </w:tcPr>
          <w:p w14:paraId="0B2FA3E1" w14:textId="77777777" w:rsidR="007F1775" w:rsidRDefault="000F083E">
            <w:pPr>
              <w:jc w:val="right"/>
              <w:textAlignment w:val="bottom"/>
            </w:pPr>
            <w:r>
              <w:rPr>
                <w:rFonts w:ascii="Times New Roman" w:eastAsia="宋体" w:hAnsi="Times New Roman"/>
                <w:color w:val="000000"/>
                <w:sz w:val="20"/>
                <w:szCs w:val="20"/>
              </w:rPr>
              <w:t>(925)</w:t>
            </w:r>
          </w:p>
        </w:tc>
        <w:tc>
          <w:tcPr>
            <w:tcW w:w="0" w:type="auto"/>
            <w:shd w:val="clear" w:color="auto" w:fill="FFFFFF"/>
            <w:tcMar>
              <w:top w:w="40" w:type="dxa"/>
              <w:left w:w="0" w:type="dxa"/>
              <w:bottom w:w="40" w:type="dxa"/>
              <w:right w:w="20" w:type="dxa"/>
            </w:tcMar>
            <w:vAlign w:val="bottom"/>
          </w:tcPr>
          <w:p w14:paraId="0B2FA3E2"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E3"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E4" w14:textId="77777777" w:rsidR="007F1775" w:rsidRDefault="000F083E">
            <w:pPr>
              <w:jc w:val="right"/>
              <w:textAlignment w:val="bottom"/>
            </w:pPr>
            <w:r>
              <w:rPr>
                <w:rFonts w:ascii="Times New Roman" w:eastAsia="宋体" w:hAnsi="Times New Roman"/>
                <w:color w:val="000000"/>
                <w:sz w:val="20"/>
                <w:szCs w:val="20"/>
              </w:rPr>
              <w:t>(1,077)</w:t>
            </w:r>
          </w:p>
        </w:tc>
        <w:tc>
          <w:tcPr>
            <w:tcW w:w="0" w:type="auto"/>
            <w:shd w:val="clear" w:color="auto" w:fill="FFFFFF"/>
            <w:tcMar>
              <w:top w:w="40" w:type="dxa"/>
              <w:left w:w="0" w:type="dxa"/>
              <w:bottom w:w="40" w:type="dxa"/>
              <w:right w:w="20" w:type="dxa"/>
            </w:tcMar>
            <w:vAlign w:val="bottom"/>
          </w:tcPr>
          <w:p w14:paraId="0B2FA3E5" w14:textId="77777777" w:rsidR="007F1775" w:rsidRDefault="007F1775">
            <w:pPr>
              <w:jc w:val="right"/>
              <w:rPr>
                <w:rFonts w:ascii="宋体"/>
              </w:rPr>
            </w:pPr>
          </w:p>
        </w:tc>
      </w:tr>
      <w:tr w:rsidR="007F1775" w14:paraId="0B2FA3ED" w14:textId="77777777">
        <w:trPr>
          <w:jc w:val="center"/>
        </w:trPr>
        <w:tc>
          <w:tcPr>
            <w:tcW w:w="0" w:type="auto"/>
            <w:gridSpan w:val="3"/>
            <w:shd w:val="clear" w:color="auto" w:fill="CCEEFF"/>
            <w:tcMar>
              <w:top w:w="40" w:type="dxa"/>
              <w:left w:w="200" w:type="dxa"/>
              <w:bottom w:w="40" w:type="dxa"/>
              <w:right w:w="20" w:type="dxa"/>
            </w:tcMar>
          </w:tcPr>
          <w:p w14:paraId="0B2FA3E7" w14:textId="77777777" w:rsidR="007F1775" w:rsidRDefault="000F083E">
            <w:pPr>
              <w:textAlignment w:val="top"/>
            </w:pPr>
            <w:r>
              <w:rPr>
                <w:rFonts w:ascii="Times New Roman" w:eastAsia="宋体" w:hAnsi="Times New Roman"/>
                <w:color w:val="000000"/>
                <w:sz w:val="20"/>
                <w:szCs w:val="20"/>
              </w:rPr>
              <w:t>Repurchases of Class A common stock</w:t>
            </w:r>
          </w:p>
        </w:tc>
        <w:tc>
          <w:tcPr>
            <w:tcW w:w="0" w:type="auto"/>
            <w:gridSpan w:val="2"/>
            <w:shd w:val="clear" w:color="auto" w:fill="CCEEFF"/>
            <w:tcMar>
              <w:top w:w="40" w:type="dxa"/>
              <w:left w:w="20" w:type="dxa"/>
              <w:bottom w:w="40" w:type="dxa"/>
              <w:right w:w="0" w:type="dxa"/>
            </w:tcMar>
            <w:vAlign w:val="bottom"/>
          </w:tcPr>
          <w:p w14:paraId="0B2FA3E8" w14:textId="77777777" w:rsidR="007F1775" w:rsidRDefault="000F083E">
            <w:pPr>
              <w:jc w:val="right"/>
              <w:textAlignment w:val="bottom"/>
            </w:pPr>
            <w:r>
              <w:rPr>
                <w:rFonts w:ascii="Times New Roman" w:eastAsia="宋体" w:hAnsi="Times New Roman"/>
                <w:color w:val="000000"/>
                <w:sz w:val="20"/>
                <w:szCs w:val="20"/>
              </w:rPr>
              <w:t>(9,506)</w:t>
            </w:r>
          </w:p>
        </w:tc>
        <w:tc>
          <w:tcPr>
            <w:tcW w:w="0" w:type="auto"/>
            <w:shd w:val="clear" w:color="auto" w:fill="CCEEFF"/>
            <w:tcMar>
              <w:top w:w="40" w:type="dxa"/>
              <w:left w:w="0" w:type="dxa"/>
              <w:bottom w:w="40" w:type="dxa"/>
              <w:right w:w="20" w:type="dxa"/>
            </w:tcMar>
            <w:vAlign w:val="bottom"/>
          </w:tcPr>
          <w:p w14:paraId="0B2FA3E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EA"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EB" w14:textId="77777777" w:rsidR="007F1775" w:rsidRDefault="000F083E">
            <w:pPr>
              <w:jc w:val="right"/>
              <w:textAlignment w:val="bottom"/>
            </w:pPr>
            <w:r>
              <w:rPr>
                <w:rFonts w:ascii="Times New Roman" w:eastAsia="宋体" w:hAnsi="Times New Roman"/>
                <w:color w:val="000000"/>
                <w:sz w:val="20"/>
                <w:szCs w:val="20"/>
              </w:rPr>
              <w:t>(3,939)</w:t>
            </w:r>
          </w:p>
        </w:tc>
        <w:tc>
          <w:tcPr>
            <w:tcW w:w="0" w:type="auto"/>
            <w:shd w:val="clear" w:color="auto" w:fill="CCEEFF"/>
            <w:tcMar>
              <w:top w:w="40" w:type="dxa"/>
              <w:left w:w="0" w:type="dxa"/>
              <w:bottom w:w="40" w:type="dxa"/>
              <w:right w:w="20" w:type="dxa"/>
            </w:tcMar>
            <w:vAlign w:val="bottom"/>
          </w:tcPr>
          <w:p w14:paraId="0B2FA3EC" w14:textId="77777777" w:rsidR="007F1775" w:rsidRDefault="007F1775">
            <w:pPr>
              <w:jc w:val="right"/>
              <w:rPr>
                <w:rFonts w:ascii="宋体"/>
              </w:rPr>
            </w:pPr>
          </w:p>
        </w:tc>
      </w:tr>
      <w:tr w:rsidR="007F1775" w14:paraId="0B2FA3F4" w14:textId="77777777">
        <w:trPr>
          <w:jc w:val="center"/>
        </w:trPr>
        <w:tc>
          <w:tcPr>
            <w:tcW w:w="0" w:type="auto"/>
            <w:gridSpan w:val="3"/>
            <w:shd w:val="clear" w:color="auto" w:fill="FFFFFF"/>
            <w:tcMar>
              <w:top w:w="40" w:type="dxa"/>
              <w:left w:w="200" w:type="dxa"/>
              <w:bottom w:w="40" w:type="dxa"/>
              <w:right w:w="20" w:type="dxa"/>
            </w:tcMar>
          </w:tcPr>
          <w:p w14:paraId="0B2FA3EE" w14:textId="77777777" w:rsidR="007F1775" w:rsidRDefault="000F083E">
            <w:pPr>
              <w:textAlignment w:val="top"/>
            </w:pPr>
            <w:r>
              <w:rPr>
                <w:rFonts w:ascii="Times New Roman" w:eastAsia="宋体" w:hAnsi="Times New Roman"/>
                <w:color w:val="000000"/>
                <w:sz w:val="20"/>
                <w:szCs w:val="20"/>
              </w:rPr>
              <w:t>Principal payments on finance leases</w:t>
            </w:r>
          </w:p>
        </w:tc>
        <w:tc>
          <w:tcPr>
            <w:tcW w:w="0" w:type="auto"/>
            <w:gridSpan w:val="2"/>
            <w:shd w:val="clear" w:color="auto" w:fill="FFFFFF"/>
            <w:tcMar>
              <w:top w:w="40" w:type="dxa"/>
              <w:left w:w="20" w:type="dxa"/>
              <w:bottom w:w="40" w:type="dxa"/>
              <w:right w:w="0" w:type="dxa"/>
            </w:tcMar>
            <w:vAlign w:val="bottom"/>
          </w:tcPr>
          <w:p w14:paraId="0B2FA3EF" w14:textId="77777777" w:rsidR="007F1775" w:rsidRDefault="000F083E">
            <w:pPr>
              <w:jc w:val="right"/>
              <w:textAlignment w:val="bottom"/>
            </w:pPr>
            <w:r>
              <w:rPr>
                <w:rFonts w:ascii="Times New Roman" w:eastAsia="宋体" w:hAnsi="Times New Roman"/>
                <w:color w:val="000000"/>
                <w:sz w:val="20"/>
                <w:szCs w:val="20"/>
              </w:rPr>
              <w:t>(233)</w:t>
            </w:r>
          </w:p>
        </w:tc>
        <w:tc>
          <w:tcPr>
            <w:tcW w:w="0" w:type="auto"/>
            <w:shd w:val="clear" w:color="auto" w:fill="FFFFFF"/>
            <w:tcMar>
              <w:top w:w="40" w:type="dxa"/>
              <w:left w:w="0" w:type="dxa"/>
              <w:bottom w:w="40" w:type="dxa"/>
              <w:right w:w="20" w:type="dxa"/>
            </w:tcMar>
            <w:vAlign w:val="bottom"/>
          </w:tcPr>
          <w:p w14:paraId="0B2FA3F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F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3F2" w14:textId="77777777" w:rsidR="007F1775" w:rsidRDefault="000F083E">
            <w:pPr>
              <w:jc w:val="right"/>
              <w:textAlignment w:val="bottom"/>
            </w:pPr>
            <w:r>
              <w:rPr>
                <w:rFonts w:ascii="Times New Roman" w:eastAsia="宋体" w:hAnsi="Times New Roman"/>
                <w:color w:val="000000"/>
                <w:sz w:val="20"/>
                <w:szCs w:val="20"/>
              </w:rPr>
              <w:t>(151)</w:t>
            </w:r>
          </w:p>
        </w:tc>
        <w:tc>
          <w:tcPr>
            <w:tcW w:w="0" w:type="auto"/>
            <w:shd w:val="clear" w:color="auto" w:fill="FFFFFF"/>
            <w:tcMar>
              <w:top w:w="40" w:type="dxa"/>
              <w:left w:w="0" w:type="dxa"/>
              <w:bottom w:w="40" w:type="dxa"/>
              <w:right w:w="20" w:type="dxa"/>
            </w:tcMar>
            <w:vAlign w:val="bottom"/>
          </w:tcPr>
          <w:p w14:paraId="0B2FA3F3" w14:textId="77777777" w:rsidR="007F1775" w:rsidRDefault="007F1775">
            <w:pPr>
              <w:jc w:val="right"/>
              <w:rPr>
                <w:rFonts w:ascii="宋体"/>
              </w:rPr>
            </w:pPr>
          </w:p>
        </w:tc>
      </w:tr>
      <w:tr w:rsidR="007F1775" w14:paraId="0B2FA3FB" w14:textId="77777777">
        <w:trPr>
          <w:jc w:val="center"/>
        </w:trPr>
        <w:tc>
          <w:tcPr>
            <w:tcW w:w="0" w:type="auto"/>
            <w:gridSpan w:val="3"/>
            <w:shd w:val="clear" w:color="auto" w:fill="CCEEFF"/>
            <w:tcMar>
              <w:top w:w="40" w:type="dxa"/>
              <w:left w:w="200" w:type="dxa"/>
              <w:bottom w:w="40" w:type="dxa"/>
              <w:right w:w="20" w:type="dxa"/>
            </w:tcMar>
          </w:tcPr>
          <w:p w14:paraId="0B2FA3F5" w14:textId="77777777" w:rsidR="007F1775" w:rsidRDefault="000F083E">
            <w:pPr>
              <w:textAlignment w:val="top"/>
            </w:pPr>
            <w:r>
              <w:rPr>
                <w:rFonts w:ascii="Times New Roman" w:eastAsia="宋体" w:hAnsi="Times New Roman"/>
                <w:color w:val="000000"/>
                <w:sz w:val="20"/>
                <w:szCs w:val="20"/>
              </w:rPr>
              <w:t>Net change in overdraft in cash pooling entities</w:t>
            </w:r>
          </w:p>
        </w:tc>
        <w:tc>
          <w:tcPr>
            <w:tcW w:w="0" w:type="auto"/>
            <w:gridSpan w:val="2"/>
            <w:shd w:val="clear" w:color="auto" w:fill="CCEEFF"/>
            <w:tcMar>
              <w:top w:w="40" w:type="dxa"/>
              <w:left w:w="20" w:type="dxa"/>
              <w:bottom w:w="40" w:type="dxa"/>
              <w:right w:w="0" w:type="dxa"/>
            </w:tcMar>
            <w:vAlign w:val="bottom"/>
          </w:tcPr>
          <w:p w14:paraId="0B2FA3F6" w14:textId="77777777" w:rsidR="007F1775" w:rsidRDefault="000F083E">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0B2FA3F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3F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3F9" w14:textId="77777777" w:rsidR="007F1775" w:rsidRDefault="000F083E">
            <w:pPr>
              <w:jc w:val="right"/>
              <w:textAlignment w:val="bottom"/>
            </w:pPr>
            <w:r>
              <w:rPr>
                <w:rFonts w:ascii="Times New Roman" w:eastAsia="宋体" w:hAnsi="Times New Roman"/>
                <w:color w:val="000000"/>
                <w:sz w:val="20"/>
                <w:szCs w:val="20"/>
              </w:rPr>
              <w:t>(50)</w:t>
            </w:r>
          </w:p>
        </w:tc>
        <w:tc>
          <w:tcPr>
            <w:tcW w:w="0" w:type="auto"/>
            <w:shd w:val="clear" w:color="auto" w:fill="CCEEFF"/>
            <w:tcMar>
              <w:top w:w="40" w:type="dxa"/>
              <w:left w:w="0" w:type="dxa"/>
              <w:bottom w:w="40" w:type="dxa"/>
              <w:right w:w="20" w:type="dxa"/>
            </w:tcMar>
            <w:vAlign w:val="bottom"/>
          </w:tcPr>
          <w:p w14:paraId="0B2FA3FA" w14:textId="77777777" w:rsidR="007F1775" w:rsidRDefault="007F1775">
            <w:pPr>
              <w:jc w:val="right"/>
              <w:rPr>
                <w:rFonts w:ascii="宋体"/>
              </w:rPr>
            </w:pPr>
          </w:p>
        </w:tc>
      </w:tr>
      <w:tr w:rsidR="007F1775" w14:paraId="0B2FA402" w14:textId="77777777">
        <w:trPr>
          <w:jc w:val="center"/>
        </w:trPr>
        <w:tc>
          <w:tcPr>
            <w:tcW w:w="0" w:type="auto"/>
            <w:gridSpan w:val="3"/>
            <w:shd w:val="clear" w:color="auto" w:fill="FFFFFF"/>
            <w:tcMar>
              <w:top w:w="40" w:type="dxa"/>
              <w:left w:w="200" w:type="dxa"/>
              <w:bottom w:w="40" w:type="dxa"/>
              <w:right w:w="20" w:type="dxa"/>
            </w:tcMar>
          </w:tcPr>
          <w:p w14:paraId="0B2FA3FC" w14:textId="77777777" w:rsidR="007F1775" w:rsidRDefault="000F083E">
            <w:pPr>
              <w:textAlignment w:val="top"/>
            </w:pPr>
            <w:r>
              <w:rPr>
                <w:rFonts w:ascii="Times New Roman" w:eastAsia="宋体" w:hAnsi="Times New Roman"/>
                <w:color w:val="000000"/>
                <w:sz w:val="20"/>
                <w:szCs w:val="20"/>
              </w:rPr>
              <w:t>Other financing activities</w:t>
            </w:r>
          </w:p>
        </w:tc>
        <w:tc>
          <w:tcPr>
            <w:tcW w:w="0" w:type="auto"/>
            <w:gridSpan w:val="2"/>
            <w:shd w:val="clear" w:color="auto" w:fill="FFFFFF"/>
            <w:tcMar>
              <w:top w:w="40" w:type="dxa"/>
              <w:left w:w="20" w:type="dxa"/>
              <w:bottom w:w="40" w:type="dxa"/>
              <w:right w:w="0" w:type="dxa"/>
            </w:tcMar>
            <w:vAlign w:val="bottom"/>
          </w:tcPr>
          <w:p w14:paraId="0B2FA3FD" w14:textId="77777777" w:rsidR="007F1775" w:rsidRDefault="000F083E">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0B2FA3F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3F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400" w14:textId="77777777" w:rsidR="007F1775" w:rsidRDefault="000F083E">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0B2FA401" w14:textId="77777777" w:rsidR="007F1775" w:rsidRDefault="007F1775">
            <w:pPr>
              <w:jc w:val="right"/>
              <w:rPr>
                <w:rFonts w:ascii="宋体"/>
              </w:rPr>
            </w:pPr>
          </w:p>
        </w:tc>
      </w:tr>
      <w:tr w:rsidR="007F1775" w14:paraId="0B2FA409" w14:textId="77777777">
        <w:trPr>
          <w:jc w:val="center"/>
        </w:trPr>
        <w:tc>
          <w:tcPr>
            <w:tcW w:w="0" w:type="auto"/>
            <w:gridSpan w:val="3"/>
            <w:shd w:val="clear" w:color="auto" w:fill="CCEEFF"/>
            <w:tcMar>
              <w:top w:w="40" w:type="dxa"/>
              <w:left w:w="560" w:type="dxa"/>
              <w:bottom w:w="40" w:type="dxa"/>
              <w:right w:w="20" w:type="dxa"/>
            </w:tcMar>
          </w:tcPr>
          <w:p w14:paraId="0B2FA403" w14:textId="77777777" w:rsidR="007F1775" w:rsidRDefault="000F083E">
            <w:pPr>
              <w:textAlignment w:val="top"/>
            </w:pPr>
            <w:r>
              <w:rPr>
                <w:rFonts w:ascii="Times New Roman" w:eastAsia="宋体" w:hAnsi="Times New Roman"/>
                <w:b/>
                <w:bCs/>
                <w:color w:val="000000"/>
                <w:sz w:val="20"/>
                <w:szCs w:val="20"/>
              </w:rPr>
              <w:t>Net cash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404" w14:textId="77777777" w:rsidR="007F1775" w:rsidRDefault="000F083E">
            <w:pPr>
              <w:jc w:val="right"/>
              <w:textAlignment w:val="bottom"/>
            </w:pPr>
            <w:r>
              <w:rPr>
                <w:rFonts w:ascii="Times New Roman" w:eastAsia="宋体" w:hAnsi="Times New Roman"/>
                <w:color w:val="000000"/>
                <w:sz w:val="20"/>
                <w:szCs w:val="20"/>
              </w:rPr>
              <w:t>(10,660)</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40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406"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407" w14:textId="77777777" w:rsidR="007F1775" w:rsidRDefault="000F083E">
            <w:pPr>
              <w:jc w:val="right"/>
              <w:textAlignment w:val="bottom"/>
            </w:pPr>
            <w:r>
              <w:rPr>
                <w:rFonts w:ascii="Times New Roman" w:eastAsia="宋体" w:hAnsi="Times New Roman"/>
                <w:color w:val="000000"/>
                <w:sz w:val="20"/>
                <w:szCs w:val="20"/>
              </w:rPr>
              <w:t>(5,185)</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408" w14:textId="77777777" w:rsidR="007F1775" w:rsidRDefault="007F1775">
            <w:pPr>
              <w:jc w:val="right"/>
              <w:rPr>
                <w:rFonts w:ascii="宋体"/>
              </w:rPr>
            </w:pPr>
          </w:p>
        </w:tc>
      </w:tr>
      <w:tr w:rsidR="007F1775" w14:paraId="0B2FA410" w14:textId="77777777">
        <w:trPr>
          <w:jc w:val="center"/>
        </w:trPr>
        <w:tc>
          <w:tcPr>
            <w:tcW w:w="0" w:type="auto"/>
            <w:gridSpan w:val="3"/>
            <w:shd w:val="clear" w:color="auto" w:fill="FFFFFF"/>
            <w:tcMar>
              <w:top w:w="40" w:type="dxa"/>
              <w:left w:w="20" w:type="dxa"/>
              <w:bottom w:w="40" w:type="dxa"/>
              <w:right w:w="20" w:type="dxa"/>
            </w:tcMar>
          </w:tcPr>
          <w:p w14:paraId="0B2FA40A" w14:textId="77777777" w:rsidR="007F1775" w:rsidRDefault="000F083E">
            <w:pPr>
              <w:textAlignment w:val="top"/>
            </w:pPr>
            <w:r>
              <w:rPr>
                <w:rFonts w:ascii="Times New Roman" w:eastAsia="宋体" w:hAnsi="Times New Roman"/>
                <w:color w:val="000000"/>
                <w:sz w:val="20"/>
                <w:szCs w:val="20"/>
              </w:rPr>
              <w:t xml:space="preserve">Effect of exchange rate </w:t>
            </w:r>
            <w:r>
              <w:rPr>
                <w:rFonts w:ascii="Times New Roman" w:eastAsia="宋体" w:hAnsi="Times New Roman"/>
                <w:color w:val="000000"/>
                <w:sz w:val="20"/>
                <w:szCs w:val="20"/>
              </w:rPr>
              <w:t>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A40B" w14:textId="77777777" w:rsidR="007F1775" w:rsidRDefault="000F083E">
            <w:pPr>
              <w:jc w:val="right"/>
              <w:textAlignment w:val="bottom"/>
            </w:pPr>
            <w:r>
              <w:rPr>
                <w:rFonts w:ascii="Times New Roman" w:eastAsia="宋体" w:hAnsi="Times New Roman"/>
                <w:color w:val="000000"/>
                <w:sz w:val="20"/>
                <w:szCs w:val="20"/>
              </w:rPr>
              <w:t>(149)</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40C"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40D"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A40E" w14:textId="77777777" w:rsidR="007F1775" w:rsidRDefault="000F083E">
            <w:pPr>
              <w:jc w:val="right"/>
              <w:textAlignment w:val="bottom"/>
            </w:pPr>
            <w:r>
              <w:rPr>
                <w:rFonts w:ascii="Times New Roman" w:eastAsia="宋体" w:hAnsi="Times New Roman"/>
                <w:color w:val="000000"/>
                <w:sz w:val="20"/>
                <w:szCs w:val="20"/>
              </w:rPr>
              <w:t>(246)</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40F" w14:textId="77777777" w:rsidR="007F1775" w:rsidRDefault="007F1775">
            <w:pPr>
              <w:jc w:val="right"/>
              <w:rPr>
                <w:rFonts w:ascii="宋体"/>
              </w:rPr>
            </w:pPr>
          </w:p>
        </w:tc>
      </w:tr>
      <w:tr w:rsidR="007F1775" w14:paraId="0B2FA417" w14:textId="77777777">
        <w:trPr>
          <w:jc w:val="center"/>
        </w:trPr>
        <w:tc>
          <w:tcPr>
            <w:tcW w:w="0" w:type="auto"/>
            <w:gridSpan w:val="3"/>
            <w:shd w:val="clear" w:color="auto" w:fill="CCEEFF"/>
            <w:tcMar>
              <w:top w:w="40" w:type="dxa"/>
              <w:left w:w="20" w:type="dxa"/>
              <w:bottom w:w="40" w:type="dxa"/>
              <w:right w:w="20" w:type="dxa"/>
            </w:tcMar>
          </w:tcPr>
          <w:p w14:paraId="0B2FA411" w14:textId="77777777" w:rsidR="007F1775" w:rsidRDefault="000F083E">
            <w:pPr>
              <w:textAlignment w:val="top"/>
            </w:pPr>
            <w:r>
              <w:rPr>
                <w:rFonts w:ascii="Times New Roman" w:eastAsia="宋体" w:hAnsi="Times New Roman"/>
                <w:color w:val="000000"/>
                <w:sz w:val="20"/>
                <w:szCs w:val="20"/>
              </w:rPr>
              <w:t>Net increase (decrease)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412" w14:textId="77777777" w:rsidR="007F1775" w:rsidRDefault="000F083E">
            <w:pPr>
              <w:jc w:val="right"/>
              <w:textAlignment w:val="bottom"/>
            </w:pPr>
            <w:r>
              <w:rPr>
                <w:rFonts w:ascii="Times New Roman" w:eastAsia="宋体" w:hAnsi="Times New Roman"/>
                <w:color w:val="000000"/>
                <w:sz w:val="20"/>
                <w:szCs w:val="20"/>
              </w:rPr>
              <w:t>(1,512)</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41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414"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415" w14:textId="77777777" w:rsidR="007F1775" w:rsidRDefault="000F083E">
            <w:pPr>
              <w:jc w:val="right"/>
              <w:textAlignment w:val="bottom"/>
            </w:pPr>
            <w:r>
              <w:rPr>
                <w:rFonts w:ascii="Times New Roman" w:eastAsia="宋体" w:hAnsi="Times New Roman"/>
                <w:color w:val="000000"/>
                <w:sz w:val="20"/>
                <w:szCs w:val="20"/>
              </w:rPr>
              <w:t>1,937 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416" w14:textId="77777777" w:rsidR="007F1775" w:rsidRDefault="007F1775">
            <w:pPr>
              <w:jc w:val="right"/>
              <w:rPr>
                <w:rFonts w:ascii="宋体"/>
              </w:rPr>
            </w:pPr>
          </w:p>
        </w:tc>
      </w:tr>
      <w:tr w:rsidR="007F1775" w14:paraId="0B2FA41E" w14:textId="77777777">
        <w:trPr>
          <w:jc w:val="center"/>
        </w:trPr>
        <w:tc>
          <w:tcPr>
            <w:tcW w:w="0" w:type="auto"/>
            <w:gridSpan w:val="3"/>
            <w:shd w:val="clear" w:color="auto" w:fill="FFFFFF"/>
            <w:tcMar>
              <w:top w:w="40" w:type="dxa"/>
              <w:left w:w="20" w:type="dxa"/>
              <w:bottom w:w="40" w:type="dxa"/>
              <w:right w:w="20" w:type="dxa"/>
            </w:tcMar>
          </w:tcPr>
          <w:p w14:paraId="0B2FA418" w14:textId="77777777" w:rsidR="007F1775" w:rsidRDefault="000F083E">
            <w:pPr>
              <w:textAlignment w:val="top"/>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FFFFFF"/>
            <w:tcMar>
              <w:top w:w="40" w:type="dxa"/>
              <w:left w:w="20" w:type="dxa"/>
              <w:bottom w:w="40" w:type="dxa"/>
              <w:right w:w="0" w:type="dxa"/>
            </w:tcMar>
            <w:vAlign w:val="bottom"/>
          </w:tcPr>
          <w:p w14:paraId="0B2FA419" w14:textId="77777777" w:rsidR="007F1775" w:rsidRDefault="000F083E">
            <w:pPr>
              <w:jc w:val="right"/>
              <w:textAlignment w:val="bottom"/>
            </w:pPr>
            <w:r>
              <w:rPr>
                <w:rFonts w:ascii="Times New Roman" w:eastAsia="宋体" w:hAnsi="Times New Roman"/>
                <w:color w:val="000000"/>
                <w:sz w:val="20"/>
                <w:szCs w:val="20"/>
              </w:rPr>
              <w:t>16,865 </w:t>
            </w:r>
          </w:p>
        </w:tc>
        <w:tc>
          <w:tcPr>
            <w:tcW w:w="0" w:type="auto"/>
            <w:shd w:val="clear" w:color="auto" w:fill="FFFFFF"/>
            <w:tcMar>
              <w:top w:w="40" w:type="dxa"/>
              <w:left w:w="0" w:type="dxa"/>
              <w:bottom w:w="40" w:type="dxa"/>
              <w:right w:w="20" w:type="dxa"/>
            </w:tcMar>
            <w:vAlign w:val="bottom"/>
          </w:tcPr>
          <w:p w14:paraId="0B2FA41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41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41C" w14:textId="77777777" w:rsidR="007F1775" w:rsidRDefault="000F083E">
            <w:pPr>
              <w:jc w:val="right"/>
              <w:textAlignment w:val="bottom"/>
            </w:pPr>
            <w:r>
              <w:rPr>
                <w:rFonts w:ascii="Times New Roman" w:eastAsia="宋体" w:hAnsi="Times New Roman"/>
                <w:color w:val="000000"/>
                <w:sz w:val="20"/>
                <w:szCs w:val="20"/>
              </w:rPr>
              <w:t>17,954 </w:t>
            </w:r>
          </w:p>
        </w:tc>
        <w:tc>
          <w:tcPr>
            <w:tcW w:w="0" w:type="auto"/>
            <w:shd w:val="clear" w:color="auto" w:fill="FFFFFF"/>
            <w:tcMar>
              <w:top w:w="40" w:type="dxa"/>
              <w:left w:w="0" w:type="dxa"/>
              <w:bottom w:w="40" w:type="dxa"/>
              <w:right w:w="20" w:type="dxa"/>
            </w:tcMar>
            <w:vAlign w:val="bottom"/>
          </w:tcPr>
          <w:p w14:paraId="0B2FA41D" w14:textId="77777777" w:rsidR="007F1775" w:rsidRDefault="007F1775">
            <w:pPr>
              <w:jc w:val="right"/>
              <w:rPr>
                <w:rFonts w:ascii="宋体"/>
              </w:rPr>
            </w:pPr>
          </w:p>
        </w:tc>
      </w:tr>
      <w:tr w:rsidR="007F1775" w14:paraId="0B2FA427" w14:textId="77777777">
        <w:trPr>
          <w:jc w:val="center"/>
        </w:trPr>
        <w:tc>
          <w:tcPr>
            <w:tcW w:w="0" w:type="auto"/>
            <w:gridSpan w:val="3"/>
            <w:shd w:val="clear" w:color="auto" w:fill="CCEEFF"/>
            <w:tcMar>
              <w:top w:w="40" w:type="dxa"/>
              <w:left w:w="20" w:type="dxa"/>
              <w:bottom w:w="40" w:type="dxa"/>
              <w:right w:w="20" w:type="dxa"/>
            </w:tcMar>
          </w:tcPr>
          <w:p w14:paraId="0B2FA41F" w14:textId="77777777" w:rsidR="007F1775" w:rsidRDefault="000F083E">
            <w:pPr>
              <w:textAlignment w:val="top"/>
            </w:pPr>
            <w:r>
              <w:rPr>
                <w:rFonts w:ascii="Times New Roman" w:eastAsia="宋体" w:hAnsi="Times New Roman"/>
                <w:b/>
                <w:bCs/>
                <w:color w:val="000000"/>
                <w:sz w:val="20"/>
                <w:szCs w:val="20"/>
              </w:rPr>
              <w:t>Cash, cash equivalents, and restricted cash at end of the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A420"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421" w14:textId="77777777" w:rsidR="007F1775" w:rsidRDefault="000F083E">
            <w:pPr>
              <w:jc w:val="right"/>
              <w:textAlignment w:val="bottom"/>
            </w:pPr>
            <w:r>
              <w:rPr>
                <w:rFonts w:ascii="Times New Roman" w:eastAsia="宋体" w:hAnsi="Times New Roman"/>
                <w:color w:val="000000"/>
                <w:sz w:val="20"/>
                <w:szCs w:val="20"/>
              </w:rPr>
              <w:t>15,353 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42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423"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424"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425" w14:textId="77777777" w:rsidR="007F1775" w:rsidRDefault="000F083E">
            <w:pPr>
              <w:jc w:val="right"/>
              <w:textAlignment w:val="bottom"/>
            </w:pPr>
            <w:r>
              <w:rPr>
                <w:rFonts w:ascii="Times New Roman" w:eastAsia="宋体" w:hAnsi="Times New Roman"/>
                <w:color w:val="000000"/>
                <w:sz w:val="20"/>
                <w:szCs w:val="20"/>
              </w:rPr>
              <w:t>19,891 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426" w14:textId="77777777" w:rsidR="007F1775" w:rsidRDefault="007F1775">
            <w:pPr>
              <w:jc w:val="right"/>
              <w:rPr>
                <w:rFonts w:ascii="宋体"/>
              </w:rPr>
            </w:pPr>
          </w:p>
        </w:tc>
      </w:tr>
      <w:tr w:rsidR="007F1775" w14:paraId="0B2FA42C" w14:textId="77777777">
        <w:trPr>
          <w:trHeight w:val="100"/>
          <w:jc w:val="center"/>
        </w:trPr>
        <w:tc>
          <w:tcPr>
            <w:tcW w:w="0" w:type="auto"/>
            <w:gridSpan w:val="3"/>
            <w:shd w:val="clear" w:color="auto" w:fill="FFFFFF"/>
            <w:tcMar>
              <w:top w:w="0" w:type="dxa"/>
              <w:left w:w="20" w:type="dxa"/>
              <w:bottom w:w="0" w:type="dxa"/>
              <w:right w:w="20" w:type="dxa"/>
            </w:tcMar>
            <w:vAlign w:val="bottom"/>
          </w:tcPr>
          <w:p w14:paraId="0B2FA428" w14:textId="77777777" w:rsidR="007F1775" w:rsidRDefault="007F177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B2FA429"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42A" w14:textId="77777777" w:rsidR="007F1775" w:rsidRDefault="007F177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B2FA42B" w14:textId="77777777" w:rsidR="007F1775" w:rsidRDefault="007F1775">
            <w:pPr>
              <w:rPr>
                <w:rFonts w:ascii="宋体"/>
              </w:rPr>
            </w:pPr>
          </w:p>
        </w:tc>
      </w:tr>
      <w:tr w:rsidR="007F1775" w14:paraId="0B2FA431" w14:textId="77777777">
        <w:trPr>
          <w:jc w:val="center"/>
        </w:trPr>
        <w:tc>
          <w:tcPr>
            <w:tcW w:w="0" w:type="auto"/>
            <w:gridSpan w:val="3"/>
            <w:shd w:val="clear" w:color="auto" w:fill="CCEEFF"/>
            <w:tcMar>
              <w:top w:w="40" w:type="dxa"/>
              <w:left w:w="20" w:type="dxa"/>
              <w:bottom w:w="40" w:type="dxa"/>
              <w:right w:w="20" w:type="dxa"/>
            </w:tcMar>
            <w:vAlign w:val="bottom"/>
          </w:tcPr>
          <w:p w14:paraId="0B2FA42D" w14:textId="77777777" w:rsidR="007F1775" w:rsidRDefault="000F083E">
            <w:pPr>
              <w:textAlignment w:val="bottom"/>
            </w:pPr>
            <w:r>
              <w:rPr>
                <w:rFonts w:ascii="Times New Roman" w:eastAsia="宋体" w:hAnsi="Times New Roman"/>
                <w:b/>
                <w:bCs/>
                <w:color w:val="000000"/>
                <w:sz w:val="20"/>
                <w:szCs w:val="20"/>
              </w:rPr>
              <w:t>Reconciliation of cash, cash equivalents, and restricted cash to the condensed consolidated balance sheets</w:t>
            </w:r>
          </w:p>
        </w:tc>
        <w:tc>
          <w:tcPr>
            <w:tcW w:w="0" w:type="auto"/>
            <w:gridSpan w:val="3"/>
            <w:shd w:val="clear" w:color="auto" w:fill="CCEEFF"/>
            <w:tcMar>
              <w:top w:w="0" w:type="dxa"/>
              <w:left w:w="20" w:type="dxa"/>
              <w:bottom w:w="0" w:type="dxa"/>
              <w:right w:w="20" w:type="dxa"/>
            </w:tcMar>
            <w:vAlign w:val="bottom"/>
          </w:tcPr>
          <w:p w14:paraId="0B2FA42E"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42F"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430" w14:textId="77777777" w:rsidR="007F1775" w:rsidRDefault="007F1775">
            <w:pPr>
              <w:rPr>
                <w:rFonts w:ascii="宋体"/>
              </w:rPr>
            </w:pPr>
          </w:p>
        </w:tc>
      </w:tr>
      <w:tr w:rsidR="007F1775" w14:paraId="0B2FA43A" w14:textId="77777777">
        <w:trPr>
          <w:jc w:val="center"/>
        </w:trPr>
        <w:tc>
          <w:tcPr>
            <w:tcW w:w="0" w:type="auto"/>
            <w:gridSpan w:val="3"/>
            <w:shd w:val="clear" w:color="auto" w:fill="FFFFFF"/>
            <w:tcMar>
              <w:top w:w="40" w:type="dxa"/>
              <w:left w:w="200" w:type="dxa"/>
              <w:bottom w:w="40" w:type="dxa"/>
              <w:right w:w="20" w:type="dxa"/>
            </w:tcMar>
          </w:tcPr>
          <w:p w14:paraId="0B2FA432" w14:textId="77777777" w:rsidR="007F1775" w:rsidRDefault="000F083E">
            <w:pPr>
              <w:textAlignment w:val="top"/>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0B2FA433"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434" w14:textId="77777777" w:rsidR="007F1775" w:rsidRDefault="000F083E">
            <w:pPr>
              <w:jc w:val="right"/>
              <w:textAlignment w:val="bottom"/>
            </w:pPr>
            <w:r>
              <w:rPr>
                <w:rFonts w:ascii="Times New Roman" w:eastAsia="宋体" w:hAnsi="Times New Roman"/>
                <w:color w:val="000000"/>
                <w:sz w:val="20"/>
                <w:szCs w:val="20"/>
              </w:rPr>
              <w:t>14,886 </w:t>
            </w:r>
          </w:p>
        </w:tc>
        <w:tc>
          <w:tcPr>
            <w:tcW w:w="0" w:type="auto"/>
            <w:shd w:val="clear" w:color="auto" w:fill="FFFFFF"/>
            <w:tcMar>
              <w:top w:w="40" w:type="dxa"/>
              <w:left w:w="0" w:type="dxa"/>
              <w:bottom w:w="40" w:type="dxa"/>
              <w:right w:w="20" w:type="dxa"/>
            </w:tcMar>
            <w:vAlign w:val="bottom"/>
          </w:tcPr>
          <w:p w14:paraId="0B2FA43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436"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437"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438" w14:textId="77777777" w:rsidR="007F1775" w:rsidRDefault="000F083E">
            <w:pPr>
              <w:jc w:val="right"/>
              <w:textAlignment w:val="bottom"/>
            </w:pPr>
            <w:r>
              <w:rPr>
                <w:rFonts w:ascii="Times New Roman" w:eastAsia="宋体" w:hAnsi="Times New Roman"/>
                <w:color w:val="000000"/>
                <w:sz w:val="20"/>
                <w:szCs w:val="20"/>
              </w:rPr>
              <w:t>19,513 </w:t>
            </w:r>
          </w:p>
        </w:tc>
        <w:tc>
          <w:tcPr>
            <w:tcW w:w="0" w:type="auto"/>
            <w:shd w:val="clear" w:color="auto" w:fill="FFFFFF"/>
            <w:tcMar>
              <w:top w:w="40" w:type="dxa"/>
              <w:left w:w="0" w:type="dxa"/>
              <w:bottom w:w="40" w:type="dxa"/>
              <w:right w:w="20" w:type="dxa"/>
            </w:tcMar>
            <w:vAlign w:val="bottom"/>
          </w:tcPr>
          <w:p w14:paraId="0B2FA439" w14:textId="77777777" w:rsidR="007F1775" w:rsidRDefault="007F1775">
            <w:pPr>
              <w:jc w:val="right"/>
              <w:rPr>
                <w:rFonts w:ascii="宋体"/>
              </w:rPr>
            </w:pPr>
          </w:p>
        </w:tc>
      </w:tr>
      <w:tr w:rsidR="007F1775" w14:paraId="0B2FA441" w14:textId="77777777">
        <w:trPr>
          <w:jc w:val="center"/>
        </w:trPr>
        <w:tc>
          <w:tcPr>
            <w:tcW w:w="0" w:type="auto"/>
            <w:gridSpan w:val="3"/>
            <w:shd w:val="clear" w:color="auto" w:fill="CCEEFF"/>
            <w:tcMar>
              <w:top w:w="40" w:type="dxa"/>
              <w:left w:w="200" w:type="dxa"/>
              <w:bottom w:w="40" w:type="dxa"/>
              <w:right w:w="20" w:type="dxa"/>
            </w:tcMar>
          </w:tcPr>
          <w:p w14:paraId="0B2FA43B" w14:textId="77777777" w:rsidR="007F1775" w:rsidRDefault="000F083E">
            <w:pPr>
              <w:textAlignment w:val="top"/>
            </w:pPr>
            <w:r>
              <w:rPr>
                <w:rFonts w:ascii="Times New Roman" w:eastAsia="宋体" w:hAnsi="Times New Roman"/>
                <w:color w:val="000000"/>
                <w:sz w:val="20"/>
                <w:szCs w:val="20"/>
              </w:rPr>
              <w:t>Restricted cash, included in prepaid expenses and other current assets</w:t>
            </w:r>
          </w:p>
        </w:tc>
        <w:tc>
          <w:tcPr>
            <w:tcW w:w="0" w:type="auto"/>
            <w:gridSpan w:val="2"/>
            <w:shd w:val="clear" w:color="auto" w:fill="CCEEFF"/>
            <w:tcMar>
              <w:top w:w="40" w:type="dxa"/>
              <w:left w:w="20" w:type="dxa"/>
              <w:bottom w:w="40" w:type="dxa"/>
              <w:right w:w="0" w:type="dxa"/>
            </w:tcMar>
            <w:vAlign w:val="bottom"/>
          </w:tcPr>
          <w:p w14:paraId="0B2FA43C" w14:textId="77777777" w:rsidR="007F1775" w:rsidRDefault="000F083E">
            <w:pPr>
              <w:jc w:val="right"/>
              <w:textAlignment w:val="bottom"/>
            </w:pPr>
            <w:r>
              <w:rPr>
                <w:rFonts w:ascii="Times New Roman" w:eastAsia="宋体" w:hAnsi="Times New Roman"/>
                <w:color w:val="000000"/>
                <w:sz w:val="20"/>
                <w:szCs w:val="20"/>
              </w:rPr>
              <w:t>294 </w:t>
            </w:r>
          </w:p>
        </w:tc>
        <w:tc>
          <w:tcPr>
            <w:tcW w:w="0" w:type="auto"/>
            <w:shd w:val="clear" w:color="auto" w:fill="CCEEFF"/>
            <w:tcMar>
              <w:top w:w="40" w:type="dxa"/>
              <w:left w:w="0" w:type="dxa"/>
              <w:bottom w:w="40" w:type="dxa"/>
              <w:right w:w="20" w:type="dxa"/>
            </w:tcMar>
            <w:vAlign w:val="bottom"/>
          </w:tcPr>
          <w:p w14:paraId="0B2FA43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43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43F" w14:textId="77777777" w:rsidR="007F1775" w:rsidRDefault="000F083E">
            <w:pPr>
              <w:jc w:val="right"/>
              <w:textAlignment w:val="bottom"/>
            </w:pPr>
            <w:r>
              <w:rPr>
                <w:rFonts w:ascii="Times New Roman" w:eastAsia="宋体" w:hAnsi="Times New Roman"/>
                <w:color w:val="000000"/>
                <w:sz w:val="20"/>
                <w:szCs w:val="20"/>
              </w:rPr>
              <w:t>257 </w:t>
            </w:r>
          </w:p>
        </w:tc>
        <w:tc>
          <w:tcPr>
            <w:tcW w:w="0" w:type="auto"/>
            <w:shd w:val="clear" w:color="auto" w:fill="CCEEFF"/>
            <w:tcMar>
              <w:top w:w="40" w:type="dxa"/>
              <w:left w:w="0" w:type="dxa"/>
              <w:bottom w:w="40" w:type="dxa"/>
              <w:right w:w="20" w:type="dxa"/>
            </w:tcMar>
            <w:vAlign w:val="bottom"/>
          </w:tcPr>
          <w:p w14:paraId="0B2FA440" w14:textId="77777777" w:rsidR="007F1775" w:rsidRDefault="007F1775">
            <w:pPr>
              <w:jc w:val="right"/>
              <w:rPr>
                <w:rFonts w:ascii="宋体"/>
              </w:rPr>
            </w:pPr>
          </w:p>
        </w:tc>
      </w:tr>
      <w:tr w:rsidR="007F1775" w14:paraId="0B2FA448" w14:textId="77777777">
        <w:trPr>
          <w:jc w:val="center"/>
        </w:trPr>
        <w:tc>
          <w:tcPr>
            <w:tcW w:w="0" w:type="auto"/>
            <w:gridSpan w:val="3"/>
            <w:shd w:val="clear" w:color="auto" w:fill="FFFFFF"/>
            <w:tcMar>
              <w:top w:w="40" w:type="dxa"/>
              <w:left w:w="200" w:type="dxa"/>
              <w:bottom w:w="40" w:type="dxa"/>
              <w:right w:w="20" w:type="dxa"/>
            </w:tcMar>
          </w:tcPr>
          <w:p w14:paraId="0B2FA442" w14:textId="77777777" w:rsidR="007F1775" w:rsidRDefault="000F083E">
            <w:pPr>
              <w:textAlignment w:val="top"/>
            </w:pPr>
            <w:r>
              <w:rPr>
                <w:rFonts w:ascii="Times New Roman" w:eastAsia="宋体" w:hAnsi="Times New Roman"/>
                <w:color w:val="000000"/>
                <w:sz w:val="20"/>
                <w:szCs w:val="20"/>
              </w:rPr>
              <w:t>Restricted cash, included in other assets</w:t>
            </w:r>
          </w:p>
        </w:tc>
        <w:tc>
          <w:tcPr>
            <w:tcW w:w="0" w:type="auto"/>
            <w:gridSpan w:val="2"/>
            <w:shd w:val="clear" w:color="auto" w:fill="FFFFFF"/>
            <w:tcMar>
              <w:top w:w="40" w:type="dxa"/>
              <w:left w:w="20" w:type="dxa"/>
              <w:bottom w:w="40" w:type="dxa"/>
              <w:right w:w="0" w:type="dxa"/>
            </w:tcMar>
            <w:vAlign w:val="bottom"/>
          </w:tcPr>
          <w:p w14:paraId="0B2FA443" w14:textId="77777777" w:rsidR="007F1775" w:rsidRDefault="000F083E">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0B2FA44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44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446" w14:textId="77777777" w:rsidR="007F1775" w:rsidRDefault="000F083E">
            <w:pPr>
              <w:jc w:val="right"/>
              <w:textAlignment w:val="bottom"/>
            </w:pPr>
            <w:r>
              <w:rPr>
                <w:rFonts w:ascii="Times New Roman" w:eastAsia="宋体" w:hAnsi="Times New Roman"/>
                <w:color w:val="000000"/>
                <w:sz w:val="20"/>
                <w:szCs w:val="20"/>
              </w:rPr>
              <w:t>121 </w:t>
            </w:r>
          </w:p>
        </w:tc>
        <w:tc>
          <w:tcPr>
            <w:tcW w:w="0" w:type="auto"/>
            <w:shd w:val="clear" w:color="auto" w:fill="FFFFFF"/>
            <w:tcMar>
              <w:top w:w="40" w:type="dxa"/>
              <w:left w:w="0" w:type="dxa"/>
              <w:bottom w:w="40" w:type="dxa"/>
              <w:right w:w="20" w:type="dxa"/>
            </w:tcMar>
            <w:vAlign w:val="bottom"/>
          </w:tcPr>
          <w:p w14:paraId="0B2FA447" w14:textId="77777777" w:rsidR="007F1775" w:rsidRDefault="007F1775">
            <w:pPr>
              <w:jc w:val="right"/>
              <w:rPr>
                <w:rFonts w:ascii="宋体"/>
              </w:rPr>
            </w:pPr>
          </w:p>
        </w:tc>
      </w:tr>
      <w:tr w:rsidR="007F1775" w14:paraId="0B2FA451" w14:textId="77777777">
        <w:trPr>
          <w:jc w:val="center"/>
        </w:trPr>
        <w:tc>
          <w:tcPr>
            <w:tcW w:w="0" w:type="auto"/>
            <w:gridSpan w:val="3"/>
            <w:shd w:val="clear" w:color="auto" w:fill="CCEEFF"/>
            <w:tcMar>
              <w:top w:w="40" w:type="dxa"/>
              <w:left w:w="20" w:type="dxa"/>
              <w:bottom w:w="40" w:type="dxa"/>
              <w:right w:w="20" w:type="dxa"/>
            </w:tcMar>
            <w:vAlign w:val="bottom"/>
          </w:tcPr>
          <w:p w14:paraId="0B2FA449" w14:textId="77777777" w:rsidR="007F1775" w:rsidRDefault="000F083E">
            <w:pPr>
              <w:textAlignment w:val="bottom"/>
            </w:pPr>
            <w:r>
              <w:rPr>
                <w:rFonts w:ascii="Times New Roman" w:eastAsia="宋体" w:hAnsi="Times New Roman"/>
                <w:b/>
                <w:bCs/>
                <w:color w:val="000000"/>
                <w:sz w:val="20"/>
                <w:szCs w:val="20"/>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44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44B" w14:textId="77777777" w:rsidR="007F1775" w:rsidRDefault="000F083E">
            <w:pPr>
              <w:jc w:val="right"/>
              <w:textAlignment w:val="bottom"/>
            </w:pPr>
            <w:r>
              <w:rPr>
                <w:rFonts w:ascii="Times New Roman" w:eastAsia="宋体" w:hAnsi="Times New Roman"/>
                <w:color w:val="000000"/>
                <w:sz w:val="20"/>
                <w:szCs w:val="20"/>
              </w:rPr>
              <w:t>15,353 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44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44D"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44E"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44F" w14:textId="77777777" w:rsidR="007F1775" w:rsidRDefault="000F083E">
            <w:pPr>
              <w:jc w:val="right"/>
              <w:textAlignment w:val="bottom"/>
            </w:pPr>
            <w:r>
              <w:rPr>
                <w:rFonts w:ascii="Times New Roman" w:eastAsia="宋体" w:hAnsi="Times New Roman"/>
                <w:color w:val="000000"/>
                <w:sz w:val="20"/>
                <w:szCs w:val="20"/>
              </w:rPr>
              <w:t>19,891 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450" w14:textId="77777777" w:rsidR="007F1775" w:rsidRDefault="007F1775">
            <w:pPr>
              <w:jc w:val="right"/>
              <w:rPr>
                <w:rFonts w:ascii="宋体"/>
              </w:rPr>
            </w:pPr>
          </w:p>
        </w:tc>
      </w:tr>
    </w:tbl>
    <w:p w14:paraId="0B2FA452" w14:textId="77777777" w:rsidR="007F1775" w:rsidRDefault="000F083E">
      <w:pPr>
        <w:spacing w:before="180"/>
        <w:jc w:val="center"/>
      </w:pPr>
      <w:r>
        <w:rPr>
          <w:rFonts w:ascii="Times New Roman" w:eastAsia="宋体" w:hAnsi="Times New Roman"/>
          <w:i/>
          <w:iCs/>
          <w:color w:val="000000"/>
          <w:sz w:val="18"/>
          <w:szCs w:val="18"/>
        </w:rPr>
        <w:t xml:space="preserve">See Accompanying Notes to </w:t>
      </w:r>
      <w:r>
        <w:rPr>
          <w:rFonts w:ascii="Times New Roman" w:eastAsia="宋体" w:hAnsi="Times New Roman"/>
          <w:i/>
          <w:iCs/>
          <w:color w:val="000000"/>
          <w:sz w:val="18"/>
          <w:szCs w:val="18"/>
        </w:rPr>
        <w:t>Condensed Consolidated Financial Statements.</w:t>
      </w:r>
    </w:p>
    <w:p w14:paraId="0B2FA453" w14:textId="77777777" w:rsidR="007F1775" w:rsidRDefault="000F083E">
      <w:pPr>
        <w:jc w:val="center"/>
      </w:pPr>
      <w:r>
        <w:rPr>
          <w:rFonts w:ascii="Times New Roman" w:eastAsia="宋体" w:hAnsi="Times New Roman"/>
          <w:color w:val="000000"/>
          <w:sz w:val="20"/>
          <w:szCs w:val="20"/>
        </w:rPr>
        <w:t>11</w:t>
      </w:r>
    </w:p>
    <w:p w14:paraId="0B2FA454" w14:textId="77777777" w:rsidR="007F1775" w:rsidRDefault="000F083E">
      <w:r>
        <w:pict w14:anchorId="0B2FBF6C">
          <v:rect id="_x0000_i1035" style="width:415.3pt;height:1.5pt" o:hralign="center" o:hrstd="t" o:hr="t" fillcolor="#a0a0a0" stroked="f"/>
        </w:pict>
      </w:r>
    </w:p>
    <w:p w14:paraId="0B2FA455" w14:textId="77777777" w:rsidR="007F1775" w:rsidRDefault="007F1775"/>
    <w:p w14:paraId="0B2FA456" w14:textId="77777777" w:rsidR="007F1775" w:rsidRDefault="007F1775"/>
    <w:p w14:paraId="0B2FA457" w14:textId="77777777" w:rsidR="007F1775" w:rsidRDefault="000F083E">
      <w:hyperlink r:id="rId89" w:anchor="iea70e328caa94cefb76a9db6ed6338fc_7" w:history="1">
        <w:r>
          <w:rPr>
            <w:rStyle w:val="a5"/>
            <w:rFonts w:ascii="Times New Roman" w:eastAsia="宋体" w:hAnsi="Times New Roman"/>
            <w:sz w:val="20"/>
            <w:szCs w:val="20"/>
          </w:rPr>
          <w:t>Table of Contents</w:t>
        </w:r>
      </w:hyperlink>
    </w:p>
    <w:p w14:paraId="0B2FA458" w14:textId="77777777" w:rsidR="007F1775" w:rsidRDefault="000F083E">
      <w:pPr>
        <w:spacing w:before="180"/>
        <w:jc w:val="center"/>
      </w:pPr>
      <w:r>
        <w:rPr>
          <w:rFonts w:ascii="Times New Roman" w:eastAsia="宋体" w:hAnsi="Times New Roman"/>
          <w:b/>
          <w:bCs/>
          <w:color w:val="000000"/>
          <w:sz w:val="20"/>
          <w:szCs w:val="20"/>
        </w:rPr>
        <w:t xml:space="preserve">META PLATFORMS, INC. </w:t>
      </w:r>
    </w:p>
    <w:p w14:paraId="0B2FA459" w14:textId="77777777" w:rsidR="007F1775" w:rsidRDefault="000F083E">
      <w:pPr>
        <w:jc w:val="center"/>
      </w:pPr>
      <w:r>
        <w:rPr>
          <w:rFonts w:ascii="Times New Roman" w:eastAsia="宋体" w:hAnsi="Times New Roman"/>
          <w:b/>
          <w:bCs/>
          <w:color w:val="000000"/>
          <w:sz w:val="20"/>
          <w:szCs w:val="20"/>
        </w:rPr>
        <w:t>CONDENSED CONSOLIDATED STATEMENTS OF CASH FLOWS</w:t>
      </w:r>
    </w:p>
    <w:p w14:paraId="0B2FA45A" w14:textId="77777777" w:rsidR="007F1775" w:rsidRDefault="000F083E">
      <w:pPr>
        <w:jc w:val="center"/>
      </w:pPr>
      <w:r>
        <w:rPr>
          <w:rFonts w:ascii="Times New Roman" w:eastAsia="宋体" w:hAnsi="Times New Roman"/>
          <w:i/>
          <w:iCs/>
          <w:color w:val="000000"/>
          <w:sz w:val="18"/>
          <w:szCs w:val="18"/>
        </w:rPr>
        <w:t>(In millions)</w:t>
      </w:r>
    </w:p>
    <w:p w14:paraId="0B2FA45B" w14:textId="77777777" w:rsidR="007F1775" w:rsidRDefault="000F083E">
      <w:pPr>
        <w:jc w:val="center"/>
      </w:pPr>
      <w:r>
        <w:rPr>
          <w:rFonts w:ascii="Times New Roman" w:eastAsia="宋体" w:hAnsi="Times New Roman"/>
          <w:i/>
          <w:iCs/>
          <w:color w:val="000000"/>
          <w:sz w:val="18"/>
          <w:szCs w:val="18"/>
        </w:rPr>
        <w:t>(</w:t>
      </w:r>
      <w:r>
        <w:rPr>
          <w:rFonts w:ascii="Times New Roman" w:eastAsia="宋体" w:hAnsi="Times New Roman"/>
          <w:i/>
          <w:iCs/>
          <w:color w:val="000000"/>
          <w:sz w:val="18"/>
          <w:szCs w:val="18"/>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982"/>
        <w:gridCol w:w="38"/>
        <w:gridCol w:w="120"/>
        <w:gridCol w:w="944"/>
        <w:gridCol w:w="36"/>
        <w:gridCol w:w="36"/>
        <w:gridCol w:w="36"/>
        <w:gridCol w:w="36"/>
        <w:gridCol w:w="120"/>
        <w:gridCol w:w="912"/>
        <w:gridCol w:w="36"/>
      </w:tblGrid>
      <w:tr w:rsidR="007F1775" w14:paraId="0B2FA468" w14:textId="77777777">
        <w:trPr>
          <w:jc w:val="center"/>
        </w:trPr>
        <w:tc>
          <w:tcPr>
            <w:tcW w:w="50" w:type="pct"/>
            <w:shd w:val="clear" w:color="auto" w:fill="auto"/>
            <w:vAlign w:val="bottom"/>
          </w:tcPr>
          <w:p w14:paraId="0B2FA45C" w14:textId="77777777" w:rsidR="007F1775" w:rsidRDefault="007F1775">
            <w:pPr>
              <w:rPr>
                <w:rFonts w:ascii="宋体"/>
              </w:rPr>
            </w:pPr>
          </w:p>
        </w:tc>
        <w:tc>
          <w:tcPr>
            <w:tcW w:w="3613" w:type="pct"/>
            <w:shd w:val="clear" w:color="auto" w:fill="auto"/>
            <w:vAlign w:val="bottom"/>
          </w:tcPr>
          <w:p w14:paraId="0B2FA45D" w14:textId="77777777" w:rsidR="007F1775" w:rsidRDefault="007F1775">
            <w:pPr>
              <w:rPr>
                <w:rFonts w:ascii="宋体"/>
              </w:rPr>
            </w:pPr>
          </w:p>
        </w:tc>
        <w:tc>
          <w:tcPr>
            <w:tcW w:w="5" w:type="pct"/>
            <w:shd w:val="clear" w:color="auto" w:fill="auto"/>
            <w:vAlign w:val="bottom"/>
          </w:tcPr>
          <w:p w14:paraId="0B2FA45E" w14:textId="77777777" w:rsidR="007F1775" w:rsidRDefault="007F1775">
            <w:pPr>
              <w:rPr>
                <w:rFonts w:ascii="宋体"/>
              </w:rPr>
            </w:pPr>
          </w:p>
        </w:tc>
        <w:tc>
          <w:tcPr>
            <w:tcW w:w="50" w:type="pct"/>
            <w:shd w:val="clear" w:color="auto" w:fill="auto"/>
            <w:vAlign w:val="bottom"/>
          </w:tcPr>
          <w:p w14:paraId="0B2FA45F" w14:textId="77777777" w:rsidR="007F1775" w:rsidRDefault="007F1775">
            <w:pPr>
              <w:rPr>
                <w:rFonts w:ascii="宋体"/>
              </w:rPr>
            </w:pPr>
          </w:p>
        </w:tc>
        <w:tc>
          <w:tcPr>
            <w:tcW w:w="592" w:type="pct"/>
            <w:shd w:val="clear" w:color="auto" w:fill="auto"/>
            <w:vAlign w:val="bottom"/>
          </w:tcPr>
          <w:p w14:paraId="0B2FA460" w14:textId="77777777" w:rsidR="007F1775" w:rsidRDefault="007F1775">
            <w:pPr>
              <w:rPr>
                <w:rFonts w:ascii="宋体"/>
              </w:rPr>
            </w:pPr>
          </w:p>
        </w:tc>
        <w:tc>
          <w:tcPr>
            <w:tcW w:w="5" w:type="pct"/>
            <w:shd w:val="clear" w:color="auto" w:fill="auto"/>
            <w:vAlign w:val="bottom"/>
          </w:tcPr>
          <w:p w14:paraId="0B2FA461" w14:textId="77777777" w:rsidR="007F1775" w:rsidRDefault="007F1775">
            <w:pPr>
              <w:rPr>
                <w:rFonts w:ascii="宋体"/>
              </w:rPr>
            </w:pPr>
          </w:p>
        </w:tc>
        <w:tc>
          <w:tcPr>
            <w:tcW w:w="5" w:type="pct"/>
            <w:shd w:val="clear" w:color="auto" w:fill="auto"/>
            <w:vAlign w:val="bottom"/>
          </w:tcPr>
          <w:p w14:paraId="0B2FA462" w14:textId="77777777" w:rsidR="007F1775" w:rsidRDefault="007F1775">
            <w:pPr>
              <w:rPr>
                <w:rFonts w:ascii="宋体"/>
              </w:rPr>
            </w:pPr>
          </w:p>
        </w:tc>
        <w:tc>
          <w:tcPr>
            <w:tcW w:w="27" w:type="pct"/>
            <w:shd w:val="clear" w:color="auto" w:fill="auto"/>
            <w:vAlign w:val="bottom"/>
          </w:tcPr>
          <w:p w14:paraId="0B2FA463" w14:textId="77777777" w:rsidR="007F1775" w:rsidRDefault="007F1775">
            <w:pPr>
              <w:rPr>
                <w:rFonts w:ascii="宋体"/>
              </w:rPr>
            </w:pPr>
          </w:p>
        </w:tc>
        <w:tc>
          <w:tcPr>
            <w:tcW w:w="5" w:type="pct"/>
            <w:shd w:val="clear" w:color="auto" w:fill="auto"/>
            <w:vAlign w:val="bottom"/>
          </w:tcPr>
          <w:p w14:paraId="0B2FA464" w14:textId="77777777" w:rsidR="007F1775" w:rsidRDefault="007F1775">
            <w:pPr>
              <w:rPr>
                <w:rFonts w:ascii="宋体"/>
              </w:rPr>
            </w:pPr>
          </w:p>
        </w:tc>
        <w:tc>
          <w:tcPr>
            <w:tcW w:w="50" w:type="pct"/>
            <w:shd w:val="clear" w:color="auto" w:fill="auto"/>
            <w:vAlign w:val="bottom"/>
          </w:tcPr>
          <w:p w14:paraId="0B2FA465" w14:textId="77777777" w:rsidR="007F1775" w:rsidRDefault="007F1775">
            <w:pPr>
              <w:rPr>
                <w:rFonts w:ascii="宋体"/>
              </w:rPr>
            </w:pPr>
          </w:p>
        </w:tc>
        <w:tc>
          <w:tcPr>
            <w:tcW w:w="592" w:type="pct"/>
            <w:shd w:val="clear" w:color="auto" w:fill="auto"/>
            <w:vAlign w:val="bottom"/>
          </w:tcPr>
          <w:p w14:paraId="0B2FA466" w14:textId="77777777" w:rsidR="007F1775" w:rsidRDefault="007F1775">
            <w:pPr>
              <w:rPr>
                <w:rFonts w:ascii="宋体"/>
              </w:rPr>
            </w:pPr>
          </w:p>
        </w:tc>
        <w:tc>
          <w:tcPr>
            <w:tcW w:w="5" w:type="pct"/>
            <w:shd w:val="clear" w:color="auto" w:fill="auto"/>
            <w:vAlign w:val="bottom"/>
          </w:tcPr>
          <w:p w14:paraId="0B2FA467" w14:textId="77777777" w:rsidR="007F1775" w:rsidRDefault="007F1775">
            <w:pPr>
              <w:rPr>
                <w:rFonts w:ascii="宋体"/>
              </w:rPr>
            </w:pPr>
          </w:p>
        </w:tc>
      </w:tr>
      <w:tr w:rsidR="007F1775" w14:paraId="0B2FA46B" w14:textId="77777777">
        <w:trPr>
          <w:jc w:val="center"/>
        </w:trPr>
        <w:tc>
          <w:tcPr>
            <w:tcW w:w="0" w:type="auto"/>
            <w:gridSpan w:val="3"/>
            <w:shd w:val="clear" w:color="auto" w:fill="auto"/>
            <w:tcMar>
              <w:top w:w="0" w:type="dxa"/>
              <w:left w:w="20" w:type="dxa"/>
              <w:bottom w:w="0" w:type="dxa"/>
              <w:right w:w="20" w:type="dxa"/>
            </w:tcMar>
            <w:vAlign w:val="bottom"/>
          </w:tcPr>
          <w:p w14:paraId="0B2FA469" w14:textId="77777777" w:rsidR="007F1775" w:rsidRDefault="007F1775">
            <w:pPr>
              <w:rPr>
                <w:rFonts w:ascii="宋体"/>
              </w:rPr>
            </w:pPr>
          </w:p>
        </w:tc>
        <w:tc>
          <w:tcPr>
            <w:tcW w:w="0" w:type="auto"/>
            <w:gridSpan w:val="9"/>
            <w:shd w:val="clear" w:color="auto" w:fill="auto"/>
            <w:tcMar>
              <w:top w:w="40" w:type="dxa"/>
              <w:left w:w="20" w:type="dxa"/>
              <w:bottom w:w="40" w:type="dxa"/>
              <w:right w:w="20" w:type="dxa"/>
            </w:tcMar>
            <w:vAlign w:val="bottom"/>
          </w:tcPr>
          <w:p w14:paraId="0B2FA46A"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r>
      <w:tr w:rsidR="007F1775" w14:paraId="0B2FA470" w14:textId="77777777">
        <w:trPr>
          <w:jc w:val="center"/>
        </w:trPr>
        <w:tc>
          <w:tcPr>
            <w:tcW w:w="0" w:type="auto"/>
            <w:gridSpan w:val="3"/>
            <w:shd w:val="clear" w:color="auto" w:fill="auto"/>
            <w:tcMar>
              <w:top w:w="0" w:type="dxa"/>
              <w:left w:w="20" w:type="dxa"/>
              <w:bottom w:w="0" w:type="dxa"/>
              <w:right w:w="20" w:type="dxa"/>
            </w:tcMar>
            <w:vAlign w:val="bottom"/>
          </w:tcPr>
          <w:p w14:paraId="0B2FA46C"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46D"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46E"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46F" w14:textId="77777777" w:rsidR="007F1775" w:rsidRDefault="000F083E">
            <w:pPr>
              <w:jc w:val="center"/>
              <w:textAlignment w:val="bottom"/>
            </w:pPr>
            <w:r>
              <w:rPr>
                <w:rFonts w:ascii="Times New Roman" w:eastAsia="宋体" w:hAnsi="Times New Roman"/>
                <w:b/>
                <w:bCs/>
                <w:color w:val="000000"/>
                <w:sz w:val="16"/>
                <w:szCs w:val="16"/>
              </w:rPr>
              <w:t>2021</w:t>
            </w:r>
          </w:p>
        </w:tc>
      </w:tr>
      <w:tr w:rsidR="007F1775" w14:paraId="0B2FA475" w14:textId="77777777">
        <w:trPr>
          <w:jc w:val="center"/>
        </w:trPr>
        <w:tc>
          <w:tcPr>
            <w:tcW w:w="0" w:type="auto"/>
            <w:gridSpan w:val="3"/>
            <w:shd w:val="clear" w:color="auto" w:fill="CCEEFF"/>
            <w:tcMar>
              <w:top w:w="40" w:type="dxa"/>
              <w:left w:w="20" w:type="dxa"/>
              <w:bottom w:w="40" w:type="dxa"/>
              <w:right w:w="20" w:type="dxa"/>
            </w:tcMar>
          </w:tcPr>
          <w:p w14:paraId="0B2FA471" w14:textId="77777777" w:rsidR="007F1775" w:rsidRDefault="000F083E">
            <w:pPr>
              <w:textAlignment w:val="top"/>
            </w:pPr>
            <w:r>
              <w:rPr>
                <w:rFonts w:ascii="Times New Roman" w:eastAsia="宋体" w:hAnsi="Times New Roman"/>
                <w:b/>
                <w:bCs/>
                <w:color w:val="000000"/>
                <w:sz w:val="20"/>
                <w:szCs w:val="20"/>
              </w:rPr>
              <w:t>Supplemental cash flow data</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472"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473"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474" w14:textId="77777777" w:rsidR="007F1775" w:rsidRDefault="007F1775">
            <w:pPr>
              <w:rPr>
                <w:rFonts w:ascii="宋体"/>
              </w:rPr>
            </w:pPr>
          </w:p>
        </w:tc>
      </w:tr>
      <w:tr w:rsidR="007F1775" w14:paraId="0B2FA47E" w14:textId="77777777">
        <w:trPr>
          <w:jc w:val="center"/>
        </w:trPr>
        <w:tc>
          <w:tcPr>
            <w:tcW w:w="0" w:type="auto"/>
            <w:gridSpan w:val="3"/>
            <w:shd w:val="clear" w:color="auto" w:fill="FFFFFF"/>
            <w:tcMar>
              <w:top w:w="40" w:type="dxa"/>
              <w:left w:w="200" w:type="dxa"/>
              <w:bottom w:w="40" w:type="dxa"/>
              <w:right w:w="20" w:type="dxa"/>
            </w:tcMar>
          </w:tcPr>
          <w:p w14:paraId="0B2FA476" w14:textId="77777777" w:rsidR="007F1775" w:rsidRDefault="000F083E">
            <w:pPr>
              <w:textAlignment w:val="top"/>
            </w:pPr>
            <w:r>
              <w:rPr>
                <w:rFonts w:ascii="Times New Roman" w:eastAsia="宋体" w:hAnsi="Times New Roman"/>
                <w:color w:val="000000"/>
                <w:sz w:val="20"/>
                <w:szCs w:val="20"/>
              </w:rPr>
              <w:t>Cash paid for income taxes, net</w:t>
            </w:r>
          </w:p>
        </w:tc>
        <w:tc>
          <w:tcPr>
            <w:tcW w:w="0" w:type="auto"/>
            <w:shd w:val="clear" w:color="auto" w:fill="FFFFFF"/>
            <w:tcMar>
              <w:top w:w="40" w:type="dxa"/>
              <w:left w:w="20" w:type="dxa"/>
              <w:bottom w:w="40" w:type="dxa"/>
              <w:right w:w="0" w:type="dxa"/>
            </w:tcMar>
            <w:vAlign w:val="bottom"/>
          </w:tcPr>
          <w:p w14:paraId="0B2FA477"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478" w14:textId="77777777" w:rsidR="007F1775" w:rsidRDefault="000F083E">
            <w:pPr>
              <w:jc w:val="right"/>
              <w:textAlignment w:val="bottom"/>
            </w:pPr>
            <w:r>
              <w:rPr>
                <w:rFonts w:ascii="Times New Roman" w:eastAsia="宋体" w:hAnsi="Times New Roman"/>
                <w:color w:val="000000"/>
                <w:sz w:val="20"/>
                <w:szCs w:val="20"/>
              </w:rPr>
              <w:t>502 </w:t>
            </w:r>
          </w:p>
        </w:tc>
        <w:tc>
          <w:tcPr>
            <w:tcW w:w="0" w:type="auto"/>
            <w:shd w:val="clear" w:color="auto" w:fill="FFFFFF"/>
            <w:tcMar>
              <w:top w:w="40" w:type="dxa"/>
              <w:left w:w="0" w:type="dxa"/>
              <w:bottom w:w="40" w:type="dxa"/>
              <w:right w:w="20" w:type="dxa"/>
            </w:tcMar>
            <w:vAlign w:val="bottom"/>
          </w:tcPr>
          <w:p w14:paraId="0B2FA47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47A"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47B"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47C" w14:textId="77777777" w:rsidR="007F1775" w:rsidRDefault="000F083E">
            <w:pPr>
              <w:jc w:val="right"/>
              <w:textAlignment w:val="bottom"/>
            </w:pPr>
            <w:r>
              <w:rPr>
                <w:rFonts w:ascii="Times New Roman" w:eastAsia="宋体" w:hAnsi="Times New Roman"/>
                <w:color w:val="000000"/>
                <w:sz w:val="20"/>
                <w:szCs w:val="20"/>
              </w:rPr>
              <w:t>2,907 </w:t>
            </w:r>
          </w:p>
        </w:tc>
        <w:tc>
          <w:tcPr>
            <w:tcW w:w="0" w:type="auto"/>
            <w:shd w:val="clear" w:color="auto" w:fill="FFFFFF"/>
            <w:tcMar>
              <w:top w:w="40" w:type="dxa"/>
              <w:left w:w="0" w:type="dxa"/>
              <w:bottom w:w="40" w:type="dxa"/>
              <w:right w:w="20" w:type="dxa"/>
            </w:tcMar>
            <w:vAlign w:val="bottom"/>
          </w:tcPr>
          <w:p w14:paraId="0B2FA47D" w14:textId="77777777" w:rsidR="007F1775" w:rsidRDefault="007F1775">
            <w:pPr>
              <w:jc w:val="right"/>
              <w:rPr>
                <w:rFonts w:ascii="宋体"/>
              </w:rPr>
            </w:pPr>
          </w:p>
        </w:tc>
      </w:tr>
      <w:tr w:rsidR="007F1775" w14:paraId="0B2FA483" w14:textId="77777777">
        <w:trPr>
          <w:jc w:val="center"/>
        </w:trPr>
        <w:tc>
          <w:tcPr>
            <w:tcW w:w="0" w:type="auto"/>
            <w:gridSpan w:val="3"/>
            <w:shd w:val="clear" w:color="auto" w:fill="CCEEFF"/>
            <w:tcMar>
              <w:top w:w="40" w:type="dxa"/>
              <w:left w:w="200" w:type="dxa"/>
              <w:bottom w:w="40" w:type="dxa"/>
              <w:right w:w="20" w:type="dxa"/>
            </w:tcMar>
          </w:tcPr>
          <w:p w14:paraId="0B2FA47F" w14:textId="77777777" w:rsidR="007F1775" w:rsidRDefault="000F083E">
            <w:pPr>
              <w:textAlignment w:val="top"/>
            </w:pPr>
            <w:r>
              <w:rPr>
                <w:rFonts w:ascii="Times New Roman" w:eastAsia="宋体" w:hAnsi="Times New Roman"/>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bottom"/>
          </w:tcPr>
          <w:p w14:paraId="0B2FA480"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481"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482" w14:textId="77777777" w:rsidR="007F1775" w:rsidRDefault="007F1775">
            <w:pPr>
              <w:rPr>
                <w:rFonts w:ascii="宋体"/>
              </w:rPr>
            </w:pPr>
          </w:p>
        </w:tc>
      </w:tr>
      <w:tr w:rsidR="007F1775" w14:paraId="0B2FA48C" w14:textId="77777777">
        <w:trPr>
          <w:jc w:val="center"/>
        </w:trPr>
        <w:tc>
          <w:tcPr>
            <w:tcW w:w="0" w:type="auto"/>
            <w:gridSpan w:val="3"/>
            <w:shd w:val="clear" w:color="auto" w:fill="FFFFFF"/>
            <w:tcMar>
              <w:top w:w="40" w:type="dxa"/>
              <w:left w:w="380" w:type="dxa"/>
              <w:bottom w:w="40" w:type="dxa"/>
              <w:right w:w="20" w:type="dxa"/>
            </w:tcMar>
          </w:tcPr>
          <w:p w14:paraId="0B2FA484" w14:textId="77777777" w:rsidR="007F1775" w:rsidRDefault="000F083E">
            <w:pPr>
              <w:textAlignment w:val="top"/>
            </w:pPr>
            <w:r>
              <w:rPr>
                <w:rFonts w:ascii="Times New Roman" w:eastAsia="宋体" w:hAnsi="Times New Roman"/>
                <w:color w:val="000000"/>
                <w:sz w:val="20"/>
                <w:szCs w:val="20"/>
              </w:rPr>
              <w:t xml:space="preserve">Property and equipment in accounts payable and </w:t>
            </w:r>
            <w:r>
              <w:rPr>
                <w:rFonts w:ascii="Times New Roman" w:eastAsia="宋体" w:hAnsi="Times New Roman"/>
                <w:color w:val="000000"/>
                <w:sz w:val="20"/>
                <w:szCs w:val="20"/>
              </w:rPr>
              <w:t>accrued expenses and other current liabilities</w:t>
            </w:r>
          </w:p>
        </w:tc>
        <w:tc>
          <w:tcPr>
            <w:tcW w:w="0" w:type="auto"/>
            <w:shd w:val="clear" w:color="auto" w:fill="FFFFFF"/>
            <w:tcMar>
              <w:top w:w="40" w:type="dxa"/>
              <w:left w:w="20" w:type="dxa"/>
              <w:bottom w:w="40" w:type="dxa"/>
              <w:right w:w="0" w:type="dxa"/>
            </w:tcMar>
            <w:vAlign w:val="bottom"/>
          </w:tcPr>
          <w:p w14:paraId="0B2FA485"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486" w14:textId="77777777" w:rsidR="007F1775" w:rsidRDefault="000F083E">
            <w:pPr>
              <w:jc w:val="right"/>
              <w:textAlignment w:val="bottom"/>
            </w:pPr>
            <w:r>
              <w:rPr>
                <w:rFonts w:ascii="Times New Roman" w:eastAsia="宋体" w:hAnsi="Times New Roman"/>
                <w:color w:val="000000"/>
                <w:sz w:val="20"/>
                <w:szCs w:val="20"/>
              </w:rPr>
              <w:t>3,709 </w:t>
            </w:r>
          </w:p>
        </w:tc>
        <w:tc>
          <w:tcPr>
            <w:tcW w:w="0" w:type="auto"/>
            <w:shd w:val="clear" w:color="auto" w:fill="FFFFFF"/>
            <w:tcMar>
              <w:top w:w="40" w:type="dxa"/>
              <w:left w:w="0" w:type="dxa"/>
              <w:bottom w:w="40" w:type="dxa"/>
              <w:right w:w="20" w:type="dxa"/>
            </w:tcMar>
            <w:vAlign w:val="bottom"/>
          </w:tcPr>
          <w:p w14:paraId="0B2FA48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488"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489"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48A" w14:textId="77777777" w:rsidR="007F1775" w:rsidRDefault="000F083E">
            <w:pPr>
              <w:jc w:val="right"/>
              <w:textAlignment w:val="bottom"/>
            </w:pPr>
            <w:r>
              <w:rPr>
                <w:rFonts w:ascii="Times New Roman" w:eastAsia="宋体" w:hAnsi="Times New Roman"/>
                <w:color w:val="000000"/>
                <w:sz w:val="20"/>
                <w:szCs w:val="20"/>
              </w:rPr>
              <w:t>2,198 </w:t>
            </w:r>
          </w:p>
        </w:tc>
        <w:tc>
          <w:tcPr>
            <w:tcW w:w="0" w:type="auto"/>
            <w:shd w:val="clear" w:color="auto" w:fill="FFFFFF"/>
            <w:tcMar>
              <w:top w:w="40" w:type="dxa"/>
              <w:left w:w="0" w:type="dxa"/>
              <w:bottom w:w="40" w:type="dxa"/>
              <w:right w:w="20" w:type="dxa"/>
            </w:tcMar>
            <w:vAlign w:val="bottom"/>
          </w:tcPr>
          <w:p w14:paraId="0B2FA48B" w14:textId="77777777" w:rsidR="007F1775" w:rsidRDefault="007F1775">
            <w:pPr>
              <w:jc w:val="right"/>
              <w:rPr>
                <w:rFonts w:ascii="宋体"/>
              </w:rPr>
            </w:pPr>
          </w:p>
        </w:tc>
      </w:tr>
      <w:tr w:rsidR="007F1775" w14:paraId="0B2FA495" w14:textId="77777777">
        <w:trPr>
          <w:jc w:val="center"/>
        </w:trPr>
        <w:tc>
          <w:tcPr>
            <w:tcW w:w="0" w:type="auto"/>
            <w:gridSpan w:val="3"/>
            <w:shd w:val="clear" w:color="auto" w:fill="CCEEFF"/>
            <w:tcMar>
              <w:top w:w="40" w:type="dxa"/>
              <w:left w:w="380" w:type="dxa"/>
              <w:bottom w:w="40" w:type="dxa"/>
              <w:right w:w="20" w:type="dxa"/>
            </w:tcMar>
          </w:tcPr>
          <w:p w14:paraId="0B2FA48D" w14:textId="77777777" w:rsidR="007F1775" w:rsidRDefault="000F083E">
            <w:pPr>
              <w:textAlignment w:val="top"/>
            </w:pPr>
            <w:r>
              <w:rPr>
                <w:rFonts w:ascii="Times New Roman" w:eastAsia="宋体" w:hAnsi="Times New Roman"/>
                <w:color w:val="000000"/>
                <w:sz w:val="20"/>
                <w:szCs w:val="20"/>
              </w:rPr>
              <w:t>Acquisition of businesses in accrued expenses and other current liabilities and other liabilities</w:t>
            </w:r>
          </w:p>
        </w:tc>
        <w:tc>
          <w:tcPr>
            <w:tcW w:w="0" w:type="auto"/>
            <w:shd w:val="clear" w:color="auto" w:fill="CCEEFF"/>
            <w:tcMar>
              <w:top w:w="40" w:type="dxa"/>
              <w:left w:w="20" w:type="dxa"/>
              <w:bottom w:w="40" w:type="dxa"/>
              <w:right w:w="0" w:type="dxa"/>
            </w:tcMar>
            <w:vAlign w:val="bottom"/>
          </w:tcPr>
          <w:p w14:paraId="0B2FA48E"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48F" w14:textId="77777777" w:rsidR="007F1775" w:rsidRDefault="000F083E">
            <w:pPr>
              <w:jc w:val="right"/>
              <w:textAlignment w:val="bottom"/>
            </w:pPr>
            <w:r>
              <w:rPr>
                <w:rFonts w:ascii="Times New Roman" w:eastAsia="宋体" w:hAnsi="Times New Roman"/>
                <w:color w:val="000000"/>
                <w:sz w:val="20"/>
                <w:szCs w:val="20"/>
              </w:rPr>
              <w:t>73 </w:t>
            </w:r>
          </w:p>
        </w:tc>
        <w:tc>
          <w:tcPr>
            <w:tcW w:w="0" w:type="auto"/>
            <w:shd w:val="clear" w:color="auto" w:fill="CCEEFF"/>
            <w:tcMar>
              <w:top w:w="40" w:type="dxa"/>
              <w:left w:w="0" w:type="dxa"/>
              <w:bottom w:w="40" w:type="dxa"/>
              <w:right w:w="20" w:type="dxa"/>
            </w:tcMar>
            <w:vAlign w:val="bottom"/>
          </w:tcPr>
          <w:p w14:paraId="0B2FA49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491"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492"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493" w14:textId="77777777" w:rsidR="007F1775" w:rsidRDefault="000F083E">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0B2FA494" w14:textId="77777777" w:rsidR="007F1775" w:rsidRDefault="007F1775">
            <w:pPr>
              <w:jc w:val="right"/>
              <w:rPr>
                <w:rFonts w:ascii="宋体"/>
              </w:rPr>
            </w:pPr>
          </w:p>
        </w:tc>
      </w:tr>
      <w:tr w:rsidR="007F1775" w14:paraId="0B2FA49E" w14:textId="77777777">
        <w:trPr>
          <w:jc w:val="center"/>
        </w:trPr>
        <w:tc>
          <w:tcPr>
            <w:tcW w:w="0" w:type="auto"/>
            <w:gridSpan w:val="3"/>
            <w:shd w:val="clear" w:color="auto" w:fill="FFFFFF"/>
            <w:tcMar>
              <w:top w:w="40" w:type="dxa"/>
              <w:left w:w="380" w:type="dxa"/>
              <w:bottom w:w="40" w:type="dxa"/>
              <w:right w:w="20" w:type="dxa"/>
            </w:tcMar>
          </w:tcPr>
          <w:p w14:paraId="0B2FA496" w14:textId="77777777" w:rsidR="007F1775" w:rsidRDefault="000F083E">
            <w:pPr>
              <w:textAlignment w:val="top"/>
            </w:pPr>
            <w:r>
              <w:rPr>
                <w:rFonts w:ascii="Times New Roman" w:eastAsia="宋体" w:hAnsi="Times New Roman"/>
                <w:color w:val="000000"/>
                <w:sz w:val="20"/>
                <w:szCs w:val="20"/>
              </w:rPr>
              <w:t xml:space="preserve">Settlement of convertible notes in exchange of equity </w:t>
            </w:r>
            <w:r>
              <w:rPr>
                <w:rFonts w:ascii="Times New Roman" w:eastAsia="宋体" w:hAnsi="Times New Roman"/>
                <w:color w:val="000000"/>
                <w:sz w:val="20"/>
                <w:szCs w:val="20"/>
              </w:rPr>
              <w:t>securities in other current assets</w:t>
            </w:r>
          </w:p>
        </w:tc>
        <w:tc>
          <w:tcPr>
            <w:tcW w:w="0" w:type="auto"/>
            <w:shd w:val="clear" w:color="auto" w:fill="FFFFFF"/>
            <w:tcMar>
              <w:top w:w="40" w:type="dxa"/>
              <w:left w:w="20" w:type="dxa"/>
              <w:bottom w:w="40" w:type="dxa"/>
              <w:right w:w="0" w:type="dxa"/>
            </w:tcMar>
            <w:vAlign w:val="bottom"/>
          </w:tcPr>
          <w:p w14:paraId="0B2FA497"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498" w14:textId="77777777" w:rsidR="007F1775" w:rsidRDefault="000F083E">
            <w:pPr>
              <w:jc w:val="right"/>
              <w:textAlignment w:val="bottom"/>
            </w:pPr>
            <w:r>
              <w:rPr>
                <w:rFonts w:ascii="Times New Roman" w:eastAsia="宋体" w:hAnsi="Times New Roman"/>
                <w:color w:val="000000"/>
                <w:sz w:val="20"/>
                <w:szCs w:val="20"/>
              </w:rPr>
              <w:t>131 </w:t>
            </w:r>
          </w:p>
        </w:tc>
        <w:tc>
          <w:tcPr>
            <w:tcW w:w="0" w:type="auto"/>
            <w:shd w:val="clear" w:color="auto" w:fill="FFFFFF"/>
            <w:tcMar>
              <w:top w:w="40" w:type="dxa"/>
              <w:left w:w="0" w:type="dxa"/>
              <w:bottom w:w="40" w:type="dxa"/>
              <w:right w:w="20" w:type="dxa"/>
            </w:tcMar>
            <w:vAlign w:val="bottom"/>
          </w:tcPr>
          <w:p w14:paraId="0B2FA49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49A"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49B"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49C"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49D" w14:textId="77777777" w:rsidR="007F1775" w:rsidRDefault="007F1775">
            <w:pPr>
              <w:jc w:val="right"/>
              <w:rPr>
                <w:rFonts w:ascii="宋体"/>
              </w:rPr>
            </w:pPr>
          </w:p>
        </w:tc>
      </w:tr>
      <w:tr w:rsidR="007F1775" w14:paraId="0B2FA4A7" w14:textId="77777777">
        <w:trPr>
          <w:jc w:val="center"/>
        </w:trPr>
        <w:tc>
          <w:tcPr>
            <w:tcW w:w="0" w:type="auto"/>
            <w:gridSpan w:val="3"/>
            <w:shd w:val="clear" w:color="auto" w:fill="CCEEFF"/>
            <w:tcMar>
              <w:top w:w="40" w:type="dxa"/>
              <w:left w:w="380" w:type="dxa"/>
              <w:bottom w:w="40" w:type="dxa"/>
              <w:right w:w="20" w:type="dxa"/>
            </w:tcMar>
          </w:tcPr>
          <w:p w14:paraId="0B2FA49F" w14:textId="77777777" w:rsidR="007F1775" w:rsidRDefault="000F083E">
            <w:pPr>
              <w:textAlignment w:val="top"/>
            </w:pPr>
            <w:r>
              <w:rPr>
                <w:rFonts w:ascii="Times New Roman" w:eastAsia="宋体" w:hAnsi="Times New Roman"/>
                <w:color w:val="000000"/>
                <w:sz w:val="20"/>
                <w:szCs w:val="20"/>
              </w:rPr>
              <w:t>Other current assets through financing arrangement in accrued expenses and other current liabilities</w:t>
            </w:r>
          </w:p>
        </w:tc>
        <w:tc>
          <w:tcPr>
            <w:tcW w:w="0" w:type="auto"/>
            <w:shd w:val="clear" w:color="auto" w:fill="CCEEFF"/>
            <w:tcMar>
              <w:top w:w="40" w:type="dxa"/>
              <w:left w:w="20" w:type="dxa"/>
              <w:bottom w:w="40" w:type="dxa"/>
              <w:right w:w="0" w:type="dxa"/>
            </w:tcMar>
            <w:vAlign w:val="bottom"/>
          </w:tcPr>
          <w:p w14:paraId="0B2FA4A0"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4A1" w14:textId="77777777" w:rsidR="007F1775" w:rsidRDefault="000F083E">
            <w:pPr>
              <w:jc w:val="right"/>
              <w:textAlignment w:val="bottom"/>
            </w:pPr>
            <w:r>
              <w:rPr>
                <w:rFonts w:ascii="Times New Roman" w:eastAsia="宋体" w:hAnsi="Times New Roman"/>
                <w:color w:val="000000"/>
                <w:sz w:val="20"/>
                <w:szCs w:val="20"/>
              </w:rPr>
              <w:t>659 </w:t>
            </w:r>
          </w:p>
        </w:tc>
        <w:tc>
          <w:tcPr>
            <w:tcW w:w="0" w:type="auto"/>
            <w:shd w:val="clear" w:color="auto" w:fill="CCEEFF"/>
            <w:tcMar>
              <w:top w:w="40" w:type="dxa"/>
              <w:left w:w="0" w:type="dxa"/>
              <w:bottom w:w="40" w:type="dxa"/>
              <w:right w:w="20" w:type="dxa"/>
            </w:tcMar>
            <w:vAlign w:val="bottom"/>
          </w:tcPr>
          <w:p w14:paraId="0B2FA4A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4A3"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4A4"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4A5"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4A6" w14:textId="77777777" w:rsidR="007F1775" w:rsidRDefault="007F1775">
            <w:pPr>
              <w:jc w:val="right"/>
              <w:rPr>
                <w:rFonts w:ascii="宋体"/>
              </w:rPr>
            </w:pPr>
          </w:p>
        </w:tc>
      </w:tr>
      <w:tr w:rsidR="007F1775" w14:paraId="0B2FA4B0" w14:textId="77777777">
        <w:trPr>
          <w:jc w:val="center"/>
        </w:trPr>
        <w:tc>
          <w:tcPr>
            <w:tcW w:w="0" w:type="auto"/>
            <w:gridSpan w:val="3"/>
            <w:shd w:val="clear" w:color="auto" w:fill="FFFFFF"/>
            <w:tcMar>
              <w:top w:w="40" w:type="dxa"/>
              <w:left w:w="380" w:type="dxa"/>
              <w:bottom w:w="40" w:type="dxa"/>
              <w:right w:w="20" w:type="dxa"/>
            </w:tcMar>
          </w:tcPr>
          <w:p w14:paraId="0B2FA4A8" w14:textId="77777777" w:rsidR="007F1775" w:rsidRDefault="000F083E">
            <w:pPr>
              <w:textAlignment w:val="top"/>
            </w:pPr>
            <w:r>
              <w:rPr>
                <w:rFonts w:ascii="Times New Roman" w:eastAsia="宋体" w:hAnsi="Times New Roman"/>
                <w:color w:val="000000"/>
                <w:sz w:val="20"/>
                <w:szCs w:val="20"/>
              </w:rPr>
              <w:t xml:space="preserve">Repurchases of Class A common stock in accrued expenses and other current </w:t>
            </w:r>
            <w:r>
              <w:rPr>
                <w:rFonts w:ascii="Times New Roman" w:eastAsia="宋体" w:hAnsi="Times New Roman"/>
                <w:color w:val="000000"/>
                <w:sz w:val="20"/>
                <w:szCs w:val="20"/>
              </w:rPr>
              <w:t>liabilities</w:t>
            </w:r>
          </w:p>
        </w:tc>
        <w:tc>
          <w:tcPr>
            <w:tcW w:w="0" w:type="auto"/>
            <w:shd w:val="clear" w:color="auto" w:fill="FFFFFF"/>
            <w:tcMar>
              <w:top w:w="40" w:type="dxa"/>
              <w:left w:w="20" w:type="dxa"/>
              <w:bottom w:w="40" w:type="dxa"/>
              <w:right w:w="0" w:type="dxa"/>
            </w:tcMar>
            <w:vAlign w:val="bottom"/>
          </w:tcPr>
          <w:p w14:paraId="0B2FA4A9"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4AA" w14:textId="77777777" w:rsidR="007F1775" w:rsidRDefault="000F083E">
            <w:pPr>
              <w:jc w:val="right"/>
              <w:textAlignment w:val="bottom"/>
            </w:pPr>
            <w:r>
              <w:rPr>
                <w:rFonts w:ascii="Times New Roman" w:eastAsia="宋体" w:hAnsi="Times New Roman"/>
                <w:color w:val="000000"/>
                <w:sz w:val="20"/>
                <w:szCs w:val="20"/>
              </w:rPr>
              <w:t>221 </w:t>
            </w:r>
          </w:p>
        </w:tc>
        <w:tc>
          <w:tcPr>
            <w:tcW w:w="0" w:type="auto"/>
            <w:shd w:val="clear" w:color="auto" w:fill="FFFFFF"/>
            <w:tcMar>
              <w:top w:w="40" w:type="dxa"/>
              <w:left w:w="0" w:type="dxa"/>
              <w:bottom w:w="40" w:type="dxa"/>
              <w:right w:w="20" w:type="dxa"/>
            </w:tcMar>
            <w:vAlign w:val="bottom"/>
          </w:tcPr>
          <w:p w14:paraId="0B2FA4A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4AC"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4AD"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4AE" w14:textId="77777777" w:rsidR="007F1775" w:rsidRDefault="000F083E">
            <w:pPr>
              <w:jc w:val="right"/>
              <w:textAlignment w:val="bottom"/>
            </w:pPr>
            <w:r>
              <w:rPr>
                <w:rFonts w:ascii="Times New Roman" w:eastAsia="宋体" w:hAnsi="Times New Roman"/>
                <w:color w:val="000000"/>
                <w:sz w:val="20"/>
                <w:szCs w:val="20"/>
              </w:rPr>
              <w:t>240 </w:t>
            </w:r>
          </w:p>
        </w:tc>
        <w:tc>
          <w:tcPr>
            <w:tcW w:w="0" w:type="auto"/>
            <w:shd w:val="clear" w:color="auto" w:fill="FFFFFF"/>
            <w:tcMar>
              <w:top w:w="40" w:type="dxa"/>
              <w:left w:w="0" w:type="dxa"/>
              <w:bottom w:w="40" w:type="dxa"/>
              <w:right w:w="20" w:type="dxa"/>
            </w:tcMar>
            <w:vAlign w:val="bottom"/>
          </w:tcPr>
          <w:p w14:paraId="0B2FA4AF" w14:textId="77777777" w:rsidR="007F1775" w:rsidRDefault="007F1775">
            <w:pPr>
              <w:jc w:val="right"/>
              <w:rPr>
                <w:rFonts w:ascii="宋体"/>
              </w:rPr>
            </w:pPr>
          </w:p>
        </w:tc>
      </w:tr>
    </w:tbl>
    <w:p w14:paraId="0B2FA4B1" w14:textId="77777777" w:rsidR="007F1775" w:rsidRDefault="000F083E">
      <w:pPr>
        <w:spacing w:before="180"/>
        <w:jc w:val="center"/>
      </w:pPr>
      <w:r>
        <w:rPr>
          <w:rFonts w:ascii="Times New Roman" w:eastAsia="宋体" w:hAnsi="Times New Roman"/>
          <w:i/>
          <w:iCs/>
          <w:color w:val="000000"/>
          <w:sz w:val="18"/>
          <w:szCs w:val="18"/>
        </w:rPr>
        <w:t>See Accompanying Notes to Condensed Consolidated Financial Statements.</w:t>
      </w:r>
    </w:p>
    <w:p w14:paraId="0B2FA4B2" w14:textId="77777777" w:rsidR="007F1775" w:rsidRDefault="000F083E">
      <w:pPr>
        <w:jc w:val="center"/>
      </w:pPr>
      <w:r>
        <w:rPr>
          <w:rFonts w:ascii="Times New Roman" w:eastAsia="宋体" w:hAnsi="Times New Roman"/>
          <w:color w:val="000000"/>
          <w:sz w:val="20"/>
          <w:szCs w:val="20"/>
        </w:rPr>
        <w:t>12</w:t>
      </w:r>
    </w:p>
    <w:p w14:paraId="0B2FA4B3" w14:textId="77777777" w:rsidR="007F1775" w:rsidRDefault="000F083E">
      <w:r>
        <w:pict w14:anchorId="0B2FBF6D">
          <v:rect id="_x0000_i1036" style="width:415.3pt;height:1.5pt" o:hralign="center" o:hrstd="t" o:hr="t" fillcolor="#a0a0a0" stroked="f"/>
        </w:pict>
      </w:r>
    </w:p>
    <w:p w14:paraId="0B2FA4B4" w14:textId="77777777" w:rsidR="007F1775" w:rsidRDefault="007F1775"/>
    <w:p w14:paraId="0B2FA4B5" w14:textId="77777777" w:rsidR="007F1775" w:rsidRDefault="007F1775"/>
    <w:p w14:paraId="0B2FA4B6" w14:textId="77777777" w:rsidR="007F1775" w:rsidRDefault="000F083E">
      <w:hyperlink r:id="rId90" w:anchor="iea70e328caa94cefb76a9db6ed6338fc_7" w:history="1">
        <w:r>
          <w:rPr>
            <w:rStyle w:val="a5"/>
            <w:rFonts w:ascii="Times New Roman" w:eastAsia="宋体" w:hAnsi="Times New Roman"/>
            <w:sz w:val="20"/>
            <w:szCs w:val="20"/>
          </w:rPr>
          <w:t>Table of Contents</w:t>
        </w:r>
      </w:hyperlink>
    </w:p>
    <w:p w14:paraId="0B2FA4B7" w14:textId="77777777" w:rsidR="007F1775" w:rsidRDefault="000F083E">
      <w:pPr>
        <w:spacing w:before="180"/>
        <w:jc w:val="center"/>
      </w:pPr>
      <w:r>
        <w:rPr>
          <w:rFonts w:ascii="Times New Roman" w:eastAsia="宋体" w:hAnsi="Times New Roman"/>
          <w:b/>
          <w:bCs/>
          <w:color w:val="000000"/>
          <w:sz w:val="20"/>
          <w:szCs w:val="20"/>
        </w:rPr>
        <w:t xml:space="preserve">META PLATFORMS, INC. </w:t>
      </w:r>
    </w:p>
    <w:p w14:paraId="0B2FA4B8" w14:textId="77777777" w:rsidR="007F1775" w:rsidRDefault="000F083E">
      <w:pPr>
        <w:jc w:val="center"/>
      </w:pPr>
      <w:r>
        <w:rPr>
          <w:rFonts w:ascii="Times New Roman" w:eastAsia="宋体" w:hAnsi="Times New Roman"/>
          <w:b/>
          <w:bCs/>
          <w:color w:val="000000"/>
          <w:sz w:val="20"/>
          <w:szCs w:val="20"/>
        </w:rPr>
        <w:t>NOTES TO CONDENSED CONSOLIDATED FINANCIAL STATEMENTS</w:t>
      </w:r>
    </w:p>
    <w:p w14:paraId="0B2FA4B9" w14:textId="77777777" w:rsidR="007F1775" w:rsidRDefault="000F083E">
      <w:pPr>
        <w:jc w:val="center"/>
      </w:pPr>
      <w:r>
        <w:rPr>
          <w:rFonts w:ascii="Times New Roman" w:eastAsia="宋体" w:hAnsi="Times New Roman"/>
          <w:i/>
          <w:iCs/>
          <w:color w:val="000000"/>
          <w:sz w:val="20"/>
          <w:szCs w:val="20"/>
        </w:rPr>
        <w:t>(Unaudited</w:t>
      </w:r>
      <w:r>
        <w:rPr>
          <w:rFonts w:ascii="Times New Roman" w:eastAsia="宋体" w:hAnsi="Times New Roman"/>
          <w:i/>
          <w:iCs/>
          <w:color w:val="000000"/>
          <w:sz w:val="20"/>
          <w:szCs w:val="20"/>
        </w:rPr>
        <w:t>)</w:t>
      </w:r>
    </w:p>
    <w:p w14:paraId="0B2FA4BA" w14:textId="77777777" w:rsidR="007F1775" w:rsidRDefault="000F083E">
      <w:pPr>
        <w:spacing w:before="180"/>
      </w:pPr>
      <w:r>
        <w:rPr>
          <w:rFonts w:ascii="Times New Roman" w:eastAsia="宋体" w:hAnsi="Times New Roman"/>
          <w:b/>
          <w:bCs/>
          <w:color w:val="000000"/>
          <w:sz w:val="20"/>
          <w:szCs w:val="20"/>
        </w:rPr>
        <w:t>Note 1. Summary of Significant Accounting Policies</w:t>
      </w:r>
    </w:p>
    <w:p w14:paraId="0B2FA4BB" w14:textId="77777777" w:rsidR="007F1775" w:rsidRDefault="007F1775">
      <w:pPr>
        <w:jc w:val="both"/>
      </w:pPr>
    </w:p>
    <w:p w14:paraId="0B2FA4BC" w14:textId="77777777" w:rsidR="007F1775" w:rsidRDefault="000F083E">
      <w:pPr>
        <w:jc w:val="both"/>
      </w:pPr>
      <w:r>
        <w:rPr>
          <w:rFonts w:ascii="Times New Roman" w:eastAsia="宋体" w:hAnsi="Times New Roman"/>
          <w:b/>
          <w:bCs/>
          <w:i/>
          <w:iCs/>
          <w:color w:val="000000"/>
          <w:sz w:val="20"/>
          <w:szCs w:val="20"/>
        </w:rPr>
        <w:t>Basis of Presentation</w:t>
      </w:r>
    </w:p>
    <w:p w14:paraId="0B2FA4BD" w14:textId="77777777" w:rsidR="007F1775" w:rsidRDefault="007F1775">
      <w:pPr>
        <w:ind w:firstLine="540"/>
        <w:jc w:val="both"/>
      </w:pPr>
    </w:p>
    <w:p w14:paraId="0B2FA4BE" w14:textId="77777777" w:rsidR="007F1775" w:rsidRDefault="000F083E">
      <w:pPr>
        <w:ind w:firstLine="540"/>
        <w:jc w:val="both"/>
      </w:pPr>
      <w:r>
        <w:rPr>
          <w:rFonts w:ascii="Times New Roman" w:eastAsia="宋体" w:hAnsi="Times New Roman"/>
          <w:color w:val="000000"/>
          <w:sz w:val="20"/>
          <w:szCs w:val="20"/>
        </w:rPr>
        <w:t>The accompanying unaudited condensed consolidated fi</w:t>
      </w:r>
      <w:r>
        <w:rPr>
          <w:rFonts w:ascii="Times New Roman" w:eastAsia="宋体" w:hAnsi="Times New Roman"/>
          <w:color w:val="000000"/>
          <w:sz w:val="20"/>
          <w:szCs w:val="20"/>
          <w:shd w:val="clear" w:color="auto" w:fill="FFFFFF"/>
        </w:rPr>
        <w:t>nancial statements have been prepared in accordance with generally accepted accounting principles in the United States (GAAP) a</w:t>
      </w:r>
      <w:r>
        <w:rPr>
          <w:rFonts w:ascii="Times New Roman" w:eastAsia="宋体" w:hAnsi="Times New Roman"/>
          <w:color w:val="000000"/>
          <w:sz w:val="20"/>
          <w:szCs w:val="20"/>
          <w:shd w:val="clear" w:color="auto" w:fill="FFFFFF"/>
        </w:rPr>
        <w:t xml:space="preserve">nd </w:t>
      </w:r>
      <w:r>
        <w:rPr>
          <w:rFonts w:ascii="Times New Roman" w:eastAsia="宋体" w:hAnsi="Times New Roman"/>
          <w:color w:val="000000"/>
          <w:sz w:val="20"/>
          <w:szCs w:val="20"/>
        </w:rPr>
        <w:t>applicable rules and regulations of the Securities and Exchange Commission regarding interim financial reporting. Certain information and note disclosures normally included in the financial statements prepared in accordance with GAAP have been condensed</w:t>
      </w:r>
      <w:r>
        <w:rPr>
          <w:rFonts w:ascii="Times New Roman" w:eastAsia="宋体" w:hAnsi="Times New Roman"/>
          <w:color w:val="000000"/>
          <w:sz w:val="20"/>
          <w:szCs w:val="20"/>
        </w:rPr>
        <w:t xml:space="preserve"> or omitted pursuant to such rules and regulations. As such, the information included in this quarterly report on Form 10-Q should be read in conjunction with the consolidated financial statements and accompanying notes included in our Annual Report on For</w:t>
      </w:r>
      <w:r>
        <w:rPr>
          <w:rFonts w:ascii="Times New Roman" w:eastAsia="宋体" w:hAnsi="Times New Roman"/>
          <w:color w:val="000000"/>
          <w:sz w:val="20"/>
          <w:szCs w:val="20"/>
        </w:rPr>
        <w:t>m 10-K for the year ended December 31, 2021.</w:t>
      </w:r>
    </w:p>
    <w:p w14:paraId="0B2FA4BF" w14:textId="77777777" w:rsidR="007F1775" w:rsidRDefault="007F1775">
      <w:pPr>
        <w:ind w:firstLine="540"/>
        <w:jc w:val="both"/>
      </w:pPr>
    </w:p>
    <w:p w14:paraId="0B2FA4C0" w14:textId="77777777" w:rsidR="007F1775" w:rsidRDefault="000F083E">
      <w:pPr>
        <w:ind w:firstLine="540"/>
        <w:jc w:val="both"/>
      </w:pPr>
      <w:r>
        <w:rPr>
          <w:rFonts w:ascii="Times New Roman" w:eastAsia="宋体" w:hAnsi="Times New Roman"/>
          <w:color w:val="000000"/>
          <w:sz w:val="20"/>
          <w:szCs w:val="20"/>
        </w:rPr>
        <w:t xml:space="preserve">The condensed consolidated balance sheet as of December 31, 2021 included herein was derived from the audited financial statements as of that date, but does not include all disclosures including notes required </w:t>
      </w:r>
      <w:r>
        <w:rPr>
          <w:rFonts w:ascii="Times New Roman" w:eastAsia="宋体" w:hAnsi="Times New Roman"/>
          <w:color w:val="000000"/>
          <w:sz w:val="20"/>
          <w:szCs w:val="20"/>
        </w:rPr>
        <w:t>by GAAP.</w:t>
      </w:r>
    </w:p>
    <w:p w14:paraId="0B2FA4C1" w14:textId="77777777" w:rsidR="007F1775" w:rsidRDefault="007F1775">
      <w:pPr>
        <w:ind w:firstLine="540"/>
        <w:jc w:val="both"/>
      </w:pPr>
    </w:p>
    <w:p w14:paraId="0B2FA4C2" w14:textId="77777777" w:rsidR="007F1775" w:rsidRDefault="000F083E">
      <w:pPr>
        <w:ind w:firstLine="540"/>
        <w:jc w:val="both"/>
      </w:pPr>
      <w:r>
        <w:rPr>
          <w:rFonts w:ascii="Times New Roman" w:eastAsia="宋体" w:hAnsi="Times New Roman"/>
          <w:color w:val="000000"/>
          <w:sz w:val="20"/>
          <w:szCs w:val="20"/>
        </w:rPr>
        <w:t>The condensed consolidated financial statements include the accounts of Meta Platforms, Inc., its subsidiaries where we have controlling financial interests, and any variable interest entities for which we are deemed to be the primary beneficiary</w:t>
      </w:r>
      <w:r>
        <w:rPr>
          <w:rFonts w:ascii="Times New Roman" w:eastAsia="宋体" w:hAnsi="Times New Roman"/>
          <w:color w:val="000000"/>
          <w:sz w:val="20"/>
          <w:szCs w:val="20"/>
        </w:rPr>
        <w:t>. All intercompany balances and transactions have been eliminated.</w:t>
      </w:r>
    </w:p>
    <w:p w14:paraId="0B2FA4C3" w14:textId="77777777" w:rsidR="007F1775" w:rsidRDefault="007F1775">
      <w:pPr>
        <w:ind w:firstLine="540"/>
        <w:jc w:val="both"/>
      </w:pPr>
    </w:p>
    <w:p w14:paraId="0B2FA4C4" w14:textId="77777777" w:rsidR="007F1775" w:rsidRDefault="000F083E">
      <w:pPr>
        <w:ind w:firstLine="540"/>
        <w:jc w:val="both"/>
      </w:pPr>
      <w:r>
        <w:rPr>
          <w:rFonts w:ascii="Times New Roman" w:eastAsia="宋体" w:hAnsi="Times New Roman"/>
          <w:color w:val="000000"/>
          <w:sz w:val="20"/>
          <w:szCs w:val="20"/>
        </w:rPr>
        <w:t>The accompanying condensed consolidated financial statements reflect all normal recurring adjustments that are necessary to present fairly the results for the interim periods presented. In</w:t>
      </w:r>
      <w:r>
        <w:rPr>
          <w:rFonts w:ascii="Times New Roman" w:eastAsia="宋体" w:hAnsi="Times New Roman"/>
          <w:color w:val="000000"/>
          <w:sz w:val="20"/>
          <w:szCs w:val="20"/>
        </w:rPr>
        <w:t>terim results are not necessarily indicative of the results for the full year ending December 31, 2022.</w:t>
      </w:r>
    </w:p>
    <w:p w14:paraId="0B2FA4C5" w14:textId="77777777" w:rsidR="007F1775" w:rsidRDefault="007F1775">
      <w:pPr>
        <w:ind w:firstLine="540"/>
        <w:jc w:val="both"/>
      </w:pPr>
    </w:p>
    <w:p w14:paraId="0B2FA4C6" w14:textId="77777777" w:rsidR="007F1775" w:rsidRDefault="000F083E">
      <w:pPr>
        <w:jc w:val="both"/>
      </w:pPr>
      <w:r>
        <w:rPr>
          <w:rFonts w:ascii="Times New Roman" w:eastAsia="宋体" w:hAnsi="Times New Roman"/>
          <w:b/>
          <w:bCs/>
          <w:i/>
          <w:iCs/>
          <w:color w:val="000000"/>
          <w:sz w:val="20"/>
          <w:szCs w:val="20"/>
        </w:rPr>
        <w:t>Use of Estimates</w:t>
      </w:r>
    </w:p>
    <w:p w14:paraId="0B2FA4C7" w14:textId="77777777" w:rsidR="007F1775" w:rsidRDefault="007F1775">
      <w:pPr>
        <w:ind w:firstLine="540"/>
        <w:jc w:val="both"/>
      </w:pPr>
    </w:p>
    <w:p w14:paraId="0B2FA4C8" w14:textId="77777777" w:rsidR="007F1775" w:rsidRDefault="000F083E">
      <w:pPr>
        <w:ind w:firstLine="540"/>
        <w:jc w:val="both"/>
      </w:pPr>
      <w:r>
        <w:rPr>
          <w:rFonts w:ascii="Times New Roman" w:eastAsia="宋体" w:hAnsi="Times New Roman"/>
          <w:color w:val="000000"/>
          <w:sz w:val="20"/>
          <w:szCs w:val="20"/>
        </w:rPr>
        <w:t xml:space="preserve">Preparation of condensed consolidated financial statements in conformity with GAAP requires the use of estimates and </w:t>
      </w:r>
      <w:r>
        <w:rPr>
          <w:rFonts w:ascii="Times New Roman" w:eastAsia="宋体" w:hAnsi="Times New Roman"/>
          <w:color w:val="000000"/>
          <w:sz w:val="20"/>
          <w:szCs w:val="20"/>
        </w:rPr>
        <w:t>judgments that affect the reported amounts in the condensed consolidated financial statements and accompanying notes. These estimates form the basis for judgments we make about the carrying values of our assets and liabilities, which are not readily appare</w:t>
      </w:r>
      <w:r>
        <w:rPr>
          <w:rFonts w:ascii="Times New Roman" w:eastAsia="宋体" w:hAnsi="Times New Roman"/>
          <w:color w:val="000000"/>
          <w:sz w:val="20"/>
          <w:szCs w:val="20"/>
        </w:rPr>
        <w:t xml:space="preserve">nt from other sources. We base our estimates and judgments on historical information and on various other assumptions that we believe are reasonable under the circumstances. GAAP requires us to make estimates and judgments in several areas, including, but </w:t>
      </w:r>
      <w:r>
        <w:rPr>
          <w:rFonts w:ascii="Times New Roman" w:eastAsia="宋体" w:hAnsi="Times New Roman"/>
          <w:color w:val="000000"/>
          <w:sz w:val="20"/>
          <w:szCs w:val="20"/>
        </w:rPr>
        <w:t>not limited to, those related to revenue recognition, valuation of equity investments, income taxes, loss contingencies, valuation of long-lived assets including goodwill, intangible assets, and property and equipment, and their associated estimated useful</w:t>
      </w:r>
      <w:r>
        <w:rPr>
          <w:rFonts w:ascii="Times New Roman" w:eastAsia="宋体" w:hAnsi="Times New Roman"/>
          <w:color w:val="000000"/>
          <w:sz w:val="20"/>
          <w:szCs w:val="20"/>
        </w:rPr>
        <w:t xml:space="preserve"> lives, credit losses of available-for-sale debt securities, credit losses of accounts receivable, fair value of financial instruments, and leases. These estimates are based on management's knowledge about current events and expectations about actions we m</w:t>
      </w:r>
      <w:r>
        <w:rPr>
          <w:rFonts w:ascii="Times New Roman" w:eastAsia="宋体" w:hAnsi="Times New Roman"/>
          <w:color w:val="000000"/>
          <w:sz w:val="20"/>
          <w:szCs w:val="20"/>
        </w:rPr>
        <w:t>ay undertake in the future. Actual results could differ materially from those estimates.</w:t>
      </w:r>
    </w:p>
    <w:p w14:paraId="0B2FA4C9" w14:textId="77777777" w:rsidR="007F1775" w:rsidRDefault="007F1775">
      <w:pPr>
        <w:ind w:firstLine="540"/>
        <w:jc w:val="both"/>
      </w:pPr>
    </w:p>
    <w:p w14:paraId="0B2FA4CA" w14:textId="77777777" w:rsidR="007F1775" w:rsidRDefault="000F083E">
      <w:pPr>
        <w:jc w:val="both"/>
      </w:pPr>
      <w:r>
        <w:rPr>
          <w:rFonts w:ascii="Times New Roman" w:eastAsia="宋体" w:hAnsi="Times New Roman"/>
          <w:b/>
          <w:bCs/>
          <w:i/>
          <w:iCs/>
          <w:color w:val="000000"/>
          <w:sz w:val="20"/>
          <w:szCs w:val="20"/>
        </w:rPr>
        <w:t>Significant Accounting Policies</w:t>
      </w:r>
    </w:p>
    <w:p w14:paraId="0B2FA4CB" w14:textId="77777777" w:rsidR="007F1775" w:rsidRDefault="007F1775">
      <w:pPr>
        <w:jc w:val="both"/>
      </w:pPr>
    </w:p>
    <w:p w14:paraId="0B2FA4CC" w14:textId="77777777" w:rsidR="007F1775" w:rsidRDefault="000F083E">
      <w:pPr>
        <w:ind w:firstLine="540"/>
        <w:jc w:val="both"/>
      </w:pPr>
      <w:r>
        <w:rPr>
          <w:rFonts w:ascii="Times New Roman" w:eastAsia="宋体" w:hAnsi="Times New Roman"/>
          <w:color w:val="000000"/>
          <w:sz w:val="20"/>
          <w:szCs w:val="20"/>
        </w:rPr>
        <w:t>There have been no material changes to our significant accounting policies from our Annual Report on Form 10-K for the fiscal year en</w:t>
      </w:r>
      <w:r>
        <w:rPr>
          <w:rFonts w:ascii="Times New Roman" w:eastAsia="宋体" w:hAnsi="Times New Roman"/>
          <w:color w:val="000000"/>
          <w:sz w:val="20"/>
          <w:szCs w:val="20"/>
        </w:rPr>
        <w:t>ded December 31, 2021.</w:t>
      </w:r>
    </w:p>
    <w:p w14:paraId="0B2FA4CD" w14:textId="77777777" w:rsidR="007F1775" w:rsidRDefault="007F1775">
      <w:pPr>
        <w:ind w:firstLine="540"/>
        <w:jc w:val="both"/>
      </w:pPr>
    </w:p>
    <w:p w14:paraId="0B2FA4CE" w14:textId="77777777" w:rsidR="007F1775" w:rsidRDefault="000F083E">
      <w:pPr>
        <w:jc w:val="both"/>
      </w:pPr>
      <w:r>
        <w:rPr>
          <w:rFonts w:ascii="Times New Roman" w:eastAsia="宋体" w:hAnsi="Times New Roman"/>
          <w:b/>
          <w:bCs/>
          <w:i/>
          <w:iCs/>
          <w:color w:val="000000"/>
          <w:sz w:val="20"/>
          <w:szCs w:val="20"/>
        </w:rPr>
        <w:t>Recently Adopted Accounting Pronouncements</w:t>
      </w:r>
    </w:p>
    <w:p w14:paraId="0B2FA4CF" w14:textId="77777777" w:rsidR="007F1775" w:rsidRDefault="007F1775">
      <w:pPr>
        <w:jc w:val="both"/>
      </w:pPr>
    </w:p>
    <w:p w14:paraId="0B2FA4D0" w14:textId="77777777" w:rsidR="007F1775" w:rsidRDefault="000F083E">
      <w:pPr>
        <w:ind w:firstLine="540"/>
        <w:jc w:val="both"/>
      </w:pPr>
      <w:r>
        <w:rPr>
          <w:rFonts w:ascii="Times New Roman" w:eastAsia="宋体" w:hAnsi="Times New Roman"/>
          <w:color w:val="000000"/>
          <w:sz w:val="20"/>
          <w:szCs w:val="20"/>
        </w:rPr>
        <w:t xml:space="preserve">On January 1, 2022, we early adopted Accounting Standards Update (ASU) No. 2021-08, </w:t>
      </w:r>
      <w:r>
        <w:rPr>
          <w:rFonts w:ascii="Times New Roman" w:eastAsia="宋体" w:hAnsi="Times New Roman"/>
          <w:i/>
          <w:iCs/>
          <w:color w:val="000000"/>
          <w:sz w:val="20"/>
          <w:szCs w:val="20"/>
        </w:rPr>
        <w:t xml:space="preserve">Business Combinations (Topic 805): Accounting for Contract Assets and Contract Liabilities from Contracts with Customers </w:t>
      </w:r>
      <w:r>
        <w:rPr>
          <w:rFonts w:ascii="Times New Roman" w:eastAsia="宋体" w:hAnsi="Times New Roman"/>
          <w:color w:val="000000"/>
          <w:sz w:val="20"/>
          <w:szCs w:val="20"/>
        </w:rPr>
        <w:t xml:space="preserve">(ASU 2021-08), which clarifies that an acquirer of a business should recognize and measure contract assets and contract liabilities in </w:t>
      </w:r>
      <w:r>
        <w:rPr>
          <w:rFonts w:ascii="Times New Roman" w:eastAsia="宋体" w:hAnsi="Times New Roman"/>
          <w:color w:val="000000"/>
          <w:sz w:val="20"/>
          <w:szCs w:val="20"/>
        </w:rPr>
        <w:t xml:space="preserve">a business combination in accordance with Accounting Standards Codification (ASC) Topic 606, </w:t>
      </w:r>
      <w:r>
        <w:rPr>
          <w:rFonts w:ascii="Times New Roman" w:eastAsia="宋体" w:hAnsi="Times New Roman"/>
          <w:i/>
          <w:iCs/>
          <w:color w:val="000000"/>
          <w:sz w:val="20"/>
          <w:szCs w:val="20"/>
        </w:rPr>
        <w:t>Revenue from Contracts with Customers (Topic 606)</w:t>
      </w:r>
      <w:r>
        <w:rPr>
          <w:rFonts w:ascii="Times New Roman" w:eastAsia="宋体" w:hAnsi="Times New Roman"/>
          <w:color w:val="000000"/>
          <w:sz w:val="20"/>
          <w:szCs w:val="20"/>
        </w:rPr>
        <w:t>. The adoption of this new standard did not have a material impact on our condensed consolidated financial stateme</w:t>
      </w:r>
      <w:r>
        <w:rPr>
          <w:rFonts w:ascii="Times New Roman" w:eastAsia="宋体" w:hAnsi="Times New Roman"/>
          <w:color w:val="000000"/>
          <w:sz w:val="20"/>
          <w:szCs w:val="20"/>
        </w:rPr>
        <w:t>nts.</w:t>
      </w:r>
    </w:p>
    <w:p w14:paraId="0B2FA4D1" w14:textId="77777777" w:rsidR="007F1775" w:rsidRDefault="007F1775">
      <w:pPr>
        <w:ind w:firstLine="540"/>
        <w:jc w:val="both"/>
      </w:pPr>
    </w:p>
    <w:p w14:paraId="0B2FA4D2" w14:textId="77777777" w:rsidR="007F1775" w:rsidRDefault="000F083E">
      <w:pPr>
        <w:jc w:val="center"/>
      </w:pPr>
      <w:r>
        <w:rPr>
          <w:rFonts w:ascii="Times New Roman" w:eastAsia="宋体" w:hAnsi="Times New Roman"/>
          <w:color w:val="000000"/>
          <w:sz w:val="20"/>
          <w:szCs w:val="20"/>
        </w:rPr>
        <w:t>13</w:t>
      </w:r>
    </w:p>
    <w:p w14:paraId="0B2FA4D3" w14:textId="77777777" w:rsidR="007F1775" w:rsidRDefault="000F083E">
      <w:r>
        <w:pict w14:anchorId="0B2FBF6E">
          <v:rect id="_x0000_i1037" style="width:415.3pt;height:1.5pt" o:hralign="center" o:hrstd="t" o:hr="t" fillcolor="#a0a0a0" stroked="f"/>
        </w:pict>
      </w:r>
    </w:p>
    <w:p w14:paraId="0B2FA4D4" w14:textId="77777777" w:rsidR="007F1775" w:rsidRDefault="007F1775"/>
    <w:p w14:paraId="0B2FA4D5" w14:textId="77777777" w:rsidR="007F1775" w:rsidRDefault="007F1775"/>
    <w:p w14:paraId="0B2FA4D6" w14:textId="77777777" w:rsidR="007F1775" w:rsidRDefault="000F083E">
      <w:hyperlink r:id="rId91" w:anchor="iea70e328caa94cefb76a9db6ed6338fc_7" w:history="1">
        <w:r>
          <w:rPr>
            <w:rStyle w:val="a5"/>
            <w:rFonts w:ascii="Times New Roman" w:eastAsia="宋体" w:hAnsi="Times New Roman"/>
            <w:sz w:val="20"/>
            <w:szCs w:val="20"/>
          </w:rPr>
          <w:t>Table of Contents</w:t>
        </w:r>
      </w:hyperlink>
    </w:p>
    <w:p w14:paraId="0B2FA4D7" w14:textId="77777777" w:rsidR="007F1775" w:rsidRDefault="000F083E">
      <w:pPr>
        <w:jc w:val="both"/>
      </w:pPr>
      <w:r>
        <w:rPr>
          <w:rFonts w:ascii="Times New Roman" w:eastAsia="宋体" w:hAnsi="Times New Roman"/>
          <w:b/>
          <w:bCs/>
          <w:i/>
          <w:iCs/>
          <w:color w:val="000000"/>
          <w:sz w:val="20"/>
          <w:szCs w:val="20"/>
        </w:rPr>
        <w:t>Accounting Pronouncements Not Yet Adopted</w:t>
      </w:r>
    </w:p>
    <w:p w14:paraId="0B2FA4D8" w14:textId="77777777" w:rsidR="007F1775" w:rsidRDefault="007F1775">
      <w:pPr>
        <w:jc w:val="both"/>
      </w:pPr>
    </w:p>
    <w:p w14:paraId="0B2FA4D9" w14:textId="77777777" w:rsidR="007F1775" w:rsidRDefault="000F083E">
      <w:pPr>
        <w:ind w:firstLine="540"/>
        <w:jc w:val="both"/>
      </w:pPr>
      <w:r>
        <w:rPr>
          <w:rFonts w:ascii="Times New Roman" w:eastAsia="宋体" w:hAnsi="Times New Roman"/>
          <w:color w:val="000000"/>
          <w:sz w:val="20"/>
          <w:szCs w:val="20"/>
        </w:rPr>
        <w:t>In November 2021, the Financi</w:t>
      </w:r>
      <w:r>
        <w:rPr>
          <w:rFonts w:ascii="Times New Roman" w:eastAsia="宋体" w:hAnsi="Times New Roman"/>
          <w:color w:val="000000"/>
          <w:sz w:val="20"/>
          <w:szCs w:val="20"/>
        </w:rPr>
        <w:t>al Accounting Standards Board issued ASU No. 2021-10,</w:t>
      </w:r>
      <w:r>
        <w:rPr>
          <w:rFonts w:ascii="Times New Roman" w:eastAsia="宋体" w:hAnsi="Times New Roman"/>
          <w:i/>
          <w:iCs/>
          <w:color w:val="000000"/>
          <w:sz w:val="20"/>
          <w:szCs w:val="20"/>
        </w:rPr>
        <w:t xml:space="preserve"> Government Assistance (Topic 832): Disclosure by Business Entities about Government Assistance </w:t>
      </w:r>
      <w:r>
        <w:rPr>
          <w:rFonts w:ascii="Times New Roman" w:eastAsia="宋体" w:hAnsi="Times New Roman"/>
          <w:color w:val="000000"/>
          <w:sz w:val="20"/>
          <w:szCs w:val="20"/>
        </w:rPr>
        <w:t>(ASU 2021-10), which requires the disclosure of government assistance received by most business entities re</w:t>
      </w:r>
      <w:r>
        <w:rPr>
          <w:rFonts w:ascii="Times New Roman" w:eastAsia="宋体" w:hAnsi="Times New Roman"/>
          <w:color w:val="000000"/>
          <w:sz w:val="20"/>
          <w:szCs w:val="20"/>
        </w:rPr>
        <w:t>lating to: (1) the types of government assistance received; (2) the accounting for such assistance; and (3) the effect of the assistance on a business entity's financial statements. This guidance will be effective for our annual financial statements for th</w:t>
      </w:r>
      <w:r>
        <w:rPr>
          <w:rFonts w:ascii="Times New Roman" w:eastAsia="宋体" w:hAnsi="Times New Roman"/>
          <w:color w:val="000000"/>
          <w:sz w:val="20"/>
          <w:szCs w:val="20"/>
        </w:rPr>
        <w:t>e year ended December 31, 2022. We are currently evaluating the impact of the new guidance on our consolidated financial statements.</w:t>
      </w:r>
    </w:p>
    <w:p w14:paraId="0B2FA4DA" w14:textId="77777777" w:rsidR="007F1775" w:rsidRDefault="007F1775">
      <w:pPr>
        <w:ind w:firstLine="540"/>
        <w:jc w:val="both"/>
      </w:pPr>
    </w:p>
    <w:p w14:paraId="0B2FA4DB" w14:textId="77777777" w:rsidR="007F1775" w:rsidRDefault="000F083E">
      <w:pPr>
        <w:spacing w:before="180"/>
      </w:pPr>
      <w:r>
        <w:rPr>
          <w:rFonts w:ascii="Times New Roman" w:eastAsia="宋体" w:hAnsi="Times New Roman"/>
          <w:b/>
          <w:bCs/>
          <w:color w:val="000000"/>
          <w:sz w:val="20"/>
          <w:szCs w:val="20"/>
        </w:rPr>
        <w:t>Note 2. Revenue</w:t>
      </w:r>
    </w:p>
    <w:p w14:paraId="0B2FA4DC" w14:textId="77777777" w:rsidR="007F1775" w:rsidRDefault="007F1775">
      <w:pPr>
        <w:ind w:firstLine="540"/>
      </w:pPr>
    </w:p>
    <w:p w14:paraId="0B2FA4DD" w14:textId="77777777" w:rsidR="007F1775" w:rsidRDefault="000F083E">
      <w:pPr>
        <w:ind w:firstLine="540"/>
        <w:jc w:val="both"/>
      </w:pPr>
      <w:r>
        <w:rPr>
          <w:rFonts w:ascii="Times New Roman" w:eastAsia="宋体" w:hAnsi="Times New Roman"/>
          <w:color w:val="000000"/>
          <w:sz w:val="20"/>
          <w:szCs w:val="20"/>
        </w:rPr>
        <w:t>Revenue disaggregated by revenue source and by segment consists of the following (in millions). For compa</w:t>
      </w:r>
      <w:r>
        <w:rPr>
          <w:rFonts w:ascii="Times New Roman" w:eastAsia="宋体" w:hAnsi="Times New Roman"/>
          <w:color w:val="000000"/>
          <w:sz w:val="20"/>
          <w:szCs w:val="20"/>
        </w:rPr>
        <w:t>rative purposes, amounts in the prior period have been recast:</w:t>
      </w:r>
    </w:p>
    <w:tbl>
      <w:tblPr>
        <w:tblW w:w="5000" w:type="pct"/>
        <w:tblCellMar>
          <w:top w:w="15" w:type="dxa"/>
          <w:left w:w="15" w:type="dxa"/>
          <w:bottom w:w="15" w:type="dxa"/>
          <w:right w:w="15" w:type="dxa"/>
        </w:tblCellMar>
        <w:tblLook w:val="04A0" w:firstRow="1" w:lastRow="0" w:firstColumn="1" w:lastColumn="0" w:noHBand="0" w:noVBand="1"/>
      </w:tblPr>
      <w:tblGrid>
        <w:gridCol w:w="37"/>
        <w:gridCol w:w="5292"/>
        <w:gridCol w:w="36"/>
        <w:gridCol w:w="120"/>
        <w:gridCol w:w="1150"/>
        <w:gridCol w:w="36"/>
        <w:gridCol w:w="36"/>
        <w:gridCol w:w="36"/>
        <w:gridCol w:w="36"/>
        <w:gridCol w:w="120"/>
        <w:gridCol w:w="1113"/>
        <w:gridCol w:w="36"/>
        <w:gridCol w:w="36"/>
        <w:gridCol w:w="36"/>
        <w:gridCol w:w="36"/>
        <w:gridCol w:w="36"/>
        <w:gridCol w:w="36"/>
        <w:gridCol w:w="36"/>
        <w:gridCol w:w="36"/>
        <w:gridCol w:w="36"/>
      </w:tblGrid>
      <w:tr w:rsidR="007F1775" w14:paraId="0B2FA4EE" w14:textId="77777777">
        <w:tc>
          <w:tcPr>
            <w:tcW w:w="50" w:type="pct"/>
            <w:shd w:val="clear" w:color="auto" w:fill="auto"/>
            <w:vAlign w:val="bottom"/>
          </w:tcPr>
          <w:p w14:paraId="0B2FA4DE" w14:textId="77777777" w:rsidR="007F1775" w:rsidRDefault="007F1775">
            <w:pPr>
              <w:rPr>
                <w:rFonts w:ascii="宋体"/>
              </w:rPr>
            </w:pPr>
          </w:p>
        </w:tc>
        <w:tc>
          <w:tcPr>
            <w:tcW w:w="3315" w:type="pct"/>
            <w:shd w:val="clear" w:color="auto" w:fill="auto"/>
            <w:vAlign w:val="bottom"/>
          </w:tcPr>
          <w:p w14:paraId="0B2FA4DF" w14:textId="77777777" w:rsidR="007F1775" w:rsidRDefault="007F1775">
            <w:pPr>
              <w:rPr>
                <w:rFonts w:ascii="宋体"/>
              </w:rPr>
            </w:pPr>
          </w:p>
        </w:tc>
        <w:tc>
          <w:tcPr>
            <w:tcW w:w="5" w:type="pct"/>
            <w:shd w:val="clear" w:color="auto" w:fill="auto"/>
            <w:vAlign w:val="bottom"/>
          </w:tcPr>
          <w:p w14:paraId="0B2FA4E0" w14:textId="77777777" w:rsidR="007F1775" w:rsidRDefault="007F1775">
            <w:pPr>
              <w:rPr>
                <w:rFonts w:ascii="宋体"/>
              </w:rPr>
            </w:pPr>
          </w:p>
        </w:tc>
        <w:tc>
          <w:tcPr>
            <w:tcW w:w="50" w:type="pct"/>
            <w:shd w:val="clear" w:color="auto" w:fill="auto"/>
            <w:vAlign w:val="bottom"/>
          </w:tcPr>
          <w:p w14:paraId="0B2FA4E1" w14:textId="77777777" w:rsidR="007F1775" w:rsidRDefault="007F1775">
            <w:pPr>
              <w:rPr>
                <w:rFonts w:ascii="宋体"/>
              </w:rPr>
            </w:pPr>
          </w:p>
        </w:tc>
        <w:tc>
          <w:tcPr>
            <w:tcW w:w="741" w:type="pct"/>
            <w:shd w:val="clear" w:color="auto" w:fill="auto"/>
            <w:vAlign w:val="bottom"/>
          </w:tcPr>
          <w:p w14:paraId="0B2FA4E2" w14:textId="77777777" w:rsidR="007F1775" w:rsidRDefault="007F1775">
            <w:pPr>
              <w:rPr>
                <w:rFonts w:ascii="宋体"/>
              </w:rPr>
            </w:pPr>
          </w:p>
        </w:tc>
        <w:tc>
          <w:tcPr>
            <w:tcW w:w="5" w:type="pct"/>
            <w:shd w:val="clear" w:color="auto" w:fill="auto"/>
            <w:vAlign w:val="bottom"/>
          </w:tcPr>
          <w:p w14:paraId="0B2FA4E3" w14:textId="77777777" w:rsidR="007F1775" w:rsidRDefault="007F1775">
            <w:pPr>
              <w:rPr>
                <w:rFonts w:ascii="宋体"/>
              </w:rPr>
            </w:pPr>
          </w:p>
        </w:tc>
        <w:tc>
          <w:tcPr>
            <w:tcW w:w="5" w:type="pct"/>
            <w:shd w:val="clear" w:color="auto" w:fill="auto"/>
            <w:vAlign w:val="bottom"/>
          </w:tcPr>
          <w:p w14:paraId="0B2FA4E4" w14:textId="77777777" w:rsidR="007F1775" w:rsidRDefault="007F1775">
            <w:pPr>
              <w:rPr>
                <w:rFonts w:ascii="宋体"/>
              </w:rPr>
            </w:pPr>
          </w:p>
        </w:tc>
        <w:tc>
          <w:tcPr>
            <w:tcW w:w="27" w:type="pct"/>
            <w:shd w:val="clear" w:color="auto" w:fill="auto"/>
            <w:vAlign w:val="bottom"/>
          </w:tcPr>
          <w:p w14:paraId="0B2FA4E5" w14:textId="77777777" w:rsidR="007F1775" w:rsidRDefault="007F1775">
            <w:pPr>
              <w:rPr>
                <w:rFonts w:ascii="宋体"/>
              </w:rPr>
            </w:pPr>
          </w:p>
        </w:tc>
        <w:tc>
          <w:tcPr>
            <w:tcW w:w="5" w:type="pct"/>
            <w:shd w:val="clear" w:color="auto" w:fill="auto"/>
            <w:vAlign w:val="bottom"/>
          </w:tcPr>
          <w:p w14:paraId="0B2FA4E6" w14:textId="77777777" w:rsidR="007F1775" w:rsidRDefault="007F1775">
            <w:pPr>
              <w:rPr>
                <w:rFonts w:ascii="宋体"/>
              </w:rPr>
            </w:pPr>
          </w:p>
        </w:tc>
        <w:tc>
          <w:tcPr>
            <w:tcW w:w="50" w:type="pct"/>
            <w:shd w:val="clear" w:color="auto" w:fill="auto"/>
            <w:vAlign w:val="bottom"/>
          </w:tcPr>
          <w:p w14:paraId="0B2FA4E7" w14:textId="77777777" w:rsidR="007F1775" w:rsidRDefault="007F1775">
            <w:pPr>
              <w:rPr>
                <w:rFonts w:ascii="宋体"/>
              </w:rPr>
            </w:pPr>
          </w:p>
        </w:tc>
        <w:tc>
          <w:tcPr>
            <w:tcW w:w="741" w:type="pct"/>
            <w:shd w:val="clear" w:color="auto" w:fill="auto"/>
            <w:vAlign w:val="bottom"/>
          </w:tcPr>
          <w:p w14:paraId="0B2FA4E8" w14:textId="77777777" w:rsidR="007F1775" w:rsidRDefault="007F1775">
            <w:pPr>
              <w:rPr>
                <w:rFonts w:ascii="宋体"/>
              </w:rPr>
            </w:pPr>
          </w:p>
        </w:tc>
        <w:tc>
          <w:tcPr>
            <w:tcW w:w="5" w:type="pct"/>
            <w:shd w:val="clear" w:color="auto" w:fill="auto"/>
            <w:vAlign w:val="bottom"/>
          </w:tcPr>
          <w:p w14:paraId="0B2FA4E9" w14:textId="77777777" w:rsidR="007F1775" w:rsidRDefault="007F1775">
            <w:pPr>
              <w:rPr>
                <w:rFonts w:ascii="宋体"/>
              </w:rPr>
            </w:pPr>
          </w:p>
        </w:tc>
        <w:tc>
          <w:tcPr>
            <w:tcW w:w="0" w:type="auto"/>
            <w:shd w:val="clear" w:color="auto" w:fill="auto"/>
            <w:vAlign w:val="bottom"/>
          </w:tcPr>
          <w:p w14:paraId="0B2FA4EA" w14:textId="77777777" w:rsidR="007F1775" w:rsidRDefault="007F1775">
            <w:pPr>
              <w:rPr>
                <w:rFonts w:ascii="宋体"/>
                <w:vanish/>
              </w:rPr>
            </w:pPr>
          </w:p>
        </w:tc>
        <w:tc>
          <w:tcPr>
            <w:tcW w:w="0" w:type="auto"/>
            <w:shd w:val="clear" w:color="auto" w:fill="auto"/>
            <w:vAlign w:val="bottom"/>
          </w:tcPr>
          <w:p w14:paraId="0B2FA4EB" w14:textId="77777777" w:rsidR="007F1775" w:rsidRDefault="007F1775">
            <w:pPr>
              <w:rPr>
                <w:rFonts w:ascii="宋体"/>
                <w:vanish/>
              </w:rPr>
            </w:pPr>
          </w:p>
        </w:tc>
        <w:tc>
          <w:tcPr>
            <w:tcW w:w="0" w:type="auto"/>
            <w:gridSpan w:val="3"/>
            <w:shd w:val="clear" w:color="auto" w:fill="auto"/>
            <w:vAlign w:val="bottom"/>
          </w:tcPr>
          <w:p w14:paraId="0B2FA4EC" w14:textId="77777777" w:rsidR="007F1775" w:rsidRDefault="007F1775">
            <w:pPr>
              <w:rPr>
                <w:rFonts w:ascii="宋体"/>
                <w:vanish/>
              </w:rPr>
            </w:pPr>
          </w:p>
        </w:tc>
        <w:tc>
          <w:tcPr>
            <w:tcW w:w="0" w:type="auto"/>
            <w:gridSpan w:val="3"/>
            <w:shd w:val="clear" w:color="auto" w:fill="auto"/>
            <w:vAlign w:val="bottom"/>
          </w:tcPr>
          <w:p w14:paraId="0B2FA4ED" w14:textId="77777777" w:rsidR="007F1775" w:rsidRDefault="007F1775">
            <w:pPr>
              <w:rPr>
                <w:rFonts w:ascii="宋体"/>
                <w:vanish/>
              </w:rPr>
            </w:pPr>
          </w:p>
        </w:tc>
      </w:tr>
      <w:tr w:rsidR="007F1775" w14:paraId="0B2FA4F9" w14:textId="77777777">
        <w:tc>
          <w:tcPr>
            <w:tcW w:w="0" w:type="auto"/>
            <w:gridSpan w:val="3"/>
            <w:shd w:val="clear" w:color="auto" w:fill="auto"/>
            <w:tcMar>
              <w:top w:w="40" w:type="dxa"/>
              <w:left w:w="20" w:type="dxa"/>
              <w:bottom w:w="40" w:type="dxa"/>
              <w:right w:w="20" w:type="dxa"/>
            </w:tcMar>
            <w:vAlign w:val="bottom"/>
          </w:tcPr>
          <w:p w14:paraId="0B2FA4EF"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A4F0"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A4F1" w14:textId="77777777" w:rsidR="007F1775" w:rsidRDefault="007F1775">
            <w:pPr>
              <w:rPr>
                <w:rFonts w:ascii="宋体"/>
                <w:vanish/>
              </w:rPr>
            </w:pPr>
          </w:p>
        </w:tc>
        <w:tc>
          <w:tcPr>
            <w:tcW w:w="0" w:type="auto"/>
            <w:shd w:val="clear" w:color="auto" w:fill="auto"/>
            <w:vAlign w:val="bottom"/>
          </w:tcPr>
          <w:p w14:paraId="0B2FA4F2" w14:textId="77777777" w:rsidR="007F1775" w:rsidRDefault="007F1775">
            <w:pPr>
              <w:rPr>
                <w:rFonts w:ascii="宋体"/>
                <w:vanish/>
              </w:rPr>
            </w:pPr>
          </w:p>
        </w:tc>
        <w:tc>
          <w:tcPr>
            <w:tcW w:w="0" w:type="auto"/>
            <w:shd w:val="clear" w:color="auto" w:fill="auto"/>
            <w:vAlign w:val="bottom"/>
          </w:tcPr>
          <w:p w14:paraId="0B2FA4F3" w14:textId="77777777" w:rsidR="007F1775" w:rsidRDefault="007F1775">
            <w:pPr>
              <w:rPr>
                <w:rFonts w:ascii="宋体"/>
              </w:rPr>
            </w:pPr>
          </w:p>
        </w:tc>
        <w:tc>
          <w:tcPr>
            <w:tcW w:w="0" w:type="auto"/>
            <w:shd w:val="clear" w:color="auto" w:fill="auto"/>
            <w:vAlign w:val="bottom"/>
          </w:tcPr>
          <w:p w14:paraId="0B2FA4F4" w14:textId="77777777" w:rsidR="007F1775" w:rsidRDefault="007F1775">
            <w:pPr>
              <w:rPr>
                <w:rFonts w:ascii="宋体"/>
              </w:rPr>
            </w:pPr>
          </w:p>
        </w:tc>
        <w:tc>
          <w:tcPr>
            <w:tcW w:w="0" w:type="auto"/>
            <w:shd w:val="clear" w:color="auto" w:fill="auto"/>
            <w:vAlign w:val="bottom"/>
          </w:tcPr>
          <w:p w14:paraId="0B2FA4F5" w14:textId="77777777" w:rsidR="007F1775" w:rsidRDefault="007F1775">
            <w:pPr>
              <w:rPr>
                <w:rFonts w:ascii="宋体"/>
              </w:rPr>
            </w:pPr>
          </w:p>
        </w:tc>
        <w:tc>
          <w:tcPr>
            <w:tcW w:w="0" w:type="auto"/>
            <w:shd w:val="clear" w:color="auto" w:fill="auto"/>
            <w:vAlign w:val="bottom"/>
          </w:tcPr>
          <w:p w14:paraId="0B2FA4F6" w14:textId="77777777" w:rsidR="007F1775" w:rsidRDefault="007F1775">
            <w:pPr>
              <w:rPr>
                <w:rFonts w:ascii="宋体"/>
              </w:rPr>
            </w:pPr>
          </w:p>
        </w:tc>
        <w:tc>
          <w:tcPr>
            <w:tcW w:w="0" w:type="auto"/>
            <w:shd w:val="clear" w:color="auto" w:fill="auto"/>
            <w:vAlign w:val="bottom"/>
          </w:tcPr>
          <w:p w14:paraId="0B2FA4F7" w14:textId="77777777" w:rsidR="007F1775" w:rsidRDefault="007F1775">
            <w:pPr>
              <w:rPr>
                <w:rFonts w:ascii="宋体"/>
              </w:rPr>
            </w:pPr>
          </w:p>
        </w:tc>
        <w:tc>
          <w:tcPr>
            <w:tcW w:w="0" w:type="auto"/>
            <w:shd w:val="clear" w:color="auto" w:fill="auto"/>
            <w:vAlign w:val="bottom"/>
          </w:tcPr>
          <w:p w14:paraId="0B2FA4F8" w14:textId="77777777" w:rsidR="007F1775" w:rsidRDefault="007F1775">
            <w:pPr>
              <w:rPr>
                <w:rFonts w:ascii="宋体"/>
              </w:rPr>
            </w:pPr>
          </w:p>
        </w:tc>
      </w:tr>
      <w:tr w:rsidR="007F1775" w14:paraId="0B2FA502" w14:textId="77777777">
        <w:tc>
          <w:tcPr>
            <w:tcW w:w="0" w:type="auto"/>
            <w:gridSpan w:val="3"/>
            <w:shd w:val="clear" w:color="auto" w:fill="auto"/>
            <w:tcMar>
              <w:top w:w="40" w:type="dxa"/>
              <w:left w:w="20" w:type="dxa"/>
              <w:bottom w:w="40" w:type="dxa"/>
              <w:right w:w="20" w:type="dxa"/>
            </w:tcMar>
            <w:vAlign w:val="bottom"/>
          </w:tcPr>
          <w:p w14:paraId="0B2FA4FA"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4FB"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4FC"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4FD"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A4FE" w14:textId="77777777" w:rsidR="007F1775" w:rsidRDefault="007F1775">
            <w:pPr>
              <w:rPr>
                <w:rFonts w:ascii="宋体"/>
                <w:vanish/>
              </w:rPr>
            </w:pPr>
          </w:p>
        </w:tc>
        <w:tc>
          <w:tcPr>
            <w:tcW w:w="0" w:type="auto"/>
            <w:shd w:val="clear" w:color="auto" w:fill="auto"/>
            <w:vAlign w:val="bottom"/>
          </w:tcPr>
          <w:p w14:paraId="0B2FA4FF" w14:textId="77777777" w:rsidR="007F1775" w:rsidRDefault="007F1775">
            <w:pPr>
              <w:rPr>
                <w:rFonts w:ascii="宋体"/>
                <w:vanish/>
              </w:rPr>
            </w:pPr>
          </w:p>
        </w:tc>
        <w:tc>
          <w:tcPr>
            <w:tcW w:w="0" w:type="auto"/>
            <w:gridSpan w:val="3"/>
            <w:shd w:val="clear" w:color="auto" w:fill="auto"/>
            <w:vAlign w:val="bottom"/>
          </w:tcPr>
          <w:p w14:paraId="0B2FA500" w14:textId="77777777" w:rsidR="007F1775" w:rsidRDefault="007F1775">
            <w:pPr>
              <w:rPr>
                <w:rFonts w:ascii="宋体"/>
                <w:vanish/>
              </w:rPr>
            </w:pPr>
          </w:p>
        </w:tc>
        <w:tc>
          <w:tcPr>
            <w:tcW w:w="0" w:type="auto"/>
            <w:gridSpan w:val="3"/>
            <w:shd w:val="clear" w:color="auto" w:fill="auto"/>
            <w:vAlign w:val="bottom"/>
          </w:tcPr>
          <w:p w14:paraId="0B2FA501" w14:textId="77777777" w:rsidR="007F1775" w:rsidRDefault="007F1775">
            <w:pPr>
              <w:rPr>
                <w:rFonts w:ascii="宋体"/>
                <w:vanish/>
              </w:rPr>
            </w:pPr>
          </w:p>
        </w:tc>
      </w:tr>
      <w:tr w:rsidR="007F1775" w14:paraId="0B2FA50F" w14:textId="77777777">
        <w:tc>
          <w:tcPr>
            <w:tcW w:w="0" w:type="auto"/>
            <w:gridSpan w:val="3"/>
            <w:shd w:val="clear" w:color="auto" w:fill="CCEEFF"/>
            <w:tcMar>
              <w:top w:w="40" w:type="dxa"/>
              <w:left w:w="200" w:type="dxa"/>
              <w:bottom w:w="40" w:type="dxa"/>
              <w:right w:w="20" w:type="dxa"/>
            </w:tcMar>
            <w:vAlign w:val="bottom"/>
          </w:tcPr>
          <w:p w14:paraId="0B2FA503" w14:textId="77777777" w:rsidR="007F1775" w:rsidRDefault="000F083E">
            <w:pPr>
              <w:textAlignment w:val="bottom"/>
            </w:pPr>
            <w:r>
              <w:rPr>
                <w:rFonts w:ascii="Times New Roman" w:eastAsia="宋体" w:hAnsi="Times New Roman"/>
                <w:color w:val="000000"/>
                <w:sz w:val="20"/>
                <w:szCs w:val="20"/>
              </w:rPr>
              <w:t>Advertising</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A504"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505" w14:textId="77777777" w:rsidR="007F1775" w:rsidRDefault="000F083E">
            <w:pPr>
              <w:jc w:val="right"/>
              <w:textAlignment w:val="bottom"/>
            </w:pPr>
            <w:r>
              <w:rPr>
                <w:rFonts w:ascii="Times New Roman" w:eastAsia="宋体" w:hAnsi="Times New Roman"/>
                <w:color w:val="000000"/>
                <w:sz w:val="20"/>
                <w:szCs w:val="20"/>
              </w:rPr>
              <w:t>26,998 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50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507"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508"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509" w14:textId="77777777" w:rsidR="007F1775" w:rsidRDefault="000F083E">
            <w:pPr>
              <w:jc w:val="right"/>
              <w:textAlignment w:val="bottom"/>
            </w:pPr>
            <w:r>
              <w:rPr>
                <w:rFonts w:ascii="Times New Roman" w:eastAsia="宋体" w:hAnsi="Times New Roman"/>
                <w:color w:val="000000"/>
                <w:sz w:val="20"/>
                <w:szCs w:val="20"/>
              </w:rPr>
              <w:t>25,439 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50A" w14:textId="77777777" w:rsidR="007F1775" w:rsidRDefault="007F1775">
            <w:pPr>
              <w:jc w:val="right"/>
              <w:rPr>
                <w:rFonts w:ascii="宋体"/>
              </w:rPr>
            </w:pPr>
          </w:p>
        </w:tc>
        <w:tc>
          <w:tcPr>
            <w:tcW w:w="0" w:type="auto"/>
            <w:shd w:val="clear" w:color="auto" w:fill="auto"/>
            <w:vAlign w:val="bottom"/>
          </w:tcPr>
          <w:p w14:paraId="0B2FA50B" w14:textId="77777777" w:rsidR="007F1775" w:rsidRDefault="007F1775">
            <w:pPr>
              <w:rPr>
                <w:rFonts w:ascii="宋体"/>
                <w:vanish/>
              </w:rPr>
            </w:pPr>
          </w:p>
        </w:tc>
        <w:tc>
          <w:tcPr>
            <w:tcW w:w="0" w:type="auto"/>
            <w:shd w:val="clear" w:color="auto" w:fill="auto"/>
            <w:vAlign w:val="bottom"/>
          </w:tcPr>
          <w:p w14:paraId="0B2FA50C" w14:textId="77777777" w:rsidR="007F1775" w:rsidRDefault="007F1775">
            <w:pPr>
              <w:rPr>
                <w:rFonts w:ascii="宋体"/>
                <w:vanish/>
              </w:rPr>
            </w:pPr>
          </w:p>
        </w:tc>
        <w:tc>
          <w:tcPr>
            <w:tcW w:w="0" w:type="auto"/>
            <w:gridSpan w:val="3"/>
            <w:shd w:val="clear" w:color="auto" w:fill="auto"/>
            <w:vAlign w:val="bottom"/>
          </w:tcPr>
          <w:p w14:paraId="0B2FA50D" w14:textId="77777777" w:rsidR="007F1775" w:rsidRDefault="007F1775">
            <w:pPr>
              <w:rPr>
                <w:rFonts w:ascii="宋体"/>
                <w:vanish/>
              </w:rPr>
            </w:pPr>
          </w:p>
        </w:tc>
        <w:tc>
          <w:tcPr>
            <w:tcW w:w="0" w:type="auto"/>
            <w:gridSpan w:val="3"/>
            <w:shd w:val="clear" w:color="auto" w:fill="auto"/>
            <w:vAlign w:val="bottom"/>
          </w:tcPr>
          <w:p w14:paraId="0B2FA50E" w14:textId="77777777" w:rsidR="007F1775" w:rsidRDefault="007F1775">
            <w:pPr>
              <w:rPr>
                <w:rFonts w:ascii="宋体"/>
                <w:vanish/>
              </w:rPr>
            </w:pPr>
          </w:p>
        </w:tc>
      </w:tr>
      <w:tr w:rsidR="007F1775" w14:paraId="0B2FA51A" w14:textId="77777777">
        <w:tc>
          <w:tcPr>
            <w:tcW w:w="0" w:type="auto"/>
            <w:gridSpan w:val="3"/>
            <w:shd w:val="clear" w:color="auto" w:fill="auto"/>
            <w:tcMar>
              <w:top w:w="40" w:type="dxa"/>
              <w:left w:w="200" w:type="dxa"/>
              <w:bottom w:w="40" w:type="dxa"/>
              <w:right w:w="20" w:type="dxa"/>
            </w:tcMar>
            <w:vAlign w:val="bottom"/>
          </w:tcPr>
          <w:p w14:paraId="0B2FA510" w14:textId="77777777" w:rsidR="007F1775" w:rsidRDefault="000F083E">
            <w:pPr>
              <w:textAlignment w:val="bottom"/>
            </w:pPr>
            <w:r>
              <w:rPr>
                <w:rFonts w:ascii="Times New Roman" w:eastAsia="宋体" w:hAnsi="Times New Roman"/>
                <w:color w:val="000000"/>
                <w:sz w:val="20"/>
                <w:szCs w:val="20"/>
              </w:rPr>
              <w:t>Other revenue</w:t>
            </w:r>
          </w:p>
        </w:tc>
        <w:tc>
          <w:tcPr>
            <w:tcW w:w="0" w:type="auto"/>
            <w:gridSpan w:val="2"/>
            <w:shd w:val="clear" w:color="auto" w:fill="auto"/>
            <w:tcMar>
              <w:top w:w="40" w:type="dxa"/>
              <w:left w:w="20" w:type="dxa"/>
              <w:bottom w:w="40" w:type="dxa"/>
              <w:right w:w="0" w:type="dxa"/>
            </w:tcMar>
            <w:vAlign w:val="bottom"/>
          </w:tcPr>
          <w:p w14:paraId="0B2FA511" w14:textId="77777777" w:rsidR="007F1775" w:rsidRDefault="000F083E">
            <w:pPr>
              <w:jc w:val="right"/>
              <w:textAlignment w:val="bottom"/>
            </w:pPr>
            <w:r>
              <w:rPr>
                <w:rFonts w:ascii="Times New Roman" w:eastAsia="宋体" w:hAnsi="Times New Roman"/>
                <w:color w:val="000000"/>
                <w:sz w:val="20"/>
                <w:szCs w:val="20"/>
              </w:rPr>
              <w:t>215 </w:t>
            </w:r>
          </w:p>
        </w:tc>
        <w:tc>
          <w:tcPr>
            <w:tcW w:w="0" w:type="auto"/>
            <w:shd w:val="clear" w:color="auto" w:fill="auto"/>
            <w:tcMar>
              <w:top w:w="40" w:type="dxa"/>
              <w:left w:w="0" w:type="dxa"/>
              <w:bottom w:w="40" w:type="dxa"/>
              <w:right w:w="20" w:type="dxa"/>
            </w:tcMar>
            <w:vAlign w:val="bottom"/>
          </w:tcPr>
          <w:p w14:paraId="0B2FA512" w14:textId="77777777" w:rsidR="007F1775" w:rsidRDefault="007F1775">
            <w:pPr>
              <w:jc w:val="right"/>
              <w:rPr>
                <w:rFonts w:ascii="宋体"/>
              </w:rPr>
            </w:pPr>
          </w:p>
        </w:tc>
        <w:tc>
          <w:tcPr>
            <w:tcW w:w="0" w:type="auto"/>
            <w:gridSpan w:val="3"/>
            <w:shd w:val="clear" w:color="auto" w:fill="auto"/>
            <w:tcMar>
              <w:top w:w="0" w:type="dxa"/>
              <w:left w:w="20" w:type="dxa"/>
              <w:bottom w:w="0" w:type="dxa"/>
              <w:right w:w="20" w:type="dxa"/>
            </w:tcMar>
            <w:vAlign w:val="bottom"/>
          </w:tcPr>
          <w:p w14:paraId="0B2FA513" w14:textId="77777777" w:rsidR="007F1775" w:rsidRDefault="007F1775">
            <w:pPr>
              <w:rPr>
                <w:rFonts w:ascii="宋体"/>
              </w:rPr>
            </w:pPr>
          </w:p>
        </w:tc>
        <w:tc>
          <w:tcPr>
            <w:tcW w:w="0" w:type="auto"/>
            <w:gridSpan w:val="2"/>
            <w:shd w:val="clear" w:color="auto" w:fill="auto"/>
            <w:tcMar>
              <w:top w:w="40" w:type="dxa"/>
              <w:left w:w="20" w:type="dxa"/>
              <w:bottom w:w="40" w:type="dxa"/>
              <w:right w:w="0" w:type="dxa"/>
            </w:tcMar>
            <w:vAlign w:val="bottom"/>
          </w:tcPr>
          <w:p w14:paraId="0B2FA514" w14:textId="77777777" w:rsidR="007F1775" w:rsidRDefault="000F083E">
            <w:pPr>
              <w:jc w:val="right"/>
              <w:textAlignment w:val="bottom"/>
            </w:pPr>
            <w:r>
              <w:rPr>
                <w:rFonts w:ascii="Times New Roman" w:eastAsia="宋体" w:hAnsi="Times New Roman"/>
                <w:color w:val="000000"/>
                <w:sz w:val="20"/>
                <w:szCs w:val="20"/>
              </w:rPr>
              <w:t>198 </w:t>
            </w:r>
          </w:p>
        </w:tc>
        <w:tc>
          <w:tcPr>
            <w:tcW w:w="0" w:type="auto"/>
            <w:shd w:val="clear" w:color="auto" w:fill="auto"/>
            <w:tcMar>
              <w:top w:w="40" w:type="dxa"/>
              <w:left w:w="0" w:type="dxa"/>
              <w:bottom w:w="40" w:type="dxa"/>
              <w:right w:w="20" w:type="dxa"/>
            </w:tcMar>
            <w:vAlign w:val="bottom"/>
          </w:tcPr>
          <w:p w14:paraId="0B2FA515" w14:textId="77777777" w:rsidR="007F1775" w:rsidRDefault="007F1775">
            <w:pPr>
              <w:jc w:val="right"/>
              <w:rPr>
                <w:rFonts w:ascii="宋体"/>
              </w:rPr>
            </w:pPr>
          </w:p>
        </w:tc>
        <w:tc>
          <w:tcPr>
            <w:tcW w:w="0" w:type="auto"/>
            <w:shd w:val="clear" w:color="auto" w:fill="auto"/>
            <w:vAlign w:val="bottom"/>
          </w:tcPr>
          <w:p w14:paraId="0B2FA516" w14:textId="77777777" w:rsidR="007F1775" w:rsidRDefault="007F1775">
            <w:pPr>
              <w:rPr>
                <w:rFonts w:ascii="宋体"/>
                <w:vanish/>
              </w:rPr>
            </w:pPr>
          </w:p>
        </w:tc>
        <w:tc>
          <w:tcPr>
            <w:tcW w:w="0" w:type="auto"/>
            <w:shd w:val="clear" w:color="auto" w:fill="auto"/>
            <w:vAlign w:val="bottom"/>
          </w:tcPr>
          <w:p w14:paraId="0B2FA517" w14:textId="77777777" w:rsidR="007F1775" w:rsidRDefault="007F1775">
            <w:pPr>
              <w:rPr>
                <w:rFonts w:ascii="宋体"/>
                <w:vanish/>
              </w:rPr>
            </w:pPr>
          </w:p>
        </w:tc>
        <w:tc>
          <w:tcPr>
            <w:tcW w:w="0" w:type="auto"/>
            <w:gridSpan w:val="3"/>
            <w:shd w:val="clear" w:color="auto" w:fill="auto"/>
            <w:vAlign w:val="bottom"/>
          </w:tcPr>
          <w:p w14:paraId="0B2FA518" w14:textId="77777777" w:rsidR="007F1775" w:rsidRDefault="007F1775">
            <w:pPr>
              <w:rPr>
                <w:rFonts w:ascii="宋体"/>
                <w:vanish/>
              </w:rPr>
            </w:pPr>
          </w:p>
        </w:tc>
        <w:tc>
          <w:tcPr>
            <w:tcW w:w="0" w:type="auto"/>
            <w:gridSpan w:val="3"/>
            <w:shd w:val="clear" w:color="auto" w:fill="auto"/>
            <w:vAlign w:val="bottom"/>
          </w:tcPr>
          <w:p w14:paraId="0B2FA519" w14:textId="77777777" w:rsidR="007F1775" w:rsidRDefault="007F1775">
            <w:pPr>
              <w:rPr>
                <w:rFonts w:ascii="宋体"/>
                <w:vanish/>
              </w:rPr>
            </w:pPr>
          </w:p>
        </w:tc>
      </w:tr>
      <w:tr w:rsidR="007F1775" w14:paraId="0B2FA525" w14:textId="77777777">
        <w:tc>
          <w:tcPr>
            <w:tcW w:w="0" w:type="auto"/>
            <w:gridSpan w:val="3"/>
            <w:shd w:val="clear" w:color="auto" w:fill="CCEEFF"/>
            <w:tcMar>
              <w:top w:w="40" w:type="dxa"/>
              <w:left w:w="20" w:type="dxa"/>
              <w:bottom w:w="40" w:type="dxa"/>
              <w:right w:w="20" w:type="dxa"/>
            </w:tcMar>
          </w:tcPr>
          <w:p w14:paraId="0B2FA51B" w14:textId="77777777" w:rsidR="007F1775" w:rsidRDefault="000F083E">
            <w:pPr>
              <w:textAlignment w:val="top"/>
            </w:pPr>
            <w:r>
              <w:rPr>
                <w:rFonts w:ascii="Times New Roman" w:eastAsia="宋体" w:hAnsi="Times New Roman"/>
                <w:color w:val="000000"/>
                <w:sz w:val="20"/>
                <w:szCs w:val="20"/>
              </w:rPr>
              <w:t>Family of Apps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51C" w14:textId="77777777" w:rsidR="007F1775" w:rsidRDefault="000F083E">
            <w:pPr>
              <w:jc w:val="right"/>
              <w:textAlignment w:val="bottom"/>
            </w:pPr>
            <w:r>
              <w:rPr>
                <w:rFonts w:ascii="Times New Roman" w:eastAsia="宋体" w:hAnsi="Times New Roman"/>
                <w:color w:val="000000"/>
                <w:sz w:val="20"/>
                <w:szCs w:val="20"/>
              </w:rPr>
              <w:t>27,213 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51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51E"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51F" w14:textId="77777777" w:rsidR="007F1775" w:rsidRDefault="000F083E">
            <w:pPr>
              <w:jc w:val="right"/>
              <w:textAlignment w:val="bottom"/>
            </w:pPr>
            <w:r>
              <w:rPr>
                <w:rFonts w:ascii="Times New Roman" w:eastAsia="宋体" w:hAnsi="Times New Roman"/>
                <w:color w:val="000000"/>
                <w:sz w:val="20"/>
                <w:szCs w:val="20"/>
              </w:rPr>
              <w:t>25,637 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520" w14:textId="77777777" w:rsidR="007F1775" w:rsidRDefault="007F1775">
            <w:pPr>
              <w:jc w:val="right"/>
              <w:rPr>
                <w:rFonts w:ascii="宋体"/>
              </w:rPr>
            </w:pPr>
          </w:p>
        </w:tc>
        <w:tc>
          <w:tcPr>
            <w:tcW w:w="0" w:type="auto"/>
            <w:shd w:val="clear" w:color="auto" w:fill="auto"/>
            <w:vAlign w:val="bottom"/>
          </w:tcPr>
          <w:p w14:paraId="0B2FA521" w14:textId="77777777" w:rsidR="007F1775" w:rsidRDefault="007F1775">
            <w:pPr>
              <w:rPr>
                <w:rFonts w:ascii="宋体"/>
                <w:vanish/>
              </w:rPr>
            </w:pPr>
          </w:p>
        </w:tc>
        <w:tc>
          <w:tcPr>
            <w:tcW w:w="0" w:type="auto"/>
            <w:shd w:val="clear" w:color="auto" w:fill="auto"/>
            <w:vAlign w:val="bottom"/>
          </w:tcPr>
          <w:p w14:paraId="0B2FA522" w14:textId="77777777" w:rsidR="007F1775" w:rsidRDefault="007F1775">
            <w:pPr>
              <w:rPr>
                <w:rFonts w:ascii="宋体"/>
                <w:vanish/>
              </w:rPr>
            </w:pPr>
          </w:p>
        </w:tc>
        <w:tc>
          <w:tcPr>
            <w:tcW w:w="0" w:type="auto"/>
            <w:gridSpan w:val="3"/>
            <w:shd w:val="clear" w:color="auto" w:fill="auto"/>
            <w:vAlign w:val="bottom"/>
          </w:tcPr>
          <w:p w14:paraId="0B2FA523" w14:textId="77777777" w:rsidR="007F1775" w:rsidRDefault="007F1775">
            <w:pPr>
              <w:rPr>
                <w:rFonts w:ascii="宋体"/>
                <w:vanish/>
              </w:rPr>
            </w:pPr>
          </w:p>
        </w:tc>
        <w:tc>
          <w:tcPr>
            <w:tcW w:w="0" w:type="auto"/>
            <w:gridSpan w:val="3"/>
            <w:shd w:val="clear" w:color="auto" w:fill="auto"/>
            <w:vAlign w:val="bottom"/>
          </w:tcPr>
          <w:p w14:paraId="0B2FA524" w14:textId="77777777" w:rsidR="007F1775" w:rsidRDefault="007F1775">
            <w:pPr>
              <w:rPr>
                <w:rFonts w:ascii="宋体"/>
                <w:vanish/>
              </w:rPr>
            </w:pPr>
          </w:p>
        </w:tc>
      </w:tr>
      <w:tr w:rsidR="007F1775" w14:paraId="0B2FA530" w14:textId="77777777">
        <w:tc>
          <w:tcPr>
            <w:tcW w:w="0" w:type="auto"/>
            <w:gridSpan w:val="3"/>
            <w:shd w:val="clear" w:color="auto" w:fill="FFFFFF"/>
            <w:tcMar>
              <w:top w:w="40" w:type="dxa"/>
              <w:left w:w="20" w:type="dxa"/>
              <w:bottom w:w="40" w:type="dxa"/>
              <w:right w:w="20" w:type="dxa"/>
            </w:tcMar>
          </w:tcPr>
          <w:p w14:paraId="0B2FA526" w14:textId="77777777" w:rsidR="007F1775" w:rsidRDefault="000F083E">
            <w:pPr>
              <w:textAlignment w:val="top"/>
            </w:pPr>
            <w:r>
              <w:rPr>
                <w:rFonts w:ascii="Times New Roman" w:eastAsia="宋体" w:hAnsi="Times New Roman"/>
                <w:color w:val="000000"/>
                <w:sz w:val="20"/>
                <w:szCs w:val="20"/>
              </w:rPr>
              <w:t>Reality Labs</w:t>
            </w:r>
          </w:p>
        </w:tc>
        <w:tc>
          <w:tcPr>
            <w:tcW w:w="0" w:type="auto"/>
            <w:gridSpan w:val="2"/>
            <w:shd w:val="clear" w:color="auto" w:fill="auto"/>
            <w:tcMar>
              <w:top w:w="40" w:type="dxa"/>
              <w:left w:w="20" w:type="dxa"/>
              <w:bottom w:w="40" w:type="dxa"/>
              <w:right w:w="0" w:type="dxa"/>
            </w:tcMar>
            <w:vAlign w:val="bottom"/>
          </w:tcPr>
          <w:p w14:paraId="0B2FA527" w14:textId="77777777" w:rsidR="007F1775" w:rsidRDefault="000F083E">
            <w:pPr>
              <w:jc w:val="right"/>
              <w:textAlignment w:val="bottom"/>
            </w:pPr>
            <w:r>
              <w:rPr>
                <w:rFonts w:ascii="Times New Roman" w:eastAsia="宋体" w:hAnsi="Times New Roman"/>
                <w:color w:val="000000"/>
                <w:sz w:val="20"/>
                <w:szCs w:val="20"/>
              </w:rPr>
              <w:t>695 </w:t>
            </w:r>
          </w:p>
        </w:tc>
        <w:tc>
          <w:tcPr>
            <w:tcW w:w="0" w:type="auto"/>
            <w:shd w:val="clear" w:color="auto" w:fill="auto"/>
            <w:tcMar>
              <w:top w:w="40" w:type="dxa"/>
              <w:left w:w="0" w:type="dxa"/>
              <w:bottom w:w="40" w:type="dxa"/>
              <w:right w:w="20" w:type="dxa"/>
            </w:tcMar>
            <w:vAlign w:val="bottom"/>
          </w:tcPr>
          <w:p w14:paraId="0B2FA528" w14:textId="77777777" w:rsidR="007F1775" w:rsidRDefault="007F1775">
            <w:pPr>
              <w:jc w:val="right"/>
              <w:rPr>
                <w:rFonts w:ascii="宋体"/>
              </w:rPr>
            </w:pPr>
          </w:p>
        </w:tc>
        <w:tc>
          <w:tcPr>
            <w:tcW w:w="0" w:type="auto"/>
            <w:gridSpan w:val="3"/>
            <w:shd w:val="clear" w:color="auto" w:fill="auto"/>
            <w:tcMar>
              <w:top w:w="0" w:type="dxa"/>
              <w:left w:w="20" w:type="dxa"/>
              <w:bottom w:w="0" w:type="dxa"/>
              <w:right w:w="20" w:type="dxa"/>
            </w:tcMar>
            <w:vAlign w:val="bottom"/>
          </w:tcPr>
          <w:p w14:paraId="0B2FA529" w14:textId="77777777" w:rsidR="007F1775" w:rsidRDefault="007F1775">
            <w:pPr>
              <w:rPr>
                <w:rFonts w:ascii="宋体"/>
              </w:rPr>
            </w:pPr>
          </w:p>
        </w:tc>
        <w:tc>
          <w:tcPr>
            <w:tcW w:w="0" w:type="auto"/>
            <w:gridSpan w:val="2"/>
            <w:shd w:val="clear" w:color="auto" w:fill="auto"/>
            <w:tcMar>
              <w:top w:w="40" w:type="dxa"/>
              <w:left w:w="20" w:type="dxa"/>
              <w:bottom w:w="40" w:type="dxa"/>
              <w:right w:w="0" w:type="dxa"/>
            </w:tcMar>
            <w:vAlign w:val="bottom"/>
          </w:tcPr>
          <w:p w14:paraId="0B2FA52A" w14:textId="77777777" w:rsidR="007F1775" w:rsidRDefault="000F083E">
            <w:pPr>
              <w:jc w:val="right"/>
              <w:textAlignment w:val="bottom"/>
            </w:pPr>
            <w:r>
              <w:rPr>
                <w:rFonts w:ascii="Times New Roman" w:eastAsia="宋体" w:hAnsi="Times New Roman"/>
                <w:color w:val="000000"/>
                <w:sz w:val="20"/>
                <w:szCs w:val="20"/>
              </w:rPr>
              <w:t>534 </w:t>
            </w:r>
          </w:p>
        </w:tc>
        <w:tc>
          <w:tcPr>
            <w:tcW w:w="0" w:type="auto"/>
            <w:shd w:val="clear" w:color="auto" w:fill="auto"/>
            <w:tcMar>
              <w:top w:w="40" w:type="dxa"/>
              <w:left w:w="0" w:type="dxa"/>
              <w:bottom w:w="40" w:type="dxa"/>
              <w:right w:w="20" w:type="dxa"/>
            </w:tcMar>
            <w:vAlign w:val="bottom"/>
          </w:tcPr>
          <w:p w14:paraId="0B2FA52B" w14:textId="77777777" w:rsidR="007F1775" w:rsidRDefault="007F1775">
            <w:pPr>
              <w:jc w:val="right"/>
              <w:rPr>
                <w:rFonts w:ascii="宋体"/>
              </w:rPr>
            </w:pPr>
          </w:p>
        </w:tc>
        <w:tc>
          <w:tcPr>
            <w:tcW w:w="0" w:type="auto"/>
            <w:shd w:val="clear" w:color="auto" w:fill="auto"/>
            <w:vAlign w:val="bottom"/>
          </w:tcPr>
          <w:p w14:paraId="0B2FA52C" w14:textId="77777777" w:rsidR="007F1775" w:rsidRDefault="007F1775">
            <w:pPr>
              <w:rPr>
                <w:rFonts w:ascii="宋体"/>
                <w:vanish/>
              </w:rPr>
            </w:pPr>
          </w:p>
        </w:tc>
        <w:tc>
          <w:tcPr>
            <w:tcW w:w="0" w:type="auto"/>
            <w:shd w:val="clear" w:color="auto" w:fill="auto"/>
            <w:vAlign w:val="bottom"/>
          </w:tcPr>
          <w:p w14:paraId="0B2FA52D" w14:textId="77777777" w:rsidR="007F1775" w:rsidRDefault="007F1775">
            <w:pPr>
              <w:rPr>
                <w:rFonts w:ascii="宋体"/>
                <w:vanish/>
              </w:rPr>
            </w:pPr>
          </w:p>
        </w:tc>
        <w:tc>
          <w:tcPr>
            <w:tcW w:w="0" w:type="auto"/>
            <w:gridSpan w:val="3"/>
            <w:shd w:val="clear" w:color="auto" w:fill="auto"/>
            <w:vAlign w:val="bottom"/>
          </w:tcPr>
          <w:p w14:paraId="0B2FA52E" w14:textId="77777777" w:rsidR="007F1775" w:rsidRDefault="007F1775">
            <w:pPr>
              <w:rPr>
                <w:rFonts w:ascii="宋体"/>
                <w:vanish/>
              </w:rPr>
            </w:pPr>
          </w:p>
        </w:tc>
        <w:tc>
          <w:tcPr>
            <w:tcW w:w="0" w:type="auto"/>
            <w:gridSpan w:val="3"/>
            <w:shd w:val="clear" w:color="auto" w:fill="auto"/>
            <w:vAlign w:val="bottom"/>
          </w:tcPr>
          <w:p w14:paraId="0B2FA52F" w14:textId="77777777" w:rsidR="007F1775" w:rsidRDefault="007F1775">
            <w:pPr>
              <w:rPr>
                <w:rFonts w:ascii="宋体"/>
                <w:vanish/>
              </w:rPr>
            </w:pPr>
          </w:p>
        </w:tc>
      </w:tr>
      <w:tr w:rsidR="007F1775" w14:paraId="0B2FA53D" w14:textId="77777777">
        <w:tc>
          <w:tcPr>
            <w:tcW w:w="0" w:type="auto"/>
            <w:gridSpan w:val="3"/>
            <w:shd w:val="clear" w:color="auto" w:fill="CCEEFF"/>
            <w:tcMar>
              <w:top w:w="40" w:type="dxa"/>
              <w:left w:w="380" w:type="dxa"/>
              <w:bottom w:w="40" w:type="dxa"/>
              <w:right w:w="20" w:type="dxa"/>
            </w:tcMar>
          </w:tcPr>
          <w:p w14:paraId="0B2FA531" w14:textId="77777777" w:rsidR="007F1775" w:rsidRDefault="000F083E">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532"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533" w14:textId="77777777" w:rsidR="007F1775" w:rsidRDefault="000F083E">
            <w:pPr>
              <w:jc w:val="right"/>
              <w:textAlignment w:val="bottom"/>
            </w:pPr>
            <w:r>
              <w:rPr>
                <w:rFonts w:ascii="Times New Roman" w:eastAsia="宋体" w:hAnsi="Times New Roman"/>
                <w:color w:val="000000"/>
                <w:sz w:val="20"/>
                <w:szCs w:val="20"/>
              </w:rPr>
              <w:t>27,908 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53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535"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536"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537" w14:textId="77777777" w:rsidR="007F1775" w:rsidRDefault="000F083E">
            <w:pPr>
              <w:jc w:val="right"/>
              <w:textAlignment w:val="bottom"/>
            </w:pPr>
            <w:r>
              <w:rPr>
                <w:rFonts w:ascii="Times New Roman" w:eastAsia="宋体" w:hAnsi="Times New Roman"/>
                <w:color w:val="000000"/>
                <w:sz w:val="20"/>
                <w:szCs w:val="20"/>
              </w:rPr>
              <w:t>26,171 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538" w14:textId="77777777" w:rsidR="007F1775" w:rsidRDefault="007F1775">
            <w:pPr>
              <w:jc w:val="right"/>
              <w:rPr>
                <w:rFonts w:ascii="宋体"/>
              </w:rPr>
            </w:pPr>
          </w:p>
        </w:tc>
        <w:tc>
          <w:tcPr>
            <w:tcW w:w="0" w:type="auto"/>
            <w:shd w:val="clear" w:color="auto" w:fill="auto"/>
            <w:vAlign w:val="bottom"/>
          </w:tcPr>
          <w:p w14:paraId="0B2FA539" w14:textId="77777777" w:rsidR="007F1775" w:rsidRDefault="007F1775">
            <w:pPr>
              <w:rPr>
                <w:rFonts w:ascii="宋体"/>
                <w:vanish/>
              </w:rPr>
            </w:pPr>
          </w:p>
        </w:tc>
        <w:tc>
          <w:tcPr>
            <w:tcW w:w="0" w:type="auto"/>
            <w:shd w:val="clear" w:color="auto" w:fill="auto"/>
            <w:vAlign w:val="bottom"/>
          </w:tcPr>
          <w:p w14:paraId="0B2FA53A" w14:textId="77777777" w:rsidR="007F1775" w:rsidRDefault="007F1775">
            <w:pPr>
              <w:rPr>
                <w:rFonts w:ascii="宋体"/>
                <w:vanish/>
              </w:rPr>
            </w:pPr>
          </w:p>
        </w:tc>
        <w:tc>
          <w:tcPr>
            <w:tcW w:w="0" w:type="auto"/>
            <w:gridSpan w:val="3"/>
            <w:shd w:val="clear" w:color="auto" w:fill="auto"/>
            <w:vAlign w:val="bottom"/>
          </w:tcPr>
          <w:p w14:paraId="0B2FA53B" w14:textId="77777777" w:rsidR="007F1775" w:rsidRDefault="007F1775">
            <w:pPr>
              <w:rPr>
                <w:rFonts w:ascii="宋体"/>
                <w:vanish/>
              </w:rPr>
            </w:pPr>
          </w:p>
        </w:tc>
        <w:tc>
          <w:tcPr>
            <w:tcW w:w="0" w:type="auto"/>
            <w:gridSpan w:val="3"/>
            <w:shd w:val="clear" w:color="auto" w:fill="auto"/>
            <w:vAlign w:val="bottom"/>
          </w:tcPr>
          <w:p w14:paraId="0B2FA53C" w14:textId="77777777" w:rsidR="007F1775" w:rsidRDefault="007F1775">
            <w:pPr>
              <w:rPr>
                <w:rFonts w:ascii="宋体"/>
                <w:vanish/>
              </w:rPr>
            </w:pPr>
          </w:p>
        </w:tc>
      </w:tr>
    </w:tbl>
    <w:p w14:paraId="0B2FA53E" w14:textId="77777777" w:rsidR="007F1775" w:rsidRDefault="007F1775">
      <w:pPr>
        <w:ind w:firstLine="540"/>
        <w:jc w:val="both"/>
      </w:pPr>
    </w:p>
    <w:p w14:paraId="0B2FA53F" w14:textId="77777777" w:rsidR="007F1775" w:rsidRDefault="000F083E">
      <w:pPr>
        <w:ind w:firstLine="540"/>
        <w:jc w:val="both"/>
      </w:pPr>
      <w:r>
        <w:rPr>
          <w:rFonts w:ascii="Times New Roman" w:eastAsia="宋体" w:hAnsi="Times New Roman"/>
          <w:color w:val="000000"/>
          <w:sz w:val="20"/>
          <w:szCs w:val="20"/>
        </w:rPr>
        <w:t>Reven</w:t>
      </w:r>
      <w:r>
        <w:rPr>
          <w:rFonts w:ascii="Times New Roman" w:eastAsia="宋体" w:hAnsi="Times New Roman"/>
          <w:color w:val="000000"/>
          <w:sz w:val="20"/>
          <w:szCs w:val="20"/>
        </w:rPr>
        <w:t>ue disaggregated by geography, based on the addresses of our customers, consists of the following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290"/>
        <w:gridCol w:w="37"/>
        <w:gridCol w:w="120"/>
        <w:gridCol w:w="1150"/>
        <w:gridCol w:w="36"/>
        <w:gridCol w:w="36"/>
        <w:gridCol w:w="36"/>
        <w:gridCol w:w="36"/>
        <w:gridCol w:w="120"/>
        <w:gridCol w:w="1113"/>
        <w:gridCol w:w="36"/>
        <w:gridCol w:w="36"/>
        <w:gridCol w:w="36"/>
        <w:gridCol w:w="36"/>
        <w:gridCol w:w="36"/>
        <w:gridCol w:w="36"/>
        <w:gridCol w:w="36"/>
        <w:gridCol w:w="36"/>
        <w:gridCol w:w="36"/>
      </w:tblGrid>
      <w:tr w:rsidR="007F1775" w14:paraId="0B2FA550" w14:textId="77777777">
        <w:tc>
          <w:tcPr>
            <w:tcW w:w="50" w:type="pct"/>
            <w:shd w:val="clear" w:color="auto" w:fill="auto"/>
            <w:vAlign w:val="bottom"/>
          </w:tcPr>
          <w:p w14:paraId="0B2FA540" w14:textId="77777777" w:rsidR="007F1775" w:rsidRDefault="007F1775">
            <w:pPr>
              <w:rPr>
                <w:rFonts w:ascii="宋体"/>
              </w:rPr>
            </w:pPr>
          </w:p>
        </w:tc>
        <w:tc>
          <w:tcPr>
            <w:tcW w:w="3315" w:type="pct"/>
            <w:shd w:val="clear" w:color="auto" w:fill="auto"/>
            <w:vAlign w:val="bottom"/>
          </w:tcPr>
          <w:p w14:paraId="0B2FA541" w14:textId="77777777" w:rsidR="007F1775" w:rsidRDefault="007F1775">
            <w:pPr>
              <w:rPr>
                <w:rFonts w:ascii="宋体"/>
              </w:rPr>
            </w:pPr>
          </w:p>
        </w:tc>
        <w:tc>
          <w:tcPr>
            <w:tcW w:w="5" w:type="pct"/>
            <w:shd w:val="clear" w:color="auto" w:fill="auto"/>
            <w:vAlign w:val="bottom"/>
          </w:tcPr>
          <w:p w14:paraId="0B2FA542" w14:textId="77777777" w:rsidR="007F1775" w:rsidRDefault="007F1775">
            <w:pPr>
              <w:rPr>
                <w:rFonts w:ascii="宋体"/>
              </w:rPr>
            </w:pPr>
          </w:p>
        </w:tc>
        <w:tc>
          <w:tcPr>
            <w:tcW w:w="50" w:type="pct"/>
            <w:shd w:val="clear" w:color="auto" w:fill="auto"/>
            <w:vAlign w:val="bottom"/>
          </w:tcPr>
          <w:p w14:paraId="0B2FA543" w14:textId="77777777" w:rsidR="007F1775" w:rsidRDefault="007F1775">
            <w:pPr>
              <w:rPr>
                <w:rFonts w:ascii="宋体"/>
              </w:rPr>
            </w:pPr>
          </w:p>
        </w:tc>
        <w:tc>
          <w:tcPr>
            <w:tcW w:w="741" w:type="pct"/>
            <w:shd w:val="clear" w:color="auto" w:fill="auto"/>
            <w:vAlign w:val="bottom"/>
          </w:tcPr>
          <w:p w14:paraId="0B2FA544" w14:textId="77777777" w:rsidR="007F1775" w:rsidRDefault="007F1775">
            <w:pPr>
              <w:rPr>
                <w:rFonts w:ascii="宋体"/>
              </w:rPr>
            </w:pPr>
          </w:p>
        </w:tc>
        <w:tc>
          <w:tcPr>
            <w:tcW w:w="5" w:type="pct"/>
            <w:shd w:val="clear" w:color="auto" w:fill="auto"/>
            <w:vAlign w:val="bottom"/>
          </w:tcPr>
          <w:p w14:paraId="0B2FA545" w14:textId="77777777" w:rsidR="007F1775" w:rsidRDefault="007F1775">
            <w:pPr>
              <w:rPr>
                <w:rFonts w:ascii="宋体"/>
              </w:rPr>
            </w:pPr>
          </w:p>
        </w:tc>
        <w:tc>
          <w:tcPr>
            <w:tcW w:w="5" w:type="pct"/>
            <w:shd w:val="clear" w:color="auto" w:fill="auto"/>
            <w:vAlign w:val="bottom"/>
          </w:tcPr>
          <w:p w14:paraId="0B2FA546" w14:textId="77777777" w:rsidR="007F1775" w:rsidRDefault="007F1775">
            <w:pPr>
              <w:rPr>
                <w:rFonts w:ascii="宋体"/>
              </w:rPr>
            </w:pPr>
          </w:p>
        </w:tc>
        <w:tc>
          <w:tcPr>
            <w:tcW w:w="27" w:type="pct"/>
            <w:shd w:val="clear" w:color="auto" w:fill="auto"/>
            <w:vAlign w:val="bottom"/>
          </w:tcPr>
          <w:p w14:paraId="0B2FA547" w14:textId="77777777" w:rsidR="007F1775" w:rsidRDefault="007F1775">
            <w:pPr>
              <w:rPr>
                <w:rFonts w:ascii="宋体"/>
              </w:rPr>
            </w:pPr>
          </w:p>
        </w:tc>
        <w:tc>
          <w:tcPr>
            <w:tcW w:w="5" w:type="pct"/>
            <w:shd w:val="clear" w:color="auto" w:fill="auto"/>
            <w:vAlign w:val="bottom"/>
          </w:tcPr>
          <w:p w14:paraId="0B2FA548" w14:textId="77777777" w:rsidR="007F1775" w:rsidRDefault="007F1775">
            <w:pPr>
              <w:rPr>
                <w:rFonts w:ascii="宋体"/>
              </w:rPr>
            </w:pPr>
          </w:p>
        </w:tc>
        <w:tc>
          <w:tcPr>
            <w:tcW w:w="50" w:type="pct"/>
            <w:shd w:val="clear" w:color="auto" w:fill="auto"/>
            <w:vAlign w:val="bottom"/>
          </w:tcPr>
          <w:p w14:paraId="0B2FA549" w14:textId="77777777" w:rsidR="007F1775" w:rsidRDefault="007F1775">
            <w:pPr>
              <w:rPr>
                <w:rFonts w:ascii="宋体"/>
              </w:rPr>
            </w:pPr>
          </w:p>
        </w:tc>
        <w:tc>
          <w:tcPr>
            <w:tcW w:w="741" w:type="pct"/>
            <w:shd w:val="clear" w:color="auto" w:fill="auto"/>
            <w:vAlign w:val="bottom"/>
          </w:tcPr>
          <w:p w14:paraId="0B2FA54A" w14:textId="77777777" w:rsidR="007F1775" w:rsidRDefault="007F1775">
            <w:pPr>
              <w:rPr>
                <w:rFonts w:ascii="宋体"/>
              </w:rPr>
            </w:pPr>
          </w:p>
        </w:tc>
        <w:tc>
          <w:tcPr>
            <w:tcW w:w="5" w:type="pct"/>
            <w:shd w:val="clear" w:color="auto" w:fill="auto"/>
            <w:vAlign w:val="bottom"/>
          </w:tcPr>
          <w:p w14:paraId="0B2FA54B" w14:textId="77777777" w:rsidR="007F1775" w:rsidRDefault="007F1775">
            <w:pPr>
              <w:rPr>
                <w:rFonts w:ascii="宋体"/>
              </w:rPr>
            </w:pPr>
          </w:p>
        </w:tc>
        <w:tc>
          <w:tcPr>
            <w:tcW w:w="0" w:type="auto"/>
            <w:shd w:val="clear" w:color="auto" w:fill="auto"/>
            <w:vAlign w:val="bottom"/>
          </w:tcPr>
          <w:p w14:paraId="0B2FA54C" w14:textId="77777777" w:rsidR="007F1775" w:rsidRDefault="007F1775">
            <w:pPr>
              <w:rPr>
                <w:rFonts w:ascii="宋体"/>
                <w:vanish/>
              </w:rPr>
            </w:pPr>
          </w:p>
        </w:tc>
        <w:tc>
          <w:tcPr>
            <w:tcW w:w="0" w:type="auto"/>
            <w:shd w:val="clear" w:color="auto" w:fill="auto"/>
            <w:vAlign w:val="bottom"/>
          </w:tcPr>
          <w:p w14:paraId="0B2FA54D" w14:textId="77777777" w:rsidR="007F1775" w:rsidRDefault="007F1775">
            <w:pPr>
              <w:rPr>
                <w:rFonts w:ascii="宋体"/>
                <w:vanish/>
              </w:rPr>
            </w:pPr>
          </w:p>
        </w:tc>
        <w:tc>
          <w:tcPr>
            <w:tcW w:w="0" w:type="auto"/>
            <w:gridSpan w:val="3"/>
            <w:shd w:val="clear" w:color="auto" w:fill="auto"/>
            <w:vAlign w:val="bottom"/>
          </w:tcPr>
          <w:p w14:paraId="0B2FA54E" w14:textId="77777777" w:rsidR="007F1775" w:rsidRDefault="007F1775">
            <w:pPr>
              <w:rPr>
                <w:rFonts w:ascii="宋体"/>
                <w:vanish/>
              </w:rPr>
            </w:pPr>
          </w:p>
        </w:tc>
        <w:tc>
          <w:tcPr>
            <w:tcW w:w="0" w:type="auto"/>
            <w:gridSpan w:val="3"/>
            <w:shd w:val="clear" w:color="auto" w:fill="auto"/>
            <w:vAlign w:val="bottom"/>
          </w:tcPr>
          <w:p w14:paraId="0B2FA54F" w14:textId="77777777" w:rsidR="007F1775" w:rsidRDefault="007F1775">
            <w:pPr>
              <w:rPr>
                <w:rFonts w:ascii="宋体"/>
                <w:vanish/>
              </w:rPr>
            </w:pPr>
          </w:p>
        </w:tc>
      </w:tr>
      <w:tr w:rsidR="007F1775" w14:paraId="0B2FA55B" w14:textId="77777777">
        <w:tc>
          <w:tcPr>
            <w:tcW w:w="0" w:type="auto"/>
            <w:gridSpan w:val="3"/>
            <w:shd w:val="clear" w:color="auto" w:fill="auto"/>
            <w:tcMar>
              <w:top w:w="40" w:type="dxa"/>
              <w:left w:w="20" w:type="dxa"/>
              <w:bottom w:w="40" w:type="dxa"/>
              <w:right w:w="20" w:type="dxa"/>
            </w:tcMar>
            <w:vAlign w:val="bottom"/>
          </w:tcPr>
          <w:p w14:paraId="0B2FA551"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A552"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A553" w14:textId="77777777" w:rsidR="007F1775" w:rsidRDefault="007F1775">
            <w:pPr>
              <w:rPr>
                <w:rFonts w:ascii="宋体"/>
                <w:vanish/>
              </w:rPr>
            </w:pPr>
          </w:p>
        </w:tc>
        <w:tc>
          <w:tcPr>
            <w:tcW w:w="0" w:type="auto"/>
            <w:shd w:val="clear" w:color="auto" w:fill="auto"/>
            <w:vAlign w:val="bottom"/>
          </w:tcPr>
          <w:p w14:paraId="0B2FA554" w14:textId="77777777" w:rsidR="007F1775" w:rsidRDefault="007F1775">
            <w:pPr>
              <w:rPr>
                <w:rFonts w:ascii="宋体"/>
                <w:vanish/>
              </w:rPr>
            </w:pPr>
          </w:p>
        </w:tc>
        <w:tc>
          <w:tcPr>
            <w:tcW w:w="0" w:type="auto"/>
            <w:shd w:val="clear" w:color="auto" w:fill="auto"/>
            <w:vAlign w:val="bottom"/>
          </w:tcPr>
          <w:p w14:paraId="0B2FA555" w14:textId="77777777" w:rsidR="007F1775" w:rsidRDefault="007F1775">
            <w:pPr>
              <w:rPr>
                <w:rFonts w:ascii="宋体"/>
              </w:rPr>
            </w:pPr>
          </w:p>
        </w:tc>
        <w:tc>
          <w:tcPr>
            <w:tcW w:w="0" w:type="auto"/>
            <w:shd w:val="clear" w:color="auto" w:fill="auto"/>
            <w:vAlign w:val="bottom"/>
          </w:tcPr>
          <w:p w14:paraId="0B2FA556" w14:textId="77777777" w:rsidR="007F1775" w:rsidRDefault="007F1775">
            <w:pPr>
              <w:rPr>
                <w:rFonts w:ascii="宋体"/>
              </w:rPr>
            </w:pPr>
          </w:p>
        </w:tc>
        <w:tc>
          <w:tcPr>
            <w:tcW w:w="0" w:type="auto"/>
            <w:shd w:val="clear" w:color="auto" w:fill="auto"/>
            <w:vAlign w:val="bottom"/>
          </w:tcPr>
          <w:p w14:paraId="0B2FA557" w14:textId="77777777" w:rsidR="007F1775" w:rsidRDefault="007F1775">
            <w:pPr>
              <w:rPr>
                <w:rFonts w:ascii="宋体"/>
              </w:rPr>
            </w:pPr>
          </w:p>
        </w:tc>
        <w:tc>
          <w:tcPr>
            <w:tcW w:w="0" w:type="auto"/>
            <w:shd w:val="clear" w:color="auto" w:fill="auto"/>
            <w:vAlign w:val="bottom"/>
          </w:tcPr>
          <w:p w14:paraId="0B2FA558" w14:textId="77777777" w:rsidR="007F1775" w:rsidRDefault="007F1775">
            <w:pPr>
              <w:rPr>
                <w:rFonts w:ascii="宋体"/>
              </w:rPr>
            </w:pPr>
          </w:p>
        </w:tc>
        <w:tc>
          <w:tcPr>
            <w:tcW w:w="0" w:type="auto"/>
            <w:shd w:val="clear" w:color="auto" w:fill="auto"/>
            <w:vAlign w:val="bottom"/>
          </w:tcPr>
          <w:p w14:paraId="0B2FA559" w14:textId="77777777" w:rsidR="007F1775" w:rsidRDefault="007F1775">
            <w:pPr>
              <w:rPr>
                <w:rFonts w:ascii="宋体"/>
              </w:rPr>
            </w:pPr>
          </w:p>
        </w:tc>
        <w:tc>
          <w:tcPr>
            <w:tcW w:w="0" w:type="auto"/>
            <w:shd w:val="clear" w:color="auto" w:fill="auto"/>
            <w:vAlign w:val="bottom"/>
          </w:tcPr>
          <w:p w14:paraId="0B2FA55A" w14:textId="77777777" w:rsidR="007F1775" w:rsidRDefault="007F1775">
            <w:pPr>
              <w:rPr>
                <w:rFonts w:ascii="宋体"/>
              </w:rPr>
            </w:pPr>
          </w:p>
        </w:tc>
      </w:tr>
      <w:tr w:rsidR="007F1775" w14:paraId="0B2FA564" w14:textId="77777777">
        <w:tc>
          <w:tcPr>
            <w:tcW w:w="0" w:type="auto"/>
            <w:gridSpan w:val="3"/>
            <w:shd w:val="clear" w:color="auto" w:fill="auto"/>
            <w:tcMar>
              <w:top w:w="40" w:type="dxa"/>
              <w:left w:w="20" w:type="dxa"/>
              <w:bottom w:w="40" w:type="dxa"/>
              <w:right w:w="20" w:type="dxa"/>
            </w:tcMar>
            <w:vAlign w:val="bottom"/>
          </w:tcPr>
          <w:p w14:paraId="0B2FA55C"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55D"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55E"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55F"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A560" w14:textId="77777777" w:rsidR="007F1775" w:rsidRDefault="007F1775">
            <w:pPr>
              <w:rPr>
                <w:rFonts w:ascii="宋体"/>
                <w:vanish/>
              </w:rPr>
            </w:pPr>
          </w:p>
        </w:tc>
        <w:tc>
          <w:tcPr>
            <w:tcW w:w="0" w:type="auto"/>
            <w:shd w:val="clear" w:color="auto" w:fill="auto"/>
            <w:vAlign w:val="bottom"/>
          </w:tcPr>
          <w:p w14:paraId="0B2FA561" w14:textId="77777777" w:rsidR="007F1775" w:rsidRDefault="007F1775">
            <w:pPr>
              <w:rPr>
                <w:rFonts w:ascii="宋体"/>
                <w:vanish/>
              </w:rPr>
            </w:pPr>
          </w:p>
        </w:tc>
        <w:tc>
          <w:tcPr>
            <w:tcW w:w="0" w:type="auto"/>
            <w:gridSpan w:val="3"/>
            <w:shd w:val="clear" w:color="auto" w:fill="auto"/>
            <w:vAlign w:val="bottom"/>
          </w:tcPr>
          <w:p w14:paraId="0B2FA562" w14:textId="77777777" w:rsidR="007F1775" w:rsidRDefault="007F1775">
            <w:pPr>
              <w:rPr>
                <w:rFonts w:ascii="宋体"/>
                <w:vanish/>
              </w:rPr>
            </w:pPr>
          </w:p>
        </w:tc>
        <w:tc>
          <w:tcPr>
            <w:tcW w:w="0" w:type="auto"/>
            <w:gridSpan w:val="3"/>
            <w:shd w:val="clear" w:color="auto" w:fill="auto"/>
            <w:vAlign w:val="bottom"/>
          </w:tcPr>
          <w:p w14:paraId="0B2FA563" w14:textId="77777777" w:rsidR="007F1775" w:rsidRDefault="007F1775">
            <w:pPr>
              <w:rPr>
                <w:rFonts w:ascii="宋体"/>
                <w:vanish/>
              </w:rPr>
            </w:pPr>
          </w:p>
        </w:tc>
      </w:tr>
      <w:tr w:rsidR="007F1775" w14:paraId="0B2FA571" w14:textId="77777777">
        <w:tc>
          <w:tcPr>
            <w:tcW w:w="0" w:type="auto"/>
            <w:gridSpan w:val="3"/>
            <w:shd w:val="clear" w:color="auto" w:fill="CCEEFF"/>
            <w:tcMar>
              <w:top w:w="40" w:type="dxa"/>
              <w:left w:w="20" w:type="dxa"/>
              <w:bottom w:w="40" w:type="dxa"/>
              <w:right w:w="20" w:type="dxa"/>
            </w:tcMar>
          </w:tcPr>
          <w:p w14:paraId="0B2FA565" w14:textId="77777777" w:rsidR="007F1775" w:rsidRDefault="000F083E">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United States and Canada</w:t>
            </w:r>
            <w:r>
              <w:rPr>
                <w:rFonts w:ascii="Times New Roman" w:eastAsia="宋体" w:hAnsi="Times New Roman"/>
                <w:color w:val="000000"/>
                <w:sz w:val="13"/>
                <w:szCs w:val="13"/>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A566"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567" w14:textId="77777777" w:rsidR="007F1775" w:rsidRDefault="000F083E">
            <w:pPr>
              <w:jc w:val="right"/>
              <w:textAlignment w:val="bottom"/>
            </w:pPr>
            <w:r>
              <w:rPr>
                <w:rFonts w:ascii="Times New Roman" w:eastAsia="宋体" w:hAnsi="Times New Roman"/>
                <w:color w:val="000000"/>
                <w:sz w:val="20"/>
                <w:szCs w:val="20"/>
              </w:rPr>
              <w:t>11,780 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56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569"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56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56B" w14:textId="77777777" w:rsidR="007F1775" w:rsidRDefault="000F083E">
            <w:pPr>
              <w:jc w:val="right"/>
              <w:textAlignment w:val="bottom"/>
            </w:pPr>
            <w:r>
              <w:rPr>
                <w:rFonts w:ascii="Times New Roman" w:eastAsia="宋体" w:hAnsi="Times New Roman"/>
                <w:color w:val="000000"/>
                <w:sz w:val="20"/>
                <w:szCs w:val="20"/>
              </w:rPr>
              <w:t>11,436 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56C" w14:textId="77777777" w:rsidR="007F1775" w:rsidRDefault="007F1775">
            <w:pPr>
              <w:jc w:val="right"/>
              <w:rPr>
                <w:rFonts w:ascii="宋体"/>
              </w:rPr>
            </w:pPr>
          </w:p>
        </w:tc>
        <w:tc>
          <w:tcPr>
            <w:tcW w:w="0" w:type="auto"/>
            <w:shd w:val="clear" w:color="auto" w:fill="auto"/>
            <w:vAlign w:val="bottom"/>
          </w:tcPr>
          <w:p w14:paraId="0B2FA56D" w14:textId="77777777" w:rsidR="007F1775" w:rsidRDefault="007F1775">
            <w:pPr>
              <w:rPr>
                <w:rFonts w:ascii="宋体"/>
                <w:vanish/>
              </w:rPr>
            </w:pPr>
          </w:p>
        </w:tc>
        <w:tc>
          <w:tcPr>
            <w:tcW w:w="0" w:type="auto"/>
            <w:shd w:val="clear" w:color="auto" w:fill="auto"/>
            <w:vAlign w:val="bottom"/>
          </w:tcPr>
          <w:p w14:paraId="0B2FA56E" w14:textId="77777777" w:rsidR="007F1775" w:rsidRDefault="007F1775">
            <w:pPr>
              <w:rPr>
                <w:rFonts w:ascii="宋体"/>
                <w:vanish/>
              </w:rPr>
            </w:pPr>
          </w:p>
        </w:tc>
        <w:tc>
          <w:tcPr>
            <w:tcW w:w="0" w:type="auto"/>
            <w:gridSpan w:val="3"/>
            <w:shd w:val="clear" w:color="auto" w:fill="auto"/>
            <w:vAlign w:val="bottom"/>
          </w:tcPr>
          <w:p w14:paraId="0B2FA56F" w14:textId="77777777" w:rsidR="007F1775" w:rsidRDefault="007F1775">
            <w:pPr>
              <w:rPr>
                <w:rFonts w:ascii="宋体"/>
                <w:vanish/>
              </w:rPr>
            </w:pPr>
          </w:p>
        </w:tc>
        <w:tc>
          <w:tcPr>
            <w:tcW w:w="0" w:type="auto"/>
            <w:gridSpan w:val="3"/>
            <w:shd w:val="clear" w:color="auto" w:fill="auto"/>
            <w:vAlign w:val="bottom"/>
          </w:tcPr>
          <w:p w14:paraId="0B2FA570" w14:textId="77777777" w:rsidR="007F1775" w:rsidRDefault="007F1775">
            <w:pPr>
              <w:rPr>
                <w:rFonts w:ascii="宋体"/>
                <w:vanish/>
              </w:rPr>
            </w:pPr>
          </w:p>
        </w:tc>
      </w:tr>
      <w:tr w:rsidR="007F1775" w14:paraId="0B2FA57C" w14:textId="77777777">
        <w:tc>
          <w:tcPr>
            <w:tcW w:w="0" w:type="auto"/>
            <w:gridSpan w:val="3"/>
            <w:shd w:val="clear" w:color="auto" w:fill="FFFFFF"/>
            <w:tcMar>
              <w:top w:w="40" w:type="dxa"/>
              <w:left w:w="20" w:type="dxa"/>
              <w:bottom w:w="40" w:type="dxa"/>
              <w:right w:w="20" w:type="dxa"/>
            </w:tcMar>
          </w:tcPr>
          <w:p w14:paraId="0B2FA572" w14:textId="77777777" w:rsidR="007F1775" w:rsidRDefault="000F083E">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Europe</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B2FA573" w14:textId="77777777" w:rsidR="007F1775" w:rsidRDefault="000F083E">
            <w:pPr>
              <w:jc w:val="right"/>
              <w:textAlignment w:val="bottom"/>
            </w:pPr>
            <w:r>
              <w:rPr>
                <w:rFonts w:ascii="Times New Roman" w:eastAsia="宋体" w:hAnsi="Times New Roman"/>
                <w:color w:val="000000"/>
                <w:sz w:val="20"/>
                <w:szCs w:val="20"/>
              </w:rPr>
              <w:t>6,638 </w:t>
            </w:r>
          </w:p>
        </w:tc>
        <w:tc>
          <w:tcPr>
            <w:tcW w:w="0" w:type="auto"/>
            <w:shd w:val="clear" w:color="auto" w:fill="FFFFFF"/>
            <w:tcMar>
              <w:top w:w="40" w:type="dxa"/>
              <w:left w:w="0" w:type="dxa"/>
              <w:bottom w:w="40" w:type="dxa"/>
              <w:right w:w="20" w:type="dxa"/>
            </w:tcMar>
            <w:vAlign w:val="bottom"/>
          </w:tcPr>
          <w:p w14:paraId="0B2FA57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57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576" w14:textId="77777777" w:rsidR="007F1775" w:rsidRDefault="000F083E">
            <w:pPr>
              <w:jc w:val="right"/>
              <w:textAlignment w:val="bottom"/>
            </w:pPr>
            <w:r>
              <w:rPr>
                <w:rFonts w:ascii="Times New Roman" w:eastAsia="宋体" w:hAnsi="Times New Roman"/>
                <w:color w:val="000000"/>
                <w:sz w:val="20"/>
                <w:szCs w:val="20"/>
              </w:rPr>
              <w:t>6,384 </w:t>
            </w:r>
          </w:p>
        </w:tc>
        <w:tc>
          <w:tcPr>
            <w:tcW w:w="0" w:type="auto"/>
            <w:shd w:val="clear" w:color="auto" w:fill="FFFFFF"/>
            <w:tcMar>
              <w:top w:w="40" w:type="dxa"/>
              <w:left w:w="0" w:type="dxa"/>
              <w:bottom w:w="40" w:type="dxa"/>
              <w:right w:w="20" w:type="dxa"/>
            </w:tcMar>
            <w:vAlign w:val="bottom"/>
          </w:tcPr>
          <w:p w14:paraId="0B2FA577" w14:textId="77777777" w:rsidR="007F1775" w:rsidRDefault="007F1775">
            <w:pPr>
              <w:jc w:val="right"/>
              <w:rPr>
                <w:rFonts w:ascii="宋体"/>
              </w:rPr>
            </w:pPr>
          </w:p>
        </w:tc>
        <w:tc>
          <w:tcPr>
            <w:tcW w:w="0" w:type="auto"/>
            <w:shd w:val="clear" w:color="auto" w:fill="auto"/>
            <w:vAlign w:val="bottom"/>
          </w:tcPr>
          <w:p w14:paraId="0B2FA578" w14:textId="77777777" w:rsidR="007F1775" w:rsidRDefault="007F1775">
            <w:pPr>
              <w:rPr>
                <w:rFonts w:ascii="宋体"/>
                <w:vanish/>
              </w:rPr>
            </w:pPr>
          </w:p>
        </w:tc>
        <w:tc>
          <w:tcPr>
            <w:tcW w:w="0" w:type="auto"/>
            <w:shd w:val="clear" w:color="auto" w:fill="auto"/>
            <w:vAlign w:val="bottom"/>
          </w:tcPr>
          <w:p w14:paraId="0B2FA579" w14:textId="77777777" w:rsidR="007F1775" w:rsidRDefault="007F1775">
            <w:pPr>
              <w:rPr>
                <w:rFonts w:ascii="宋体"/>
                <w:vanish/>
              </w:rPr>
            </w:pPr>
          </w:p>
        </w:tc>
        <w:tc>
          <w:tcPr>
            <w:tcW w:w="0" w:type="auto"/>
            <w:gridSpan w:val="3"/>
            <w:shd w:val="clear" w:color="auto" w:fill="auto"/>
            <w:vAlign w:val="bottom"/>
          </w:tcPr>
          <w:p w14:paraId="0B2FA57A" w14:textId="77777777" w:rsidR="007F1775" w:rsidRDefault="007F1775">
            <w:pPr>
              <w:rPr>
                <w:rFonts w:ascii="宋体"/>
                <w:vanish/>
              </w:rPr>
            </w:pPr>
          </w:p>
        </w:tc>
        <w:tc>
          <w:tcPr>
            <w:tcW w:w="0" w:type="auto"/>
            <w:gridSpan w:val="3"/>
            <w:shd w:val="clear" w:color="auto" w:fill="auto"/>
            <w:vAlign w:val="bottom"/>
          </w:tcPr>
          <w:p w14:paraId="0B2FA57B" w14:textId="77777777" w:rsidR="007F1775" w:rsidRDefault="007F1775">
            <w:pPr>
              <w:rPr>
                <w:rFonts w:ascii="宋体"/>
                <w:vanish/>
              </w:rPr>
            </w:pPr>
          </w:p>
        </w:tc>
      </w:tr>
      <w:tr w:rsidR="007F1775" w14:paraId="0B2FA587" w14:textId="77777777">
        <w:tc>
          <w:tcPr>
            <w:tcW w:w="0" w:type="auto"/>
            <w:gridSpan w:val="3"/>
            <w:shd w:val="clear" w:color="auto" w:fill="CCEEFF"/>
            <w:tcMar>
              <w:top w:w="40" w:type="dxa"/>
              <w:left w:w="20" w:type="dxa"/>
              <w:bottom w:w="40" w:type="dxa"/>
              <w:right w:w="20" w:type="dxa"/>
            </w:tcMar>
          </w:tcPr>
          <w:p w14:paraId="0B2FA57D" w14:textId="77777777" w:rsidR="007F1775" w:rsidRDefault="000F083E">
            <w:pPr>
              <w:textAlignment w:val="top"/>
            </w:pPr>
            <w:r>
              <w:rPr>
                <w:rFonts w:ascii="Times New Roman" w:eastAsia="宋体" w:hAnsi="Times New Roman"/>
                <w:color w:val="000000"/>
                <w:sz w:val="20"/>
                <w:szCs w:val="20"/>
              </w:rPr>
              <w:t>Asia-Pacific</w:t>
            </w:r>
          </w:p>
        </w:tc>
        <w:tc>
          <w:tcPr>
            <w:tcW w:w="0" w:type="auto"/>
            <w:gridSpan w:val="2"/>
            <w:shd w:val="clear" w:color="auto" w:fill="CCEEFF"/>
            <w:tcMar>
              <w:top w:w="40" w:type="dxa"/>
              <w:left w:w="20" w:type="dxa"/>
              <w:bottom w:w="40" w:type="dxa"/>
              <w:right w:w="0" w:type="dxa"/>
            </w:tcMar>
            <w:vAlign w:val="bottom"/>
          </w:tcPr>
          <w:p w14:paraId="0B2FA57E" w14:textId="77777777" w:rsidR="007F1775" w:rsidRDefault="000F083E">
            <w:pPr>
              <w:jc w:val="right"/>
              <w:textAlignment w:val="bottom"/>
            </w:pPr>
            <w:r>
              <w:rPr>
                <w:rFonts w:ascii="Times New Roman" w:eastAsia="宋体" w:hAnsi="Times New Roman"/>
                <w:color w:val="000000"/>
                <w:sz w:val="20"/>
                <w:szCs w:val="20"/>
              </w:rPr>
              <w:t>6,722 </w:t>
            </w:r>
          </w:p>
        </w:tc>
        <w:tc>
          <w:tcPr>
            <w:tcW w:w="0" w:type="auto"/>
            <w:shd w:val="clear" w:color="auto" w:fill="CCEEFF"/>
            <w:tcMar>
              <w:top w:w="40" w:type="dxa"/>
              <w:left w:w="0" w:type="dxa"/>
              <w:bottom w:w="40" w:type="dxa"/>
              <w:right w:w="20" w:type="dxa"/>
            </w:tcMar>
            <w:vAlign w:val="bottom"/>
          </w:tcPr>
          <w:p w14:paraId="0B2FA57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580"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581" w14:textId="77777777" w:rsidR="007F1775" w:rsidRDefault="000F083E">
            <w:pPr>
              <w:jc w:val="right"/>
              <w:textAlignment w:val="bottom"/>
            </w:pPr>
            <w:r>
              <w:rPr>
                <w:rFonts w:ascii="Times New Roman" w:eastAsia="宋体" w:hAnsi="Times New Roman"/>
                <w:color w:val="000000"/>
                <w:sz w:val="20"/>
                <w:szCs w:val="20"/>
              </w:rPr>
              <w:t>6,101 </w:t>
            </w:r>
          </w:p>
        </w:tc>
        <w:tc>
          <w:tcPr>
            <w:tcW w:w="0" w:type="auto"/>
            <w:shd w:val="clear" w:color="auto" w:fill="CCEEFF"/>
            <w:tcMar>
              <w:top w:w="40" w:type="dxa"/>
              <w:left w:w="0" w:type="dxa"/>
              <w:bottom w:w="40" w:type="dxa"/>
              <w:right w:w="20" w:type="dxa"/>
            </w:tcMar>
            <w:vAlign w:val="bottom"/>
          </w:tcPr>
          <w:p w14:paraId="0B2FA582" w14:textId="77777777" w:rsidR="007F1775" w:rsidRDefault="007F1775">
            <w:pPr>
              <w:jc w:val="right"/>
              <w:rPr>
                <w:rFonts w:ascii="宋体"/>
              </w:rPr>
            </w:pPr>
          </w:p>
        </w:tc>
        <w:tc>
          <w:tcPr>
            <w:tcW w:w="0" w:type="auto"/>
            <w:shd w:val="clear" w:color="auto" w:fill="auto"/>
            <w:vAlign w:val="bottom"/>
          </w:tcPr>
          <w:p w14:paraId="0B2FA583" w14:textId="77777777" w:rsidR="007F1775" w:rsidRDefault="007F1775">
            <w:pPr>
              <w:rPr>
                <w:rFonts w:ascii="宋体"/>
                <w:vanish/>
              </w:rPr>
            </w:pPr>
          </w:p>
        </w:tc>
        <w:tc>
          <w:tcPr>
            <w:tcW w:w="0" w:type="auto"/>
            <w:shd w:val="clear" w:color="auto" w:fill="auto"/>
            <w:vAlign w:val="bottom"/>
          </w:tcPr>
          <w:p w14:paraId="0B2FA584" w14:textId="77777777" w:rsidR="007F1775" w:rsidRDefault="007F1775">
            <w:pPr>
              <w:rPr>
                <w:rFonts w:ascii="宋体"/>
                <w:vanish/>
              </w:rPr>
            </w:pPr>
          </w:p>
        </w:tc>
        <w:tc>
          <w:tcPr>
            <w:tcW w:w="0" w:type="auto"/>
            <w:gridSpan w:val="3"/>
            <w:shd w:val="clear" w:color="auto" w:fill="auto"/>
            <w:vAlign w:val="bottom"/>
          </w:tcPr>
          <w:p w14:paraId="0B2FA585" w14:textId="77777777" w:rsidR="007F1775" w:rsidRDefault="007F1775">
            <w:pPr>
              <w:rPr>
                <w:rFonts w:ascii="宋体"/>
                <w:vanish/>
              </w:rPr>
            </w:pPr>
          </w:p>
        </w:tc>
        <w:tc>
          <w:tcPr>
            <w:tcW w:w="0" w:type="auto"/>
            <w:gridSpan w:val="3"/>
            <w:shd w:val="clear" w:color="auto" w:fill="auto"/>
            <w:vAlign w:val="bottom"/>
          </w:tcPr>
          <w:p w14:paraId="0B2FA586" w14:textId="77777777" w:rsidR="007F1775" w:rsidRDefault="007F1775">
            <w:pPr>
              <w:rPr>
                <w:rFonts w:ascii="宋体"/>
                <w:vanish/>
              </w:rPr>
            </w:pPr>
          </w:p>
        </w:tc>
      </w:tr>
      <w:tr w:rsidR="007F1775" w14:paraId="0B2FA592" w14:textId="77777777">
        <w:tc>
          <w:tcPr>
            <w:tcW w:w="0" w:type="auto"/>
            <w:gridSpan w:val="3"/>
            <w:shd w:val="clear" w:color="auto" w:fill="FFFFFF"/>
            <w:tcMar>
              <w:top w:w="40" w:type="dxa"/>
              <w:left w:w="20" w:type="dxa"/>
              <w:bottom w:w="40" w:type="dxa"/>
              <w:right w:w="20" w:type="dxa"/>
            </w:tcMar>
          </w:tcPr>
          <w:p w14:paraId="0B2FA588" w14:textId="77777777" w:rsidR="007F1775" w:rsidRDefault="000F083E">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Rest of World</w:t>
            </w:r>
            <w:r>
              <w:rPr>
                <w:rFonts w:ascii="Times New Roman" w:eastAsia="宋体" w:hAnsi="Times New Roman"/>
                <w:color w:val="000000"/>
                <w:sz w:val="13"/>
                <w:szCs w:val="13"/>
              </w:rPr>
              <w:t>(2)</w:t>
            </w:r>
          </w:p>
        </w:tc>
        <w:tc>
          <w:tcPr>
            <w:tcW w:w="0" w:type="auto"/>
            <w:gridSpan w:val="2"/>
            <w:shd w:val="clear" w:color="auto" w:fill="FFFFFF"/>
            <w:tcMar>
              <w:top w:w="40" w:type="dxa"/>
              <w:left w:w="20" w:type="dxa"/>
              <w:bottom w:w="40" w:type="dxa"/>
              <w:right w:w="0" w:type="dxa"/>
            </w:tcMar>
            <w:vAlign w:val="bottom"/>
          </w:tcPr>
          <w:p w14:paraId="0B2FA589" w14:textId="77777777" w:rsidR="007F1775" w:rsidRDefault="000F083E">
            <w:pPr>
              <w:jc w:val="right"/>
              <w:textAlignment w:val="bottom"/>
            </w:pPr>
            <w:r>
              <w:rPr>
                <w:rFonts w:ascii="Times New Roman" w:eastAsia="宋体" w:hAnsi="Times New Roman"/>
                <w:color w:val="000000"/>
                <w:sz w:val="20"/>
                <w:szCs w:val="20"/>
              </w:rPr>
              <w:t>2,768 </w:t>
            </w:r>
          </w:p>
        </w:tc>
        <w:tc>
          <w:tcPr>
            <w:tcW w:w="0" w:type="auto"/>
            <w:shd w:val="clear" w:color="auto" w:fill="FFFFFF"/>
            <w:tcMar>
              <w:top w:w="40" w:type="dxa"/>
              <w:left w:w="0" w:type="dxa"/>
              <w:bottom w:w="40" w:type="dxa"/>
              <w:right w:w="20" w:type="dxa"/>
            </w:tcMar>
            <w:vAlign w:val="bottom"/>
          </w:tcPr>
          <w:p w14:paraId="0B2FA58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58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58C" w14:textId="77777777" w:rsidR="007F1775" w:rsidRDefault="000F083E">
            <w:pPr>
              <w:jc w:val="right"/>
              <w:textAlignment w:val="bottom"/>
            </w:pPr>
            <w:r>
              <w:rPr>
                <w:rFonts w:ascii="Times New Roman" w:eastAsia="宋体" w:hAnsi="Times New Roman"/>
                <w:color w:val="000000"/>
                <w:sz w:val="20"/>
                <w:szCs w:val="20"/>
              </w:rPr>
              <w:t>2,250 </w:t>
            </w:r>
          </w:p>
        </w:tc>
        <w:tc>
          <w:tcPr>
            <w:tcW w:w="0" w:type="auto"/>
            <w:shd w:val="clear" w:color="auto" w:fill="FFFFFF"/>
            <w:tcMar>
              <w:top w:w="40" w:type="dxa"/>
              <w:left w:w="0" w:type="dxa"/>
              <w:bottom w:w="40" w:type="dxa"/>
              <w:right w:w="20" w:type="dxa"/>
            </w:tcMar>
            <w:vAlign w:val="bottom"/>
          </w:tcPr>
          <w:p w14:paraId="0B2FA58D" w14:textId="77777777" w:rsidR="007F1775" w:rsidRDefault="007F1775">
            <w:pPr>
              <w:jc w:val="right"/>
              <w:rPr>
                <w:rFonts w:ascii="宋体"/>
              </w:rPr>
            </w:pPr>
          </w:p>
        </w:tc>
        <w:tc>
          <w:tcPr>
            <w:tcW w:w="0" w:type="auto"/>
            <w:shd w:val="clear" w:color="auto" w:fill="auto"/>
            <w:vAlign w:val="bottom"/>
          </w:tcPr>
          <w:p w14:paraId="0B2FA58E" w14:textId="77777777" w:rsidR="007F1775" w:rsidRDefault="007F1775">
            <w:pPr>
              <w:rPr>
                <w:rFonts w:ascii="宋体"/>
                <w:vanish/>
              </w:rPr>
            </w:pPr>
          </w:p>
        </w:tc>
        <w:tc>
          <w:tcPr>
            <w:tcW w:w="0" w:type="auto"/>
            <w:shd w:val="clear" w:color="auto" w:fill="auto"/>
            <w:vAlign w:val="bottom"/>
          </w:tcPr>
          <w:p w14:paraId="0B2FA58F" w14:textId="77777777" w:rsidR="007F1775" w:rsidRDefault="007F1775">
            <w:pPr>
              <w:rPr>
                <w:rFonts w:ascii="宋体"/>
                <w:vanish/>
              </w:rPr>
            </w:pPr>
          </w:p>
        </w:tc>
        <w:tc>
          <w:tcPr>
            <w:tcW w:w="0" w:type="auto"/>
            <w:gridSpan w:val="3"/>
            <w:shd w:val="clear" w:color="auto" w:fill="auto"/>
            <w:vAlign w:val="bottom"/>
          </w:tcPr>
          <w:p w14:paraId="0B2FA590" w14:textId="77777777" w:rsidR="007F1775" w:rsidRDefault="007F1775">
            <w:pPr>
              <w:rPr>
                <w:rFonts w:ascii="宋体"/>
                <w:vanish/>
              </w:rPr>
            </w:pPr>
          </w:p>
        </w:tc>
        <w:tc>
          <w:tcPr>
            <w:tcW w:w="0" w:type="auto"/>
            <w:gridSpan w:val="3"/>
            <w:shd w:val="clear" w:color="auto" w:fill="auto"/>
            <w:vAlign w:val="bottom"/>
          </w:tcPr>
          <w:p w14:paraId="0B2FA591" w14:textId="77777777" w:rsidR="007F1775" w:rsidRDefault="007F1775">
            <w:pPr>
              <w:rPr>
                <w:rFonts w:ascii="宋体"/>
                <w:vanish/>
              </w:rPr>
            </w:pPr>
          </w:p>
        </w:tc>
      </w:tr>
      <w:tr w:rsidR="007F1775" w14:paraId="0B2FA59F" w14:textId="77777777">
        <w:tc>
          <w:tcPr>
            <w:tcW w:w="0" w:type="auto"/>
            <w:gridSpan w:val="3"/>
            <w:shd w:val="clear" w:color="auto" w:fill="CCEEFF"/>
            <w:tcMar>
              <w:top w:w="40" w:type="dxa"/>
              <w:left w:w="380" w:type="dxa"/>
              <w:bottom w:w="40" w:type="dxa"/>
              <w:right w:w="20" w:type="dxa"/>
            </w:tcMar>
          </w:tcPr>
          <w:p w14:paraId="0B2FA593" w14:textId="77777777" w:rsidR="007F1775" w:rsidRDefault="000F083E">
            <w:pPr>
              <w:textAlignment w:val="top"/>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594"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595" w14:textId="77777777" w:rsidR="007F1775" w:rsidRDefault="000F083E">
            <w:pPr>
              <w:jc w:val="right"/>
              <w:textAlignment w:val="bottom"/>
            </w:pPr>
            <w:r>
              <w:rPr>
                <w:rFonts w:ascii="Times New Roman" w:eastAsia="宋体" w:hAnsi="Times New Roman"/>
                <w:color w:val="000000"/>
                <w:sz w:val="20"/>
                <w:szCs w:val="20"/>
              </w:rPr>
              <w:t>27,908 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59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597"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598"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599" w14:textId="77777777" w:rsidR="007F1775" w:rsidRDefault="000F083E">
            <w:pPr>
              <w:jc w:val="right"/>
              <w:textAlignment w:val="bottom"/>
            </w:pPr>
            <w:r>
              <w:rPr>
                <w:rFonts w:ascii="Times New Roman" w:eastAsia="宋体" w:hAnsi="Times New Roman"/>
                <w:color w:val="000000"/>
                <w:sz w:val="20"/>
                <w:szCs w:val="20"/>
              </w:rPr>
              <w:t>26,171 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59A" w14:textId="77777777" w:rsidR="007F1775" w:rsidRDefault="007F1775">
            <w:pPr>
              <w:jc w:val="right"/>
              <w:rPr>
                <w:rFonts w:ascii="宋体"/>
              </w:rPr>
            </w:pPr>
          </w:p>
        </w:tc>
        <w:tc>
          <w:tcPr>
            <w:tcW w:w="0" w:type="auto"/>
            <w:shd w:val="clear" w:color="auto" w:fill="auto"/>
            <w:vAlign w:val="bottom"/>
          </w:tcPr>
          <w:p w14:paraId="0B2FA59B" w14:textId="77777777" w:rsidR="007F1775" w:rsidRDefault="007F1775">
            <w:pPr>
              <w:rPr>
                <w:rFonts w:ascii="宋体"/>
                <w:vanish/>
              </w:rPr>
            </w:pPr>
          </w:p>
        </w:tc>
        <w:tc>
          <w:tcPr>
            <w:tcW w:w="0" w:type="auto"/>
            <w:shd w:val="clear" w:color="auto" w:fill="auto"/>
            <w:vAlign w:val="bottom"/>
          </w:tcPr>
          <w:p w14:paraId="0B2FA59C" w14:textId="77777777" w:rsidR="007F1775" w:rsidRDefault="007F1775">
            <w:pPr>
              <w:rPr>
                <w:rFonts w:ascii="宋体"/>
                <w:vanish/>
              </w:rPr>
            </w:pPr>
          </w:p>
        </w:tc>
        <w:tc>
          <w:tcPr>
            <w:tcW w:w="0" w:type="auto"/>
            <w:gridSpan w:val="3"/>
            <w:shd w:val="clear" w:color="auto" w:fill="auto"/>
            <w:vAlign w:val="bottom"/>
          </w:tcPr>
          <w:p w14:paraId="0B2FA59D" w14:textId="77777777" w:rsidR="007F1775" w:rsidRDefault="007F1775">
            <w:pPr>
              <w:rPr>
                <w:rFonts w:ascii="宋体"/>
                <w:vanish/>
              </w:rPr>
            </w:pPr>
          </w:p>
        </w:tc>
        <w:tc>
          <w:tcPr>
            <w:tcW w:w="0" w:type="auto"/>
            <w:gridSpan w:val="3"/>
            <w:shd w:val="clear" w:color="auto" w:fill="auto"/>
            <w:vAlign w:val="bottom"/>
          </w:tcPr>
          <w:p w14:paraId="0B2FA59E" w14:textId="77777777" w:rsidR="007F1775" w:rsidRDefault="007F1775">
            <w:pPr>
              <w:rPr>
                <w:rFonts w:ascii="宋体"/>
                <w:vanish/>
              </w:rPr>
            </w:pPr>
          </w:p>
        </w:tc>
      </w:tr>
    </w:tbl>
    <w:p w14:paraId="0B2FA5A0" w14:textId="77777777" w:rsidR="007F1775" w:rsidRDefault="000F083E">
      <w:pPr>
        <w:spacing w:before="100"/>
        <w:jc w:val="both"/>
      </w:pPr>
      <w:r>
        <w:rPr>
          <w:rFonts w:ascii="Times New Roman" w:eastAsia="宋体" w:hAnsi="Times New Roman"/>
          <w:color w:val="000000"/>
          <w:sz w:val="12"/>
          <w:szCs w:val="12"/>
        </w:rPr>
        <w:t>______</w:t>
      </w:r>
      <w:r>
        <w:rPr>
          <w:rFonts w:ascii="Times New Roman" w:eastAsia="宋体" w:hAnsi="Times New Roman"/>
          <w:color w:val="000000"/>
          <w:sz w:val="12"/>
          <w:szCs w:val="12"/>
        </w:rPr>
        <w:t>______________________________</w:t>
      </w:r>
    </w:p>
    <w:p w14:paraId="0B2FA5A1" w14:textId="77777777" w:rsidR="007F1775" w:rsidRDefault="000F083E">
      <w:pPr>
        <w:pBdr>
          <w:left w:val="none" w:sz="0" w:space="0" w:color="auto"/>
        </w:pBdr>
        <w:ind w:hanging="360"/>
        <w:jc w:val="both"/>
      </w:pPr>
      <w:r>
        <w:rPr>
          <w:rFonts w:ascii="Times New Roman" w:eastAsia="宋体" w:hAnsi="Times New Roman"/>
          <w:color w:val="000000"/>
          <w:sz w:val="18"/>
          <w:szCs w:val="18"/>
        </w:rPr>
        <w:t xml:space="preserve">(1)    United States revenue was $11.10 billion and $10.75 billion for the three months ended March 31, 2022 and 2021, respectively. </w:t>
      </w:r>
    </w:p>
    <w:p w14:paraId="0B2FA5A2" w14:textId="77777777" w:rsidR="007F1775" w:rsidRDefault="000F083E">
      <w:pPr>
        <w:pBdr>
          <w:left w:val="none" w:sz="0" w:space="0" w:color="auto"/>
        </w:pBdr>
        <w:ind w:hanging="360"/>
        <w:jc w:val="both"/>
      </w:pPr>
      <w:r>
        <w:rPr>
          <w:rFonts w:ascii="Times New Roman" w:eastAsia="宋体" w:hAnsi="Times New Roman"/>
          <w:color w:val="000000"/>
          <w:sz w:val="18"/>
          <w:szCs w:val="18"/>
        </w:rPr>
        <w:t>(2)    Europe includes Russia and Turkey, and Rest of World includes Africa, Latin America,</w:t>
      </w:r>
      <w:r>
        <w:rPr>
          <w:rFonts w:ascii="Times New Roman" w:eastAsia="宋体" w:hAnsi="Times New Roman"/>
          <w:color w:val="000000"/>
          <w:sz w:val="18"/>
          <w:szCs w:val="18"/>
        </w:rPr>
        <w:t xml:space="preserve"> and the Middle East.</w:t>
      </w:r>
    </w:p>
    <w:p w14:paraId="0B2FA5A3" w14:textId="77777777" w:rsidR="007F1775" w:rsidRDefault="007F1775">
      <w:pPr>
        <w:ind w:firstLine="540"/>
        <w:jc w:val="both"/>
      </w:pPr>
    </w:p>
    <w:p w14:paraId="0B2FA5A4" w14:textId="77777777" w:rsidR="007F1775" w:rsidRDefault="000F083E">
      <w:pPr>
        <w:ind w:firstLine="540"/>
        <w:jc w:val="both"/>
      </w:pPr>
      <w:r>
        <w:rPr>
          <w:rFonts w:ascii="Times New Roman" w:eastAsia="宋体" w:hAnsi="Times New Roman"/>
          <w:color w:val="000000"/>
          <w:sz w:val="20"/>
          <w:szCs w:val="20"/>
        </w:rPr>
        <w:t>Our total deferred revenue was $565 million and $596 million as of March 31, 2022 and December 31, 2021, respectively. As of March 31, 2022, we expect $472 million of our deferred revenue to be realized in less than a year.</w:t>
      </w:r>
    </w:p>
    <w:p w14:paraId="0B2FA5A5" w14:textId="77777777" w:rsidR="007F1775" w:rsidRDefault="007F1775">
      <w:pPr>
        <w:ind w:firstLine="540"/>
        <w:jc w:val="both"/>
      </w:pPr>
    </w:p>
    <w:p w14:paraId="0B2FA5A6" w14:textId="77777777" w:rsidR="007F1775" w:rsidRDefault="000F083E">
      <w:pPr>
        <w:spacing w:before="180"/>
      </w:pPr>
      <w:r>
        <w:rPr>
          <w:rFonts w:ascii="Times New Roman" w:eastAsia="宋体" w:hAnsi="Times New Roman"/>
          <w:b/>
          <w:bCs/>
          <w:color w:val="000000"/>
          <w:sz w:val="20"/>
          <w:szCs w:val="20"/>
        </w:rPr>
        <w:t xml:space="preserve">Note 3. </w:t>
      </w:r>
      <w:r>
        <w:rPr>
          <w:rFonts w:ascii="Times New Roman" w:eastAsia="宋体" w:hAnsi="Times New Roman"/>
          <w:b/>
          <w:bCs/>
          <w:color w:val="000000"/>
          <w:sz w:val="20"/>
          <w:szCs w:val="20"/>
        </w:rPr>
        <w:t>Earnings per Share</w:t>
      </w:r>
    </w:p>
    <w:p w14:paraId="0B2FA5A7" w14:textId="77777777" w:rsidR="007F1775" w:rsidRDefault="007F1775">
      <w:pPr>
        <w:ind w:firstLine="540"/>
        <w:jc w:val="both"/>
      </w:pPr>
    </w:p>
    <w:p w14:paraId="0B2FA5A8" w14:textId="77777777" w:rsidR="007F1775" w:rsidRDefault="000F083E">
      <w:pPr>
        <w:ind w:firstLine="540"/>
        <w:jc w:val="both"/>
      </w:pPr>
      <w:r>
        <w:rPr>
          <w:rFonts w:ascii="Times New Roman" w:eastAsia="宋体" w:hAnsi="Times New Roman"/>
          <w:color w:val="000000"/>
          <w:sz w:val="20"/>
          <w:szCs w:val="20"/>
        </w:rPr>
        <w:t xml:space="preserve">We compute earnings per share (EPS) of Class A and Class B common stock using the two-class method. As the liquidation and dividend rights for both Class A and Class B common stock are identical, the undistributed earnings are </w:t>
      </w:r>
      <w:r>
        <w:rPr>
          <w:rFonts w:ascii="Times New Roman" w:eastAsia="宋体" w:hAnsi="Times New Roman"/>
          <w:color w:val="000000"/>
          <w:sz w:val="20"/>
          <w:szCs w:val="20"/>
        </w:rPr>
        <w:t>allocated on a proportionate basis to the weighted-average number of common shares outstanding for the period.</w:t>
      </w:r>
    </w:p>
    <w:p w14:paraId="0B2FA5A9" w14:textId="77777777" w:rsidR="007F1775" w:rsidRDefault="007F1775">
      <w:pPr>
        <w:ind w:firstLine="540"/>
        <w:jc w:val="both"/>
      </w:pPr>
    </w:p>
    <w:p w14:paraId="0B2FA5AA" w14:textId="77777777" w:rsidR="007F1775" w:rsidRDefault="000F083E">
      <w:pPr>
        <w:ind w:firstLine="540"/>
        <w:jc w:val="both"/>
      </w:pPr>
      <w:r>
        <w:rPr>
          <w:rFonts w:ascii="Times New Roman" w:eastAsia="宋体" w:hAnsi="Times New Roman"/>
          <w:color w:val="000000"/>
          <w:sz w:val="20"/>
          <w:szCs w:val="20"/>
        </w:rPr>
        <w:t>Basic EPS is computed by dividing net income by the weighted-average number of shares of our Class A and Class B common stock outstanding.</w:t>
      </w:r>
    </w:p>
    <w:p w14:paraId="0B2FA5AB" w14:textId="77777777" w:rsidR="007F1775" w:rsidRDefault="007F1775">
      <w:pPr>
        <w:ind w:firstLine="540"/>
        <w:jc w:val="both"/>
      </w:pPr>
    </w:p>
    <w:p w14:paraId="0B2FA5AC" w14:textId="77777777" w:rsidR="007F1775" w:rsidRDefault="000F083E">
      <w:pPr>
        <w:ind w:firstLine="540"/>
        <w:jc w:val="both"/>
      </w:pPr>
      <w:r>
        <w:rPr>
          <w:rFonts w:ascii="Times New Roman" w:eastAsia="宋体" w:hAnsi="Times New Roman"/>
          <w:color w:val="000000"/>
          <w:sz w:val="20"/>
          <w:szCs w:val="20"/>
        </w:rPr>
        <w:t xml:space="preserve">For </w:t>
      </w:r>
      <w:r>
        <w:rPr>
          <w:rFonts w:ascii="Times New Roman" w:eastAsia="宋体" w:hAnsi="Times New Roman"/>
          <w:color w:val="000000"/>
          <w:sz w:val="20"/>
          <w:szCs w:val="20"/>
        </w:rPr>
        <w:t xml:space="preserve">the calculation of diluted EPS, net income for basic EPS is adjusted by the effect of dilutive securities, including awards under our equity compensation plans. </w:t>
      </w:r>
    </w:p>
    <w:p w14:paraId="0B2FA5AD" w14:textId="77777777" w:rsidR="007F1775" w:rsidRDefault="007F1775">
      <w:pPr>
        <w:ind w:firstLine="540"/>
        <w:jc w:val="both"/>
      </w:pPr>
    </w:p>
    <w:p w14:paraId="0B2FA5AE" w14:textId="77777777" w:rsidR="007F1775" w:rsidRDefault="000F083E">
      <w:pPr>
        <w:ind w:firstLine="540"/>
        <w:jc w:val="both"/>
      </w:pPr>
      <w:r>
        <w:rPr>
          <w:rFonts w:ascii="Times New Roman" w:eastAsia="宋体" w:hAnsi="Times New Roman"/>
          <w:color w:val="000000"/>
          <w:sz w:val="20"/>
          <w:szCs w:val="20"/>
        </w:rPr>
        <w:t>In addition, the computation of the diluted EPS of Class A common stock assumes the conversio</w:t>
      </w:r>
      <w:r>
        <w:rPr>
          <w:rFonts w:ascii="Times New Roman" w:eastAsia="宋体" w:hAnsi="Times New Roman"/>
          <w:color w:val="000000"/>
          <w:sz w:val="20"/>
          <w:szCs w:val="20"/>
        </w:rPr>
        <w:t xml:space="preserve">n of our Class B </w:t>
      </w:r>
    </w:p>
    <w:p w14:paraId="0B2FA5AF" w14:textId="77777777" w:rsidR="007F1775" w:rsidRDefault="000F083E">
      <w:pPr>
        <w:jc w:val="center"/>
      </w:pPr>
      <w:r>
        <w:rPr>
          <w:rFonts w:ascii="Times New Roman" w:eastAsia="宋体" w:hAnsi="Times New Roman"/>
          <w:color w:val="000000"/>
          <w:sz w:val="20"/>
          <w:szCs w:val="20"/>
        </w:rPr>
        <w:t>14</w:t>
      </w:r>
    </w:p>
    <w:p w14:paraId="0B2FA5B0" w14:textId="77777777" w:rsidR="007F1775" w:rsidRDefault="000F083E">
      <w:r>
        <w:pict w14:anchorId="0B2FBF6F">
          <v:rect id="_x0000_i1038" style="width:415.3pt;height:1.5pt" o:hralign="center" o:hrstd="t" o:hr="t" fillcolor="#a0a0a0" stroked="f"/>
        </w:pict>
      </w:r>
    </w:p>
    <w:p w14:paraId="0B2FA5B1" w14:textId="77777777" w:rsidR="007F1775" w:rsidRDefault="007F1775"/>
    <w:p w14:paraId="0B2FA5B2" w14:textId="77777777" w:rsidR="007F1775" w:rsidRDefault="007F1775"/>
    <w:p w14:paraId="0B2FA5B3" w14:textId="77777777" w:rsidR="007F1775" w:rsidRDefault="000F083E">
      <w:hyperlink r:id="rId92" w:anchor="iea70e328caa94cefb76a9db6ed6338fc_7" w:history="1">
        <w:r>
          <w:rPr>
            <w:rStyle w:val="a5"/>
            <w:rFonts w:ascii="Times New Roman" w:eastAsia="宋体" w:hAnsi="Times New Roman"/>
            <w:sz w:val="20"/>
            <w:szCs w:val="20"/>
          </w:rPr>
          <w:t>Table of Contents</w:t>
        </w:r>
      </w:hyperlink>
    </w:p>
    <w:p w14:paraId="0B2FA5B4" w14:textId="77777777" w:rsidR="007F1775" w:rsidRDefault="000F083E">
      <w:pPr>
        <w:jc w:val="both"/>
      </w:pPr>
      <w:r>
        <w:rPr>
          <w:rFonts w:ascii="Times New Roman" w:eastAsia="宋体" w:hAnsi="Times New Roman"/>
          <w:color w:val="000000"/>
          <w:sz w:val="20"/>
          <w:szCs w:val="20"/>
        </w:rPr>
        <w:t xml:space="preserve">common stock to Class A common stock, while the </w:t>
      </w:r>
      <w:r>
        <w:rPr>
          <w:rFonts w:ascii="Times New Roman" w:eastAsia="宋体" w:hAnsi="Times New Roman"/>
          <w:color w:val="000000"/>
          <w:sz w:val="20"/>
          <w:szCs w:val="20"/>
        </w:rPr>
        <w:t>diluted EPS of Class B common stock does not assume the conversion of those shares to Class A common stock. Diluted EPS is computed by dividing the resulting net income by the weighted-average number of fully diluted common shares outstanding.</w:t>
      </w:r>
    </w:p>
    <w:p w14:paraId="0B2FA5B5" w14:textId="77777777" w:rsidR="007F1775" w:rsidRDefault="007F1775">
      <w:pPr>
        <w:ind w:firstLine="540"/>
        <w:jc w:val="both"/>
      </w:pPr>
    </w:p>
    <w:p w14:paraId="0B2FA5B6" w14:textId="77777777" w:rsidR="007F1775" w:rsidRDefault="000F083E">
      <w:pPr>
        <w:ind w:firstLine="540"/>
        <w:jc w:val="both"/>
      </w:pPr>
      <w:r>
        <w:rPr>
          <w:rFonts w:ascii="Times New Roman" w:eastAsia="宋体" w:hAnsi="Times New Roman"/>
          <w:color w:val="000000"/>
          <w:sz w:val="20"/>
          <w:szCs w:val="20"/>
        </w:rPr>
        <w:t>For the thr</w:t>
      </w:r>
      <w:r>
        <w:rPr>
          <w:rFonts w:ascii="Times New Roman" w:eastAsia="宋体" w:hAnsi="Times New Roman"/>
          <w:color w:val="000000"/>
          <w:sz w:val="20"/>
          <w:szCs w:val="20"/>
        </w:rPr>
        <w:t>ee months ended March 31, 2022, 48 million shares of Class A common stock equivalents of RSUs were excluded from the diluted EPS calculation as including them would have an anti-dilutive effect. RSUs with anti-dilutive effect were not material for the thre</w:t>
      </w:r>
      <w:r>
        <w:rPr>
          <w:rFonts w:ascii="Times New Roman" w:eastAsia="宋体" w:hAnsi="Times New Roman"/>
          <w:color w:val="000000"/>
          <w:sz w:val="20"/>
          <w:szCs w:val="20"/>
        </w:rPr>
        <w:t xml:space="preserve">e months ended, March 31, 2021. </w:t>
      </w:r>
    </w:p>
    <w:p w14:paraId="0B2FA5B7" w14:textId="77777777" w:rsidR="007F1775" w:rsidRDefault="007F1775">
      <w:pPr>
        <w:ind w:firstLine="540"/>
        <w:jc w:val="both"/>
      </w:pPr>
    </w:p>
    <w:p w14:paraId="0B2FA5B8" w14:textId="77777777" w:rsidR="007F1775" w:rsidRDefault="000F083E">
      <w:pPr>
        <w:ind w:firstLine="540"/>
        <w:jc w:val="both"/>
      </w:pPr>
      <w:r>
        <w:rPr>
          <w:rFonts w:ascii="Times New Roman" w:eastAsia="宋体" w:hAnsi="Times New Roman"/>
          <w:color w:val="000000"/>
          <w:sz w:val="20"/>
          <w:szCs w:val="20"/>
        </w:rPr>
        <w:t>Basic and diluted EPS are the same for each class of common stock because they are entitled to the same liquidation and dividend rights.</w:t>
      </w:r>
    </w:p>
    <w:p w14:paraId="0B2FA5B9" w14:textId="77777777" w:rsidR="007F1775" w:rsidRDefault="007F1775">
      <w:pPr>
        <w:ind w:firstLine="540"/>
        <w:jc w:val="both"/>
      </w:pPr>
    </w:p>
    <w:p w14:paraId="0B2FA5BA" w14:textId="77777777" w:rsidR="007F1775" w:rsidRDefault="000F083E">
      <w:pPr>
        <w:ind w:firstLine="540"/>
        <w:jc w:val="both"/>
      </w:pPr>
      <w:r>
        <w:rPr>
          <w:rFonts w:ascii="Times New Roman" w:eastAsia="宋体" w:hAnsi="Times New Roman"/>
          <w:color w:val="000000"/>
          <w:sz w:val="20"/>
          <w:szCs w:val="20"/>
        </w:rPr>
        <w:t>The numerators and denominators of the basic and diluted EPS computations for our co</w:t>
      </w:r>
      <w:r>
        <w:rPr>
          <w:rFonts w:ascii="Times New Roman" w:eastAsia="宋体" w:hAnsi="Times New Roman"/>
          <w:color w:val="000000"/>
          <w:sz w:val="20"/>
          <w:szCs w:val="20"/>
        </w:rPr>
        <w:t>mmon stock are calculated as follows (in millions, except per share amounts): </w:t>
      </w:r>
    </w:p>
    <w:tbl>
      <w:tblPr>
        <w:tblW w:w="4978" w:type="pct"/>
        <w:tblCellMar>
          <w:top w:w="15" w:type="dxa"/>
          <w:left w:w="15" w:type="dxa"/>
          <w:bottom w:w="15" w:type="dxa"/>
          <w:right w:w="15" w:type="dxa"/>
        </w:tblCellMar>
        <w:tblLook w:val="04A0" w:firstRow="1" w:lastRow="0" w:firstColumn="1" w:lastColumn="0" w:noHBand="0" w:noVBand="1"/>
      </w:tblPr>
      <w:tblGrid>
        <w:gridCol w:w="41"/>
        <w:gridCol w:w="4550"/>
        <w:gridCol w:w="40"/>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F1775" w14:paraId="0B2FA5DB" w14:textId="77777777">
        <w:tc>
          <w:tcPr>
            <w:tcW w:w="50" w:type="pct"/>
            <w:shd w:val="clear" w:color="auto" w:fill="auto"/>
            <w:vAlign w:val="bottom"/>
          </w:tcPr>
          <w:p w14:paraId="0B2FA5BB" w14:textId="77777777" w:rsidR="007F1775" w:rsidRDefault="007F1775">
            <w:pPr>
              <w:rPr>
                <w:rFonts w:ascii="宋体"/>
              </w:rPr>
            </w:pPr>
          </w:p>
        </w:tc>
        <w:tc>
          <w:tcPr>
            <w:tcW w:w="3091" w:type="pct"/>
            <w:shd w:val="clear" w:color="auto" w:fill="auto"/>
            <w:vAlign w:val="bottom"/>
          </w:tcPr>
          <w:p w14:paraId="0B2FA5BC" w14:textId="77777777" w:rsidR="007F1775" w:rsidRDefault="007F1775">
            <w:pPr>
              <w:rPr>
                <w:rFonts w:ascii="宋体"/>
              </w:rPr>
            </w:pPr>
          </w:p>
        </w:tc>
        <w:tc>
          <w:tcPr>
            <w:tcW w:w="5" w:type="pct"/>
            <w:shd w:val="clear" w:color="auto" w:fill="auto"/>
            <w:vAlign w:val="bottom"/>
          </w:tcPr>
          <w:p w14:paraId="0B2FA5BD" w14:textId="77777777" w:rsidR="007F1775" w:rsidRDefault="007F1775">
            <w:pPr>
              <w:rPr>
                <w:rFonts w:ascii="宋体"/>
              </w:rPr>
            </w:pPr>
          </w:p>
        </w:tc>
        <w:tc>
          <w:tcPr>
            <w:tcW w:w="50" w:type="pct"/>
            <w:shd w:val="clear" w:color="auto" w:fill="auto"/>
            <w:vAlign w:val="bottom"/>
          </w:tcPr>
          <w:p w14:paraId="0B2FA5BE" w14:textId="77777777" w:rsidR="007F1775" w:rsidRDefault="007F1775">
            <w:pPr>
              <w:rPr>
                <w:rFonts w:ascii="宋体"/>
              </w:rPr>
            </w:pPr>
          </w:p>
        </w:tc>
        <w:tc>
          <w:tcPr>
            <w:tcW w:w="385" w:type="pct"/>
            <w:shd w:val="clear" w:color="auto" w:fill="auto"/>
            <w:vAlign w:val="bottom"/>
          </w:tcPr>
          <w:p w14:paraId="0B2FA5BF" w14:textId="77777777" w:rsidR="007F1775" w:rsidRDefault="007F1775">
            <w:pPr>
              <w:rPr>
                <w:rFonts w:ascii="宋体"/>
              </w:rPr>
            </w:pPr>
          </w:p>
        </w:tc>
        <w:tc>
          <w:tcPr>
            <w:tcW w:w="5" w:type="pct"/>
            <w:shd w:val="clear" w:color="auto" w:fill="auto"/>
            <w:vAlign w:val="bottom"/>
          </w:tcPr>
          <w:p w14:paraId="0B2FA5C0" w14:textId="77777777" w:rsidR="007F1775" w:rsidRDefault="007F1775">
            <w:pPr>
              <w:rPr>
                <w:rFonts w:ascii="宋体"/>
              </w:rPr>
            </w:pPr>
          </w:p>
        </w:tc>
        <w:tc>
          <w:tcPr>
            <w:tcW w:w="5" w:type="pct"/>
            <w:shd w:val="clear" w:color="auto" w:fill="auto"/>
            <w:vAlign w:val="bottom"/>
          </w:tcPr>
          <w:p w14:paraId="0B2FA5C1" w14:textId="77777777" w:rsidR="007F1775" w:rsidRDefault="007F1775">
            <w:pPr>
              <w:rPr>
                <w:rFonts w:ascii="宋体"/>
              </w:rPr>
            </w:pPr>
          </w:p>
        </w:tc>
        <w:tc>
          <w:tcPr>
            <w:tcW w:w="19" w:type="pct"/>
            <w:shd w:val="clear" w:color="auto" w:fill="auto"/>
            <w:vAlign w:val="bottom"/>
          </w:tcPr>
          <w:p w14:paraId="0B2FA5C2" w14:textId="77777777" w:rsidR="007F1775" w:rsidRDefault="007F1775">
            <w:pPr>
              <w:rPr>
                <w:rFonts w:ascii="宋体"/>
              </w:rPr>
            </w:pPr>
          </w:p>
        </w:tc>
        <w:tc>
          <w:tcPr>
            <w:tcW w:w="5" w:type="pct"/>
            <w:shd w:val="clear" w:color="auto" w:fill="auto"/>
            <w:vAlign w:val="bottom"/>
          </w:tcPr>
          <w:p w14:paraId="0B2FA5C3" w14:textId="77777777" w:rsidR="007F1775" w:rsidRDefault="007F1775">
            <w:pPr>
              <w:rPr>
                <w:rFonts w:ascii="宋体"/>
              </w:rPr>
            </w:pPr>
          </w:p>
        </w:tc>
        <w:tc>
          <w:tcPr>
            <w:tcW w:w="50" w:type="pct"/>
            <w:shd w:val="clear" w:color="auto" w:fill="auto"/>
            <w:vAlign w:val="bottom"/>
          </w:tcPr>
          <w:p w14:paraId="0B2FA5C4" w14:textId="77777777" w:rsidR="007F1775" w:rsidRDefault="007F1775">
            <w:pPr>
              <w:rPr>
                <w:rFonts w:ascii="宋体"/>
              </w:rPr>
            </w:pPr>
          </w:p>
        </w:tc>
        <w:tc>
          <w:tcPr>
            <w:tcW w:w="385" w:type="pct"/>
            <w:shd w:val="clear" w:color="auto" w:fill="auto"/>
            <w:vAlign w:val="bottom"/>
          </w:tcPr>
          <w:p w14:paraId="0B2FA5C5" w14:textId="77777777" w:rsidR="007F1775" w:rsidRDefault="007F1775">
            <w:pPr>
              <w:rPr>
                <w:rFonts w:ascii="宋体"/>
              </w:rPr>
            </w:pPr>
          </w:p>
        </w:tc>
        <w:tc>
          <w:tcPr>
            <w:tcW w:w="5" w:type="pct"/>
            <w:shd w:val="clear" w:color="auto" w:fill="auto"/>
            <w:vAlign w:val="bottom"/>
          </w:tcPr>
          <w:p w14:paraId="0B2FA5C6" w14:textId="77777777" w:rsidR="007F1775" w:rsidRDefault="007F1775">
            <w:pPr>
              <w:rPr>
                <w:rFonts w:ascii="宋体"/>
              </w:rPr>
            </w:pPr>
          </w:p>
        </w:tc>
        <w:tc>
          <w:tcPr>
            <w:tcW w:w="5" w:type="pct"/>
            <w:shd w:val="clear" w:color="auto" w:fill="auto"/>
            <w:vAlign w:val="bottom"/>
          </w:tcPr>
          <w:p w14:paraId="0B2FA5C7" w14:textId="77777777" w:rsidR="007F1775" w:rsidRDefault="007F1775">
            <w:pPr>
              <w:rPr>
                <w:rFonts w:ascii="宋体"/>
              </w:rPr>
            </w:pPr>
          </w:p>
        </w:tc>
        <w:tc>
          <w:tcPr>
            <w:tcW w:w="19" w:type="pct"/>
            <w:shd w:val="clear" w:color="auto" w:fill="auto"/>
            <w:vAlign w:val="bottom"/>
          </w:tcPr>
          <w:p w14:paraId="0B2FA5C8" w14:textId="77777777" w:rsidR="007F1775" w:rsidRDefault="007F1775">
            <w:pPr>
              <w:rPr>
                <w:rFonts w:ascii="宋体"/>
              </w:rPr>
            </w:pPr>
          </w:p>
        </w:tc>
        <w:tc>
          <w:tcPr>
            <w:tcW w:w="5" w:type="pct"/>
            <w:shd w:val="clear" w:color="auto" w:fill="auto"/>
            <w:vAlign w:val="bottom"/>
          </w:tcPr>
          <w:p w14:paraId="0B2FA5C9" w14:textId="77777777" w:rsidR="007F1775" w:rsidRDefault="007F1775">
            <w:pPr>
              <w:rPr>
                <w:rFonts w:ascii="宋体"/>
              </w:rPr>
            </w:pPr>
          </w:p>
        </w:tc>
        <w:tc>
          <w:tcPr>
            <w:tcW w:w="50" w:type="pct"/>
            <w:shd w:val="clear" w:color="auto" w:fill="auto"/>
            <w:vAlign w:val="bottom"/>
          </w:tcPr>
          <w:p w14:paraId="0B2FA5CA" w14:textId="77777777" w:rsidR="007F1775" w:rsidRDefault="007F1775">
            <w:pPr>
              <w:rPr>
                <w:rFonts w:ascii="宋体"/>
              </w:rPr>
            </w:pPr>
          </w:p>
        </w:tc>
        <w:tc>
          <w:tcPr>
            <w:tcW w:w="385" w:type="pct"/>
            <w:shd w:val="clear" w:color="auto" w:fill="auto"/>
            <w:vAlign w:val="bottom"/>
          </w:tcPr>
          <w:p w14:paraId="0B2FA5CB" w14:textId="77777777" w:rsidR="007F1775" w:rsidRDefault="007F1775">
            <w:pPr>
              <w:rPr>
                <w:rFonts w:ascii="宋体"/>
              </w:rPr>
            </w:pPr>
          </w:p>
        </w:tc>
        <w:tc>
          <w:tcPr>
            <w:tcW w:w="5" w:type="pct"/>
            <w:shd w:val="clear" w:color="auto" w:fill="auto"/>
            <w:vAlign w:val="bottom"/>
          </w:tcPr>
          <w:p w14:paraId="0B2FA5CC" w14:textId="77777777" w:rsidR="007F1775" w:rsidRDefault="007F1775">
            <w:pPr>
              <w:rPr>
                <w:rFonts w:ascii="宋体"/>
              </w:rPr>
            </w:pPr>
          </w:p>
        </w:tc>
        <w:tc>
          <w:tcPr>
            <w:tcW w:w="5" w:type="pct"/>
            <w:shd w:val="clear" w:color="auto" w:fill="auto"/>
            <w:vAlign w:val="bottom"/>
          </w:tcPr>
          <w:p w14:paraId="0B2FA5CD" w14:textId="77777777" w:rsidR="007F1775" w:rsidRDefault="007F1775">
            <w:pPr>
              <w:rPr>
                <w:rFonts w:ascii="宋体"/>
              </w:rPr>
            </w:pPr>
          </w:p>
        </w:tc>
        <w:tc>
          <w:tcPr>
            <w:tcW w:w="19" w:type="pct"/>
            <w:shd w:val="clear" w:color="auto" w:fill="auto"/>
            <w:vAlign w:val="bottom"/>
          </w:tcPr>
          <w:p w14:paraId="0B2FA5CE" w14:textId="77777777" w:rsidR="007F1775" w:rsidRDefault="007F1775">
            <w:pPr>
              <w:rPr>
                <w:rFonts w:ascii="宋体"/>
              </w:rPr>
            </w:pPr>
          </w:p>
        </w:tc>
        <w:tc>
          <w:tcPr>
            <w:tcW w:w="5" w:type="pct"/>
            <w:shd w:val="clear" w:color="auto" w:fill="auto"/>
            <w:vAlign w:val="bottom"/>
          </w:tcPr>
          <w:p w14:paraId="0B2FA5CF" w14:textId="77777777" w:rsidR="007F1775" w:rsidRDefault="007F1775">
            <w:pPr>
              <w:rPr>
                <w:rFonts w:ascii="宋体"/>
              </w:rPr>
            </w:pPr>
          </w:p>
        </w:tc>
        <w:tc>
          <w:tcPr>
            <w:tcW w:w="50" w:type="pct"/>
            <w:shd w:val="clear" w:color="auto" w:fill="auto"/>
            <w:vAlign w:val="bottom"/>
          </w:tcPr>
          <w:p w14:paraId="0B2FA5D0" w14:textId="77777777" w:rsidR="007F1775" w:rsidRDefault="007F1775">
            <w:pPr>
              <w:rPr>
                <w:rFonts w:ascii="宋体"/>
              </w:rPr>
            </w:pPr>
          </w:p>
        </w:tc>
        <w:tc>
          <w:tcPr>
            <w:tcW w:w="386" w:type="pct"/>
            <w:shd w:val="clear" w:color="auto" w:fill="auto"/>
            <w:vAlign w:val="bottom"/>
          </w:tcPr>
          <w:p w14:paraId="0B2FA5D1" w14:textId="77777777" w:rsidR="007F1775" w:rsidRDefault="007F1775">
            <w:pPr>
              <w:rPr>
                <w:rFonts w:ascii="宋体"/>
              </w:rPr>
            </w:pPr>
          </w:p>
        </w:tc>
        <w:tc>
          <w:tcPr>
            <w:tcW w:w="5" w:type="pct"/>
            <w:shd w:val="clear" w:color="auto" w:fill="auto"/>
            <w:vAlign w:val="bottom"/>
          </w:tcPr>
          <w:p w14:paraId="0B2FA5D2" w14:textId="77777777" w:rsidR="007F1775" w:rsidRDefault="007F1775">
            <w:pPr>
              <w:rPr>
                <w:rFonts w:ascii="宋体"/>
              </w:rPr>
            </w:pPr>
          </w:p>
        </w:tc>
        <w:tc>
          <w:tcPr>
            <w:tcW w:w="0" w:type="auto"/>
            <w:shd w:val="clear" w:color="auto" w:fill="auto"/>
            <w:vAlign w:val="bottom"/>
          </w:tcPr>
          <w:p w14:paraId="0B2FA5D3" w14:textId="77777777" w:rsidR="007F1775" w:rsidRDefault="007F1775">
            <w:pPr>
              <w:rPr>
                <w:rFonts w:ascii="宋体"/>
                <w:vanish/>
              </w:rPr>
            </w:pPr>
          </w:p>
        </w:tc>
        <w:tc>
          <w:tcPr>
            <w:tcW w:w="0" w:type="auto"/>
            <w:shd w:val="clear" w:color="auto" w:fill="auto"/>
            <w:vAlign w:val="bottom"/>
          </w:tcPr>
          <w:p w14:paraId="0B2FA5D4" w14:textId="77777777" w:rsidR="007F1775" w:rsidRDefault="007F1775">
            <w:pPr>
              <w:rPr>
                <w:rFonts w:ascii="宋体"/>
                <w:vanish/>
              </w:rPr>
            </w:pPr>
          </w:p>
        </w:tc>
        <w:tc>
          <w:tcPr>
            <w:tcW w:w="0" w:type="auto"/>
            <w:gridSpan w:val="3"/>
            <w:shd w:val="clear" w:color="auto" w:fill="auto"/>
            <w:vAlign w:val="bottom"/>
          </w:tcPr>
          <w:p w14:paraId="0B2FA5D5" w14:textId="77777777" w:rsidR="007F1775" w:rsidRDefault="007F1775">
            <w:pPr>
              <w:rPr>
                <w:rFonts w:ascii="宋体"/>
                <w:vanish/>
              </w:rPr>
            </w:pPr>
          </w:p>
        </w:tc>
        <w:tc>
          <w:tcPr>
            <w:tcW w:w="0" w:type="auto"/>
            <w:gridSpan w:val="3"/>
            <w:shd w:val="clear" w:color="auto" w:fill="auto"/>
            <w:vAlign w:val="bottom"/>
          </w:tcPr>
          <w:p w14:paraId="0B2FA5D6" w14:textId="77777777" w:rsidR="007F1775" w:rsidRDefault="007F1775">
            <w:pPr>
              <w:rPr>
                <w:rFonts w:ascii="宋体"/>
                <w:vanish/>
              </w:rPr>
            </w:pPr>
          </w:p>
        </w:tc>
        <w:tc>
          <w:tcPr>
            <w:tcW w:w="0" w:type="auto"/>
            <w:gridSpan w:val="3"/>
            <w:shd w:val="clear" w:color="auto" w:fill="auto"/>
            <w:vAlign w:val="bottom"/>
          </w:tcPr>
          <w:p w14:paraId="0B2FA5D7" w14:textId="77777777" w:rsidR="007F1775" w:rsidRDefault="007F1775">
            <w:pPr>
              <w:rPr>
                <w:rFonts w:ascii="宋体"/>
                <w:vanish/>
              </w:rPr>
            </w:pPr>
          </w:p>
        </w:tc>
        <w:tc>
          <w:tcPr>
            <w:tcW w:w="0" w:type="auto"/>
            <w:gridSpan w:val="3"/>
            <w:shd w:val="clear" w:color="auto" w:fill="auto"/>
            <w:vAlign w:val="bottom"/>
          </w:tcPr>
          <w:p w14:paraId="0B2FA5D8" w14:textId="77777777" w:rsidR="007F1775" w:rsidRDefault="007F1775">
            <w:pPr>
              <w:rPr>
                <w:rFonts w:ascii="宋体"/>
                <w:vanish/>
              </w:rPr>
            </w:pPr>
          </w:p>
        </w:tc>
        <w:tc>
          <w:tcPr>
            <w:tcW w:w="0" w:type="auto"/>
            <w:gridSpan w:val="3"/>
            <w:shd w:val="clear" w:color="auto" w:fill="auto"/>
            <w:vAlign w:val="bottom"/>
          </w:tcPr>
          <w:p w14:paraId="0B2FA5D9" w14:textId="77777777" w:rsidR="007F1775" w:rsidRDefault="007F1775">
            <w:pPr>
              <w:rPr>
                <w:rFonts w:ascii="宋体"/>
                <w:vanish/>
              </w:rPr>
            </w:pPr>
          </w:p>
        </w:tc>
        <w:tc>
          <w:tcPr>
            <w:tcW w:w="0" w:type="auto"/>
            <w:gridSpan w:val="3"/>
            <w:shd w:val="clear" w:color="auto" w:fill="auto"/>
            <w:vAlign w:val="bottom"/>
          </w:tcPr>
          <w:p w14:paraId="0B2FA5DA" w14:textId="77777777" w:rsidR="007F1775" w:rsidRDefault="007F1775">
            <w:pPr>
              <w:rPr>
                <w:rFonts w:ascii="宋体"/>
                <w:vanish/>
              </w:rPr>
            </w:pPr>
          </w:p>
        </w:tc>
      </w:tr>
      <w:tr w:rsidR="007F1775" w14:paraId="0B2FA5F2" w14:textId="77777777">
        <w:tc>
          <w:tcPr>
            <w:tcW w:w="0" w:type="auto"/>
            <w:gridSpan w:val="3"/>
            <w:shd w:val="clear" w:color="auto" w:fill="auto"/>
            <w:tcMar>
              <w:top w:w="40" w:type="dxa"/>
              <w:left w:w="20" w:type="dxa"/>
              <w:bottom w:w="40" w:type="dxa"/>
              <w:right w:w="20" w:type="dxa"/>
            </w:tcMar>
            <w:vAlign w:val="bottom"/>
          </w:tcPr>
          <w:p w14:paraId="0B2FA5DC" w14:textId="77777777" w:rsidR="007F1775" w:rsidRDefault="000F083E">
            <w:pPr>
              <w:textAlignment w:val="bottom"/>
            </w:pPr>
            <w:r>
              <w:rPr>
                <w:rFonts w:ascii="Times New Roman" w:eastAsia="宋体" w:hAnsi="Times New Roman"/>
                <w:color w:val="000000"/>
                <w:sz w:val="16"/>
                <w:szCs w:val="16"/>
              </w:rPr>
              <w:t> </w:t>
            </w: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0B2FA5DD"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A5DE" w14:textId="77777777" w:rsidR="007F1775" w:rsidRDefault="007F1775">
            <w:pPr>
              <w:rPr>
                <w:rFonts w:ascii="宋体"/>
                <w:vanish/>
              </w:rPr>
            </w:pPr>
          </w:p>
        </w:tc>
        <w:tc>
          <w:tcPr>
            <w:tcW w:w="0" w:type="auto"/>
            <w:shd w:val="clear" w:color="auto" w:fill="auto"/>
            <w:vAlign w:val="bottom"/>
          </w:tcPr>
          <w:p w14:paraId="0B2FA5DF" w14:textId="77777777" w:rsidR="007F1775" w:rsidRDefault="007F1775">
            <w:pPr>
              <w:rPr>
                <w:rFonts w:ascii="宋体"/>
                <w:vanish/>
              </w:rPr>
            </w:pPr>
          </w:p>
        </w:tc>
        <w:tc>
          <w:tcPr>
            <w:tcW w:w="0" w:type="auto"/>
            <w:shd w:val="clear" w:color="auto" w:fill="auto"/>
            <w:vAlign w:val="bottom"/>
          </w:tcPr>
          <w:p w14:paraId="0B2FA5E0" w14:textId="77777777" w:rsidR="007F1775" w:rsidRDefault="007F1775">
            <w:pPr>
              <w:rPr>
                <w:rFonts w:ascii="宋体"/>
              </w:rPr>
            </w:pPr>
          </w:p>
        </w:tc>
        <w:tc>
          <w:tcPr>
            <w:tcW w:w="0" w:type="auto"/>
            <w:shd w:val="clear" w:color="auto" w:fill="auto"/>
            <w:vAlign w:val="bottom"/>
          </w:tcPr>
          <w:p w14:paraId="0B2FA5E1" w14:textId="77777777" w:rsidR="007F1775" w:rsidRDefault="007F1775">
            <w:pPr>
              <w:rPr>
                <w:rFonts w:ascii="宋体"/>
              </w:rPr>
            </w:pPr>
          </w:p>
        </w:tc>
        <w:tc>
          <w:tcPr>
            <w:tcW w:w="0" w:type="auto"/>
            <w:shd w:val="clear" w:color="auto" w:fill="auto"/>
            <w:vAlign w:val="bottom"/>
          </w:tcPr>
          <w:p w14:paraId="0B2FA5E2" w14:textId="77777777" w:rsidR="007F1775" w:rsidRDefault="007F1775">
            <w:pPr>
              <w:rPr>
                <w:rFonts w:ascii="宋体"/>
              </w:rPr>
            </w:pPr>
          </w:p>
        </w:tc>
        <w:tc>
          <w:tcPr>
            <w:tcW w:w="0" w:type="auto"/>
            <w:shd w:val="clear" w:color="auto" w:fill="auto"/>
            <w:vAlign w:val="bottom"/>
          </w:tcPr>
          <w:p w14:paraId="0B2FA5E3" w14:textId="77777777" w:rsidR="007F1775" w:rsidRDefault="007F1775">
            <w:pPr>
              <w:rPr>
                <w:rFonts w:ascii="宋体"/>
              </w:rPr>
            </w:pPr>
          </w:p>
        </w:tc>
        <w:tc>
          <w:tcPr>
            <w:tcW w:w="0" w:type="auto"/>
            <w:shd w:val="clear" w:color="auto" w:fill="auto"/>
            <w:vAlign w:val="bottom"/>
          </w:tcPr>
          <w:p w14:paraId="0B2FA5E4" w14:textId="77777777" w:rsidR="007F1775" w:rsidRDefault="007F1775">
            <w:pPr>
              <w:rPr>
                <w:rFonts w:ascii="宋体"/>
              </w:rPr>
            </w:pPr>
          </w:p>
        </w:tc>
        <w:tc>
          <w:tcPr>
            <w:tcW w:w="0" w:type="auto"/>
            <w:shd w:val="clear" w:color="auto" w:fill="auto"/>
            <w:vAlign w:val="bottom"/>
          </w:tcPr>
          <w:p w14:paraId="0B2FA5E5" w14:textId="77777777" w:rsidR="007F1775" w:rsidRDefault="007F1775">
            <w:pPr>
              <w:rPr>
                <w:rFonts w:ascii="宋体"/>
              </w:rPr>
            </w:pPr>
          </w:p>
        </w:tc>
        <w:tc>
          <w:tcPr>
            <w:tcW w:w="0" w:type="auto"/>
            <w:shd w:val="clear" w:color="auto" w:fill="auto"/>
            <w:vAlign w:val="bottom"/>
          </w:tcPr>
          <w:p w14:paraId="0B2FA5E6" w14:textId="77777777" w:rsidR="007F1775" w:rsidRDefault="007F1775">
            <w:pPr>
              <w:rPr>
                <w:rFonts w:ascii="宋体"/>
              </w:rPr>
            </w:pPr>
          </w:p>
        </w:tc>
        <w:tc>
          <w:tcPr>
            <w:tcW w:w="0" w:type="auto"/>
            <w:shd w:val="clear" w:color="auto" w:fill="auto"/>
            <w:vAlign w:val="bottom"/>
          </w:tcPr>
          <w:p w14:paraId="0B2FA5E7" w14:textId="77777777" w:rsidR="007F1775" w:rsidRDefault="007F1775">
            <w:pPr>
              <w:rPr>
                <w:rFonts w:ascii="宋体"/>
              </w:rPr>
            </w:pPr>
          </w:p>
        </w:tc>
        <w:tc>
          <w:tcPr>
            <w:tcW w:w="0" w:type="auto"/>
            <w:shd w:val="clear" w:color="auto" w:fill="auto"/>
            <w:vAlign w:val="bottom"/>
          </w:tcPr>
          <w:p w14:paraId="0B2FA5E8" w14:textId="77777777" w:rsidR="007F1775" w:rsidRDefault="007F1775">
            <w:pPr>
              <w:rPr>
                <w:rFonts w:ascii="宋体"/>
              </w:rPr>
            </w:pPr>
          </w:p>
        </w:tc>
        <w:tc>
          <w:tcPr>
            <w:tcW w:w="0" w:type="auto"/>
            <w:shd w:val="clear" w:color="auto" w:fill="auto"/>
            <w:vAlign w:val="bottom"/>
          </w:tcPr>
          <w:p w14:paraId="0B2FA5E9" w14:textId="77777777" w:rsidR="007F1775" w:rsidRDefault="007F1775">
            <w:pPr>
              <w:rPr>
                <w:rFonts w:ascii="宋体"/>
              </w:rPr>
            </w:pPr>
          </w:p>
        </w:tc>
        <w:tc>
          <w:tcPr>
            <w:tcW w:w="0" w:type="auto"/>
            <w:shd w:val="clear" w:color="auto" w:fill="auto"/>
            <w:vAlign w:val="bottom"/>
          </w:tcPr>
          <w:p w14:paraId="0B2FA5EA" w14:textId="77777777" w:rsidR="007F1775" w:rsidRDefault="007F1775">
            <w:pPr>
              <w:rPr>
                <w:rFonts w:ascii="宋体"/>
              </w:rPr>
            </w:pPr>
          </w:p>
        </w:tc>
        <w:tc>
          <w:tcPr>
            <w:tcW w:w="0" w:type="auto"/>
            <w:shd w:val="clear" w:color="auto" w:fill="auto"/>
            <w:vAlign w:val="bottom"/>
          </w:tcPr>
          <w:p w14:paraId="0B2FA5EB" w14:textId="77777777" w:rsidR="007F1775" w:rsidRDefault="007F1775">
            <w:pPr>
              <w:rPr>
                <w:rFonts w:ascii="宋体"/>
              </w:rPr>
            </w:pPr>
          </w:p>
        </w:tc>
        <w:tc>
          <w:tcPr>
            <w:tcW w:w="0" w:type="auto"/>
            <w:shd w:val="clear" w:color="auto" w:fill="auto"/>
            <w:vAlign w:val="bottom"/>
          </w:tcPr>
          <w:p w14:paraId="0B2FA5EC" w14:textId="77777777" w:rsidR="007F1775" w:rsidRDefault="007F1775">
            <w:pPr>
              <w:rPr>
                <w:rFonts w:ascii="宋体"/>
              </w:rPr>
            </w:pPr>
          </w:p>
        </w:tc>
        <w:tc>
          <w:tcPr>
            <w:tcW w:w="0" w:type="auto"/>
            <w:shd w:val="clear" w:color="auto" w:fill="auto"/>
            <w:vAlign w:val="bottom"/>
          </w:tcPr>
          <w:p w14:paraId="0B2FA5ED" w14:textId="77777777" w:rsidR="007F1775" w:rsidRDefault="007F1775">
            <w:pPr>
              <w:rPr>
                <w:rFonts w:ascii="宋体"/>
              </w:rPr>
            </w:pPr>
          </w:p>
        </w:tc>
        <w:tc>
          <w:tcPr>
            <w:tcW w:w="0" w:type="auto"/>
            <w:shd w:val="clear" w:color="auto" w:fill="auto"/>
            <w:vAlign w:val="bottom"/>
          </w:tcPr>
          <w:p w14:paraId="0B2FA5EE" w14:textId="77777777" w:rsidR="007F1775" w:rsidRDefault="007F1775">
            <w:pPr>
              <w:rPr>
                <w:rFonts w:ascii="宋体"/>
              </w:rPr>
            </w:pPr>
          </w:p>
        </w:tc>
        <w:tc>
          <w:tcPr>
            <w:tcW w:w="0" w:type="auto"/>
            <w:shd w:val="clear" w:color="auto" w:fill="auto"/>
            <w:vAlign w:val="bottom"/>
          </w:tcPr>
          <w:p w14:paraId="0B2FA5EF" w14:textId="77777777" w:rsidR="007F1775" w:rsidRDefault="007F1775">
            <w:pPr>
              <w:rPr>
                <w:rFonts w:ascii="宋体"/>
              </w:rPr>
            </w:pPr>
          </w:p>
        </w:tc>
        <w:tc>
          <w:tcPr>
            <w:tcW w:w="0" w:type="auto"/>
            <w:shd w:val="clear" w:color="auto" w:fill="auto"/>
            <w:vAlign w:val="bottom"/>
          </w:tcPr>
          <w:p w14:paraId="0B2FA5F0" w14:textId="77777777" w:rsidR="007F1775" w:rsidRDefault="007F1775">
            <w:pPr>
              <w:rPr>
                <w:rFonts w:ascii="宋体"/>
              </w:rPr>
            </w:pPr>
          </w:p>
        </w:tc>
        <w:tc>
          <w:tcPr>
            <w:tcW w:w="0" w:type="auto"/>
            <w:shd w:val="clear" w:color="auto" w:fill="auto"/>
            <w:vAlign w:val="bottom"/>
          </w:tcPr>
          <w:p w14:paraId="0B2FA5F1" w14:textId="77777777" w:rsidR="007F1775" w:rsidRDefault="007F1775">
            <w:pPr>
              <w:rPr>
                <w:rFonts w:ascii="宋体"/>
              </w:rPr>
            </w:pPr>
          </w:p>
        </w:tc>
      </w:tr>
      <w:tr w:rsidR="007F1775" w14:paraId="0B2FA607" w14:textId="77777777">
        <w:tc>
          <w:tcPr>
            <w:tcW w:w="0" w:type="auto"/>
            <w:gridSpan w:val="3"/>
            <w:shd w:val="clear" w:color="auto" w:fill="auto"/>
            <w:tcMar>
              <w:top w:w="40" w:type="dxa"/>
              <w:left w:w="20" w:type="dxa"/>
              <w:bottom w:w="40" w:type="dxa"/>
              <w:right w:w="20" w:type="dxa"/>
            </w:tcMar>
            <w:vAlign w:val="bottom"/>
          </w:tcPr>
          <w:p w14:paraId="0B2FA5F3" w14:textId="77777777" w:rsidR="007F1775" w:rsidRDefault="000F083E">
            <w:pPr>
              <w:textAlignment w:val="bottom"/>
            </w:pPr>
            <w:r>
              <w:rPr>
                <w:rFonts w:ascii="Times New Roman" w:eastAsia="宋体" w:hAnsi="Times New Roman"/>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B2FA5F4"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5F5" w14:textId="77777777" w:rsidR="007F1775" w:rsidRDefault="007F17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B2FA5F6"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A5F7" w14:textId="77777777" w:rsidR="007F1775" w:rsidRDefault="007F1775">
            <w:pPr>
              <w:rPr>
                <w:rFonts w:ascii="宋体"/>
                <w:vanish/>
              </w:rPr>
            </w:pPr>
          </w:p>
        </w:tc>
        <w:tc>
          <w:tcPr>
            <w:tcW w:w="0" w:type="auto"/>
            <w:shd w:val="clear" w:color="auto" w:fill="auto"/>
            <w:vAlign w:val="bottom"/>
          </w:tcPr>
          <w:p w14:paraId="0B2FA5F8" w14:textId="77777777" w:rsidR="007F1775" w:rsidRDefault="007F1775">
            <w:pPr>
              <w:rPr>
                <w:rFonts w:ascii="宋体"/>
                <w:vanish/>
              </w:rPr>
            </w:pPr>
          </w:p>
        </w:tc>
        <w:tc>
          <w:tcPr>
            <w:tcW w:w="0" w:type="auto"/>
            <w:gridSpan w:val="3"/>
            <w:shd w:val="clear" w:color="auto" w:fill="auto"/>
            <w:vAlign w:val="bottom"/>
          </w:tcPr>
          <w:p w14:paraId="0B2FA5F9" w14:textId="77777777" w:rsidR="007F1775" w:rsidRDefault="007F1775">
            <w:pPr>
              <w:rPr>
                <w:rFonts w:ascii="宋体"/>
                <w:vanish/>
              </w:rPr>
            </w:pPr>
          </w:p>
        </w:tc>
        <w:tc>
          <w:tcPr>
            <w:tcW w:w="0" w:type="auto"/>
            <w:gridSpan w:val="3"/>
            <w:shd w:val="clear" w:color="auto" w:fill="auto"/>
            <w:vAlign w:val="bottom"/>
          </w:tcPr>
          <w:p w14:paraId="0B2FA5FA" w14:textId="77777777" w:rsidR="007F1775" w:rsidRDefault="007F1775">
            <w:pPr>
              <w:rPr>
                <w:rFonts w:ascii="宋体"/>
                <w:vanish/>
              </w:rPr>
            </w:pPr>
          </w:p>
        </w:tc>
        <w:tc>
          <w:tcPr>
            <w:tcW w:w="0" w:type="auto"/>
            <w:shd w:val="clear" w:color="auto" w:fill="auto"/>
            <w:vAlign w:val="bottom"/>
          </w:tcPr>
          <w:p w14:paraId="0B2FA5FB" w14:textId="77777777" w:rsidR="007F1775" w:rsidRDefault="007F1775">
            <w:pPr>
              <w:rPr>
                <w:rFonts w:ascii="宋体"/>
              </w:rPr>
            </w:pPr>
          </w:p>
        </w:tc>
        <w:tc>
          <w:tcPr>
            <w:tcW w:w="0" w:type="auto"/>
            <w:shd w:val="clear" w:color="auto" w:fill="auto"/>
            <w:vAlign w:val="bottom"/>
          </w:tcPr>
          <w:p w14:paraId="0B2FA5FC" w14:textId="77777777" w:rsidR="007F1775" w:rsidRDefault="007F1775">
            <w:pPr>
              <w:rPr>
                <w:rFonts w:ascii="宋体"/>
              </w:rPr>
            </w:pPr>
          </w:p>
        </w:tc>
        <w:tc>
          <w:tcPr>
            <w:tcW w:w="0" w:type="auto"/>
            <w:shd w:val="clear" w:color="auto" w:fill="auto"/>
            <w:vAlign w:val="bottom"/>
          </w:tcPr>
          <w:p w14:paraId="0B2FA5FD" w14:textId="77777777" w:rsidR="007F1775" w:rsidRDefault="007F1775">
            <w:pPr>
              <w:rPr>
                <w:rFonts w:ascii="宋体"/>
              </w:rPr>
            </w:pPr>
          </w:p>
        </w:tc>
        <w:tc>
          <w:tcPr>
            <w:tcW w:w="0" w:type="auto"/>
            <w:shd w:val="clear" w:color="auto" w:fill="auto"/>
            <w:vAlign w:val="bottom"/>
          </w:tcPr>
          <w:p w14:paraId="0B2FA5FE" w14:textId="77777777" w:rsidR="007F1775" w:rsidRDefault="007F1775">
            <w:pPr>
              <w:rPr>
                <w:rFonts w:ascii="宋体"/>
              </w:rPr>
            </w:pPr>
          </w:p>
        </w:tc>
        <w:tc>
          <w:tcPr>
            <w:tcW w:w="0" w:type="auto"/>
            <w:shd w:val="clear" w:color="auto" w:fill="auto"/>
            <w:vAlign w:val="bottom"/>
          </w:tcPr>
          <w:p w14:paraId="0B2FA5FF" w14:textId="77777777" w:rsidR="007F1775" w:rsidRDefault="007F1775">
            <w:pPr>
              <w:rPr>
                <w:rFonts w:ascii="宋体"/>
              </w:rPr>
            </w:pPr>
          </w:p>
        </w:tc>
        <w:tc>
          <w:tcPr>
            <w:tcW w:w="0" w:type="auto"/>
            <w:shd w:val="clear" w:color="auto" w:fill="auto"/>
            <w:vAlign w:val="bottom"/>
          </w:tcPr>
          <w:p w14:paraId="0B2FA600" w14:textId="77777777" w:rsidR="007F1775" w:rsidRDefault="007F1775">
            <w:pPr>
              <w:rPr>
                <w:rFonts w:ascii="宋体"/>
              </w:rPr>
            </w:pPr>
          </w:p>
        </w:tc>
        <w:tc>
          <w:tcPr>
            <w:tcW w:w="0" w:type="auto"/>
            <w:shd w:val="clear" w:color="auto" w:fill="auto"/>
            <w:vAlign w:val="bottom"/>
          </w:tcPr>
          <w:p w14:paraId="0B2FA601" w14:textId="77777777" w:rsidR="007F1775" w:rsidRDefault="007F1775">
            <w:pPr>
              <w:rPr>
                <w:rFonts w:ascii="宋体"/>
              </w:rPr>
            </w:pPr>
          </w:p>
        </w:tc>
        <w:tc>
          <w:tcPr>
            <w:tcW w:w="0" w:type="auto"/>
            <w:shd w:val="clear" w:color="auto" w:fill="auto"/>
            <w:vAlign w:val="bottom"/>
          </w:tcPr>
          <w:p w14:paraId="0B2FA602" w14:textId="77777777" w:rsidR="007F1775" w:rsidRDefault="007F1775">
            <w:pPr>
              <w:rPr>
                <w:rFonts w:ascii="宋体"/>
              </w:rPr>
            </w:pPr>
          </w:p>
        </w:tc>
        <w:tc>
          <w:tcPr>
            <w:tcW w:w="0" w:type="auto"/>
            <w:shd w:val="clear" w:color="auto" w:fill="auto"/>
            <w:vAlign w:val="bottom"/>
          </w:tcPr>
          <w:p w14:paraId="0B2FA603" w14:textId="77777777" w:rsidR="007F1775" w:rsidRDefault="007F1775">
            <w:pPr>
              <w:rPr>
                <w:rFonts w:ascii="宋体"/>
              </w:rPr>
            </w:pPr>
          </w:p>
        </w:tc>
        <w:tc>
          <w:tcPr>
            <w:tcW w:w="0" w:type="auto"/>
            <w:shd w:val="clear" w:color="auto" w:fill="auto"/>
            <w:vAlign w:val="bottom"/>
          </w:tcPr>
          <w:p w14:paraId="0B2FA604" w14:textId="77777777" w:rsidR="007F1775" w:rsidRDefault="007F1775">
            <w:pPr>
              <w:rPr>
                <w:rFonts w:ascii="宋体"/>
              </w:rPr>
            </w:pPr>
          </w:p>
        </w:tc>
        <w:tc>
          <w:tcPr>
            <w:tcW w:w="0" w:type="auto"/>
            <w:shd w:val="clear" w:color="auto" w:fill="auto"/>
            <w:vAlign w:val="bottom"/>
          </w:tcPr>
          <w:p w14:paraId="0B2FA605" w14:textId="77777777" w:rsidR="007F1775" w:rsidRDefault="007F1775">
            <w:pPr>
              <w:rPr>
                <w:rFonts w:ascii="宋体"/>
              </w:rPr>
            </w:pPr>
          </w:p>
        </w:tc>
        <w:tc>
          <w:tcPr>
            <w:tcW w:w="0" w:type="auto"/>
            <w:shd w:val="clear" w:color="auto" w:fill="auto"/>
            <w:vAlign w:val="bottom"/>
          </w:tcPr>
          <w:p w14:paraId="0B2FA606" w14:textId="77777777" w:rsidR="007F1775" w:rsidRDefault="007F1775">
            <w:pPr>
              <w:rPr>
                <w:rFonts w:ascii="宋体"/>
              </w:rPr>
            </w:pPr>
          </w:p>
        </w:tc>
      </w:tr>
      <w:tr w:rsidR="007F1775" w14:paraId="0B2FA618" w14:textId="77777777">
        <w:tc>
          <w:tcPr>
            <w:tcW w:w="0" w:type="auto"/>
            <w:gridSpan w:val="3"/>
            <w:shd w:val="clear" w:color="auto" w:fill="auto"/>
            <w:tcMar>
              <w:top w:w="40" w:type="dxa"/>
              <w:left w:w="20" w:type="dxa"/>
              <w:bottom w:w="40" w:type="dxa"/>
              <w:right w:w="20" w:type="dxa"/>
            </w:tcMar>
            <w:vAlign w:val="bottom"/>
          </w:tcPr>
          <w:p w14:paraId="0B2FA608"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609" w14:textId="77777777" w:rsidR="007F1775" w:rsidRDefault="000F083E">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60A"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60B" w14:textId="77777777" w:rsidR="007F1775" w:rsidRDefault="000F083E">
            <w:pPr>
              <w:jc w:val="center"/>
              <w:textAlignment w:val="bottom"/>
            </w:pPr>
            <w:r>
              <w:rPr>
                <w:rFonts w:ascii="Times New Roman" w:eastAsia="宋体" w:hAnsi="Times New Roman"/>
                <w:b/>
                <w:bCs/>
                <w:color w:val="000000"/>
                <w:sz w:val="16"/>
                <w:szCs w:val="16"/>
              </w:rPr>
              <w:t>Class B</w:t>
            </w:r>
          </w:p>
        </w:tc>
        <w:tc>
          <w:tcPr>
            <w:tcW w:w="0" w:type="auto"/>
            <w:gridSpan w:val="3"/>
            <w:shd w:val="clear" w:color="auto" w:fill="auto"/>
            <w:tcMar>
              <w:top w:w="0" w:type="dxa"/>
              <w:left w:w="20" w:type="dxa"/>
              <w:bottom w:w="0" w:type="dxa"/>
              <w:right w:w="20" w:type="dxa"/>
            </w:tcMar>
            <w:vAlign w:val="bottom"/>
          </w:tcPr>
          <w:p w14:paraId="0B2FA60C"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60D" w14:textId="77777777" w:rsidR="007F1775" w:rsidRDefault="000F083E">
            <w:pPr>
              <w:jc w:val="center"/>
              <w:textAlignment w:val="bottom"/>
            </w:pPr>
            <w:r>
              <w:rPr>
                <w:rFonts w:ascii="Times New Roman" w:eastAsia="宋体" w:hAnsi="Times New Roman"/>
                <w:b/>
                <w:bCs/>
                <w:color w:val="000000"/>
                <w:sz w:val="16"/>
                <w:szCs w:val="16"/>
              </w:rPr>
              <w:t>Class A</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60E"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60F" w14:textId="77777777" w:rsidR="007F1775" w:rsidRDefault="000F083E">
            <w:pPr>
              <w:jc w:val="center"/>
              <w:textAlignment w:val="bottom"/>
            </w:pPr>
            <w:r>
              <w:rPr>
                <w:rFonts w:ascii="Times New Roman" w:eastAsia="宋体" w:hAnsi="Times New Roman"/>
                <w:b/>
                <w:bCs/>
                <w:color w:val="000000"/>
                <w:sz w:val="16"/>
                <w:szCs w:val="16"/>
              </w:rPr>
              <w:t>Class B</w:t>
            </w:r>
          </w:p>
        </w:tc>
        <w:tc>
          <w:tcPr>
            <w:tcW w:w="0" w:type="auto"/>
            <w:shd w:val="clear" w:color="auto" w:fill="auto"/>
            <w:vAlign w:val="bottom"/>
          </w:tcPr>
          <w:p w14:paraId="0B2FA610" w14:textId="77777777" w:rsidR="007F1775" w:rsidRDefault="007F1775">
            <w:pPr>
              <w:rPr>
                <w:rFonts w:ascii="宋体"/>
                <w:vanish/>
              </w:rPr>
            </w:pPr>
          </w:p>
        </w:tc>
        <w:tc>
          <w:tcPr>
            <w:tcW w:w="0" w:type="auto"/>
            <w:shd w:val="clear" w:color="auto" w:fill="auto"/>
            <w:vAlign w:val="bottom"/>
          </w:tcPr>
          <w:p w14:paraId="0B2FA611" w14:textId="77777777" w:rsidR="007F1775" w:rsidRDefault="007F1775">
            <w:pPr>
              <w:rPr>
                <w:rFonts w:ascii="宋体"/>
                <w:vanish/>
              </w:rPr>
            </w:pPr>
          </w:p>
        </w:tc>
        <w:tc>
          <w:tcPr>
            <w:tcW w:w="0" w:type="auto"/>
            <w:gridSpan w:val="3"/>
            <w:shd w:val="clear" w:color="auto" w:fill="auto"/>
            <w:vAlign w:val="bottom"/>
          </w:tcPr>
          <w:p w14:paraId="0B2FA612" w14:textId="77777777" w:rsidR="007F1775" w:rsidRDefault="007F1775">
            <w:pPr>
              <w:rPr>
                <w:rFonts w:ascii="宋体"/>
                <w:vanish/>
              </w:rPr>
            </w:pPr>
          </w:p>
        </w:tc>
        <w:tc>
          <w:tcPr>
            <w:tcW w:w="0" w:type="auto"/>
            <w:gridSpan w:val="3"/>
            <w:shd w:val="clear" w:color="auto" w:fill="auto"/>
            <w:vAlign w:val="bottom"/>
          </w:tcPr>
          <w:p w14:paraId="0B2FA613" w14:textId="77777777" w:rsidR="007F1775" w:rsidRDefault="007F1775">
            <w:pPr>
              <w:rPr>
                <w:rFonts w:ascii="宋体"/>
                <w:vanish/>
              </w:rPr>
            </w:pPr>
          </w:p>
        </w:tc>
        <w:tc>
          <w:tcPr>
            <w:tcW w:w="0" w:type="auto"/>
            <w:gridSpan w:val="3"/>
            <w:shd w:val="clear" w:color="auto" w:fill="auto"/>
            <w:vAlign w:val="bottom"/>
          </w:tcPr>
          <w:p w14:paraId="0B2FA614" w14:textId="77777777" w:rsidR="007F1775" w:rsidRDefault="007F1775">
            <w:pPr>
              <w:rPr>
                <w:rFonts w:ascii="宋体"/>
                <w:vanish/>
              </w:rPr>
            </w:pPr>
          </w:p>
        </w:tc>
        <w:tc>
          <w:tcPr>
            <w:tcW w:w="0" w:type="auto"/>
            <w:gridSpan w:val="3"/>
            <w:shd w:val="clear" w:color="auto" w:fill="auto"/>
            <w:vAlign w:val="bottom"/>
          </w:tcPr>
          <w:p w14:paraId="0B2FA615" w14:textId="77777777" w:rsidR="007F1775" w:rsidRDefault="007F1775">
            <w:pPr>
              <w:rPr>
                <w:rFonts w:ascii="宋体"/>
                <w:vanish/>
              </w:rPr>
            </w:pPr>
          </w:p>
        </w:tc>
        <w:tc>
          <w:tcPr>
            <w:tcW w:w="0" w:type="auto"/>
            <w:gridSpan w:val="3"/>
            <w:shd w:val="clear" w:color="auto" w:fill="auto"/>
            <w:vAlign w:val="bottom"/>
          </w:tcPr>
          <w:p w14:paraId="0B2FA616" w14:textId="77777777" w:rsidR="007F1775" w:rsidRDefault="007F1775">
            <w:pPr>
              <w:rPr>
                <w:rFonts w:ascii="宋体"/>
                <w:vanish/>
              </w:rPr>
            </w:pPr>
          </w:p>
        </w:tc>
        <w:tc>
          <w:tcPr>
            <w:tcW w:w="0" w:type="auto"/>
            <w:gridSpan w:val="3"/>
            <w:shd w:val="clear" w:color="auto" w:fill="auto"/>
            <w:vAlign w:val="bottom"/>
          </w:tcPr>
          <w:p w14:paraId="0B2FA617" w14:textId="77777777" w:rsidR="007F1775" w:rsidRDefault="007F1775">
            <w:pPr>
              <w:rPr>
                <w:rFonts w:ascii="宋体"/>
                <w:vanish/>
              </w:rPr>
            </w:pPr>
          </w:p>
        </w:tc>
      </w:tr>
      <w:tr w:rsidR="007F1775" w14:paraId="0B2FA629" w14:textId="77777777">
        <w:tc>
          <w:tcPr>
            <w:tcW w:w="0" w:type="auto"/>
            <w:gridSpan w:val="3"/>
            <w:shd w:val="clear" w:color="auto" w:fill="CCEEFF"/>
            <w:tcMar>
              <w:top w:w="40" w:type="dxa"/>
              <w:left w:w="20" w:type="dxa"/>
              <w:bottom w:w="40" w:type="dxa"/>
              <w:right w:w="20" w:type="dxa"/>
            </w:tcMar>
          </w:tcPr>
          <w:p w14:paraId="0B2FA619" w14:textId="77777777" w:rsidR="007F1775" w:rsidRDefault="000F083E">
            <w:pPr>
              <w:textAlignment w:val="top"/>
            </w:pPr>
            <w:r>
              <w:rPr>
                <w:rFonts w:ascii="Times New Roman" w:eastAsia="宋体" w:hAnsi="Times New Roman"/>
                <w:color w:val="000000"/>
                <w:sz w:val="20"/>
                <w:szCs w:val="20"/>
                <w:u w:val="single"/>
              </w:rPr>
              <w:t>Basic EPS: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61A"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61B"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61C"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61D"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61E"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61F"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620" w14:textId="77777777" w:rsidR="007F1775" w:rsidRDefault="007F1775">
            <w:pPr>
              <w:rPr>
                <w:rFonts w:ascii="宋体"/>
              </w:rPr>
            </w:pPr>
          </w:p>
        </w:tc>
        <w:tc>
          <w:tcPr>
            <w:tcW w:w="0" w:type="auto"/>
            <w:shd w:val="clear" w:color="auto" w:fill="auto"/>
            <w:vAlign w:val="bottom"/>
          </w:tcPr>
          <w:p w14:paraId="0B2FA621" w14:textId="77777777" w:rsidR="007F1775" w:rsidRDefault="007F1775">
            <w:pPr>
              <w:rPr>
                <w:rFonts w:ascii="宋体"/>
                <w:vanish/>
              </w:rPr>
            </w:pPr>
          </w:p>
        </w:tc>
        <w:tc>
          <w:tcPr>
            <w:tcW w:w="0" w:type="auto"/>
            <w:shd w:val="clear" w:color="auto" w:fill="auto"/>
            <w:vAlign w:val="bottom"/>
          </w:tcPr>
          <w:p w14:paraId="0B2FA622" w14:textId="77777777" w:rsidR="007F1775" w:rsidRDefault="007F1775">
            <w:pPr>
              <w:rPr>
                <w:rFonts w:ascii="宋体"/>
                <w:vanish/>
              </w:rPr>
            </w:pPr>
          </w:p>
        </w:tc>
        <w:tc>
          <w:tcPr>
            <w:tcW w:w="0" w:type="auto"/>
            <w:gridSpan w:val="3"/>
            <w:shd w:val="clear" w:color="auto" w:fill="auto"/>
            <w:vAlign w:val="bottom"/>
          </w:tcPr>
          <w:p w14:paraId="0B2FA623" w14:textId="77777777" w:rsidR="007F1775" w:rsidRDefault="007F1775">
            <w:pPr>
              <w:rPr>
                <w:rFonts w:ascii="宋体"/>
                <w:vanish/>
              </w:rPr>
            </w:pPr>
          </w:p>
        </w:tc>
        <w:tc>
          <w:tcPr>
            <w:tcW w:w="0" w:type="auto"/>
            <w:gridSpan w:val="3"/>
            <w:shd w:val="clear" w:color="auto" w:fill="auto"/>
            <w:vAlign w:val="bottom"/>
          </w:tcPr>
          <w:p w14:paraId="0B2FA624" w14:textId="77777777" w:rsidR="007F1775" w:rsidRDefault="007F1775">
            <w:pPr>
              <w:rPr>
                <w:rFonts w:ascii="宋体"/>
                <w:vanish/>
              </w:rPr>
            </w:pPr>
          </w:p>
        </w:tc>
        <w:tc>
          <w:tcPr>
            <w:tcW w:w="0" w:type="auto"/>
            <w:gridSpan w:val="3"/>
            <w:shd w:val="clear" w:color="auto" w:fill="auto"/>
            <w:vAlign w:val="bottom"/>
          </w:tcPr>
          <w:p w14:paraId="0B2FA625" w14:textId="77777777" w:rsidR="007F1775" w:rsidRDefault="007F1775">
            <w:pPr>
              <w:rPr>
                <w:rFonts w:ascii="宋体"/>
                <w:vanish/>
              </w:rPr>
            </w:pPr>
          </w:p>
        </w:tc>
        <w:tc>
          <w:tcPr>
            <w:tcW w:w="0" w:type="auto"/>
            <w:gridSpan w:val="3"/>
            <w:shd w:val="clear" w:color="auto" w:fill="auto"/>
            <w:vAlign w:val="bottom"/>
          </w:tcPr>
          <w:p w14:paraId="0B2FA626" w14:textId="77777777" w:rsidR="007F1775" w:rsidRDefault="007F1775">
            <w:pPr>
              <w:rPr>
                <w:rFonts w:ascii="宋体"/>
                <w:vanish/>
              </w:rPr>
            </w:pPr>
          </w:p>
        </w:tc>
        <w:tc>
          <w:tcPr>
            <w:tcW w:w="0" w:type="auto"/>
            <w:gridSpan w:val="3"/>
            <w:shd w:val="clear" w:color="auto" w:fill="auto"/>
            <w:vAlign w:val="bottom"/>
          </w:tcPr>
          <w:p w14:paraId="0B2FA627" w14:textId="77777777" w:rsidR="007F1775" w:rsidRDefault="007F1775">
            <w:pPr>
              <w:rPr>
                <w:rFonts w:ascii="宋体"/>
                <w:vanish/>
              </w:rPr>
            </w:pPr>
          </w:p>
        </w:tc>
        <w:tc>
          <w:tcPr>
            <w:tcW w:w="0" w:type="auto"/>
            <w:gridSpan w:val="3"/>
            <w:shd w:val="clear" w:color="auto" w:fill="auto"/>
            <w:vAlign w:val="bottom"/>
          </w:tcPr>
          <w:p w14:paraId="0B2FA628" w14:textId="77777777" w:rsidR="007F1775" w:rsidRDefault="007F1775">
            <w:pPr>
              <w:rPr>
                <w:rFonts w:ascii="宋体"/>
                <w:vanish/>
              </w:rPr>
            </w:pPr>
          </w:p>
        </w:tc>
      </w:tr>
      <w:tr w:rsidR="007F1775" w14:paraId="0B2FA63A" w14:textId="77777777">
        <w:tc>
          <w:tcPr>
            <w:tcW w:w="0" w:type="auto"/>
            <w:gridSpan w:val="3"/>
            <w:shd w:val="clear" w:color="auto" w:fill="FFFFFF"/>
            <w:tcMar>
              <w:top w:w="40" w:type="dxa"/>
              <w:left w:w="20" w:type="dxa"/>
              <w:bottom w:w="40" w:type="dxa"/>
              <w:right w:w="20" w:type="dxa"/>
            </w:tcMar>
          </w:tcPr>
          <w:p w14:paraId="0B2FA62A" w14:textId="77777777" w:rsidR="007F1775" w:rsidRDefault="000F083E">
            <w:pPr>
              <w:textAlignment w:val="top"/>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0B2FA62B"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2C"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2D"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2E"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2F"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30"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31" w14:textId="77777777" w:rsidR="007F1775" w:rsidRDefault="007F1775">
            <w:pPr>
              <w:rPr>
                <w:rFonts w:ascii="宋体"/>
              </w:rPr>
            </w:pPr>
          </w:p>
        </w:tc>
        <w:tc>
          <w:tcPr>
            <w:tcW w:w="0" w:type="auto"/>
            <w:shd w:val="clear" w:color="auto" w:fill="auto"/>
            <w:vAlign w:val="bottom"/>
          </w:tcPr>
          <w:p w14:paraId="0B2FA632" w14:textId="77777777" w:rsidR="007F1775" w:rsidRDefault="007F1775">
            <w:pPr>
              <w:rPr>
                <w:rFonts w:ascii="宋体"/>
                <w:vanish/>
              </w:rPr>
            </w:pPr>
          </w:p>
        </w:tc>
        <w:tc>
          <w:tcPr>
            <w:tcW w:w="0" w:type="auto"/>
            <w:shd w:val="clear" w:color="auto" w:fill="auto"/>
            <w:vAlign w:val="bottom"/>
          </w:tcPr>
          <w:p w14:paraId="0B2FA633" w14:textId="77777777" w:rsidR="007F1775" w:rsidRDefault="007F1775">
            <w:pPr>
              <w:rPr>
                <w:rFonts w:ascii="宋体"/>
                <w:vanish/>
              </w:rPr>
            </w:pPr>
          </w:p>
        </w:tc>
        <w:tc>
          <w:tcPr>
            <w:tcW w:w="0" w:type="auto"/>
            <w:gridSpan w:val="3"/>
            <w:shd w:val="clear" w:color="auto" w:fill="auto"/>
            <w:vAlign w:val="bottom"/>
          </w:tcPr>
          <w:p w14:paraId="0B2FA634" w14:textId="77777777" w:rsidR="007F1775" w:rsidRDefault="007F1775">
            <w:pPr>
              <w:rPr>
                <w:rFonts w:ascii="宋体"/>
                <w:vanish/>
              </w:rPr>
            </w:pPr>
          </w:p>
        </w:tc>
        <w:tc>
          <w:tcPr>
            <w:tcW w:w="0" w:type="auto"/>
            <w:gridSpan w:val="3"/>
            <w:shd w:val="clear" w:color="auto" w:fill="auto"/>
            <w:vAlign w:val="bottom"/>
          </w:tcPr>
          <w:p w14:paraId="0B2FA635" w14:textId="77777777" w:rsidR="007F1775" w:rsidRDefault="007F1775">
            <w:pPr>
              <w:rPr>
                <w:rFonts w:ascii="宋体"/>
                <w:vanish/>
              </w:rPr>
            </w:pPr>
          </w:p>
        </w:tc>
        <w:tc>
          <w:tcPr>
            <w:tcW w:w="0" w:type="auto"/>
            <w:gridSpan w:val="3"/>
            <w:shd w:val="clear" w:color="auto" w:fill="auto"/>
            <w:vAlign w:val="bottom"/>
          </w:tcPr>
          <w:p w14:paraId="0B2FA636" w14:textId="77777777" w:rsidR="007F1775" w:rsidRDefault="007F1775">
            <w:pPr>
              <w:rPr>
                <w:rFonts w:ascii="宋体"/>
                <w:vanish/>
              </w:rPr>
            </w:pPr>
          </w:p>
        </w:tc>
        <w:tc>
          <w:tcPr>
            <w:tcW w:w="0" w:type="auto"/>
            <w:gridSpan w:val="3"/>
            <w:shd w:val="clear" w:color="auto" w:fill="auto"/>
            <w:vAlign w:val="bottom"/>
          </w:tcPr>
          <w:p w14:paraId="0B2FA637" w14:textId="77777777" w:rsidR="007F1775" w:rsidRDefault="007F1775">
            <w:pPr>
              <w:rPr>
                <w:rFonts w:ascii="宋体"/>
                <w:vanish/>
              </w:rPr>
            </w:pPr>
          </w:p>
        </w:tc>
        <w:tc>
          <w:tcPr>
            <w:tcW w:w="0" w:type="auto"/>
            <w:gridSpan w:val="3"/>
            <w:shd w:val="clear" w:color="auto" w:fill="auto"/>
            <w:vAlign w:val="bottom"/>
          </w:tcPr>
          <w:p w14:paraId="0B2FA638" w14:textId="77777777" w:rsidR="007F1775" w:rsidRDefault="007F1775">
            <w:pPr>
              <w:rPr>
                <w:rFonts w:ascii="宋体"/>
                <w:vanish/>
              </w:rPr>
            </w:pPr>
          </w:p>
        </w:tc>
        <w:tc>
          <w:tcPr>
            <w:tcW w:w="0" w:type="auto"/>
            <w:gridSpan w:val="3"/>
            <w:shd w:val="clear" w:color="auto" w:fill="auto"/>
            <w:vAlign w:val="bottom"/>
          </w:tcPr>
          <w:p w14:paraId="0B2FA639" w14:textId="77777777" w:rsidR="007F1775" w:rsidRDefault="007F1775">
            <w:pPr>
              <w:rPr>
                <w:rFonts w:ascii="宋体"/>
                <w:vanish/>
              </w:rPr>
            </w:pPr>
          </w:p>
        </w:tc>
      </w:tr>
      <w:tr w:rsidR="007F1775" w14:paraId="0B2FA653" w14:textId="77777777">
        <w:tc>
          <w:tcPr>
            <w:tcW w:w="0" w:type="auto"/>
            <w:gridSpan w:val="3"/>
            <w:shd w:val="clear" w:color="auto" w:fill="CCEEFF"/>
            <w:tcMar>
              <w:top w:w="40" w:type="dxa"/>
              <w:left w:w="200" w:type="dxa"/>
              <w:bottom w:w="40" w:type="dxa"/>
              <w:right w:w="20" w:type="dxa"/>
            </w:tcMar>
          </w:tcPr>
          <w:p w14:paraId="0B2FA63B" w14:textId="77777777" w:rsidR="007F1775" w:rsidRDefault="000F083E">
            <w:pPr>
              <w:textAlignment w:val="top"/>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0B2FA63C"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63D" w14:textId="77777777" w:rsidR="007F1775" w:rsidRDefault="000F083E">
            <w:pPr>
              <w:jc w:val="right"/>
              <w:textAlignment w:val="bottom"/>
            </w:pPr>
            <w:r>
              <w:rPr>
                <w:rFonts w:ascii="Times New Roman" w:eastAsia="宋体" w:hAnsi="Times New Roman"/>
                <w:color w:val="000000"/>
                <w:sz w:val="20"/>
                <w:szCs w:val="20"/>
              </w:rPr>
              <w:t>6,334 </w:t>
            </w:r>
          </w:p>
        </w:tc>
        <w:tc>
          <w:tcPr>
            <w:tcW w:w="0" w:type="auto"/>
            <w:shd w:val="clear" w:color="auto" w:fill="CCEEFF"/>
            <w:tcMar>
              <w:top w:w="40" w:type="dxa"/>
              <w:left w:w="0" w:type="dxa"/>
              <w:bottom w:w="40" w:type="dxa"/>
              <w:right w:w="20" w:type="dxa"/>
            </w:tcMar>
            <w:vAlign w:val="bottom"/>
          </w:tcPr>
          <w:p w14:paraId="0B2FA63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3F"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640"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641" w14:textId="77777777" w:rsidR="007F1775" w:rsidRDefault="000F083E">
            <w:pPr>
              <w:jc w:val="right"/>
              <w:textAlignment w:val="bottom"/>
            </w:pPr>
            <w:r>
              <w:rPr>
                <w:rFonts w:ascii="Times New Roman" w:eastAsia="宋体" w:hAnsi="Times New Roman"/>
                <w:color w:val="000000"/>
                <w:sz w:val="20"/>
                <w:szCs w:val="20"/>
              </w:rPr>
              <w:t>1,131 </w:t>
            </w:r>
          </w:p>
        </w:tc>
        <w:tc>
          <w:tcPr>
            <w:tcW w:w="0" w:type="auto"/>
            <w:shd w:val="clear" w:color="auto" w:fill="CCEEFF"/>
            <w:tcMar>
              <w:top w:w="40" w:type="dxa"/>
              <w:left w:w="0" w:type="dxa"/>
              <w:bottom w:w="40" w:type="dxa"/>
              <w:right w:w="20" w:type="dxa"/>
            </w:tcMar>
            <w:vAlign w:val="bottom"/>
          </w:tcPr>
          <w:p w14:paraId="0B2FA64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43"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644"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645" w14:textId="77777777" w:rsidR="007F1775" w:rsidRDefault="000F083E">
            <w:pPr>
              <w:jc w:val="right"/>
              <w:textAlignment w:val="bottom"/>
            </w:pPr>
            <w:r>
              <w:rPr>
                <w:rFonts w:ascii="Times New Roman" w:eastAsia="宋体" w:hAnsi="Times New Roman"/>
                <w:color w:val="000000"/>
                <w:sz w:val="20"/>
                <w:szCs w:val="20"/>
              </w:rPr>
              <w:t>8,025 </w:t>
            </w:r>
          </w:p>
        </w:tc>
        <w:tc>
          <w:tcPr>
            <w:tcW w:w="0" w:type="auto"/>
            <w:shd w:val="clear" w:color="auto" w:fill="CCEEFF"/>
            <w:tcMar>
              <w:top w:w="40" w:type="dxa"/>
              <w:left w:w="0" w:type="dxa"/>
              <w:bottom w:w="40" w:type="dxa"/>
              <w:right w:w="20" w:type="dxa"/>
            </w:tcMar>
            <w:vAlign w:val="bottom"/>
          </w:tcPr>
          <w:p w14:paraId="0B2FA64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47"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648"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649" w14:textId="77777777" w:rsidR="007F1775" w:rsidRDefault="000F083E">
            <w:pPr>
              <w:jc w:val="right"/>
              <w:textAlignment w:val="bottom"/>
            </w:pPr>
            <w:r>
              <w:rPr>
                <w:rFonts w:ascii="Times New Roman" w:eastAsia="宋体" w:hAnsi="Times New Roman"/>
                <w:color w:val="000000"/>
                <w:sz w:val="20"/>
                <w:szCs w:val="20"/>
              </w:rPr>
              <w:t>1,472 </w:t>
            </w:r>
          </w:p>
        </w:tc>
        <w:tc>
          <w:tcPr>
            <w:tcW w:w="0" w:type="auto"/>
            <w:shd w:val="clear" w:color="auto" w:fill="CCEEFF"/>
            <w:tcMar>
              <w:top w:w="40" w:type="dxa"/>
              <w:left w:w="0" w:type="dxa"/>
              <w:bottom w:w="40" w:type="dxa"/>
              <w:right w:w="20" w:type="dxa"/>
            </w:tcMar>
            <w:vAlign w:val="bottom"/>
          </w:tcPr>
          <w:p w14:paraId="0B2FA64A" w14:textId="77777777" w:rsidR="007F1775" w:rsidRDefault="007F1775">
            <w:pPr>
              <w:jc w:val="right"/>
              <w:rPr>
                <w:rFonts w:ascii="宋体"/>
              </w:rPr>
            </w:pPr>
          </w:p>
        </w:tc>
        <w:tc>
          <w:tcPr>
            <w:tcW w:w="0" w:type="auto"/>
            <w:shd w:val="clear" w:color="auto" w:fill="auto"/>
            <w:vAlign w:val="bottom"/>
          </w:tcPr>
          <w:p w14:paraId="0B2FA64B" w14:textId="77777777" w:rsidR="007F1775" w:rsidRDefault="007F1775">
            <w:pPr>
              <w:rPr>
                <w:rFonts w:ascii="宋体"/>
                <w:vanish/>
              </w:rPr>
            </w:pPr>
          </w:p>
        </w:tc>
        <w:tc>
          <w:tcPr>
            <w:tcW w:w="0" w:type="auto"/>
            <w:shd w:val="clear" w:color="auto" w:fill="auto"/>
            <w:vAlign w:val="bottom"/>
          </w:tcPr>
          <w:p w14:paraId="0B2FA64C" w14:textId="77777777" w:rsidR="007F1775" w:rsidRDefault="007F1775">
            <w:pPr>
              <w:rPr>
                <w:rFonts w:ascii="宋体"/>
                <w:vanish/>
              </w:rPr>
            </w:pPr>
          </w:p>
        </w:tc>
        <w:tc>
          <w:tcPr>
            <w:tcW w:w="0" w:type="auto"/>
            <w:gridSpan w:val="3"/>
            <w:shd w:val="clear" w:color="auto" w:fill="auto"/>
            <w:vAlign w:val="bottom"/>
          </w:tcPr>
          <w:p w14:paraId="0B2FA64D" w14:textId="77777777" w:rsidR="007F1775" w:rsidRDefault="007F1775">
            <w:pPr>
              <w:rPr>
                <w:rFonts w:ascii="宋体"/>
                <w:vanish/>
              </w:rPr>
            </w:pPr>
          </w:p>
        </w:tc>
        <w:tc>
          <w:tcPr>
            <w:tcW w:w="0" w:type="auto"/>
            <w:gridSpan w:val="3"/>
            <w:shd w:val="clear" w:color="auto" w:fill="auto"/>
            <w:vAlign w:val="bottom"/>
          </w:tcPr>
          <w:p w14:paraId="0B2FA64E" w14:textId="77777777" w:rsidR="007F1775" w:rsidRDefault="007F1775">
            <w:pPr>
              <w:rPr>
                <w:rFonts w:ascii="宋体"/>
                <w:vanish/>
              </w:rPr>
            </w:pPr>
          </w:p>
        </w:tc>
        <w:tc>
          <w:tcPr>
            <w:tcW w:w="0" w:type="auto"/>
            <w:gridSpan w:val="3"/>
            <w:shd w:val="clear" w:color="auto" w:fill="auto"/>
            <w:vAlign w:val="bottom"/>
          </w:tcPr>
          <w:p w14:paraId="0B2FA64F" w14:textId="77777777" w:rsidR="007F1775" w:rsidRDefault="007F1775">
            <w:pPr>
              <w:rPr>
                <w:rFonts w:ascii="宋体"/>
                <w:vanish/>
              </w:rPr>
            </w:pPr>
          </w:p>
        </w:tc>
        <w:tc>
          <w:tcPr>
            <w:tcW w:w="0" w:type="auto"/>
            <w:gridSpan w:val="3"/>
            <w:shd w:val="clear" w:color="auto" w:fill="auto"/>
            <w:vAlign w:val="bottom"/>
          </w:tcPr>
          <w:p w14:paraId="0B2FA650" w14:textId="77777777" w:rsidR="007F1775" w:rsidRDefault="007F1775">
            <w:pPr>
              <w:rPr>
                <w:rFonts w:ascii="宋体"/>
                <w:vanish/>
              </w:rPr>
            </w:pPr>
          </w:p>
        </w:tc>
        <w:tc>
          <w:tcPr>
            <w:tcW w:w="0" w:type="auto"/>
            <w:gridSpan w:val="3"/>
            <w:shd w:val="clear" w:color="auto" w:fill="auto"/>
            <w:vAlign w:val="bottom"/>
          </w:tcPr>
          <w:p w14:paraId="0B2FA651" w14:textId="77777777" w:rsidR="007F1775" w:rsidRDefault="007F1775">
            <w:pPr>
              <w:rPr>
                <w:rFonts w:ascii="宋体"/>
                <w:vanish/>
              </w:rPr>
            </w:pPr>
          </w:p>
        </w:tc>
        <w:tc>
          <w:tcPr>
            <w:tcW w:w="0" w:type="auto"/>
            <w:gridSpan w:val="3"/>
            <w:shd w:val="clear" w:color="auto" w:fill="auto"/>
            <w:vAlign w:val="bottom"/>
          </w:tcPr>
          <w:p w14:paraId="0B2FA652" w14:textId="77777777" w:rsidR="007F1775" w:rsidRDefault="007F1775">
            <w:pPr>
              <w:rPr>
                <w:rFonts w:ascii="宋体"/>
                <w:vanish/>
              </w:rPr>
            </w:pPr>
          </w:p>
        </w:tc>
      </w:tr>
      <w:tr w:rsidR="007F1775" w14:paraId="0B2FA664" w14:textId="77777777">
        <w:tc>
          <w:tcPr>
            <w:tcW w:w="0" w:type="auto"/>
            <w:gridSpan w:val="3"/>
            <w:shd w:val="clear" w:color="auto" w:fill="FFFFFF"/>
            <w:tcMar>
              <w:top w:w="40" w:type="dxa"/>
              <w:left w:w="20" w:type="dxa"/>
              <w:bottom w:w="40" w:type="dxa"/>
              <w:right w:w="20" w:type="dxa"/>
            </w:tcMar>
          </w:tcPr>
          <w:p w14:paraId="0B2FA654" w14:textId="77777777" w:rsidR="007F1775" w:rsidRDefault="000F083E">
            <w:pPr>
              <w:textAlignment w:val="top"/>
            </w:pPr>
            <w:r>
              <w:rPr>
                <w:rFonts w:ascii="Times New Roman" w:eastAsia="宋体" w:hAnsi="Times New Roman"/>
                <w:color w:val="000000"/>
                <w:sz w:val="20"/>
                <w:szCs w:val="20"/>
              </w:rPr>
              <w:t>Denominator</w:t>
            </w:r>
          </w:p>
        </w:tc>
        <w:tc>
          <w:tcPr>
            <w:tcW w:w="0" w:type="auto"/>
            <w:gridSpan w:val="3"/>
            <w:shd w:val="clear" w:color="auto" w:fill="FFFFFF"/>
            <w:tcMar>
              <w:top w:w="0" w:type="dxa"/>
              <w:left w:w="20" w:type="dxa"/>
              <w:bottom w:w="0" w:type="dxa"/>
              <w:right w:w="20" w:type="dxa"/>
            </w:tcMar>
            <w:vAlign w:val="bottom"/>
          </w:tcPr>
          <w:p w14:paraId="0B2FA655"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56"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57"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58"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59"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5A"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5B" w14:textId="77777777" w:rsidR="007F1775" w:rsidRDefault="007F1775">
            <w:pPr>
              <w:rPr>
                <w:rFonts w:ascii="宋体"/>
              </w:rPr>
            </w:pPr>
          </w:p>
        </w:tc>
        <w:tc>
          <w:tcPr>
            <w:tcW w:w="0" w:type="auto"/>
            <w:shd w:val="clear" w:color="auto" w:fill="auto"/>
            <w:vAlign w:val="bottom"/>
          </w:tcPr>
          <w:p w14:paraId="0B2FA65C" w14:textId="77777777" w:rsidR="007F1775" w:rsidRDefault="007F1775">
            <w:pPr>
              <w:rPr>
                <w:rFonts w:ascii="宋体"/>
                <w:vanish/>
              </w:rPr>
            </w:pPr>
          </w:p>
        </w:tc>
        <w:tc>
          <w:tcPr>
            <w:tcW w:w="0" w:type="auto"/>
            <w:shd w:val="clear" w:color="auto" w:fill="auto"/>
            <w:vAlign w:val="bottom"/>
          </w:tcPr>
          <w:p w14:paraId="0B2FA65D" w14:textId="77777777" w:rsidR="007F1775" w:rsidRDefault="007F1775">
            <w:pPr>
              <w:rPr>
                <w:rFonts w:ascii="宋体"/>
                <w:vanish/>
              </w:rPr>
            </w:pPr>
          </w:p>
        </w:tc>
        <w:tc>
          <w:tcPr>
            <w:tcW w:w="0" w:type="auto"/>
            <w:gridSpan w:val="3"/>
            <w:shd w:val="clear" w:color="auto" w:fill="auto"/>
            <w:vAlign w:val="bottom"/>
          </w:tcPr>
          <w:p w14:paraId="0B2FA65E" w14:textId="77777777" w:rsidR="007F1775" w:rsidRDefault="007F1775">
            <w:pPr>
              <w:rPr>
                <w:rFonts w:ascii="宋体"/>
                <w:vanish/>
              </w:rPr>
            </w:pPr>
          </w:p>
        </w:tc>
        <w:tc>
          <w:tcPr>
            <w:tcW w:w="0" w:type="auto"/>
            <w:gridSpan w:val="3"/>
            <w:shd w:val="clear" w:color="auto" w:fill="auto"/>
            <w:vAlign w:val="bottom"/>
          </w:tcPr>
          <w:p w14:paraId="0B2FA65F" w14:textId="77777777" w:rsidR="007F1775" w:rsidRDefault="007F1775">
            <w:pPr>
              <w:rPr>
                <w:rFonts w:ascii="宋体"/>
                <w:vanish/>
              </w:rPr>
            </w:pPr>
          </w:p>
        </w:tc>
        <w:tc>
          <w:tcPr>
            <w:tcW w:w="0" w:type="auto"/>
            <w:gridSpan w:val="3"/>
            <w:shd w:val="clear" w:color="auto" w:fill="auto"/>
            <w:vAlign w:val="bottom"/>
          </w:tcPr>
          <w:p w14:paraId="0B2FA660" w14:textId="77777777" w:rsidR="007F1775" w:rsidRDefault="007F1775">
            <w:pPr>
              <w:rPr>
                <w:rFonts w:ascii="宋体"/>
                <w:vanish/>
              </w:rPr>
            </w:pPr>
          </w:p>
        </w:tc>
        <w:tc>
          <w:tcPr>
            <w:tcW w:w="0" w:type="auto"/>
            <w:gridSpan w:val="3"/>
            <w:shd w:val="clear" w:color="auto" w:fill="auto"/>
            <w:vAlign w:val="bottom"/>
          </w:tcPr>
          <w:p w14:paraId="0B2FA661" w14:textId="77777777" w:rsidR="007F1775" w:rsidRDefault="007F1775">
            <w:pPr>
              <w:rPr>
                <w:rFonts w:ascii="宋体"/>
                <w:vanish/>
              </w:rPr>
            </w:pPr>
          </w:p>
        </w:tc>
        <w:tc>
          <w:tcPr>
            <w:tcW w:w="0" w:type="auto"/>
            <w:gridSpan w:val="3"/>
            <w:shd w:val="clear" w:color="auto" w:fill="auto"/>
            <w:vAlign w:val="bottom"/>
          </w:tcPr>
          <w:p w14:paraId="0B2FA662" w14:textId="77777777" w:rsidR="007F1775" w:rsidRDefault="007F1775">
            <w:pPr>
              <w:rPr>
                <w:rFonts w:ascii="宋体"/>
                <w:vanish/>
              </w:rPr>
            </w:pPr>
          </w:p>
        </w:tc>
        <w:tc>
          <w:tcPr>
            <w:tcW w:w="0" w:type="auto"/>
            <w:gridSpan w:val="3"/>
            <w:shd w:val="clear" w:color="auto" w:fill="auto"/>
            <w:vAlign w:val="bottom"/>
          </w:tcPr>
          <w:p w14:paraId="0B2FA663" w14:textId="77777777" w:rsidR="007F1775" w:rsidRDefault="007F1775">
            <w:pPr>
              <w:rPr>
                <w:rFonts w:ascii="宋体"/>
                <w:vanish/>
              </w:rPr>
            </w:pPr>
          </w:p>
        </w:tc>
      </w:tr>
      <w:tr w:rsidR="007F1775" w14:paraId="0B2FA679" w14:textId="77777777">
        <w:tc>
          <w:tcPr>
            <w:tcW w:w="0" w:type="auto"/>
            <w:gridSpan w:val="3"/>
            <w:shd w:val="clear" w:color="auto" w:fill="CCEEFF"/>
            <w:tcMar>
              <w:top w:w="40" w:type="dxa"/>
              <w:left w:w="200" w:type="dxa"/>
              <w:bottom w:w="40" w:type="dxa"/>
              <w:right w:w="20" w:type="dxa"/>
            </w:tcMar>
          </w:tcPr>
          <w:p w14:paraId="0B2FA665" w14:textId="77777777" w:rsidR="007F1775" w:rsidRDefault="000F083E">
            <w:pPr>
              <w:textAlignment w:val="top"/>
            </w:pPr>
            <w:r>
              <w:rPr>
                <w:rFonts w:ascii="Times New Roman" w:eastAsia="宋体" w:hAnsi="Times New Roman"/>
                <w:color w:val="000000"/>
                <w:sz w:val="20"/>
                <w:szCs w:val="20"/>
              </w:rPr>
              <w:t>Shares used in computation of basic earnings per share</w:t>
            </w:r>
          </w:p>
        </w:tc>
        <w:tc>
          <w:tcPr>
            <w:tcW w:w="0" w:type="auto"/>
            <w:gridSpan w:val="2"/>
            <w:shd w:val="clear" w:color="auto" w:fill="CCEEFF"/>
            <w:tcMar>
              <w:top w:w="40" w:type="dxa"/>
              <w:left w:w="20" w:type="dxa"/>
              <w:bottom w:w="40" w:type="dxa"/>
              <w:right w:w="0" w:type="dxa"/>
            </w:tcMar>
            <w:vAlign w:val="bottom"/>
          </w:tcPr>
          <w:p w14:paraId="0B2FA666" w14:textId="77777777" w:rsidR="007F1775" w:rsidRDefault="000F083E">
            <w:pPr>
              <w:jc w:val="right"/>
              <w:textAlignment w:val="bottom"/>
            </w:pPr>
            <w:r>
              <w:rPr>
                <w:rFonts w:ascii="Times New Roman" w:eastAsia="宋体" w:hAnsi="Times New Roman"/>
                <w:color w:val="000000"/>
                <w:sz w:val="20"/>
                <w:szCs w:val="20"/>
              </w:rPr>
              <w:t>2,312 </w:t>
            </w:r>
          </w:p>
        </w:tc>
        <w:tc>
          <w:tcPr>
            <w:tcW w:w="0" w:type="auto"/>
            <w:shd w:val="clear" w:color="auto" w:fill="CCEEFF"/>
            <w:tcMar>
              <w:top w:w="40" w:type="dxa"/>
              <w:left w:w="0" w:type="dxa"/>
              <w:bottom w:w="40" w:type="dxa"/>
              <w:right w:w="20" w:type="dxa"/>
            </w:tcMar>
            <w:vAlign w:val="bottom"/>
          </w:tcPr>
          <w:p w14:paraId="0B2FA66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6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669" w14:textId="77777777" w:rsidR="007F1775" w:rsidRDefault="000F083E">
            <w:pPr>
              <w:jc w:val="right"/>
              <w:textAlignment w:val="bottom"/>
            </w:pPr>
            <w:r>
              <w:rPr>
                <w:rFonts w:ascii="Times New Roman" w:eastAsia="宋体" w:hAnsi="Times New Roman"/>
                <w:color w:val="000000"/>
                <w:sz w:val="20"/>
                <w:szCs w:val="20"/>
              </w:rPr>
              <w:t>413 </w:t>
            </w:r>
          </w:p>
        </w:tc>
        <w:tc>
          <w:tcPr>
            <w:tcW w:w="0" w:type="auto"/>
            <w:shd w:val="clear" w:color="auto" w:fill="CCEEFF"/>
            <w:tcMar>
              <w:top w:w="40" w:type="dxa"/>
              <w:left w:w="0" w:type="dxa"/>
              <w:bottom w:w="40" w:type="dxa"/>
              <w:right w:w="20" w:type="dxa"/>
            </w:tcMar>
            <w:vAlign w:val="bottom"/>
          </w:tcPr>
          <w:p w14:paraId="0B2FA66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6B"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66C" w14:textId="77777777" w:rsidR="007F1775" w:rsidRDefault="000F083E">
            <w:pPr>
              <w:jc w:val="right"/>
              <w:textAlignment w:val="bottom"/>
            </w:pPr>
            <w:r>
              <w:rPr>
                <w:rFonts w:ascii="Times New Roman" w:eastAsia="宋体" w:hAnsi="Times New Roman"/>
                <w:color w:val="000000"/>
                <w:sz w:val="20"/>
                <w:szCs w:val="20"/>
              </w:rPr>
              <w:t>2,406 </w:t>
            </w:r>
          </w:p>
        </w:tc>
        <w:tc>
          <w:tcPr>
            <w:tcW w:w="0" w:type="auto"/>
            <w:shd w:val="clear" w:color="auto" w:fill="CCEEFF"/>
            <w:tcMar>
              <w:top w:w="40" w:type="dxa"/>
              <w:left w:w="0" w:type="dxa"/>
              <w:bottom w:w="40" w:type="dxa"/>
              <w:right w:w="20" w:type="dxa"/>
            </w:tcMar>
            <w:vAlign w:val="bottom"/>
          </w:tcPr>
          <w:p w14:paraId="0B2FA66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6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66F" w14:textId="77777777" w:rsidR="007F1775" w:rsidRDefault="000F083E">
            <w:pPr>
              <w:jc w:val="right"/>
              <w:textAlignment w:val="bottom"/>
            </w:pPr>
            <w:r>
              <w:rPr>
                <w:rFonts w:ascii="Times New Roman" w:eastAsia="宋体" w:hAnsi="Times New Roman"/>
                <w:color w:val="000000"/>
                <w:sz w:val="20"/>
                <w:szCs w:val="20"/>
              </w:rPr>
              <w:t>441 </w:t>
            </w:r>
          </w:p>
        </w:tc>
        <w:tc>
          <w:tcPr>
            <w:tcW w:w="0" w:type="auto"/>
            <w:shd w:val="clear" w:color="auto" w:fill="CCEEFF"/>
            <w:tcMar>
              <w:top w:w="40" w:type="dxa"/>
              <w:left w:w="0" w:type="dxa"/>
              <w:bottom w:w="40" w:type="dxa"/>
              <w:right w:w="20" w:type="dxa"/>
            </w:tcMar>
            <w:vAlign w:val="bottom"/>
          </w:tcPr>
          <w:p w14:paraId="0B2FA670" w14:textId="77777777" w:rsidR="007F1775" w:rsidRDefault="007F1775">
            <w:pPr>
              <w:jc w:val="right"/>
              <w:rPr>
                <w:rFonts w:ascii="宋体"/>
              </w:rPr>
            </w:pPr>
          </w:p>
        </w:tc>
        <w:tc>
          <w:tcPr>
            <w:tcW w:w="0" w:type="auto"/>
            <w:shd w:val="clear" w:color="auto" w:fill="auto"/>
            <w:vAlign w:val="bottom"/>
          </w:tcPr>
          <w:p w14:paraId="0B2FA671" w14:textId="77777777" w:rsidR="007F1775" w:rsidRDefault="007F1775">
            <w:pPr>
              <w:rPr>
                <w:rFonts w:ascii="宋体"/>
                <w:vanish/>
              </w:rPr>
            </w:pPr>
          </w:p>
        </w:tc>
        <w:tc>
          <w:tcPr>
            <w:tcW w:w="0" w:type="auto"/>
            <w:shd w:val="clear" w:color="auto" w:fill="auto"/>
            <w:vAlign w:val="bottom"/>
          </w:tcPr>
          <w:p w14:paraId="0B2FA672" w14:textId="77777777" w:rsidR="007F1775" w:rsidRDefault="007F1775">
            <w:pPr>
              <w:rPr>
                <w:rFonts w:ascii="宋体"/>
                <w:vanish/>
              </w:rPr>
            </w:pPr>
          </w:p>
        </w:tc>
        <w:tc>
          <w:tcPr>
            <w:tcW w:w="0" w:type="auto"/>
            <w:gridSpan w:val="3"/>
            <w:shd w:val="clear" w:color="auto" w:fill="auto"/>
            <w:vAlign w:val="bottom"/>
          </w:tcPr>
          <w:p w14:paraId="0B2FA673" w14:textId="77777777" w:rsidR="007F1775" w:rsidRDefault="007F1775">
            <w:pPr>
              <w:rPr>
                <w:rFonts w:ascii="宋体"/>
                <w:vanish/>
              </w:rPr>
            </w:pPr>
          </w:p>
        </w:tc>
        <w:tc>
          <w:tcPr>
            <w:tcW w:w="0" w:type="auto"/>
            <w:gridSpan w:val="3"/>
            <w:shd w:val="clear" w:color="auto" w:fill="auto"/>
            <w:vAlign w:val="bottom"/>
          </w:tcPr>
          <w:p w14:paraId="0B2FA674" w14:textId="77777777" w:rsidR="007F1775" w:rsidRDefault="007F1775">
            <w:pPr>
              <w:rPr>
                <w:rFonts w:ascii="宋体"/>
                <w:vanish/>
              </w:rPr>
            </w:pPr>
          </w:p>
        </w:tc>
        <w:tc>
          <w:tcPr>
            <w:tcW w:w="0" w:type="auto"/>
            <w:gridSpan w:val="3"/>
            <w:shd w:val="clear" w:color="auto" w:fill="auto"/>
            <w:vAlign w:val="bottom"/>
          </w:tcPr>
          <w:p w14:paraId="0B2FA675" w14:textId="77777777" w:rsidR="007F1775" w:rsidRDefault="007F1775">
            <w:pPr>
              <w:rPr>
                <w:rFonts w:ascii="宋体"/>
                <w:vanish/>
              </w:rPr>
            </w:pPr>
          </w:p>
        </w:tc>
        <w:tc>
          <w:tcPr>
            <w:tcW w:w="0" w:type="auto"/>
            <w:gridSpan w:val="3"/>
            <w:shd w:val="clear" w:color="auto" w:fill="auto"/>
            <w:vAlign w:val="bottom"/>
          </w:tcPr>
          <w:p w14:paraId="0B2FA676" w14:textId="77777777" w:rsidR="007F1775" w:rsidRDefault="007F1775">
            <w:pPr>
              <w:rPr>
                <w:rFonts w:ascii="宋体"/>
                <w:vanish/>
              </w:rPr>
            </w:pPr>
          </w:p>
        </w:tc>
        <w:tc>
          <w:tcPr>
            <w:tcW w:w="0" w:type="auto"/>
            <w:gridSpan w:val="3"/>
            <w:shd w:val="clear" w:color="auto" w:fill="auto"/>
            <w:vAlign w:val="bottom"/>
          </w:tcPr>
          <w:p w14:paraId="0B2FA677" w14:textId="77777777" w:rsidR="007F1775" w:rsidRDefault="007F1775">
            <w:pPr>
              <w:rPr>
                <w:rFonts w:ascii="宋体"/>
                <w:vanish/>
              </w:rPr>
            </w:pPr>
          </w:p>
        </w:tc>
        <w:tc>
          <w:tcPr>
            <w:tcW w:w="0" w:type="auto"/>
            <w:gridSpan w:val="3"/>
            <w:shd w:val="clear" w:color="auto" w:fill="auto"/>
            <w:vAlign w:val="bottom"/>
          </w:tcPr>
          <w:p w14:paraId="0B2FA678" w14:textId="77777777" w:rsidR="007F1775" w:rsidRDefault="007F1775">
            <w:pPr>
              <w:rPr>
                <w:rFonts w:ascii="宋体"/>
                <w:vanish/>
              </w:rPr>
            </w:pPr>
          </w:p>
        </w:tc>
      </w:tr>
      <w:tr w:rsidR="007F1775" w14:paraId="0B2FA692" w14:textId="77777777">
        <w:tc>
          <w:tcPr>
            <w:tcW w:w="0" w:type="auto"/>
            <w:gridSpan w:val="3"/>
            <w:shd w:val="clear" w:color="auto" w:fill="FFFFFF"/>
            <w:tcMar>
              <w:top w:w="40" w:type="dxa"/>
              <w:left w:w="20" w:type="dxa"/>
              <w:bottom w:w="40" w:type="dxa"/>
              <w:right w:w="20" w:type="dxa"/>
            </w:tcMar>
          </w:tcPr>
          <w:p w14:paraId="0B2FA67A" w14:textId="77777777" w:rsidR="007F1775" w:rsidRDefault="000F083E">
            <w:pPr>
              <w:textAlignment w:val="top"/>
            </w:pPr>
            <w:r>
              <w:rPr>
                <w:rFonts w:ascii="Times New Roman" w:eastAsia="宋体" w:hAnsi="Times New Roman"/>
                <w:color w:val="000000"/>
                <w:sz w:val="20"/>
                <w:szCs w:val="20"/>
              </w:rPr>
              <w:t>Basic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0B2FA67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A67C" w14:textId="77777777" w:rsidR="007F1775" w:rsidRDefault="000F083E">
            <w:pPr>
              <w:jc w:val="right"/>
              <w:textAlignment w:val="bottom"/>
            </w:pPr>
            <w:r>
              <w:rPr>
                <w:rFonts w:ascii="Times New Roman" w:eastAsia="宋体" w:hAnsi="Times New Roman"/>
                <w:color w:val="000000"/>
                <w:sz w:val="20"/>
                <w:szCs w:val="20"/>
              </w:rPr>
              <w:t>2.74 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67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67E" w14:textId="77777777" w:rsidR="007F1775" w:rsidRDefault="007F177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B2FA67F"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A680" w14:textId="77777777" w:rsidR="007F1775" w:rsidRDefault="000F083E">
            <w:pPr>
              <w:jc w:val="right"/>
              <w:textAlignment w:val="bottom"/>
            </w:pPr>
            <w:r>
              <w:rPr>
                <w:rFonts w:ascii="Times New Roman" w:eastAsia="宋体" w:hAnsi="Times New Roman"/>
                <w:color w:val="000000"/>
                <w:sz w:val="20"/>
                <w:szCs w:val="20"/>
              </w:rPr>
              <w:t>2.74 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68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682" w14:textId="77777777" w:rsidR="007F1775" w:rsidRDefault="007F177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B2FA68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A684" w14:textId="77777777" w:rsidR="007F1775" w:rsidRDefault="000F083E">
            <w:pPr>
              <w:jc w:val="right"/>
              <w:textAlignment w:val="bottom"/>
            </w:pPr>
            <w:r>
              <w:rPr>
                <w:rFonts w:ascii="Times New Roman" w:eastAsia="宋体" w:hAnsi="Times New Roman"/>
                <w:color w:val="000000"/>
                <w:sz w:val="20"/>
                <w:szCs w:val="20"/>
              </w:rPr>
              <w:t>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68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686" w14:textId="77777777" w:rsidR="007F1775" w:rsidRDefault="007F177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B2FA68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A688" w14:textId="77777777" w:rsidR="007F1775" w:rsidRDefault="000F083E">
            <w:pPr>
              <w:jc w:val="right"/>
              <w:textAlignment w:val="bottom"/>
            </w:pPr>
            <w:r>
              <w:rPr>
                <w:rFonts w:ascii="Times New Roman" w:eastAsia="宋体" w:hAnsi="Times New Roman"/>
                <w:color w:val="000000"/>
                <w:sz w:val="20"/>
                <w:szCs w:val="20"/>
              </w:rPr>
              <w:t>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689" w14:textId="77777777" w:rsidR="007F1775" w:rsidRDefault="007F1775">
            <w:pPr>
              <w:jc w:val="right"/>
              <w:rPr>
                <w:rFonts w:ascii="宋体"/>
              </w:rPr>
            </w:pPr>
          </w:p>
        </w:tc>
        <w:tc>
          <w:tcPr>
            <w:tcW w:w="0" w:type="auto"/>
            <w:shd w:val="clear" w:color="auto" w:fill="auto"/>
            <w:vAlign w:val="bottom"/>
          </w:tcPr>
          <w:p w14:paraId="0B2FA68A" w14:textId="77777777" w:rsidR="007F1775" w:rsidRDefault="007F1775">
            <w:pPr>
              <w:rPr>
                <w:rFonts w:ascii="宋体"/>
                <w:vanish/>
              </w:rPr>
            </w:pPr>
          </w:p>
        </w:tc>
        <w:tc>
          <w:tcPr>
            <w:tcW w:w="0" w:type="auto"/>
            <w:shd w:val="clear" w:color="auto" w:fill="auto"/>
            <w:vAlign w:val="bottom"/>
          </w:tcPr>
          <w:p w14:paraId="0B2FA68B" w14:textId="77777777" w:rsidR="007F1775" w:rsidRDefault="007F1775">
            <w:pPr>
              <w:rPr>
                <w:rFonts w:ascii="宋体"/>
                <w:vanish/>
              </w:rPr>
            </w:pPr>
          </w:p>
        </w:tc>
        <w:tc>
          <w:tcPr>
            <w:tcW w:w="0" w:type="auto"/>
            <w:gridSpan w:val="3"/>
            <w:shd w:val="clear" w:color="auto" w:fill="auto"/>
            <w:vAlign w:val="bottom"/>
          </w:tcPr>
          <w:p w14:paraId="0B2FA68C" w14:textId="77777777" w:rsidR="007F1775" w:rsidRDefault="007F1775">
            <w:pPr>
              <w:rPr>
                <w:rFonts w:ascii="宋体"/>
                <w:vanish/>
              </w:rPr>
            </w:pPr>
          </w:p>
        </w:tc>
        <w:tc>
          <w:tcPr>
            <w:tcW w:w="0" w:type="auto"/>
            <w:gridSpan w:val="3"/>
            <w:shd w:val="clear" w:color="auto" w:fill="auto"/>
            <w:vAlign w:val="bottom"/>
          </w:tcPr>
          <w:p w14:paraId="0B2FA68D" w14:textId="77777777" w:rsidR="007F1775" w:rsidRDefault="007F1775">
            <w:pPr>
              <w:rPr>
                <w:rFonts w:ascii="宋体"/>
                <w:vanish/>
              </w:rPr>
            </w:pPr>
          </w:p>
        </w:tc>
        <w:tc>
          <w:tcPr>
            <w:tcW w:w="0" w:type="auto"/>
            <w:gridSpan w:val="3"/>
            <w:shd w:val="clear" w:color="auto" w:fill="auto"/>
            <w:vAlign w:val="bottom"/>
          </w:tcPr>
          <w:p w14:paraId="0B2FA68E" w14:textId="77777777" w:rsidR="007F1775" w:rsidRDefault="007F1775">
            <w:pPr>
              <w:rPr>
                <w:rFonts w:ascii="宋体"/>
                <w:vanish/>
              </w:rPr>
            </w:pPr>
          </w:p>
        </w:tc>
        <w:tc>
          <w:tcPr>
            <w:tcW w:w="0" w:type="auto"/>
            <w:gridSpan w:val="3"/>
            <w:shd w:val="clear" w:color="auto" w:fill="auto"/>
            <w:vAlign w:val="bottom"/>
          </w:tcPr>
          <w:p w14:paraId="0B2FA68F" w14:textId="77777777" w:rsidR="007F1775" w:rsidRDefault="007F1775">
            <w:pPr>
              <w:rPr>
                <w:rFonts w:ascii="宋体"/>
                <w:vanish/>
              </w:rPr>
            </w:pPr>
          </w:p>
        </w:tc>
        <w:tc>
          <w:tcPr>
            <w:tcW w:w="0" w:type="auto"/>
            <w:gridSpan w:val="3"/>
            <w:shd w:val="clear" w:color="auto" w:fill="auto"/>
            <w:vAlign w:val="bottom"/>
          </w:tcPr>
          <w:p w14:paraId="0B2FA690" w14:textId="77777777" w:rsidR="007F1775" w:rsidRDefault="007F1775">
            <w:pPr>
              <w:rPr>
                <w:rFonts w:ascii="宋体"/>
                <w:vanish/>
              </w:rPr>
            </w:pPr>
          </w:p>
        </w:tc>
        <w:tc>
          <w:tcPr>
            <w:tcW w:w="0" w:type="auto"/>
            <w:gridSpan w:val="3"/>
            <w:shd w:val="clear" w:color="auto" w:fill="auto"/>
            <w:vAlign w:val="bottom"/>
          </w:tcPr>
          <w:p w14:paraId="0B2FA691" w14:textId="77777777" w:rsidR="007F1775" w:rsidRDefault="007F1775">
            <w:pPr>
              <w:rPr>
                <w:rFonts w:ascii="宋体"/>
                <w:vanish/>
              </w:rPr>
            </w:pPr>
          </w:p>
        </w:tc>
      </w:tr>
      <w:tr w:rsidR="007F1775" w14:paraId="0B2FA6A3" w14:textId="77777777">
        <w:tc>
          <w:tcPr>
            <w:tcW w:w="0" w:type="auto"/>
            <w:gridSpan w:val="3"/>
            <w:shd w:val="clear" w:color="auto" w:fill="CCEEFF"/>
            <w:tcMar>
              <w:top w:w="40" w:type="dxa"/>
              <w:left w:w="20" w:type="dxa"/>
              <w:bottom w:w="40" w:type="dxa"/>
              <w:right w:w="20" w:type="dxa"/>
            </w:tcMar>
          </w:tcPr>
          <w:p w14:paraId="0B2FA693" w14:textId="77777777" w:rsidR="007F1775" w:rsidRDefault="000F083E">
            <w:pPr>
              <w:textAlignment w:val="top"/>
            </w:pPr>
            <w:r>
              <w:rPr>
                <w:rFonts w:ascii="Times New Roman" w:eastAsia="宋体" w:hAnsi="Times New Roman"/>
                <w:color w:val="000000"/>
                <w:sz w:val="20"/>
                <w:szCs w:val="20"/>
                <w:u w:val="single"/>
              </w:rPr>
              <w:t>Diluted EPS: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B2FA694"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695" w14:textId="77777777" w:rsidR="007F1775" w:rsidRDefault="007F177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B2FA696"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697" w14:textId="77777777" w:rsidR="007F1775" w:rsidRDefault="007F177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B2FA698"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699" w14:textId="77777777" w:rsidR="007F1775" w:rsidRDefault="007F177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B2FA69A" w14:textId="77777777" w:rsidR="007F1775" w:rsidRDefault="007F1775">
            <w:pPr>
              <w:rPr>
                <w:rFonts w:ascii="宋体"/>
              </w:rPr>
            </w:pPr>
          </w:p>
        </w:tc>
        <w:tc>
          <w:tcPr>
            <w:tcW w:w="0" w:type="auto"/>
            <w:shd w:val="clear" w:color="auto" w:fill="auto"/>
            <w:vAlign w:val="bottom"/>
          </w:tcPr>
          <w:p w14:paraId="0B2FA69B" w14:textId="77777777" w:rsidR="007F1775" w:rsidRDefault="007F1775">
            <w:pPr>
              <w:rPr>
                <w:rFonts w:ascii="宋体"/>
                <w:vanish/>
              </w:rPr>
            </w:pPr>
          </w:p>
        </w:tc>
        <w:tc>
          <w:tcPr>
            <w:tcW w:w="0" w:type="auto"/>
            <w:shd w:val="clear" w:color="auto" w:fill="auto"/>
            <w:vAlign w:val="bottom"/>
          </w:tcPr>
          <w:p w14:paraId="0B2FA69C" w14:textId="77777777" w:rsidR="007F1775" w:rsidRDefault="007F1775">
            <w:pPr>
              <w:rPr>
                <w:rFonts w:ascii="宋体"/>
                <w:vanish/>
              </w:rPr>
            </w:pPr>
          </w:p>
        </w:tc>
        <w:tc>
          <w:tcPr>
            <w:tcW w:w="0" w:type="auto"/>
            <w:gridSpan w:val="3"/>
            <w:shd w:val="clear" w:color="auto" w:fill="auto"/>
            <w:vAlign w:val="bottom"/>
          </w:tcPr>
          <w:p w14:paraId="0B2FA69D" w14:textId="77777777" w:rsidR="007F1775" w:rsidRDefault="007F1775">
            <w:pPr>
              <w:rPr>
                <w:rFonts w:ascii="宋体"/>
                <w:vanish/>
              </w:rPr>
            </w:pPr>
          </w:p>
        </w:tc>
        <w:tc>
          <w:tcPr>
            <w:tcW w:w="0" w:type="auto"/>
            <w:gridSpan w:val="3"/>
            <w:shd w:val="clear" w:color="auto" w:fill="auto"/>
            <w:vAlign w:val="bottom"/>
          </w:tcPr>
          <w:p w14:paraId="0B2FA69E" w14:textId="77777777" w:rsidR="007F1775" w:rsidRDefault="007F1775">
            <w:pPr>
              <w:rPr>
                <w:rFonts w:ascii="宋体"/>
                <w:vanish/>
              </w:rPr>
            </w:pPr>
          </w:p>
        </w:tc>
        <w:tc>
          <w:tcPr>
            <w:tcW w:w="0" w:type="auto"/>
            <w:gridSpan w:val="3"/>
            <w:shd w:val="clear" w:color="auto" w:fill="auto"/>
            <w:vAlign w:val="bottom"/>
          </w:tcPr>
          <w:p w14:paraId="0B2FA69F" w14:textId="77777777" w:rsidR="007F1775" w:rsidRDefault="007F1775">
            <w:pPr>
              <w:rPr>
                <w:rFonts w:ascii="宋体"/>
                <w:vanish/>
              </w:rPr>
            </w:pPr>
          </w:p>
        </w:tc>
        <w:tc>
          <w:tcPr>
            <w:tcW w:w="0" w:type="auto"/>
            <w:gridSpan w:val="3"/>
            <w:shd w:val="clear" w:color="auto" w:fill="auto"/>
            <w:vAlign w:val="bottom"/>
          </w:tcPr>
          <w:p w14:paraId="0B2FA6A0" w14:textId="77777777" w:rsidR="007F1775" w:rsidRDefault="007F1775">
            <w:pPr>
              <w:rPr>
                <w:rFonts w:ascii="宋体"/>
                <w:vanish/>
              </w:rPr>
            </w:pPr>
          </w:p>
        </w:tc>
        <w:tc>
          <w:tcPr>
            <w:tcW w:w="0" w:type="auto"/>
            <w:gridSpan w:val="3"/>
            <w:shd w:val="clear" w:color="auto" w:fill="auto"/>
            <w:vAlign w:val="bottom"/>
          </w:tcPr>
          <w:p w14:paraId="0B2FA6A1" w14:textId="77777777" w:rsidR="007F1775" w:rsidRDefault="007F1775">
            <w:pPr>
              <w:rPr>
                <w:rFonts w:ascii="宋体"/>
                <w:vanish/>
              </w:rPr>
            </w:pPr>
          </w:p>
        </w:tc>
        <w:tc>
          <w:tcPr>
            <w:tcW w:w="0" w:type="auto"/>
            <w:gridSpan w:val="3"/>
            <w:shd w:val="clear" w:color="auto" w:fill="auto"/>
            <w:vAlign w:val="bottom"/>
          </w:tcPr>
          <w:p w14:paraId="0B2FA6A2" w14:textId="77777777" w:rsidR="007F1775" w:rsidRDefault="007F1775">
            <w:pPr>
              <w:rPr>
                <w:rFonts w:ascii="宋体"/>
                <w:vanish/>
              </w:rPr>
            </w:pPr>
          </w:p>
        </w:tc>
      </w:tr>
      <w:tr w:rsidR="007F1775" w14:paraId="0B2FA6B4" w14:textId="77777777">
        <w:tc>
          <w:tcPr>
            <w:tcW w:w="0" w:type="auto"/>
            <w:gridSpan w:val="3"/>
            <w:shd w:val="clear" w:color="auto" w:fill="FFFFFF"/>
            <w:tcMar>
              <w:top w:w="40" w:type="dxa"/>
              <w:left w:w="20" w:type="dxa"/>
              <w:bottom w:w="40" w:type="dxa"/>
              <w:right w:w="20" w:type="dxa"/>
            </w:tcMar>
          </w:tcPr>
          <w:p w14:paraId="0B2FA6A4" w14:textId="77777777" w:rsidR="007F1775" w:rsidRDefault="000F083E">
            <w:pPr>
              <w:textAlignment w:val="top"/>
            </w:pPr>
            <w:r>
              <w:rPr>
                <w:rFonts w:ascii="Times New Roman" w:eastAsia="宋体" w:hAnsi="Times New Roman"/>
                <w:color w:val="000000"/>
                <w:sz w:val="20"/>
                <w:szCs w:val="20"/>
              </w:rPr>
              <w:t>Numerator</w:t>
            </w:r>
          </w:p>
        </w:tc>
        <w:tc>
          <w:tcPr>
            <w:tcW w:w="0" w:type="auto"/>
            <w:gridSpan w:val="3"/>
            <w:shd w:val="clear" w:color="auto" w:fill="FFFFFF"/>
            <w:tcMar>
              <w:top w:w="0" w:type="dxa"/>
              <w:left w:w="20" w:type="dxa"/>
              <w:bottom w:w="0" w:type="dxa"/>
              <w:right w:w="20" w:type="dxa"/>
            </w:tcMar>
            <w:vAlign w:val="bottom"/>
          </w:tcPr>
          <w:p w14:paraId="0B2FA6A5"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A6"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A7"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A8"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A9"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AA"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6AB" w14:textId="77777777" w:rsidR="007F1775" w:rsidRDefault="007F1775">
            <w:pPr>
              <w:rPr>
                <w:rFonts w:ascii="宋体"/>
              </w:rPr>
            </w:pPr>
          </w:p>
        </w:tc>
        <w:tc>
          <w:tcPr>
            <w:tcW w:w="0" w:type="auto"/>
            <w:shd w:val="clear" w:color="auto" w:fill="auto"/>
            <w:vAlign w:val="bottom"/>
          </w:tcPr>
          <w:p w14:paraId="0B2FA6AC" w14:textId="77777777" w:rsidR="007F1775" w:rsidRDefault="007F1775">
            <w:pPr>
              <w:rPr>
                <w:rFonts w:ascii="宋体"/>
                <w:vanish/>
              </w:rPr>
            </w:pPr>
          </w:p>
        </w:tc>
        <w:tc>
          <w:tcPr>
            <w:tcW w:w="0" w:type="auto"/>
            <w:shd w:val="clear" w:color="auto" w:fill="auto"/>
            <w:vAlign w:val="bottom"/>
          </w:tcPr>
          <w:p w14:paraId="0B2FA6AD" w14:textId="77777777" w:rsidR="007F1775" w:rsidRDefault="007F1775">
            <w:pPr>
              <w:rPr>
                <w:rFonts w:ascii="宋体"/>
                <w:vanish/>
              </w:rPr>
            </w:pPr>
          </w:p>
        </w:tc>
        <w:tc>
          <w:tcPr>
            <w:tcW w:w="0" w:type="auto"/>
            <w:gridSpan w:val="3"/>
            <w:shd w:val="clear" w:color="auto" w:fill="auto"/>
            <w:vAlign w:val="bottom"/>
          </w:tcPr>
          <w:p w14:paraId="0B2FA6AE" w14:textId="77777777" w:rsidR="007F1775" w:rsidRDefault="007F1775">
            <w:pPr>
              <w:rPr>
                <w:rFonts w:ascii="宋体"/>
                <w:vanish/>
              </w:rPr>
            </w:pPr>
          </w:p>
        </w:tc>
        <w:tc>
          <w:tcPr>
            <w:tcW w:w="0" w:type="auto"/>
            <w:gridSpan w:val="3"/>
            <w:shd w:val="clear" w:color="auto" w:fill="auto"/>
            <w:vAlign w:val="bottom"/>
          </w:tcPr>
          <w:p w14:paraId="0B2FA6AF" w14:textId="77777777" w:rsidR="007F1775" w:rsidRDefault="007F1775">
            <w:pPr>
              <w:rPr>
                <w:rFonts w:ascii="宋体"/>
                <w:vanish/>
              </w:rPr>
            </w:pPr>
          </w:p>
        </w:tc>
        <w:tc>
          <w:tcPr>
            <w:tcW w:w="0" w:type="auto"/>
            <w:gridSpan w:val="3"/>
            <w:shd w:val="clear" w:color="auto" w:fill="auto"/>
            <w:vAlign w:val="bottom"/>
          </w:tcPr>
          <w:p w14:paraId="0B2FA6B0" w14:textId="77777777" w:rsidR="007F1775" w:rsidRDefault="007F1775">
            <w:pPr>
              <w:rPr>
                <w:rFonts w:ascii="宋体"/>
                <w:vanish/>
              </w:rPr>
            </w:pPr>
          </w:p>
        </w:tc>
        <w:tc>
          <w:tcPr>
            <w:tcW w:w="0" w:type="auto"/>
            <w:gridSpan w:val="3"/>
            <w:shd w:val="clear" w:color="auto" w:fill="auto"/>
            <w:vAlign w:val="bottom"/>
          </w:tcPr>
          <w:p w14:paraId="0B2FA6B1" w14:textId="77777777" w:rsidR="007F1775" w:rsidRDefault="007F1775">
            <w:pPr>
              <w:rPr>
                <w:rFonts w:ascii="宋体"/>
                <w:vanish/>
              </w:rPr>
            </w:pPr>
          </w:p>
        </w:tc>
        <w:tc>
          <w:tcPr>
            <w:tcW w:w="0" w:type="auto"/>
            <w:gridSpan w:val="3"/>
            <w:shd w:val="clear" w:color="auto" w:fill="auto"/>
            <w:vAlign w:val="bottom"/>
          </w:tcPr>
          <w:p w14:paraId="0B2FA6B2" w14:textId="77777777" w:rsidR="007F1775" w:rsidRDefault="007F1775">
            <w:pPr>
              <w:rPr>
                <w:rFonts w:ascii="宋体"/>
                <w:vanish/>
              </w:rPr>
            </w:pPr>
          </w:p>
        </w:tc>
        <w:tc>
          <w:tcPr>
            <w:tcW w:w="0" w:type="auto"/>
            <w:gridSpan w:val="3"/>
            <w:shd w:val="clear" w:color="auto" w:fill="auto"/>
            <w:vAlign w:val="bottom"/>
          </w:tcPr>
          <w:p w14:paraId="0B2FA6B3" w14:textId="77777777" w:rsidR="007F1775" w:rsidRDefault="007F1775">
            <w:pPr>
              <w:rPr>
                <w:rFonts w:ascii="宋体"/>
                <w:vanish/>
              </w:rPr>
            </w:pPr>
          </w:p>
        </w:tc>
      </w:tr>
      <w:tr w:rsidR="007F1775" w14:paraId="0B2FA6CD" w14:textId="77777777">
        <w:tc>
          <w:tcPr>
            <w:tcW w:w="0" w:type="auto"/>
            <w:gridSpan w:val="3"/>
            <w:shd w:val="clear" w:color="auto" w:fill="CCEEFF"/>
            <w:tcMar>
              <w:top w:w="40" w:type="dxa"/>
              <w:left w:w="200" w:type="dxa"/>
              <w:bottom w:w="40" w:type="dxa"/>
              <w:right w:w="20" w:type="dxa"/>
            </w:tcMar>
          </w:tcPr>
          <w:p w14:paraId="0B2FA6B5" w14:textId="77777777" w:rsidR="007F1775" w:rsidRDefault="000F083E">
            <w:pPr>
              <w:textAlignment w:val="top"/>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0B2FA6B6"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6B7" w14:textId="77777777" w:rsidR="007F1775" w:rsidRDefault="000F083E">
            <w:pPr>
              <w:jc w:val="right"/>
              <w:textAlignment w:val="bottom"/>
            </w:pPr>
            <w:r>
              <w:rPr>
                <w:rFonts w:ascii="Times New Roman" w:eastAsia="宋体" w:hAnsi="Times New Roman"/>
                <w:color w:val="000000"/>
                <w:sz w:val="20"/>
                <w:szCs w:val="20"/>
              </w:rPr>
              <w:t>6,334 </w:t>
            </w:r>
          </w:p>
        </w:tc>
        <w:tc>
          <w:tcPr>
            <w:tcW w:w="0" w:type="auto"/>
            <w:shd w:val="clear" w:color="auto" w:fill="CCEEFF"/>
            <w:tcMar>
              <w:top w:w="40" w:type="dxa"/>
              <w:left w:w="0" w:type="dxa"/>
              <w:bottom w:w="40" w:type="dxa"/>
              <w:right w:w="20" w:type="dxa"/>
            </w:tcMar>
            <w:vAlign w:val="bottom"/>
          </w:tcPr>
          <w:p w14:paraId="0B2FA6B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B9"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6BA"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6BB" w14:textId="77777777" w:rsidR="007F1775" w:rsidRDefault="000F083E">
            <w:pPr>
              <w:jc w:val="right"/>
              <w:textAlignment w:val="bottom"/>
            </w:pPr>
            <w:r>
              <w:rPr>
                <w:rFonts w:ascii="Times New Roman" w:eastAsia="宋体" w:hAnsi="Times New Roman"/>
                <w:color w:val="000000"/>
                <w:sz w:val="20"/>
                <w:szCs w:val="20"/>
              </w:rPr>
              <w:t>1,131 </w:t>
            </w:r>
          </w:p>
        </w:tc>
        <w:tc>
          <w:tcPr>
            <w:tcW w:w="0" w:type="auto"/>
            <w:shd w:val="clear" w:color="auto" w:fill="CCEEFF"/>
            <w:tcMar>
              <w:top w:w="40" w:type="dxa"/>
              <w:left w:w="0" w:type="dxa"/>
              <w:bottom w:w="40" w:type="dxa"/>
              <w:right w:w="20" w:type="dxa"/>
            </w:tcMar>
            <w:vAlign w:val="bottom"/>
          </w:tcPr>
          <w:p w14:paraId="0B2FA6B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BD"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6BE"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6BF" w14:textId="77777777" w:rsidR="007F1775" w:rsidRDefault="000F083E">
            <w:pPr>
              <w:jc w:val="right"/>
              <w:textAlignment w:val="bottom"/>
            </w:pPr>
            <w:r>
              <w:rPr>
                <w:rFonts w:ascii="Times New Roman" w:eastAsia="宋体" w:hAnsi="Times New Roman"/>
                <w:color w:val="000000"/>
                <w:sz w:val="20"/>
                <w:szCs w:val="20"/>
              </w:rPr>
              <w:t>8,025 </w:t>
            </w:r>
          </w:p>
        </w:tc>
        <w:tc>
          <w:tcPr>
            <w:tcW w:w="0" w:type="auto"/>
            <w:shd w:val="clear" w:color="auto" w:fill="CCEEFF"/>
            <w:tcMar>
              <w:top w:w="40" w:type="dxa"/>
              <w:left w:w="0" w:type="dxa"/>
              <w:bottom w:w="40" w:type="dxa"/>
              <w:right w:w="20" w:type="dxa"/>
            </w:tcMar>
            <w:vAlign w:val="bottom"/>
          </w:tcPr>
          <w:p w14:paraId="0B2FA6C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C1"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6C2"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6C3" w14:textId="77777777" w:rsidR="007F1775" w:rsidRDefault="000F083E">
            <w:pPr>
              <w:jc w:val="right"/>
              <w:textAlignment w:val="bottom"/>
            </w:pPr>
            <w:r>
              <w:rPr>
                <w:rFonts w:ascii="Times New Roman" w:eastAsia="宋体" w:hAnsi="Times New Roman"/>
                <w:color w:val="000000"/>
                <w:sz w:val="20"/>
                <w:szCs w:val="20"/>
              </w:rPr>
              <w:t>1,472 </w:t>
            </w:r>
          </w:p>
        </w:tc>
        <w:tc>
          <w:tcPr>
            <w:tcW w:w="0" w:type="auto"/>
            <w:shd w:val="clear" w:color="auto" w:fill="CCEEFF"/>
            <w:tcMar>
              <w:top w:w="40" w:type="dxa"/>
              <w:left w:w="0" w:type="dxa"/>
              <w:bottom w:w="40" w:type="dxa"/>
              <w:right w:w="20" w:type="dxa"/>
            </w:tcMar>
            <w:vAlign w:val="bottom"/>
          </w:tcPr>
          <w:p w14:paraId="0B2FA6C4" w14:textId="77777777" w:rsidR="007F1775" w:rsidRDefault="007F1775">
            <w:pPr>
              <w:jc w:val="right"/>
              <w:rPr>
                <w:rFonts w:ascii="宋体"/>
              </w:rPr>
            </w:pPr>
          </w:p>
        </w:tc>
        <w:tc>
          <w:tcPr>
            <w:tcW w:w="0" w:type="auto"/>
            <w:shd w:val="clear" w:color="auto" w:fill="auto"/>
            <w:vAlign w:val="bottom"/>
          </w:tcPr>
          <w:p w14:paraId="0B2FA6C5" w14:textId="77777777" w:rsidR="007F1775" w:rsidRDefault="007F1775">
            <w:pPr>
              <w:rPr>
                <w:rFonts w:ascii="宋体"/>
                <w:vanish/>
              </w:rPr>
            </w:pPr>
          </w:p>
        </w:tc>
        <w:tc>
          <w:tcPr>
            <w:tcW w:w="0" w:type="auto"/>
            <w:shd w:val="clear" w:color="auto" w:fill="auto"/>
            <w:vAlign w:val="bottom"/>
          </w:tcPr>
          <w:p w14:paraId="0B2FA6C6" w14:textId="77777777" w:rsidR="007F1775" w:rsidRDefault="007F1775">
            <w:pPr>
              <w:rPr>
                <w:rFonts w:ascii="宋体"/>
                <w:vanish/>
              </w:rPr>
            </w:pPr>
          </w:p>
        </w:tc>
        <w:tc>
          <w:tcPr>
            <w:tcW w:w="0" w:type="auto"/>
            <w:gridSpan w:val="3"/>
            <w:shd w:val="clear" w:color="auto" w:fill="auto"/>
            <w:vAlign w:val="bottom"/>
          </w:tcPr>
          <w:p w14:paraId="0B2FA6C7" w14:textId="77777777" w:rsidR="007F1775" w:rsidRDefault="007F1775">
            <w:pPr>
              <w:rPr>
                <w:rFonts w:ascii="宋体"/>
                <w:vanish/>
              </w:rPr>
            </w:pPr>
          </w:p>
        </w:tc>
        <w:tc>
          <w:tcPr>
            <w:tcW w:w="0" w:type="auto"/>
            <w:gridSpan w:val="3"/>
            <w:shd w:val="clear" w:color="auto" w:fill="auto"/>
            <w:vAlign w:val="bottom"/>
          </w:tcPr>
          <w:p w14:paraId="0B2FA6C8" w14:textId="77777777" w:rsidR="007F1775" w:rsidRDefault="007F1775">
            <w:pPr>
              <w:rPr>
                <w:rFonts w:ascii="宋体"/>
                <w:vanish/>
              </w:rPr>
            </w:pPr>
          </w:p>
        </w:tc>
        <w:tc>
          <w:tcPr>
            <w:tcW w:w="0" w:type="auto"/>
            <w:gridSpan w:val="3"/>
            <w:shd w:val="clear" w:color="auto" w:fill="auto"/>
            <w:vAlign w:val="bottom"/>
          </w:tcPr>
          <w:p w14:paraId="0B2FA6C9" w14:textId="77777777" w:rsidR="007F1775" w:rsidRDefault="007F1775">
            <w:pPr>
              <w:rPr>
                <w:rFonts w:ascii="宋体"/>
                <w:vanish/>
              </w:rPr>
            </w:pPr>
          </w:p>
        </w:tc>
        <w:tc>
          <w:tcPr>
            <w:tcW w:w="0" w:type="auto"/>
            <w:gridSpan w:val="3"/>
            <w:shd w:val="clear" w:color="auto" w:fill="auto"/>
            <w:vAlign w:val="bottom"/>
          </w:tcPr>
          <w:p w14:paraId="0B2FA6CA" w14:textId="77777777" w:rsidR="007F1775" w:rsidRDefault="007F1775">
            <w:pPr>
              <w:rPr>
                <w:rFonts w:ascii="宋体"/>
                <w:vanish/>
              </w:rPr>
            </w:pPr>
          </w:p>
        </w:tc>
        <w:tc>
          <w:tcPr>
            <w:tcW w:w="0" w:type="auto"/>
            <w:gridSpan w:val="3"/>
            <w:shd w:val="clear" w:color="auto" w:fill="auto"/>
            <w:vAlign w:val="bottom"/>
          </w:tcPr>
          <w:p w14:paraId="0B2FA6CB" w14:textId="77777777" w:rsidR="007F1775" w:rsidRDefault="007F1775">
            <w:pPr>
              <w:rPr>
                <w:rFonts w:ascii="宋体"/>
                <w:vanish/>
              </w:rPr>
            </w:pPr>
          </w:p>
        </w:tc>
        <w:tc>
          <w:tcPr>
            <w:tcW w:w="0" w:type="auto"/>
            <w:gridSpan w:val="3"/>
            <w:shd w:val="clear" w:color="auto" w:fill="auto"/>
            <w:vAlign w:val="bottom"/>
          </w:tcPr>
          <w:p w14:paraId="0B2FA6CC" w14:textId="77777777" w:rsidR="007F1775" w:rsidRDefault="007F1775">
            <w:pPr>
              <w:rPr>
                <w:rFonts w:ascii="宋体"/>
                <w:vanish/>
              </w:rPr>
            </w:pPr>
          </w:p>
        </w:tc>
      </w:tr>
      <w:tr w:rsidR="007F1775" w14:paraId="0B2FA6E2" w14:textId="77777777">
        <w:tc>
          <w:tcPr>
            <w:tcW w:w="0" w:type="auto"/>
            <w:gridSpan w:val="3"/>
            <w:shd w:val="clear" w:color="auto" w:fill="FFFFFF"/>
            <w:tcMar>
              <w:top w:w="40" w:type="dxa"/>
              <w:left w:w="200" w:type="dxa"/>
              <w:bottom w:w="40" w:type="dxa"/>
              <w:right w:w="20" w:type="dxa"/>
            </w:tcMar>
          </w:tcPr>
          <w:p w14:paraId="0B2FA6CE" w14:textId="77777777" w:rsidR="007F1775" w:rsidRDefault="000F083E">
            <w:pPr>
              <w:textAlignment w:val="top"/>
            </w:pPr>
            <w:r>
              <w:rPr>
                <w:rFonts w:ascii="Times New Roman" w:eastAsia="宋体" w:hAnsi="Times New Roman"/>
                <w:color w:val="000000"/>
                <w:sz w:val="20"/>
                <w:szCs w:val="20"/>
              </w:rPr>
              <w:t xml:space="preserve">Reallocation of net income as a result of conversion of Class B to Class A common </w:t>
            </w:r>
            <w:r>
              <w:rPr>
                <w:rFonts w:ascii="Times New Roman" w:eastAsia="宋体" w:hAnsi="Times New Roman"/>
                <w:color w:val="000000"/>
                <w:sz w:val="20"/>
                <w:szCs w:val="20"/>
              </w:rPr>
              <w:t>stock</w:t>
            </w:r>
          </w:p>
        </w:tc>
        <w:tc>
          <w:tcPr>
            <w:tcW w:w="0" w:type="auto"/>
            <w:gridSpan w:val="2"/>
            <w:shd w:val="clear" w:color="auto" w:fill="FFFFFF"/>
            <w:tcMar>
              <w:top w:w="40" w:type="dxa"/>
              <w:left w:w="20" w:type="dxa"/>
              <w:bottom w:w="40" w:type="dxa"/>
              <w:right w:w="0" w:type="dxa"/>
            </w:tcMar>
            <w:vAlign w:val="bottom"/>
          </w:tcPr>
          <w:p w14:paraId="0B2FA6CF" w14:textId="77777777" w:rsidR="007F1775" w:rsidRDefault="000F083E">
            <w:pPr>
              <w:jc w:val="right"/>
              <w:textAlignment w:val="bottom"/>
            </w:pPr>
            <w:r>
              <w:rPr>
                <w:rFonts w:ascii="Times New Roman" w:eastAsia="宋体" w:hAnsi="Times New Roman"/>
                <w:color w:val="000000"/>
                <w:sz w:val="20"/>
                <w:szCs w:val="20"/>
              </w:rPr>
              <w:t>1,131 </w:t>
            </w:r>
          </w:p>
        </w:tc>
        <w:tc>
          <w:tcPr>
            <w:tcW w:w="0" w:type="auto"/>
            <w:shd w:val="clear" w:color="auto" w:fill="FFFFFF"/>
            <w:tcMar>
              <w:top w:w="40" w:type="dxa"/>
              <w:left w:w="0" w:type="dxa"/>
              <w:bottom w:w="40" w:type="dxa"/>
              <w:right w:w="20" w:type="dxa"/>
            </w:tcMar>
            <w:vAlign w:val="bottom"/>
          </w:tcPr>
          <w:p w14:paraId="0B2FA6D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6D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6D2"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6D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6D4"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6D5" w14:textId="77777777" w:rsidR="007F1775" w:rsidRDefault="000F083E">
            <w:pPr>
              <w:jc w:val="right"/>
              <w:textAlignment w:val="bottom"/>
            </w:pPr>
            <w:r>
              <w:rPr>
                <w:rFonts w:ascii="Times New Roman" w:eastAsia="宋体" w:hAnsi="Times New Roman"/>
                <w:color w:val="000000"/>
                <w:sz w:val="20"/>
                <w:szCs w:val="20"/>
              </w:rPr>
              <w:t>1,472 </w:t>
            </w:r>
          </w:p>
        </w:tc>
        <w:tc>
          <w:tcPr>
            <w:tcW w:w="0" w:type="auto"/>
            <w:shd w:val="clear" w:color="auto" w:fill="FFFFFF"/>
            <w:tcMar>
              <w:top w:w="40" w:type="dxa"/>
              <w:left w:w="0" w:type="dxa"/>
              <w:bottom w:w="40" w:type="dxa"/>
              <w:right w:w="20" w:type="dxa"/>
            </w:tcMar>
            <w:vAlign w:val="bottom"/>
          </w:tcPr>
          <w:p w14:paraId="0B2FA6D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6D7"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6D8"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6D9" w14:textId="77777777" w:rsidR="007F1775" w:rsidRDefault="007F1775">
            <w:pPr>
              <w:jc w:val="right"/>
              <w:rPr>
                <w:rFonts w:ascii="宋体"/>
              </w:rPr>
            </w:pPr>
          </w:p>
        </w:tc>
        <w:tc>
          <w:tcPr>
            <w:tcW w:w="0" w:type="auto"/>
            <w:shd w:val="clear" w:color="auto" w:fill="auto"/>
            <w:vAlign w:val="bottom"/>
          </w:tcPr>
          <w:p w14:paraId="0B2FA6DA" w14:textId="77777777" w:rsidR="007F1775" w:rsidRDefault="007F1775">
            <w:pPr>
              <w:rPr>
                <w:rFonts w:ascii="宋体"/>
                <w:vanish/>
              </w:rPr>
            </w:pPr>
          </w:p>
        </w:tc>
        <w:tc>
          <w:tcPr>
            <w:tcW w:w="0" w:type="auto"/>
            <w:shd w:val="clear" w:color="auto" w:fill="auto"/>
            <w:vAlign w:val="bottom"/>
          </w:tcPr>
          <w:p w14:paraId="0B2FA6DB" w14:textId="77777777" w:rsidR="007F1775" w:rsidRDefault="007F1775">
            <w:pPr>
              <w:rPr>
                <w:rFonts w:ascii="宋体"/>
                <w:vanish/>
              </w:rPr>
            </w:pPr>
          </w:p>
        </w:tc>
        <w:tc>
          <w:tcPr>
            <w:tcW w:w="0" w:type="auto"/>
            <w:gridSpan w:val="3"/>
            <w:shd w:val="clear" w:color="auto" w:fill="auto"/>
            <w:vAlign w:val="bottom"/>
          </w:tcPr>
          <w:p w14:paraId="0B2FA6DC" w14:textId="77777777" w:rsidR="007F1775" w:rsidRDefault="007F1775">
            <w:pPr>
              <w:rPr>
                <w:rFonts w:ascii="宋体"/>
                <w:vanish/>
              </w:rPr>
            </w:pPr>
          </w:p>
        </w:tc>
        <w:tc>
          <w:tcPr>
            <w:tcW w:w="0" w:type="auto"/>
            <w:gridSpan w:val="3"/>
            <w:shd w:val="clear" w:color="auto" w:fill="auto"/>
            <w:vAlign w:val="bottom"/>
          </w:tcPr>
          <w:p w14:paraId="0B2FA6DD" w14:textId="77777777" w:rsidR="007F1775" w:rsidRDefault="007F1775">
            <w:pPr>
              <w:rPr>
                <w:rFonts w:ascii="宋体"/>
                <w:vanish/>
              </w:rPr>
            </w:pPr>
          </w:p>
        </w:tc>
        <w:tc>
          <w:tcPr>
            <w:tcW w:w="0" w:type="auto"/>
            <w:gridSpan w:val="3"/>
            <w:shd w:val="clear" w:color="auto" w:fill="auto"/>
            <w:vAlign w:val="bottom"/>
          </w:tcPr>
          <w:p w14:paraId="0B2FA6DE" w14:textId="77777777" w:rsidR="007F1775" w:rsidRDefault="007F1775">
            <w:pPr>
              <w:rPr>
                <w:rFonts w:ascii="宋体"/>
                <w:vanish/>
              </w:rPr>
            </w:pPr>
          </w:p>
        </w:tc>
        <w:tc>
          <w:tcPr>
            <w:tcW w:w="0" w:type="auto"/>
            <w:gridSpan w:val="3"/>
            <w:shd w:val="clear" w:color="auto" w:fill="auto"/>
            <w:vAlign w:val="bottom"/>
          </w:tcPr>
          <w:p w14:paraId="0B2FA6DF" w14:textId="77777777" w:rsidR="007F1775" w:rsidRDefault="007F1775">
            <w:pPr>
              <w:rPr>
                <w:rFonts w:ascii="宋体"/>
                <w:vanish/>
              </w:rPr>
            </w:pPr>
          </w:p>
        </w:tc>
        <w:tc>
          <w:tcPr>
            <w:tcW w:w="0" w:type="auto"/>
            <w:gridSpan w:val="3"/>
            <w:shd w:val="clear" w:color="auto" w:fill="auto"/>
            <w:vAlign w:val="bottom"/>
          </w:tcPr>
          <w:p w14:paraId="0B2FA6E0" w14:textId="77777777" w:rsidR="007F1775" w:rsidRDefault="007F1775">
            <w:pPr>
              <w:rPr>
                <w:rFonts w:ascii="宋体"/>
                <w:vanish/>
              </w:rPr>
            </w:pPr>
          </w:p>
        </w:tc>
        <w:tc>
          <w:tcPr>
            <w:tcW w:w="0" w:type="auto"/>
            <w:gridSpan w:val="3"/>
            <w:shd w:val="clear" w:color="auto" w:fill="auto"/>
            <w:vAlign w:val="bottom"/>
          </w:tcPr>
          <w:p w14:paraId="0B2FA6E1" w14:textId="77777777" w:rsidR="007F1775" w:rsidRDefault="007F1775">
            <w:pPr>
              <w:rPr>
                <w:rFonts w:ascii="宋体"/>
                <w:vanish/>
              </w:rPr>
            </w:pPr>
          </w:p>
        </w:tc>
      </w:tr>
      <w:tr w:rsidR="007F1775" w14:paraId="0B2FA6F7" w14:textId="77777777">
        <w:tc>
          <w:tcPr>
            <w:tcW w:w="0" w:type="auto"/>
            <w:gridSpan w:val="3"/>
            <w:shd w:val="clear" w:color="auto" w:fill="CCEEFF"/>
            <w:tcMar>
              <w:top w:w="40" w:type="dxa"/>
              <w:left w:w="200" w:type="dxa"/>
              <w:bottom w:w="40" w:type="dxa"/>
              <w:right w:w="20" w:type="dxa"/>
            </w:tcMar>
          </w:tcPr>
          <w:p w14:paraId="0B2FA6E3" w14:textId="77777777" w:rsidR="007F1775" w:rsidRDefault="000F083E">
            <w:pPr>
              <w:textAlignment w:val="top"/>
            </w:pPr>
            <w:r>
              <w:rPr>
                <w:rFonts w:ascii="Times New Roman" w:eastAsia="宋体" w:hAnsi="Times New Roman"/>
                <w:color w:val="000000"/>
                <w:sz w:val="20"/>
                <w:szCs w:val="20"/>
              </w:rPr>
              <w:t>Reallocation of net income to Class B common stock</w:t>
            </w:r>
          </w:p>
        </w:tc>
        <w:tc>
          <w:tcPr>
            <w:tcW w:w="0" w:type="auto"/>
            <w:gridSpan w:val="2"/>
            <w:shd w:val="clear" w:color="auto" w:fill="CCEEFF"/>
            <w:tcMar>
              <w:top w:w="40" w:type="dxa"/>
              <w:left w:w="20" w:type="dxa"/>
              <w:bottom w:w="40" w:type="dxa"/>
              <w:right w:w="0" w:type="dxa"/>
            </w:tcMar>
            <w:vAlign w:val="bottom"/>
          </w:tcPr>
          <w:p w14:paraId="0B2FA6E4"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6E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E6"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6E7" w14:textId="77777777" w:rsidR="007F1775" w:rsidRDefault="000F083E">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0B2FA6E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E9"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6EA"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6EB"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6EC"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6ED" w14:textId="77777777" w:rsidR="007F1775" w:rsidRDefault="000F083E">
            <w:pPr>
              <w:jc w:val="right"/>
              <w:textAlignment w:val="bottom"/>
            </w:pPr>
            <w:r>
              <w:rPr>
                <w:rFonts w:ascii="Times New Roman" w:eastAsia="宋体" w:hAnsi="Times New Roman"/>
                <w:color w:val="000000"/>
                <w:sz w:val="20"/>
                <w:szCs w:val="20"/>
              </w:rPr>
              <w:t>(18)</w:t>
            </w:r>
          </w:p>
        </w:tc>
        <w:tc>
          <w:tcPr>
            <w:tcW w:w="0" w:type="auto"/>
            <w:shd w:val="clear" w:color="auto" w:fill="CCEEFF"/>
            <w:tcMar>
              <w:top w:w="40" w:type="dxa"/>
              <w:left w:w="0" w:type="dxa"/>
              <w:bottom w:w="40" w:type="dxa"/>
              <w:right w:w="20" w:type="dxa"/>
            </w:tcMar>
            <w:vAlign w:val="bottom"/>
          </w:tcPr>
          <w:p w14:paraId="0B2FA6EE" w14:textId="77777777" w:rsidR="007F1775" w:rsidRDefault="007F1775">
            <w:pPr>
              <w:jc w:val="right"/>
              <w:rPr>
                <w:rFonts w:ascii="宋体"/>
              </w:rPr>
            </w:pPr>
          </w:p>
        </w:tc>
        <w:tc>
          <w:tcPr>
            <w:tcW w:w="0" w:type="auto"/>
            <w:shd w:val="clear" w:color="auto" w:fill="auto"/>
            <w:vAlign w:val="bottom"/>
          </w:tcPr>
          <w:p w14:paraId="0B2FA6EF" w14:textId="77777777" w:rsidR="007F1775" w:rsidRDefault="007F1775">
            <w:pPr>
              <w:rPr>
                <w:rFonts w:ascii="宋体"/>
                <w:vanish/>
              </w:rPr>
            </w:pPr>
          </w:p>
        </w:tc>
        <w:tc>
          <w:tcPr>
            <w:tcW w:w="0" w:type="auto"/>
            <w:shd w:val="clear" w:color="auto" w:fill="auto"/>
            <w:vAlign w:val="bottom"/>
          </w:tcPr>
          <w:p w14:paraId="0B2FA6F0" w14:textId="77777777" w:rsidR="007F1775" w:rsidRDefault="007F1775">
            <w:pPr>
              <w:rPr>
                <w:rFonts w:ascii="宋体"/>
                <w:vanish/>
              </w:rPr>
            </w:pPr>
          </w:p>
        </w:tc>
        <w:tc>
          <w:tcPr>
            <w:tcW w:w="0" w:type="auto"/>
            <w:gridSpan w:val="3"/>
            <w:shd w:val="clear" w:color="auto" w:fill="auto"/>
            <w:vAlign w:val="bottom"/>
          </w:tcPr>
          <w:p w14:paraId="0B2FA6F1" w14:textId="77777777" w:rsidR="007F1775" w:rsidRDefault="007F1775">
            <w:pPr>
              <w:rPr>
                <w:rFonts w:ascii="宋体"/>
                <w:vanish/>
              </w:rPr>
            </w:pPr>
          </w:p>
        </w:tc>
        <w:tc>
          <w:tcPr>
            <w:tcW w:w="0" w:type="auto"/>
            <w:gridSpan w:val="3"/>
            <w:shd w:val="clear" w:color="auto" w:fill="auto"/>
            <w:vAlign w:val="bottom"/>
          </w:tcPr>
          <w:p w14:paraId="0B2FA6F2" w14:textId="77777777" w:rsidR="007F1775" w:rsidRDefault="007F1775">
            <w:pPr>
              <w:rPr>
                <w:rFonts w:ascii="宋体"/>
                <w:vanish/>
              </w:rPr>
            </w:pPr>
          </w:p>
        </w:tc>
        <w:tc>
          <w:tcPr>
            <w:tcW w:w="0" w:type="auto"/>
            <w:gridSpan w:val="3"/>
            <w:shd w:val="clear" w:color="auto" w:fill="auto"/>
            <w:vAlign w:val="bottom"/>
          </w:tcPr>
          <w:p w14:paraId="0B2FA6F3" w14:textId="77777777" w:rsidR="007F1775" w:rsidRDefault="007F1775">
            <w:pPr>
              <w:rPr>
                <w:rFonts w:ascii="宋体"/>
                <w:vanish/>
              </w:rPr>
            </w:pPr>
          </w:p>
        </w:tc>
        <w:tc>
          <w:tcPr>
            <w:tcW w:w="0" w:type="auto"/>
            <w:gridSpan w:val="3"/>
            <w:shd w:val="clear" w:color="auto" w:fill="auto"/>
            <w:vAlign w:val="bottom"/>
          </w:tcPr>
          <w:p w14:paraId="0B2FA6F4" w14:textId="77777777" w:rsidR="007F1775" w:rsidRDefault="007F1775">
            <w:pPr>
              <w:rPr>
                <w:rFonts w:ascii="宋体"/>
                <w:vanish/>
              </w:rPr>
            </w:pPr>
          </w:p>
        </w:tc>
        <w:tc>
          <w:tcPr>
            <w:tcW w:w="0" w:type="auto"/>
            <w:gridSpan w:val="3"/>
            <w:shd w:val="clear" w:color="auto" w:fill="auto"/>
            <w:vAlign w:val="bottom"/>
          </w:tcPr>
          <w:p w14:paraId="0B2FA6F5" w14:textId="77777777" w:rsidR="007F1775" w:rsidRDefault="007F1775">
            <w:pPr>
              <w:rPr>
                <w:rFonts w:ascii="宋体"/>
                <w:vanish/>
              </w:rPr>
            </w:pPr>
          </w:p>
        </w:tc>
        <w:tc>
          <w:tcPr>
            <w:tcW w:w="0" w:type="auto"/>
            <w:gridSpan w:val="3"/>
            <w:shd w:val="clear" w:color="auto" w:fill="auto"/>
            <w:vAlign w:val="bottom"/>
          </w:tcPr>
          <w:p w14:paraId="0B2FA6F6" w14:textId="77777777" w:rsidR="007F1775" w:rsidRDefault="007F1775">
            <w:pPr>
              <w:rPr>
                <w:rFonts w:ascii="宋体"/>
                <w:vanish/>
              </w:rPr>
            </w:pPr>
          </w:p>
        </w:tc>
      </w:tr>
      <w:tr w:rsidR="007F1775" w14:paraId="0B2FA710" w14:textId="77777777">
        <w:tc>
          <w:tcPr>
            <w:tcW w:w="0" w:type="auto"/>
            <w:gridSpan w:val="3"/>
            <w:shd w:val="clear" w:color="auto" w:fill="FFFFFF"/>
            <w:tcMar>
              <w:top w:w="40" w:type="dxa"/>
              <w:left w:w="380" w:type="dxa"/>
              <w:bottom w:w="40" w:type="dxa"/>
              <w:right w:w="20" w:type="dxa"/>
            </w:tcMar>
          </w:tcPr>
          <w:p w14:paraId="0B2FA6F8" w14:textId="77777777" w:rsidR="007F1775" w:rsidRDefault="000F083E">
            <w:pPr>
              <w:textAlignment w:val="top"/>
            </w:pPr>
            <w:r>
              <w:rPr>
                <w:rFonts w:ascii="Times New Roman" w:eastAsia="宋体" w:hAnsi="Times New Roman"/>
                <w:color w:val="000000"/>
                <w:sz w:val="20"/>
                <w:szCs w:val="20"/>
              </w:rPr>
              <w:t>Net income for diluted EPS</w:t>
            </w:r>
          </w:p>
        </w:tc>
        <w:tc>
          <w:tcPr>
            <w:tcW w:w="0" w:type="auto"/>
            <w:tcBorders>
              <w:top w:val="single" w:sz="8" w:space="0" w:color="000000"/>
            </w:tcBorders>
            <w:shd w:val="clear" w:color="auto" w:fill="FFFFFF"/>
            <w:tcMar>
              <w:top w:w="40" w:type="dxa"/>
              <w:left w:w="20" w:type="dxa"/>
              <w:bottom w:w="40" w:type="dxa"/>
              <w:right w:w="0" w:type="dxa"/>
            </w:tcMar>
            <w:vAlign w:val="bottom"/>
          </w:tcPr>
          <w:p w14:paraId="0B2FA6F9"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A6FA" w14:textId="77777777" w:rsidR="007F1775" w:rsidRDefault="000F083E">
            <w:pPr>
              <w:jc w:val="right"/>
              <w:textAlignment w:val="bottom"/>
            </w:pPr>
            <w:r>
              <w:rPr>
                <w:rFonts w:ascii="Times New Roman" w:eastAsia="宋体" w:hAnsi="Times New Roman"/>
                <w:color w:val="000000"/>
                <w:sz w:val="20"/>
                <w:szCs w:val="20"/>
              </w:rPr>
              <w:t>7,465 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6F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6FC" w14:textId="77777777" w:rsidR="007F1775" w:rsidRDefault="007F1775">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0B2FA6FD"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0B2FA6FE" w14:textId="77777777" w:rsidR="007F1775" w:rsidRDefault="000F083E">
            <w:pPr>
              <w:jc w:val="right"/>
              <w:textAlignment w:val="bottom"/>
            </w:pPr>
            <w:r>
              <w:rPr>
                <w:rFonts w:ascii="Times New Roman" w:eastAsia="宋体" w:hAnsi="Times New Roman"/>
                <w:color w:val="000000"/>
                <w:sz w:val="20"/>
                <w:szCs w:val="20"/>
              </w:rPr>
              <w:t>1,124 </w:t>
            </w:r>
          </w:p>
        </w:tc>
        <w:tc>
          <w:tcPr>
            <w:tcW w:w="0" w:type="auto"/>
            <w:tcBorders>
              <w:top w:val="single" w:sz="8" w:space="0" w:color="000000"/>
            </w:tcBorders>
            <w:shd w:val="clear" w:color="auto" w:fill="auto"/>
            <w:tcMar>
              <w:top w:w="40" w:type="dxa"/>
              <w:left w:w="0" w:type="dxa"/>
              <w:bottom w:w="40" w:type="dxa"/>
              <w:right w:w="20" w:type="dxa"/>
            </w:tcMar>
            <w:vAlign w:val="bottom"/>
          </w:tcPr>
          <w:p w14:paraId="0B2FA6FF"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00" w14:textId="77777777" w:rsidR="007F1775" w:rsidRDefault="007F1775">
            <w:pPr>
              <w:rPr>
                <w:rFonts w:ascii="宋体"/>
              </w:rPr>
            </w:pPr>
          </w:p>
        </w:tc>
        <w:tc>
          <w:tcPr>
            <w:tcW w:w="0" w:type="auto"/>
            <w:tcBorders>
              <w:top w:val="single" w:sz="8" w:space="0" w:color="000000"/>
            </w:tcBorders>
            <w:shd w:val="clear" w:color="auto" w:fill="auto"/>
            <w:tcMar>
              <w:top w:w="40" w:type="dxa"/>
              <w:left w:w="20" w:type="dxa"/>
              <w:bottom w:w="40" w:type="dxa"/>
              <w:right w:w="0" w:type="dxa"/>
            </w:tcMar>
            <w:vAlign w:val="bottom"/>
          </w:tcPr>
          <w:p w14:paraId="0B2FA701"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auto"/>
            <w:tcMar>
              <w:top w:w="40" w:type="dxa"/>
              <w:left w:w="0" w:type="dxa"/>
              <w:bottom w:w="40" w:type="dxa"/>
              <w:right w:w="0" w:type="dxa"/>
            </w:tcMar>
            <w:vAlign w:val="bottom"/>
          </w:tcPr>
          <w:p w14:paraId="0B2FA702" w14:textId="77777777" w:rsidR="007F1775" w:rsidRDefault="000F083E">
            <w:pPr>
              <w:jc w:val="right"/>
              <w:textAlignment w:val="bottom"/>
            </w:pPr>
            <w:r>
              <w:rPr>
                <w:rFonts w:ascii="Times New Roman" w:eastAsia="宋体" w:hAnsi="Times New Roman"/>
                <w:color w:val="000000"/>
                <w:sz w:val="20"/>
                <w:szCs w:val="20"/>
              </w:rPr>
              <w:t>9,497 </w:t>
            </w:r>
          </w:p>
        </w:tc>
        <w:tc>
          <w:tcPr>
            <w:tcW w:w="0" w:type="auto"/>
            <w:tcBorders>
              <w:top w:val="single" w:sz="8" w:space="0" w:color="000000"/>
            </w:tcBorders>
            <w:shd w:val="clear" w:color="auto" w:fill="auto"/>
            <w:tcMar>
              <w:top w:w="40" w:type="dxa"/>
              <w:left w:w="0" w:type="dxa"/>
              <w:bottom w:w="40" w:type="dxa"/>
              <w:right w:w="20" w:type="dxa"/>
            </w:tcMar>
            <w:vAlign w:val="bottom"/>
          </w:tcPr>
          <w:p w14:paraId="0B2FA70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04" w14:textId="77777777" w:rsidR="007F1775" w:rsidRDefault="007F177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B2FA705"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A706" w14:textId="77777777" w:rsidR="007F1775" w:rsidRDefault="000F083E">
            <w:pPr>
              <w:jc w:val="right"/>
              <w:textAlignment w:val="bottom"/>
            </w:pPr>
            <w:r>
              <w:rPr>
                <w:rFonts w:ascii="Times New Roman" w:eastAsia="宋体" w:hAnsi="Times New Roman"/>
                <w:color w:val="000000"/>
                <w:sz w:val="20"/>
                <w:szCs w:val="20"/>
              </w:rPr>
              <w:t>1,454 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707" w14:textId="77777777" w:rsidR="007F1775" w:rsidRDefault="007F1775">
            <w:pPr>
              <w:jc w:val="right"/>
              <w:rPr>
                <w:rFonts w:ascii="宋体"/>
              </w:rPr>
            </w:pPr>
          </w:p>
        </w:tc>
        <w:tc>
          <w:tcPr>
            <w:tcW w:w="0" w:type="auto"/>
            <w:shd w:val="clear" w:color="auto" w:fill="auto"/>
            <w:vAlign w:val="bottom"/>
          </w:tcPr>
          <w:p w14:paraId="0B2FA708" w14:textId="77777777" w:rsidR="007F1775" w:rsidRDefault="007F1775">
            <w:pPr>
              <w:rPr>
                <w:rFonts w:ascii="宋体"/>
                <w:vanish/>
              </w:rPr>
            </w:pPr>
          </w:p>
        </w:tc>
        <w:tc>
          <w:tcPr>
            <w:tcW w:w="0" w:type="auto"/>
            <w:shd w:val="clear" w:color="auto" w:fill="auto"/>
            <w:vAlign w:val="bottom"/>
          </w:tcPr>
          <w:p w14:paraId="0B2FA709" w14:textId="77777777" w:rsidR="007F1775" w:rsidRDefault="007F1775">
            <w:pPr>
              <w:rPr>
                <w:rFonts w:ascii="宋体"/>
                <w:vanish/>
              </w:rPr>
            </w:pPr>
          </w:p>
        </w:tc>
        <w:tc>
          <w:tcPr>
            <w:tcW w:w="0" w:type="auto"/>
            <w:gridSpan w:val="3"/>
            <w:shd w:val="clear" w:color="auto" w:fill="auto"/>
            <w:vAlign w:val="bottom"/>
          </w:tcPr>
          <w:p w14:paraId="0B2FA70A" w14:textId="77777777" w:rsidR="007F1775" w:rsidRDefault="007F1775">
            <w:pPr>
              <w:rPr>
                <w:rFonts w:ascii="宋体"/>
                <w:vanish/>
              </w:rPr>
            </w:pPr>
          </w:p>
        </w:tc>
        <w:tc>
          <w:tcPr>
            <w:tcW w:w="0" w:type="auto"/>
            <w:gridSpan w:val="3"/>
            <w:shd w:val="clear" w:color="auto" w:fill="auto"/>
            <w:vAlign w:val="bottom"/>
          </w:tcPr>
          <w:p w14:paraId="0B2FA70B" w14:textId="77777777" w:rsidR="007F1775" w:rsidRDefault="007F1775">
            <w:pPr>
              <w:rPr>
                <w:rFonts w:ascii="宋体"/>
                <w:vanish/>
              </w:rPr>
            </w:pPr>
          </w:p>
        </w:tc>
        <w:tc>
          <w:tcPr>
            <w:tcW w:w="0" w:type="auto"/>
            <w:gridSpan w:val="3"/>
            <w:shd w:val="clear" w:color="auto" w:fill="auto"/>
            <w:vAlign w:val="bottom"/>
          </w:tcPr>
          <w:p w14:paraId="0B2FA70C" w14:textId="77777777" w:rsidR="007F1775" w:rsidRDefault="007F1775">
            <w:pPr>
              <w:rPr>
                <w:rFonts w:ascii="宋体"/>
                <w:vanish/>
              </w:rPr>
            </w:pPr>
          </w:p>
        </w:tc>
        <w:tc>
          <w:tcPr>
            <w:tcW w:w="0" w:type="auto"/>
            <w:gridSpan w:val="3"/>
            <w:shd w:val="clear" w:color="auto" w:fill="auto"/>
            <w:vAlign w:val="bottom"/>
          </w:tcPr>
          <w:p w14:paraId="0B2FA70D" w14:textId="77777777" w:rsidR="007F1775" w:rsidRDefault="007F1775">
            <w:pPr>
              <w:rPr>
                <w:rFonts w:ascii="宋体"/>
                <w:vanish/>
              </w:rPr>
            </w:pPr>
          </w:p>
        </w:tc>
        <w:tc>
          <w:tcPr>
            <w:tcW w:w="0" w:type="auto"/>
            <w:gridSpan w:val="3"/>
            <w:shd w:val="clear" w:color="auto" w:fill="auto"/>
            <w:vAlign w:val="bottom"/>
          </w:tcPr>
          <w:p w14:paraId="0B2FA70E" w14:textId="77777777" w:rsidR="007F1775" w:rsidRDefault="007F1775">
            <w:pPr>
              <w:rPr>
                <w:rFonts w:ascii="宋体"/>
                <w:vanish/>
              </w:rPr>
            </w:pPr>
          </w:p>
        </w:tc>
        <w:tc>
          <w:tcPr>
            <w:tcW w:w="0" w:type="auto"/>
            <w:gridSpan w:val="3"/>
            <w:shd w:val="clear" w:color="auto" w:fill="auto"/>
            <w:vAlign w:val="bottom"/>
          </w:tcPr>
          <w:p w14:paraId="0B2FA70F" w14:textId="77777777" w:rsidR="007F1775" w:rsidRDefault="007F1775">
            <w:pPr>
              <w:rPr>
                <w:rFonts w:ascii="宋体"/>
                <w:vanish/>
              </w:rPr>
            </w:pPr>
          </w:p>
        </w:tc>
      </w:tr>
      <w:tr w:rsidR="007F1775" w14:paraId="0B2FA721" w14:textId="77777777">
        <w:tc>
          <w:tcPr>
            <w:tcW w:w="0" w:type="auto"/>
            <w:gridSpan w:val="3"/>
            <w:shd w:val="clear" w:color="auto" w:fill="CCEEFF"/>
            <w:tcMar>
              <w:top w:w="40" w:type="dxa"/>
              <w:left w:w="20" w:type="dxa"/>
              <w:bottom w:w="40" w:type="dxa"/>
              <w:right w:w="20" w:type="dxa"/>
            </w:tcMar>
          </w:tcPr>
          <w:p w14:paraId="0B2FA711" w14:textId="77777777" w:rsidR="007F1775" w:rsidRDefault="000F083E">
            <w:pPr>
              <w:textAlignment w:val="top"/>
            </w:pPr>
            <w:r>
              <w:rPr>
                <w:rFonts w:ascii="Times New Roman" w:eastAsia="宋体" w:hAnsi="Times New Roman"/>
                <w:color w:val="000000"/>
                <w:sz w:val="20"/>
                <w:szCs w:val="20"/>
              </w:rPr>
              <w:t>Denominator</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712"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713"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714"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715"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716"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717"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718" w14:textId="77777777" w:rsidR="007F1775" w:rsidRDefault="007F1775">
            <w:pPr>
              <w:rPr>
                <w:rFonts w:ascii="宋体"/>
              </w:rPr>
            </w:pPr>
          </w:p>
        </w:tc>
        <w:tc>
          <w:tcPr>
            <w:tcW w:w="0" w:type="auto"/>
            <w:shd w:val="clear" w:color="auto" w:fill="auto"/>
            <w:vAlign w:val="bottom"/>
          </w:tcPr>
          <w:p w14:paraId="0B2FA719" w14:textId="77777777" w:rsidR="007F1775" w:rsidRDefault="007F1775">
            <w:pPr>
              <w:rPr>
                <w:rFonts w:ascii="宋体"/>
                <w:vanish/>
              </w:rPr>
            </w:pPr>
          </w:p>
        </w:tc>
        <w:tc>
          <w:tcPr>
            <w:tcW w:w="0" w:type="auto"/>
            <w:shd w:val="clear" w:color="auto" w:fill="auto"/>
            <w:vAlign w:val="bottom"/>
          </w:tcPr>
          <w:p w14:paraId="0B2FA71A" w14:textId="77777777" w:rsidR="007F1775" w:rsidRDefault="007F1775">
            <w:pPr>
              <w:rPr>
                <w:rFonts w:ascii="宋体"/>
                <w:vanish/>
              </w:rPr>
            </w:pPr>
          </w:p>
        </w:tc>
        <w:tc>
          <w:tcPr>
            <w:tcW w:w="0" w:type="auto"/>
            <w:gridSpan w:val="3"/>
            <w:shd w:val="clear" w:color="auto" w:fill="auto"/>
            <w:vAlign w:val="bottom"/>
          </w:tcPr>
          <w:p w14:paraId="0B2FA71B" w14:textId="77777777" w:rsidR="007F1775" w:rsidRDefault="007F1775">
            <w:pPr>
              <w:rPr>
                <w:rFonts w:ascii="宋体"/>
                <w:vanish/>
              </w:rPr>
            </w:pPr>
          </w:p>
        </w:tc>
        <w:tc>
          <w:tcPr>
            <w:tcW w:w="0" w:type="auto"/>
            <w:gridSpan w:val="3"/>
            <w:shd w:val="clear" w:color="auto" w:fill="auto"/>
            <w:vAlign w:val="bottom"/>
          </w:tcPr>
          <w:p w14:paraId="0B2FA71C" w14:textId="77777777" w:rsidR="007F1775" w:rsidRDefault="007F1775">
            <w:pPr>
              <w:rPr>
                <w:rFonts w:ascii="宋体"/>
                <w:vanish/>
              </w:rPr>
            </w:pPr>
          </w:p>
        </w:tc>
        <w:tc>
          <w:tcPr>
            <w:tcW w:w="0" w:type="auto"/>
            <w:gridSpan w:val="3"/>
            <w:shd w:val="clear" w:color="auto" w:fill="auto"/>
            <w:vAlign w:val="bottom"/>
          </w:tcPr>
          <w:p w14:paraId="0B2FA71D" w14:textId="77777777" w:rsidR="007F1775" w:rsidRDefault="007F1775">
            <w:pPr>
              <w:rPr>
                <w:rFonts w:ascii="宋体"/>
                <w:vanish/>
              </w:rPr>
            </w:pPr>
          </w:p>
        </w:tc>
        <w:tc>
          <w:tcPr>
            <w:tcW w:w="0" w:type="auto"/>
            <w:gridSpan w:val="3"/>
            <w:shd w:val="clear" w:color="auto" w:fill="auto"/>
            <w:vAlign w:val="bottom"/>
          </w:tcPr>
          <w:p w14:paraId="0B2FA71E" w14:textId="77777777" w:rsidR="007F1775" w:rsidRDefault="007F1775">
            <w:pPr>
              <w:rPr>
                <w:rFonts w:ascii="宋体"/>
                <w:vanish/>
              </w:rPr>
            </w:pPr>
          </w:p>
        </w:tc>
        <w:tc>
          <w:tcPr>
            <w:tcW w:w="0" w:type="auto"/>
            <w:gridSpan w:val="3"/>
            <w:shd w:val="clear" w:color="auto" w:fill="auto"/>
            <w:vAlign w:val="bottom"/>
          </w:tcPr>
          <w:p w14:paraId="0B2FA71F" w14:textId="77777777" w:rsidR="007F1775" w:rsidRDefault="007F1775">
            <w:pPr>
              <w:rPr>
                <w:rFonts w:ascii="宋体"/>
                <w:vanish/>
              </w:rPr>
            </w:pPr>
          </w:p>
        </w:tc>
        <w:tc>
          <w:tcPr>
            <w:tcW w:w="0" w:type="auto"/>
            <w:gridSpan w:val="3"/>
            <w:shd w:val="clear" w:color="auto" w:fill="auto"/>
            <w:vAlign w:val="bottom"/>
          </w:tcPr>
          <w:p w14:paraId="0B2FA720" w14:textId="77777777" w:rsidR="007F1775" w:rsidRDefault="007F1775">
            <w:pPr>
              <w:rPr>
                <w:rFonts w:ascii="宋体"/>
                <w:vanish/>
              </w:rPr>
            </w:pPr>
          </w:p>
        </w:tc>
      </w:tr>
      <w:tr w:rsidR="007F1775" w14:paraId="0B2FA736" w14:textId="77777777">
        <w:tc>
          <w:tcPr>
            <w:tcW w:w="0" w:type="auto"/>
            <w:gridSpan w:val="3"/>
            <w:shd w:val="clear" w:color="auto" w:fill="FFFFFF"/>
            <w:tcMar>
              <w:top w:w="40" w:type="dxa"/>
              <w:left w:w="200" w:type="dxa"/>
              <w:bottom w:w="40" w:type="dxa"/>
              <w:right w:w="20" w:type="dxa"/>
            </w:tcMar>
          </w:tcPr>
          <w:p w14:paraId="0B2FA722" w14:textId="77777777" w:rsidR="007F1775" w:rsidRDefault="000F083E">
            <w:pPr>
              <w:textAlignment w:val="top"/>
            </w:pPr>
            <w:r>
              <w:rPr>
                <w:rFonts w:ascii="Times New Roman" w:eastAsia="宋体" w:hAnsi="Times New Roman"/>
                <w:color w:val="000000"/>
                <w:sz w:val="20"/>
                <w:szCs w:val="20"/>
              </w:rPr>
              <w:t>Shares used in computation of basic earnings per share</w:t>
            </w:r>
          </w:p>
        </w:tc>
        <w:tc>
          <w:tcPr>
            <w:tcW w:w="0" w:type="auto"/>
            <w:gridSpan w:val="2"/>
            <w:shd w:val="clear" w:color="auto" w:fill="FFFFFF"/>
            <w:tcMar>
              <w:top w:w="40" w:type="dxa"/>
              <w:left w:w="20" w:type="dxa"/>
              <w:bottom w:w="40" w:type="dxa"/>
              <w:right w:w="0" w:type="dxa"/>
            </w:tcMar>
            <w:vAlign w:val="bottom"/>
          </w:tcPr>
          <w:p w14:paraId="0B2FA723" w14:textId="77777777" w:rsidR="007F1775" w:rsidRDefault="000F083E">
            <w:pPr>
              <w:jc w:val="right"/>
              <w:textAlignment w:val="bottom"/>
            </w:pPr>
            <w:r>
              <w:rPr>
                <w:rFonts w:ascii="Times New Roman" w:eastAsia="宋体" w:hAnsi="Times New Roman"/>
                <w:color w:val="000000"/>
                <w:sz w:val="20"/>
                <w:szCs w:val="20"/>
              </w:rPr>
              <w:t>2,312 </w:t>
            </w:r>
          </w:p>
        </w:tc>
        <w:tc>
          <w:tcPr>
            <w:tcW w:w="0" w:type="auto"/>
            <w:shd w:val="clear" w:color="auto" w:fill="FFFFFF"/>
            <w:tcMar>
              <w:top w:w="40" w:type="dxa"/>
              <w:left w:w="0" w:type="dxa"/>
              <w:bottom w:w="40" w:type="dxa"/>
              <w:right w:w="20" w:type="dxa"/>
            </w:tcMar>
            <w:vAlign w:val="bottom"/>
          </w:tcPr>
          <w:p w14:paraId="0B2FA72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2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726" w14:textId="77777777" w:rsidR="007F1775" w:rsidRDefault="000F083E">
            <w:pPr>
              <w:jc w:val="right"/>
              <w:textAlignment w:val="bottom"/>
            </w:pPr>
            <w:r>
              <w:rPr>
                <w:rFonts w:ascii="Times New Roman" w:eastAsia="宋体" w:hAnsi="Times New Roman"/>
                <w:color w:val="000000"/>
                <w:sz w:val="20"/>
                <w:szCs w:val="20"/>
              </w:rPr>
              <w:t>413 </w:t>
            </w:r>
          </w:p>
        </w:tc>
        <w:tc>
          <w:tcPr>
            <w:tcW w:w="0" w:type="auto"/>
            <w:shd w:val="clear" w:color="auto" w:fill="FFFFFF"/>
            <w:tcMar>
              <w:top w:w="40" w:type="dxa"/>
              <w:left w:w="0" w:type="dxa"/>
              <w:bottom w:w="40" w:type="dxa"/>
              <w:right w:w="20" w:type="dxa"/>
            </w:tcMar>
            <w:vAlign w:val="bottom"/>
          </w:tcPr>
          <w:p w14:paraId="0B2FA72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2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729" w14:textId="77777777" w:rsidR="007F1775" w:rsidRDefault="000F083E">
            <w:pPr>
              <w:jc w:val="right"/>
              <w:textAlignment w:val="bottom"/>
            </w:pPr>
            <w:r>
              <w:rPr>
                <w:rFonts w:ascii="Times New Roman" w:eastAsia="宋体" w:hAnsi="Times New Roman"/>
                <w:color w:val="000000"/>
                <w:sz w:val="20"/>
                <w:szCs w:val="20"/>
              </w:rPr>
              <w:t>2,406 </w:t>
            </w:r>
          </w:p>
        </w:tc>
        <w:tc>
          <w:tcPr>
            <w:tcW w:w="0" w:type="auto"/>
            <w:shd w:val="clear" w:color="auto" w:fill="FFFFFF"/>
            <w:tcMar>
              <w:top w:w="40" w:type="dxa"/>
              <w:left w:w="0" w:type="dxa"/>
              <w:bottom w:w="40" w:type="dxa"/>
              <w:right w:w="20" w:type="dxa"/>
            </w:tcMar>
            <w:vAlign w:val="bottom"/>
          </w:tcPr>
          <w:p w14:paraId="0B2FA72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2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72C" w14:textId="77777777" w:rsidR="007F1775" w:rsidRDefault="000F083E">
            <w:pPr>
              <w:jc w:val="right"/>
              <w:textAlignment w:val="bottom"/>
            </w:pPr>
            <w:r>
              <w:rPr>
                <w:rFonts w:ascii="Times New Roman" w:eastAsia="宋体" w:hAnsi="Times New Roman"/>
                <w:color w:val="000000"/>
                <w:sz w:val="20"/>
                <w:szCs w:val="20"/>
              </w:rPr>
              <w:t>441 </w:t>
            </w:r>
          </w:p>
        </w:tc>
        <w:tc>
          <w:tcPr>
            <w:tcW w:w="0" w:type="auto"/>
            <w:shd w:val="clear" w:color="auto" w:fill="FFFFFF"/>
            <w:tcMar>
              <w:top w:w="40" w:type="dxa"/>
              <w:left w:w="0" w:type="dxa"/>
              <w:bottom w:w="40" w:type="dxa"/>
              <w:right w:w="20" w:type="dxa"/>
            </w:tcMar>
            <w:vAlign w:val="bottom"/>
          </w:tcPr>
          <w:p w14:paraId="0B2FA72D" w14:textId="77777777" w:rsidR="007F1775" w:rsidRDefault="007F1775">
            <w:pPr>
              <w:jc w:val="right"/>
              <w:rPr>
                <w:rFonts w:ascii="宋体"/>
              </w:rPr>
            </w:pPr>
          </w:p>
        </w:tc>
        <w:tc>
          <w:tcPr>
            <w:tcW w:w="0" w:type="auto"/>
            <w:shd w:val="clear" w:color="auto" w:fill="auto"/>
            <w:vAlign w:val="bottom"/>
          </w:tcPr>
          <w:p w14:paraId="0B2FA72E" w14:textId="77777777" w:rsidR="007F1775" w:rsidRDefault="007F1775">
            <w:pPr>
              <w:rPr>
                <w:rFonts w:ascii="宋体"/>
                <w:vanish/>
              </w:rPr>
            </w:pPr>
          </w:p>
        </w:tc>
        <w:tc>
          <w:tcPr>
            <w:tcW w:w="0" w:type="auto"/>
            <w:shd w:val="clear" w:color="auto" w:fill="auto"/>
            <w:vAlign w:val="bottom"/>
          </w:tcPr>
          <w:p w14:paraId="0B2FA72F" w14:textId="77777777" w:rsidR="007F1775" w:rsidRDefault="007F1775">
            <w:pPr>
              <w:rPr>
                <w:rFonts w:ascii="宋体"/>
                <w:vanish/>
              </w:rPr>
            </w:pPr>
          </w:p>
        </w:tc>
        <w:tc>
          <w:tcPr>
            <w:tcW w:w="0" w:type="auto"/>
            <w:gridSpan w:val="3"/>
            <w:shd w:val="clear" w:color="auto" w:fill="auto"/>
            <w:vAlign w:val="bottom"/>
          </w:tcPr>
          <w:p w14:paraId="0B2FA730" w14:textId="77777777" w:rsidR="007F1775" w:rsidRDefault="007F1775">
            <w:pPr>
              <w:rPr>
                <w:rFonts w:ascii="宋体"/>
                <w:vanish/>
              </w:rPr>
            </w:pPr>
          </w:p>
        </w:tc>
        <w:tc>
          <w:tcPr>
            <w:tcW w:w="0" w:type="auto"/>
            <w:gridSpan w:val="3"/>
            <w:shd w:val="clear" w:color="auto" w:fill="auto"/>
            <w:vAlign w:val="bottom"/>
          </w:tcPr>
          <w:p w14:paraId="0B2FA731" w14:textId="77777777" w:rsidR="007F1775" w:rsidRDefault="007F1775">
            <w:pPr>
              <w:rPr>
                <w:rFonts w:ascii="宋体"/>
                <w:vanish/>
              </w:rPr>
            </w:pPr>
          </w:p>
        </w:tc>
        <w:tc>
          <w:tcPr>
            <w:tcW w:w="0" w:type="auto"/>
            <w:gridSpan w:val="3"/>
            <w:shd w:val="clear" w:color="auto" w:fill="auto"/>
            <w:vAlign w:val="bottom"/>
          </w:tcPr>
          <w:p w14:paraId="0B2FA732" w14:textId="77777777" w:rsidR="007F1775" w:rsidRDefault="007F1775">
            <w:pPr>
              <w:rPr>
                <w:rFonts w:ascii="宋体"/>
                <w:vanish/>
              </w:rPr>
            </w:pPr>
          </w:p>
        </w:tc>
        <w:tc>
          <w:tcPr>
            <w:tcW w:w="0" w:type="auto"/>
            <w:gridSpan w:val="3"/>
            <w:shd w:val="clear" w:color="auto" w:fill="auto"/>
            <w:vAlign w:val="bottom"/>
          </w:tcPr>
          <w:p w14:paraId="0B2FA733" w14:textId="77777777" w:rsidR="007F1775" w:rsidRDefault="007F1775">
            <w:pPr>
              <w:rPr>
                <w:rFonts w:ascii="宋体"/>
                <w:vanish/>
              </w:rPr>
            </w:pPr>
          </w:p>
        </w:tc>
        <w:tc>
          <w:tcPr>
            <w:tcW w:w="0" w:type="auto"/>
            <w:gridSpan w:val="3"/>
            <w:shd w:val="clear" w:color="auto" w:fill="auto"/>
            <w:vAlign w:val="bottom"/>
          </w:tcPr>
          <w:p w14:paraId="0B2FA734" w14:textId="77777777" w:rsidR="007F1775" w:rsidRDefault="007F1775">
            <w:pPr>
              <w:rPr>
                <w:rFonts w:ascii="宋体"/>
                <w:vanish/>
              </w:rPr>
            </w:pPr>
          </w:p>
        </w:tc>
        <w:tc>
          <w:tcPr>
            <w:tcW w:w="0" w:type="auto"/>
            <w:gridSpan w:val="3"/>
            <w:shd w:val="clear" w:color="auto" w:fill="auto"/>
            <w:vAlign w:val="bottom"/>
          </w:tcPr>
          <w:p w14:paraId="0B2FA735" w14:textId="77777777" w:rsidR="007F1775" w:rsidRDefault="007F1775">
            <w:pPr>
              <w:rPr>
                <w:rFonts w:ascii="宋体"/>
                <w:vanish/>
              </w:rPr>
            </w:pPr>
          </w:p>
        </w:tc>
      </w:tr>
      <w:tr w:rsidR="007F1775" w14:paraId="0B2FA74B" w14:textId="77777777">
        <w:tc>
          <w:tcPr>
            <w:tcW w:w="0" w:type="auto"/>
            <w:gridSpan w:val="3"/>
            <w:shd w:val="clear" w:color="auto" w:fill="CCEEFF"/>
            <w:tcMar>
              <w:top w:w="40" w:type="dxa"/>
              <w:left w:w="200" w:type="dxa"/>
              <w:bottom w:w="40" w:type="dxa"/>
              <w:right w:w="20" w:type="dxa"/>
            </w:tcMar>
          </w:tcPr>
          <w:p w14:paraId="0B2FA737" w14:textId="77777777" w:rsidR="007F1775" w:rsidRDefault="000F083E">
            <w:pPr>
              <w:textAlignment w:val="top"/>
            </w:pPr>
            <w:r>
              <w:rPr>
                <w:rFonts w:ascii="Times New Roman" w:eastAsia="宋体" w:hAnsi="Times New Roman"/>
                <w:color w:val="000000"/>
                <w:sz w:val="20"/>
                <w:szCs w:val="20"/>
              </w:rPr>
              <w:t>Conversion of Class B to Class A common stock</w:t>
            </w:r>
          </w:p>
        </w:tc>
        <w:tc>
          <w:tcPr>
            <w:tcW w:w="0" w:type="auto"/>
            <w:gridSpan w:val="2"/>
            <w:shd w:val="clear" w:color="auto" w:fill="CCEEFF"/>
            <w:tcMar>
              <w:top w:w="40" w:type="dxa"/>
              <w:left w:w="20" w:type="dxa"/>
              <w:bottom w:w="40" w:type="dxa"/>
              <w:right w:w="0" w:type="dxa"/>
            </w:tcMar>
            <w:vAlign w:val="bottom"/>
          </w:tcPr>
          <w:p w14:paraId="0B2FA738" w14:textId="77777777" w:rsidR="007F1775" w:rsidRDefault="000F083E">
            <w:pPr>
              <w:jc w:val="right"/>
              <w:textAlignment w:val="bottom"/>
            </w:pPr>
            <w:r>
              <w:rPr>
                <w:rFonts w:ascii="Times New Roman" w:eastAsia="宋体" w:hAnsi="Times New Roman"/>
                <w:color w:val="000000"/>
                <w:sz w:val="20"/>
                <w:szCs w:val="20"/>
              </w:rPr>
              <w:t>413 </w:t>
            </w:r>
          </w:p>
        </w:tc>
        <w:tc>
          <w:tcPr>
            <w:tcW w:w="0" w:type="auto"/>
            <w:shd w:val="clear" w:color="auto" w:fill="CCEEFF"/>
            <w:tcMar>
              <w:top w:w="40" w:type="dxa"/>
              <w:left w:w="0" w:type="dxa"/>
              <w:bottom w:w="40" w:type="dxa"/>
              <w:right w:w="20" w:type="dxa"/>
            </w:tcMar>
            <w:vAlign w:val="bottom"/>
          </w:tcPr>
          <w:p w14:paraId="0B2FA73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3A"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73B"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73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3D"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73E" w14:textId="77777777" w:rsidR="007F1775" w:rsidRDefault="000F083E">
            <w:pPr>
              <w:jc w:val="right"/>
              <w:textAlignment w:val="bottom"/>
            </w:pPr>
            <w:r>
              <w:rPr>
                <w:rFonts w:ascii="Times New Roman" w:eastAsia="宋体" w:hAnsi="Times New Roman"/>
                <w:color w:val="000000"/>
                <w:sz w:val="20"/>
                <w:szCs w:val="20"/>
              </w:rPr>
              <w:t>441 </w:t>
            </w:r>
          </w:p>
        </w:tc>
        <w:tc>
          <w:tcPr>
            <w:tcW w:w="0" w:type="auto"/>
            <w:shd w:val="clear" w:color="auto" w:fill="CCEEFF"/>
            <w:tcMar>
              <w:top w:w="40" w:type="dxa"/>
              <w:left w:w="0" w:type="dxa"/>
              <w:bottom w:w="40" w:type="dxa"/>
              <w:right w:w="20" w:type="dxa"/>
            </w:tcMar>
            <w:vAlign w:val="bottom"/>
          </w:tcPr>
          <w:p w14:paraId="0B2FA73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40"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741"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742" w14:textId="77777777" w:rsidR="007F1775" w:rsidRDefault="007F1775">
            <w:pPr>
              <w:jc w:val="right"/>
              <w:rPr>
                <w:rFonts w:ascii="宋体"/>
              </w:rPr>
            </w:pPr>
          </w:p>
        </w:tc>
        <w:tc>
          <w:tcPr>
            <w:tcW w:w="0" w:type="auto"/>
            <w:shd w:val="clear" w:color="auto" w:fill="auto"/>
            <w:vAlign w:val="bottom"/>
          </w:tcPr>
          <w:p w14:paraId="0B2FA743" w14:textId="77777777" w:rsidR="007F1775" w:rsidRDefault="007F1775">
            <w:pPr>
              <w:rPr>
                <w:rFonts w:ascii="宋体"/>
                <w:vanish/>
              </w:rPr>
            </w:pPr>
          </w:p>
        </w:tc>
        <w:tc>
          <w:tcPr>
            <w:tcW w:w="0" w:type="auto"/>
            <w:shd w:val="clear" w:color="auto" w:fill="auto"/>
            <w:vAlign w:val="bottom"/>
          </w:tcPr>
          <w:p w14:paraId="0B2FA744" w14:textId="77777777" w:rsidR="007F1775" w:rsidRDefault="007F1775">
            <w:pPr>
              <w:rPr>
                <w:rFonts w:ascii="宋体"/>
                <w:vanish/>
              </w:rPr>
            </w:pPr>
          </w:p>
        </w:tc>
        <w:tc>
          <w:tcPr>
            <w:tcW w:w="0" w:type="auto"/>
            <w:gridSpan w:val="3"/>
            <w:shd w:val="clear" w:color="auto" w:fill="auto"/>
            <w:vAlign w:val="bottom"/>
          </w:tcPr>
          <w:p w14:paraId="0B2FA745" w14:textId="77777777" w:rsidR="007F1775" w:rsidRDefault="007F1775">
            <w:pPr>
              <w:rPr>
                <w:rFonts w:ascii="宋体"/>
                <w:vanish/>
              </w:rPr>
            </w:pPr>
          </w:p>
        </w:tc>
        <w:tc>
          <w:tcPr>
            <w:tcW w:w="0" w:type="auto"/>
            <w:gridSpan w:val="3"/>
            <w:shd w:val="clear" w:color="auto" w:fill="auto"/>
            <w:vAlign w:val="bottom"/>
          </w:tcPr>
          <w:p w14:paraId="0B2FA746" w14:textId="77777777" w:rsidR="007F1775" w:rsidRDefault="007F1775">
            <w:pPr>
              <w:rPr>
                <w:rFonts w:ascii="宋体"/>
                <w:vanish/>
              </w:rPr>
            </w:pPr>
          </w:p>
        </w:tc>
        <w:tc>
          <w:tcPr>
            <w:tcW w:w="0" w:type="auto"/>
            <w:gridSpan w:val="3"/>
            <w:shd w:val="clear" w:color="auto" w:fill="auto"/>
            <w:vAlign w:val="bottom"/>
          </w:tcPr>
          <w:p w14:paraId="0B2FA747" w14:textId="77777777" w:rsidR="007F1775" w:rsidRDefault="007F1775">
            <w:pPr>
              <w:rPr>
                <w:rFonts w:ascii="宋体"/>
                <w:vanish/>
              </w:rPr>
            </w:pPr>
          </w:p>
        </w:tc>
        <w:tc>
          <w:tcPr>
            <w:tcW w:w="0" w:type="auto"/>
            <w:gridSpan w:val="3"/>
            <w:shd w:val="clear" w:color="auto" w:fill="auto"/>
            <w:vAlign w:val="bottom"/>
          </w:tcPr>
          <w:p w14:paraId="0B2FA748" w14:textId="77777777" w:rsidR="007F1775" w:rsidRDefault="007F1775">
            <w:pPr>
              <w:rPr>
                <w:rFonts w:ascii="宋体"/>
                <w:vanish/>
              </w:rPr>
            </w:pPr>
          </w:p>
        </w:tc>
        <w:tc>
          <w:tcPr>
            <w:tcW w:w="0" w:type="auto"/>
            <w:gridSpan w:val="3"/>
            <w:shd w:val="clear" w:color="auto" w:fill="auto"/>
            <w:vAlign w:val="bottom"/>
          </w:tcPr>
          <w:p w14:paraId="0B2FA749" w14:textId="77777777" w:rsidR="007F1775" w:rsidRDefault="007F1775">
            <w:pPr>
              <w:rPr>
                <w:rFonts w:ascii="宋体"/>
                <w:vanish/>
              </w:rPr>
            </w:pPr>
          </w:p>
        </w:tc>
        <w:tc>
          <w:tcPr>
            <w:tcW w:w="0" w:type="auto"/>
            <w:gridSpan w:val="3"/>
            <w:shd w:val="clear" w:color="auto" w:fill="auto"/>
            <w:vAlign w:val="bottom"/>
          </w:tcPr>
          <w:p w14:paraId="0B2FA74A" w14:textId="77777777" w:rsidR="007F1775" w:rsidRDefault="007F1775">
            <w:pPr>
              <w:rPr>
                <w:rFonts w:ascii="宋体"/>
                <w:vanish/>
              </w:rPr>
            </w:pPr>
          </w:p>
        </w:tc>
      </w:tr>
      <w:tr w:rsidR="007F1775" w14:paraId="0B2FA760" w14:textId="77777777">
        <w:tc>
          <w:tcPr>
            <w:tcW w:w="0" w:type="auto"/>
            <w:gridSpan w:val="3"/>
            <w:shd w:val="clear" w:color="auto" w:fill="FFFFFF"/>
            <w:tcMar>
              <w:top w:w="40" w:type="dxa"/>
              <w:left w:w="200" w:type="dxa"/>
              <w:bottom w:w="40" w:type="dxa"/>
              <w:right w:w="20" w:type="dxa"/>
            </w:tcMar>
          </w:tcPr>
          <w:p w14:paraId="0B2FA74C" w14:textId="77777777" w:rsidR="007F1775" w:rsidRDefault="000F083E">
            <w:pPr>
              <w:textAlignment w:val="top"/>
            </w:pPr>
            <w:r>
              <w:rPr>
                <w:rFonts w:ascii="Times New Roman" w:eastAsia="宋体" w:hAnsi="Times New Roman"/>
                <w:color w:val="000000"/>
                <w:sz w:val="20"/>
                <w:szCs w:val="20"/>
              </w:rPr>
              <w:t>Weighted-average effect of dilutive RSUs</w:t>
            </w:r>
          </w:p>
        </w:tc>
        <w:tc>
          <w:tcPr>
            <w:tcW w:w="0" w:type="auto"/>
            <w:gridSpan w:val="2"/>
            <w:shd w:val="clear" w:color="auto" w:fill="FFFFFF"/>
            <w:tcMar>
              <w:top w:w="40" w:type="dxa"/>
              <w:left w:w="20" w:type="dxa"/>
              <w:bottom w:w="40" w:type="dxa"/>
              <w:right w:w="0" w:type="dxa"/>
            </w:tcMar>
            <w:vAlign w:val="bottom"/>
          </w:tcPr>
          <w:p w14:paraId="0B2FA74D" w14:textId="77777777" w:rsidR="007F1775" w:rsidRDefault="000F083E">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B2FA74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4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750"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75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52"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753" w14:textId="77777777" w:rsidR="007F1775" w:rsidRDefault="000F083E">
            <w:pPr>
              <w:jc w:val="right"/>
              <w:textAlignment w:val="bottom"/>
            </w:pPr>
            <w:r>
              <w:rPr>
                <w:rFonts w:ascii="Times New Roman" w:eastAsia="宋体" w:hAnsi="Times New Roman"/>
                <w:color w:val="000000"/>
                <w:sz w:val="20"/>
                <w:szCs w:val="20"/>
              </w:rPr>
              <w:t>35 </w:t>
            </w:r>
          </w:p>
        </w:tc>
        <w:tc>
          <w:tcPr>
            <w:tcW w:w="0" w:type="auto"/>
            <w:shd w:val="clear" w:color="auto" w:fill="FFFFFF"/>
            <w:tcMar>
              <w:top w:w="40" w:type="dxa"/>
              <w:left w:w="0" w:type="dxa"/>
              <w:bottom w:w="40" w:type="dxa"/>
              <w:right w:w="20" w:type="dxa"/>
            </w:tcMar>
            <w:vAlign w:val="bottom"/>
          </w:tcPr>
          <w:p w14:paraId="0B2FA75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5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756"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757" w14:textId="77777777" w:rsidR="007F1775" w:rsidRDefault="007F1775">
            <w:pPr>
              <w:jc w:val="right"/>
              <w:rPr>
                <w:rFonts w:ascii="宋体"/>
              </w:rPr>
            </w:pPr>
          </w:p>
        </w:tc>
        <w:tc>
          <w:tcPr>
            <w:tcW w:w="0" w:type="auto"/>
            <w:shd w:val="clear" w:color="auto" w:fill="auto"/>
            <w:vAlign w:val="bottom"/>
          </w:tcPr>
          <w:p w14:paraId="0B2FA758" w14:textId="77777777" w:rsidR="007F1775" w:rsidRDefault="007F1775">
            <w:pPr>
              <w:rPr>
                <w:rFonts w:ascii="宋体"/>
                <w:vanish/>
              </w:rPr>
            </w:pPr>
          </w:p>
        </w:tc>
        <w:tc>
          <w:tcPr>
            <w:tcW w:w="0" w:type="auto"/>
            <w:shd w:val="clear" w:color="auto" w:fill="auto"/>
            <w:vAlign w:val="bottom"/>
          </w:tcPr>
          <w:p w14:paraId="0B2FA759" w14:textId="77777777" w:rsidR="007F1775" w:rsidRDefault="007F1775">
            <w:pPr>
              <w:rPr>
                <w:rFonts w:ascii="宋体"/>
                <w:vanish/>
              </w:rPr>
            </w:pPr>
          </w:p>
        </w:tc>
        <w:tc>
          <w:tcPr>
            <w:tcW w:w="0" w:type="auto"/>
            <w:gridSpan w:val="3"/>
            <w:shd w:val="clear" w:color="auto" w:fill="auto"/>
            <w:vAlign w:val="bottom"/>
          </w:tcPr>
          <w:p w14:paraId="0B2FA75A" w14:textId="77777777" w:rsidR="007F1775" w:rsidRDefault="007F1775">
            <w:pPr>
              <w:rPr>
                <w:rFonts w:ascii="宋体"/>
                <w:vanish/>
              </w:rPr>
            </w:pPr>
          </w:p>
        </w:tc>
        <w:tc>
          <w:tcPr>
            <w:tcW w:w="0" w:type="auto"/>
            <w:gridSpan w:val="3"/>
            <w:shd w:val="clear" w:color="auto" w:fill="auto"/>
            <w:vAlign w:val="bottom"/>
          </w:tcPr>
          <w:p w14:paraId="0B2FA75B" w14:textId="77777777" w:rsidR="007F1775" w:rsidRDefault="007F1775">
            <w:pPr>
              <w:rPr>
                <w:rFonts w:ascii="宋体"/>
                <w:vanish/>
              </w:rPr>
            </w:pPr>
          </w:p>
        </w:tc>
        <w:tc>
          <w:tcPr>
            <w:tcW w:w="0" w:type="auto"/>
            <w:gridSpan w:val="3"/>
            <w:shd w:val="clear" w:color="auto" w:fill="auto"/>
            <w:vAlign w:val="bottom"/>
          </w:tcPr>
          <w:p w14:paraId="0B2FA75C" w14:textId="77777777" w:rsidR="007F1775" w:rsidRDefault="007F1775">
            <w:pPr>
              <w:rPr>
                <w:rFonts w:ascii="宋体"/>
                <w:vanish/>
              </w:rPr>
            </w:pPr>
          </w:p>
        </w:tc>
        <w:tc>
          <w:tcPr>
            <w:tcW w:w="0" w:type="auto"/>
            <w:gridSpan w:val="3"/>
            <w:shd w:val="clear" w:color="auto" w:fill="auto"/>
            <w:vAlign w:val="bottom"/>
          </w:tcPr>
          <w:p w14:paraId="0B2FA75D" w14:textId="77777777" w:rsidR="007F1775" w:rsidRDefault="007F1775">
            <w:pPr>
              <w:rPr>
                <w:rFonts w:ascii="宋体"/>
                <w:vanish/>
              </w:rPr>
            </w:pPr>
          </w:p>
        </w:tc>
        <w:tc>
          <w:tcPr>
            <w:tcW w:w="0" w:type="auto"/>
            <w:gridSpan w:val="3"/>
            <w:shd w:val="clear" w:color="auto" w:fill="auto"/>
            <w:vAlign w:val="bottom"/>
          </w:tcPr>
          <w:p w14:paraId="0B2FA75E" w14:textId="77777777" w:rsidR="007F1775" w:rsidRDefault="007F1775">
            <w:pPr>
              <w:rPr>
                <w:rFonts w:ascii="宋体"/>
                <w:vanish/>
              </w:rPr>
            </w:pPr>
          </w:p>
        </w:tc>
        <w:tc>
          <w:tcPr>
            <w:tcW w:w="0" w:type="auto"/>
            <w:gridSpan w:val="3"/>
            <w:shd w:val="clear" w:color="auto" w:fill="auto"/>
            <w:vAlign w:val="bottom"/>
          </w:tcPr>
          <w:p w14:paraId="0B2FA75F" w14:textId="77777777" w:rsidR="007F1775" w:rsidRDefault="007F1775">
            <w:pPr>
              <w:rPr>
                <w:rFonts w:ascii="宋体"/>
                <w:vanish/>
              </w:rPr>
            </w:pPr>
          </w:p>
        </w:tc>
      </w:tr>
      <w:tr w:rsidR="007F1775" w14:paraId="0B2FA775" w14:textId="77777777">
        <w:tc>
          <w:tcPr>
            <w:tcW w:w="0" w:type="auto"/>
            <w:gridSpan w:val="3"/>
            <w:shd w:val="clear" w:color="auto" w:fill="CCEEFF"/>
            <w:tcMar>
              <w:top w:w="40" w:type="dxa"/>
              <w:left w:w="200" w:type="dxa"/>
              <w:bottom w:w="40" w:type="dxa"/>
              <w:right w:w="20" w:type="dxa"/>
            </w:tcMar>
          </w:tcPr>
          <w:p w14:paraId="0B2FA761" w14:textId="77777777" w:rsidR="007F1775" w:rsidRDefault="000F083E">
            <w:pPr>
              <w:textAlignment w:val="top"/>
            </w:pPr>
            <w:r>
              <w:rPr>
                <w:rFonts w:ascii="Times New Roman" w:eastAsia="宋体" w:hAnsi="Times New Roman"/>
                <w:color w:val="000000"/>
                <w:sz w:val="20"/>
                <w:szCs w:val="20"/>
              </w:rPr>
              <w:t>Shares used in computation of diluted earnings per share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762" w14:textId="77777777" w:rsidR="007F1775" w:rsidRDefault="000F083E">
            <w:pPr>
              <w:jc w:val="right"/>
              <w:textAlignment w:val="bottom"/>
            </w:pPr>
            <w:r>
              <w:rPr>
                <w:rFonts w:ascii="Times New Roman" w:eastAsia="宋体" w:hAnsi="Times New Roman"/>
                <w:color w:val="000000"/>
                <w:sz w:val="20"/>
                <w:szCs w:val="20"/>
              </w:rPr>
              <w:t>2,742 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76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64"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765" w14:textId="77777777" w:rsidR="007F1775" w:rsidRDefault="000F083E">
            <w:pPr>
              <w:jc w:val="right"/>
              <w:textAlignment w:val="bottom"/>
            </w:pPr>
            <w:r>
              <w:rPr>
                <w:rFonts w:ascii="Times New Roman" w:eastAsia="宋体" w:hAnsi="Times New Roman"/>
                <w:color w:val="000000"/>
                <w:sz w:val="20"/>
                <w:szCs w:val="20"/>
              </w:rPr>
              <w:t>413 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76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67"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768" w14:textId="77777777" w:rsidR="007F1775" w:rsidRDefault="000F083E">
            <w:pPr>
              <w:jc w:val="right"/>
              <w:textAlignment w:val="bottom"/>
            </w:pPr>
            <w:r>
              <w:rPr>
                <w:rFonts w:ascii="Times New Roman" w:eastAsia="宋体" w:hAnsi="Times New Roman"/>
                <w:color w:val="000000"/>
                <w:sz w:val="20"/>
                <w:szCs w:val="20"/>
              </w:rPr>
              <w:t>2,882 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76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6A"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76B" w14:textId="77777777" w:rsidR="007F1775" w:rsidRDefault="000F083E">
            <w:pPr>
              <w:jc w:val="right"/>
              <w:textAlignment w:val="bottom"/>
            </w:pPr>
            <w:r>
              <w:rPr>
                <w:rFonts w:ascii="Times New Roman" w:eastAsia="宋体" w:hAnsi="Times New Roman"/>
                <w:color w:val="000000"/>
                <w:sz w:val="20"/>
                <w:szCs w:val="20"/>
              </w:rPr>
              <w:t>441 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76C" w14:textId="77777777" w:rsidR="007F1775" w:rsidRDefault="007F1775">
            <w:pPr>
              <w:jc w:val="right"/>
              <w:rPr>
                <w:rFonts w:ascii="宋体"/>
              </w:rPr>
            </w:pPr>
          </w:p>
        </w:tc>
        <w:tc>
          <w:tcPr>
            <w:tcW w:w="0" w:type="auto"/>
            <w:shd w:val="clear" w:color="auto" w:fill="auto"/>
            <w:vAlign w:val="bottom"/>
          </w:tcPr>
          <w:p w14:paraId="0B2FA76D" w14:textId="77777777" w:rsidR="007F1775" w:rsidRDefault="007F1775">
            <w:pPr>
              <w:rPr>
                <w:rFonts w:ascii="宋体"/>
                <w:vanish/>
              </w:rPr>
            </w:pPr>
          </w:p>
        </w:tc>
        <w:tc>
          <w:tcPr>
            <w:tcW w:w="0" w:type="auto"/>
            <w:shd w:val="clear" w:color="auto" w:fill="auto"/>
            <w:vAlign w:val="bottom"/>
          </w:tcPr>
          <w:p w14:paraId="0B2FA76E" w14:textId="77777777" w:rsidR="007F1775" w:rsidRDefault="007F1775">
            <w:pPr>
              <w:rPr>
                <w:rFonts w:ascii="宋体"/>
                <w:vanish/>
              </w:rPr>
            </w:pPr>
          </w:p>
        </w:tc>
        <w:tc>
          <w:tcPr>
            <w:tcW w:w="0" w:type="auto"/>
            <w:gridSpan w:val="3"/>
            <w:shd w:val="clear" w:color="auto" w:fill="auto"/>
            <w:vAlign w:val="bottom"/>
          </w:tcPr>
          <w:p w14:paraId="0B2FA76F" w14:textId="77777777" w:rsidR="007F1775" w:rsidRDefault="007F1775">
            <w:pPr>
              <w:rPr>
                <w:rFonts w:ascii="宋体"/>
                <w:vanish/>
              </w:rPr>
            </w:pPr>
          </w:p>
        </w:tc>
        <w:tc>
          <w:tcPr>
            <w:tcW w:w="0" w:type="auto"/>
            <w:gridSpan w:val="3"/>
            <w:shd w:val="clear" w:color="auto" w:fill="auto"/>
            <w:vAlign w:val="bottom"/>
          </w:tcPr>
          <w:p w14:paraId="0B2FA770" w14:textId="77777777" w:rsidR="007F1775" w:rsidRDefault="007F1775">
            <w:pPr>
              <w:rPr>
                <w:rFonts w:ascii="宋体"/>
                <w:vanish/>
              </w:rPr>
            </w:pPr>
          </w:p>
        </w:tc>
        <w:tc>
          <w:tcPr>
            <w:tcW w:w="0" w:type="auto"/>
            <w:gridSpan w:val="3"/>
            <w:shd w:val="clear" w:color="auto" w:fill="auto"/>
            <w:vAlign w:val="bottom"/>
          </w:tcPr>
          <w:p w14:paraId="0B2FA771" w14:textId="77777777" w:rsidR="007F1775" w:rsidRDefault="007F1775">
            <w:pPr>
              <w:rPr>
                <w:rFonts w:ascii="宋体"/>
                <w:vanish/>
              </w:rPr>
            </w:pPr>
          </w:p>
        </w:tc>
        <w:tc>
          <w:tcPr>
            <w:tcW w:w="0" w:type="auto"/>
            <w:gridSpan w:val="3"/>
            <w:shd w:val="clear" w:color="auto" w:fill="auto"/>
            <w:vAlign w:val="bottom"/>
          </w:tcPr>
          <w:p w14:paraId="0B2FA772" w14:textId="77777777" w:rsidR="007F1775" w:rsidRDefault="007F1775">
            <w:pPr>
              <w:rPr>
                <w:rFonts w:ascii="宋体"/>
                <w:vanish/>
              </w:rPr>
            </w:pPr>
          </w:p>
        </w:tc>
        <w:tc>
          <w:tcPr>
            <w:tcW w:w="0" w:type="auto"/>
            <w:gridSpan w:val="3"/>
            <w:shd w:val="clear" w:color="auto" w:fill="auto"/>
            <w:vAlign w:val="bottom"/>
          </w:tcPr>
          <w:p w14:paraId="0B2FA773" w14:textId="77777777" w:rsidR="007F1775" w:rsidRDefault="007F1775">
            <w:pPr>
              <w:rPr>
                <w:rFonts w:ascii="宋体"/>
                <w:vanish/>
              </w:rPr>
            </w:pPr>
          </w:p>
        </w:tc>
        <w:tc>
          <w:tcPr>
            <w:tcW w:w="0" w:type="auto"/>
            <w:gridSpan w:val="3"/>
            <w:shd w:val="clear" w:color="auto" w:fill="auto"/>
            <w:vAlign w:val="bottom"/>
          </w:tcPr>
          <w:p w14:paraId="0B2FA774" w14:textId="77777777" w:rsidR="007F1775" w:rsidRDefault="007F1775">
            <w:pPr>
              <w:rPr>
                <w:rFonts w:ascii="宋体"/>
                <w:vanish/>
              </w:rPr>
            </w:pPr>
          </w:p>
        </w:tc>
      </w:tr>
      <w:tr w:rsidR="007F1775" w14:paraId="0B2FA78E" w14:textId="77777777">
        <w:tc>
          <w:tcPr>
            <w:tcW w:w="0" w:type="auto"/>
            <w:gridSpan w:val="3"/>
            <w:shd w:val="clear" w:color="auto" w:fill="FFFFFF"/>
            <w:tcMar>
              <w:top w:w="40" w:type="dxa"/>
              <w:left w:w="20" w:type="dxa"/>
              <w:bottom w:w="40" w:type="dxa"/>
              <w:right w:w="20" w:type="dxa"/>
            </w:tcMar>
          </w:tcPr>
          <w:p w14:paraId="0B2FA776" w14:textId="77777777" w:rsidR="007F1775" w:rsidRDefault="000F083E">
            <w:pPr>
              <w:textAlignment w:val="top"/>
            </w:pPr>
            <w:r>
              <w:rPr>
                <w:rFonts w:ascii="Times New Roman" w:eastAsia="宋体" w:hAnsi="Times New Roman"/>
                <w:color w:val="000000"/>
                <w:sz w:val="20"/>
                <w:szCs w:val="20"/>
              </w:rPr>
              <w:t>Diluted EPS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77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778" w14:textId="77777777" w:rsidR="007F1775" w:rsidRDefault="000F083E">
            <w:pPr>
              <w:jc w:val="right"/>
              <w:textAlignment w:val="bottom"/>
            </w:pPr>
            <w:r>
              <w:rPr>
                <w:rFonts w:ascii="Times New Roman" w:eastAsia="宋体" w:hAnsi="Times New Roman"/>
                <w:color w:val="000000"/>
                <w:sz w:val="20"/>
                <w:szCs w:val="20"/>
              </w:rPr>
              <w:t>2.72 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77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7A"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77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77C" w14:textId="77777777" w:rsidR="007F1775" w:rsidRDefault="000F083E">
            <w:pPr>
              <w:jc w:val="right"/>
              <w:textAlignment w:val="bottom"/>
            </w:pPr>
            <w:r>
              <w:rPr>
                <w:rFonts w:ascii="Times New Roman" w:eastAsia="宋体" w:hAnsi="Times New Roman"/>
                <w:color w:val="000000"/>
                <w:sz w:val="20"/>
                <w:szCs w:val="20"/>
              </w:rPr>
              <w:t>2.72 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77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7E"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77F"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780" w14:textId="77777777" w:rsidR="007F1775" w:rsidRDefault="000F083E">
            <w:pPr>
              <w:jc w:val="right"/>
              <w:textAlignment w:val="bottom"/>
            </w:pPr>
            <w:r>
              <w:rPr>
                <w:rFonts w:ascii="Times New Roman" w:eastAsia="宋体" w:hAnsi="Times New Roman"/>
                <w:color w:val="000000"/>
                <w:sz w:val="20"/>
                <w:szCs w:val="20"/>
              </w:rPr>
              <w:t>3.30 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78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82"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78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784" w14:textId="77777777" w:rsidR="007F1775" w:rsidRDefault="000F083E">
            <w:pPr>
              <w:jc w:val="right"/>
              <w:textAlignment w:val="bottom"/>
            </w:pPr>
            <w:r>
              <w:rPr>
                <w:rFonts w:ascii="Times New Roman" w:eastAsia="宋体" w:hAnsi="Times New Roman"/>
                <w:color w:val="000000"/>
                <w:sz w:val="20"/>
                <w:szCs w:val="20"/>
              </w:rPr>
              <w:t>3.30 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785" w14:textId="77777777" w:rsidR="007F1775" w:rsidRDefault="007F1775">
            <w:pPr>
              <w:jc w:val="right"/>
              <w:rPr>
                <w:rFonts w:ascii="宋体"/>
              </w:rPr>
            </w:pPr>
          </w:p>
        </w:tc>
        <w:tc>
          <w:tcPr>
            <w:tcW w:w="0" w:type="auto"/>
            <w:shd w:val="clear" w:color="auto" w:fill="auto"/>
            <w:vAlign w:val="bottom"/>
          </w:tcPr>
          <w:p w14:paraId="0B2FA786" w14:textId="77777777" w:rsidR="007F1775" w:rsidRDefault="007F1775">
            <w:pPr>
              <w:rPr>
                <w:rFonts w:ascii="宋体"/>
                <w:vanish/>
              </w:rPr>
            </w:pPr>
          </w:p>
        </w:tc>
        <w:tc>
          <w:tcPr>
            <w:tcW w:w="0" w:type="auto"/>
            <w:shd w:val="clear" w:color="auto" w:fill="auto"/>
            <w:vAlign w:val="bottom"/>
          </w:tcPr>
          <w:p w14:paraId="0B2FA787" w14:textId="77777777" w:rsidR="007F1775" w:rsidRDefault="007F1775">
            <w:pPr>
              <w:rPr>
                <w:rFonts w:ascii="宋体"/>
                <w:vanish/>
              </w:rPr>
            </w:pPr>
          </w:p>
        </w:tc>
        <w:tc>
          <w:tcPr>
            <w:tcW w:w="0" w:type="auto"/>
            <w:gridSpan w:val="3"/>
            <w:shd w:val="clear" w:color="auto" w:fill="auto"/>
            <w:vAlign w:val="bottom"/>
          </w:tcPr>
          <w:p w14:paraId="0B2FA788" w14:textId="77777777" w:rsidR="007F1775" w:rsidRDefault="007F1775">
            <w:pPr>
              <w:rPr>
                <w:rFonts w:ascii="宋体"/>
                <w:vanish/>
              </w:rPr>
            </w:pPr>
          </w:p>
        </w:tc>
        <w:tc>
          <w:tcPr>
            <w:tcW w:w="0" w:type="auto"/>
            <w:gridSpan w:val="3"/>
            <w:shd w:val="clear" w:color="auto" w:fill="auto"/>
            <w:vAlign w:val="bottom"/>
          </w:tcPr>
          <w:p w14:paraId="0B2FA789" w14:textId="77777777" w:rsidR="007F1775" w:rsidRDefault="007F1775">
            <w:pPr>
              <w:rPr>
                <w:rFonts w:ascii="宋体"/>
                <w:vanish/>
              </w:rPr>
            </w:pPr>
          </w:p>
        </w:tc>
        <w:tc>
          <w:tcPr>
            <w:tcW w:w="0" w:type="auto"/>
            <w:gridSpan w:val="3"/>
            <w:shd w:val="clear" w:color="auto" w:fill="auto"/>
            <w:vAlign w:val="bottom"/>
          </w:tcPr>
          <w:p w14:paraId="0B2FA78A" w14:textId="77777777" w:rsidR="007F1775" w:rsidRDefault="007F1775">
            <w:pPr>
              <w:rPr>
                <w:rFonts w:ascii="宋体"/>
                <w:vanish/>
              </w:rPr>
            </w:pPr>
          </w:p>
        </w:tc>
        <w:tc>
          <w:tcPr>
            <w:tcW w:w="0" w:type="auto"/>
            <w:gridSpan w:val="3"/>
            <w:shd w:val="clear" w:color="auto" w:fill="auto"/>
            <w:vAlign w:val="bottom"/>
          </w:tcPr>
          <w:p w14:paraId="0B2FA78B" w14:textId="77777777" w:rsidR="007F1775" w:rsidRDefault="007F1775">
            <w:pPr>
              <w:rPr>
                <w:rFonts w:ascii="宋体"/>
                <w:vanish/>
              </w:rPr>
            </w:pPr>
          </w:p>
        </w:tc>
        <w:tc>
          <w:tcPr>
            <w:tcW w:w="0" w:type="auto"/>
            <w:gridSpan w:val="3"/>
            <w:shd w:val="clear" w:color="auto" w:fill="auto"/>
            <w:vAlign w:val="bottom"/>
          </w:tcPr>
          <w:p w14:paraId="0B2FA78C" w14:textId="77777777" w:rsidR="007F1775" w:rsidRDefault="007F1775">
            <w:pPr>
              <w:rPr>
                <w:rFonts w:ascii="宋体"/>
                <w:vanish/>
              </w:rPr>
            </w:pPr>
          </w:p>
        </w:tc>
        <w:tc>
          <w:tcPr>
            <w:tcW w:w="0" w:type="auto"/>
            <w:gridSpan w:val="3"/>
            <w:shd w:val="clear" w:color="auto" w:fill="auto"/>
            <w:vAlign w:val="bottom"/>
          </w:tcPr>
          <w:p w14:paraId="0B2FA78D" w14:textId="77777777" w:rsidR="007F1775" w:rsidRDefault="007F1775">
            <w:pPr>
              <w:rPr>
                <w:rFonts w:ascii="宋体"/>
                <w:vanish/>
              </w:rPr>
            </w:pPr>
          </w:p>
        </w:tc>
      </w:tr>
    </w:tbl>
    <w:p w14:paraId="0B2FA78F" w14:textId="77777777" w:rsidR="007F1775" w:rsidRDefault="000F083E">
      <w:pPr>
        <w:jc w:val="center"/>
      </w:pPr>
      <w:r>
        <w:rPr>
          <w:rFonts w:ascii="Times New Roman" w:eastAsia="宋体" w:hAnsi="Times New Roman"/>
          <w:color w:val="000000"/>
          <w:sz w:val="20"/>
          <w:szCs w:val="20"/>
        </w:rPr>
        <w:t>15</w:t>
      </w:r>
    </w:p>
    <w:p w14:paraId="0B2FA790" w14:textId="77777777" w:rsidR="007F1775" w:rsidRDefault="000F083E">
      <w:r>
        <w:pict w14:anchorId="0B2FBF70">
          <v:rect id="_x0000_i1039" style="width:415.3pt;height:1.5pt" o:hralign="center" o:hrstd="t" o:hr="t" fillcolor="#a0a0a0" stroked="f"/>
        </w:pict>
      </w:r>
    </w:p>
    <w:p w14:paraId="0B2FA791" w14:textId="77777777" w:rsidR="007F1775" w:rsidRDefault="007F1775"/>
    <w:p w14:paraId="0B2FA792" w14:textId="77777777" w:rsidR="007F1775" w:rsidRDefault="007F1775"/>
    <w:p w14:paraId="0B2FA793" w14:textId="77777777" w:rsidR="007F1775" w:rsidRDefault="000F083E">
      <w:hyperlink r:id="rId93" w:anchor="iea70e328caa94cefb76a9db6ed6338fc_7" w:history="1">
        <w:r>
          <w:rPr>
            <w:rStyle w:val="a5"/>
            <w:rFonts w:ascii="Times New Roman" w:eastAsia="宋体" w:hAnsi="Times New Roman"/>
            <w:sz w:val="20"/>
            <w:szCs w:val="20"/>
          </w:rPr>
          <w:t>Table of Contents</w:t>
        </w:r>
      </w:hyperlink>
    </w:p>
    <w:p w14:paraId="0B2FA794" w14:textId="77777777" w:rsidR="007F1775" w:rsidRDefault="000F083E">
      <w:pPr>
        <w:spacing w:before="180"/>
      </w:pPr>
      <w:r>
        <w:rPr>
          <w:rFonts w:ascii="Times New Roman" w:eastAsia="宋体" w:hAnsi="Times New Roman"/>
          <w:b/>
          <w:bCs/>
          <w:color w:val="000000"/>
          <w:sz w:val="20"/>
          <w:szCs w:val="20"/>
        </w:rPr>
        <w:t>Note 4. Cash and Cash Equivalents and Marketable Securities</w:t>
      </w:r>
    </w:p>
    <w:p w14:paraId="0B2FA795" w14:textId="77777777" w:rsidR="007F1775" w:rsidRDefault="007F1775"/>
    <w:p w14:paraId="0B2FA796" w14:textId="77777777" w:rsidR="007F1775" w:rsidRDefault="000F083E">
      <w:pPr>
        <w:ind w:firstLine="540"/>
        <w:jc w:val="both"/>
      </w:pPr>
      <w:r>
        <w:rPr>
          <w:rFonts w:ascii="Times New Roman" w:eastAsia="宋体" w:hAnsi="Times New Roman"/>
          <w:color w:val="000000"/>
          <w:sz w:val="20"/>
          <w:szCs w:val="20"/>
        </w:rPr>
        <w:t xml:space="preserve">The following table sets forth the cash and cash equivalents and marketable securities by major security type (in millions):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8"/>
        <w:gridCol w:w="120"/>
        <w:gridCol w:w="1193"/>
        <w:gridCol w:w="36"/>
        <w:gridCol w:w="36"/>
        <w:gridCol w:w="36"/>
        <w:gridCol w:w="36"/>
        <w:gridCol w:w="120"/>
        <w:gridCol w:w="1160"/>
        <w:gridCol w:w="36"/>
      </w:tblGrid>
      <w:tr w:rsidR="007F1775" w14:paraId="0B2FA7A3" w14:textId="77777777">
        <w:tc>
          <w:tcPr>
            <w:tcW w:w="50" w:type="pct"/>
            <w:shd w:val="clear" w:color="auto" w:fill="auto"/>
            <w:vAlign w:val="bottom"/>
          </w:tcPr>
          <w:p w14:paraId="0B2FA797" w14:textId="77777777" w:rsidR="007F1775" w:rsidRDefault="007F1775">
            <w:pPr>
              <w:rPr>
                <w:rFonts w:ascii="宋体"/>
              </w:rPr>
            </w:pPr>
          </w:p>
        </w:tc>
        <w:tc>
          <w:tcPr>
            <w:tcW w:w="3315" w:type="pct"/>
            <w:shd w:val="clear" w:color="auto" w:fill="auto"/>
            <w:vAlign w:val="bottom"/>
          </w:tcPr>
          <w:p w14:paraId="0B2FA798" w14:textId="77777777" w:rsidR="007F1775" w:rsidRDefault="007F1775">
            <w:pPr>
              <w:rPr>
                <w:rFonts w:ascii="宋体"/>
              </w:rPr>
            </w:pPr>
          </w:p>
        </w:tc>
        <w:tc>
          <w:tcPr>
            <w:tcW w:w="5" w:type="pct"/>
            <w:shd w:val="clear" w:color="auto" w:fill="auto"/>
            <w:vAlign w:val="bottom"/>
          </w:tcPr>
          <w:p w14:paraId="0B2FA799" w14:textId="77777777" w:rsidR="007F1775" w:rsidRDefault="007F1775">
            <w:pPr>
              <w:rPr>
                <w:rFonts w:ascii="宋体"/>
              </w:rPr>
            </w:pPr>
          </w:p>
        </w:tc>
        <w:tc>
          <w:tcPr>
            <w:tcW w:w="50" w:type="pct"/>
            <w:shd w:val="clear" w:color="auto" w:fill="auto"/>
            <w:vAlign w:val="bottom"/>
          </w:tcPr>
          <w:p w14:paraId="0B2FA79A" w14:textId="77777777" w:rsidR="007F1775" w:rsidRDefault="007F1775">
            <w:pPr>
              <w:rPr>
                <w:rFonts w:ascii="宋体"/>
              </w:rPr>
            </w:pPr>
          </w:p>
        </w:tc>
        <w:tc>
          <w:tcPr>
            <w:tcW w:w="741" w:type="pct"/>
            <w:shd w:val="clear" w:color="auto" w:fill="auto"/>
            <w:vAlign w:val="bottom"/>
          </w:tcPr>
          <w:p w14:paraId="0B2FA79B" w14:textId="77777777" w:rsidR="007F1775" w:rsidRDefault="007F1775">
            <w:pPr>
              <w:rPr>
                <w:rFonts w:ascii="宋体"/>
              </w:rPr>
            </w:pPr>
          </w:p>
        </w:tc>
        <w:tc>
          <w:tcPr>
            <w:tcW w:w="5" w:type="pct"/>
            <w:shd w:val="clear" w:color="auto" w:fill="auto"/>
            <w:vAlign w:val="bottom"/>
          </w:tcPr>
          <w:p w14:paraId="0B2FA79C" w14:textId="77777777" w:rsidR="007F1775" w:rsidRDefault="007F1775">
            <w:pPr>
              <w:rPr>
                <w:rFonts w:ascii="宋体"/>
              </w:rPr>
            </w:pPr>
          </w:p>
        </w:tc>
        <w:tc>
          <w:tcPr>
            <w:tcW w:w="5" w:type="pct"/>
            <w:shd w:val="clear" w:color="auto" w:fill="auto"/>
            <w:vAlign w:val="bottom"/>
          </w:tcPr>
          <w:p w14:paraId="0B2FA79D" w14:textId="77777777" w:rsidR="007F1775" w:rsidRDefault="007F1775">
            <w:pPr>
              <w:rPr>
                <w:rFonts w:ascii="宋体"/>
              </w:rPr>
            </w:pPr>
          </w:p>
        </w:tc>
        <w:tc>
          <w:tcPr>
            <w:tcW w:w="27" w:type="pct"/>
            <w:shd w:val="clear" w:color="auto" w:fill="auto"/>
            <w:vAlign w:val="bottom"/>
          </w:tcPr>
          <w:p w14:paraId="0B2FA79E" w14:textId="77777777" w:rsidR="007F1775" w:rsidRDefault="007F1775">
            <w:pPr>
              <w:rPr>
                <w:rFonts w:ascii="宋体"/>
              </w:rPr>
            </w:pPr>
          </w:p>
        </w:tc>
        <w:tc>
          <w:tcPr>
            <w:tcW w:w="5" w:type="pct"/>
            <w:shd w:val="clear" w:color="auto" w:fill="auto"/>
            <w:vAlign w:val="bottom"/>
          </w:tcPr>
          <w:p w14:paraId="0B2FA79F" w14:textId="77777777" w:rsidR="007F1775" w:rsidRDefault="007F1775">
            <w:pPr>
              <w:rPr>
                <w:rFonts w:ascii="宋体"/>
              </w:rPr>
            </w:pPr>
          </w:p>
        </w:tc>
        <w:tc>
          <w:tcPr>
            <w:tcW w:w="50" w:type="pct"/>
            <w:shd w:val="clear" w:color="auto" w:fill="auto"/>
            <w:vAlign w:val="bottom"/>
          </w:tcPr>
          <w:p w14:paraId="0B2FA7A0" w14:textId="77777777" w:rsidR="007F1775" w:rsidRDefault="007F1775">
            <w:pPr>
              <w:rPr>
                <w:rFonts w:ascii="宋体"/>
              </w:rPr>
            </w:pPr>
          </w:p>
        </w:tc>
        <w:tc>
          <w:tcPr>
            <w:tcW w:w="741" w:type="pct"/>
            <w:shd w:val="clear" w:color="auto" w:fill="auto"/>
            <w:vAlign w:val="bottom"/>
          </w:tcPr>
          <w:p w14:paraId="0B2FA7A1" w14:textId="77777777" w:rsidR="007F1775" w:rsidRDefault="007F1775">
            <w:pPr>
              <w:rPr>
                <w:rFonts w:ascii="宋体"/>
              </w:rPr>
            </w:pPr>
          </w:p>
        </w:tc>
        <w:tc>
          <w:tcPr>
            <w:tcW w:w="5" w:type="pct"/>
            <w:shd w:val="clear" w:color="auto" w:fill="auto"/>
            <w:vAlign w:val="bottom"/>
          </w:tcPr>
          <w:p w14:paraId="0B2FA7A2" w14:textId="77777777" w:rsidR="007F1775" w:rsidRDefault="007F1775">
            <w:pPr>
              <w:rPr>
                <w:rFonts w:ascii="宋体"/>
              </w:rPr>
            </w:pPr>
          </w:p>
        </w:tc>
      </w:tr>
      <w:tr w:rsidR="007F1775" w14:paraId="0B2FA7A8" w14:textId="77777777">
        <w:tc>
          <w:tcPr>
            <w:tcW w:w="0" w:type="auto"/>
            <w:gridSpan w:val="3"/>
            <w:shd w:val="clear" w:color="auto" w:fill="auto"/>
            <w:tcMar>
              <w:top w:w="0" w:type="dxa"/>
              <w:left w:w="20" w:type="dxa"/>
              <w:bottom w:w="0" w:type="dxa"/>
              <w:right w:w="20" w:type="dxa"/>
            </w:tcMar>
            <w:vAlign w:val="bottom"/>
          </w:tcPr>
          <w:p w14:paraId="0B2FA7A4"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7A5" w14:textId="77777777" w:rsidR="007F1775" w:rsidRDefault="000F083E">
            <w:pPr>
              <w:jc w:val="center"/>
              <w:textAlignment w:val="bottom"/>
            </w:pPr>
            <w:r>
              <w:rPr>
                <w:rFonts w:ascii="Times New Roman" w:eastAsia="宋体" w:hAnsi="Times New Roman"/>
                <w:b/>
                <w:bCs/>
                <w:color w:val="000000"/>
                <w:sz w:val="16"/>
                <w:szCs w:val="16"/>
              </w:rPr>
              <w:t>March 31, 2022</w:t>
            </w:r>
          </w:p>
        </w:tc>
        <w:tc>
          <w:tcPr>
            <w:tcW w:w="0" w:type="auto"/>
            <w:gridSpan w:val="3"/>
            <w:shd w:val="clear" w:color="auto" w:fill="auto"/>
            <w:tcMar>
              <w:top w:w="0" w:type="dxa"/>
              <w:left w:w="20" w:type="dxa"/>
              <w:bottom w:w="0" w:type="dxa"/>
              <w:right w:w="20" w:type="dxa"/>
            </w:tcMar>
            <w:vAlign w:val="bottom"/>
          </w:tcPr>
          <w:p w14:paraId="0B2FA7A6"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7A7" w14:textId="77777777" w:rsidR="007F1775" w:rsidRDefault="000F083E">
            <w:pPr>
              <w:jc w:val="center"/>
              <w:textAlignment w:val="bottom"/>
            </w:pPr>
            <w:r>
              <w:rPr>
                <w:rFonts w:ascii="Times New Roman" w:eastAsia="宋体" w:hAnsi="Times New Roman"/>
                <w:b/>
                <w:bCs/>
                <w:color w:val="000000"/>
                <w:sz w:val="16"/>
                <w:szCs w:val="16"/>
              </w:rPr>
              <w:t>December 31, 2021</w:t>
            </w:r>
          </w:p>
        </w:tc>
      </w:tr>
      <w:tr w:rsidR="007F1775" w14:paraId="0B2FA7AD" w14:textId="77777777">
        <w:tc>
          <w:tcPr>
            <w:tcW w:w="0" w:type="auto"/>
            <w:gridSpan w:val="3"/>
            <w:shd w:val="clear" w:color="auto" w:fill="CCEEFF"/>
            <w:tcMar>
              <w:top w:w="40" w:type="dxa"/>
              <w:left w:w="20" w:type="dxa"/>
              <w:bottom w:w="40" w:type="dxa"/>
              <w:right w:w="20" w:type="dxa"/>
            </w:tcMar>
            <w:vAlign w:val="bottom"/>
          </w:tcPr>
          <w:p w14:paraId="0B2FA7A9" w14:textId="77777777" w:rsidR="007F1775" w:rsidRDefault="000F083E">
            <w:pPr>
              <w:textAlignment w:val="bottom"/>
            </w:pPr>
            <w:r>
              <w:rPr>
                <w:rFonts w:ascii="Times New Roman" w:eastAsia="宋体" w:hAnsi="Times New Roman"/>
                <w:color w:val="000000"/>
                <w:sz w:val="20"/>
                <w:szCs w:val="20"/>
              </w:rPr>
              <w:t>Cash and cash equivalents: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7AA"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7AB"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7AC" w14:textId="77777777" w:rsidR="007F1775" w:rsidRDefault="007F1775">
            <w:pPr>
              <w:rPr>
                <w:rFonts w:ascii="宋体"/>
              </w:rPr>
            </w:pPr>
          </w:p>
        </w:tc>
      </w:tr>
      <w:tr w:rsidR="007F1775" w14:paraId="0B2FA7B6" w14:textId="77777777">
        <w:tc>
          <w:tcPr>
            <w:tcW w:w="0" w:type="auto"/>
            <w:gridSpan w:val="3"/>
            <w:shd w:val="clear" w:color="auto" w:fill="FFFFFF"/>
            <w:tcMar>
              <w:top w:w="40" w:type="dxa"/>
              <w:left w:w="200" w:type="dxa"/>
              <w:bottom w:w="40" w:type="dxa"/>
              <w:right w:w="20" w:type="dxa"/>
            </w:tcMar>
            <w:vAlign w:val="bottom"/>
          </w:tcPr>
          <w:p w14:paraId="0B2FA7AE" w14:textId="77777777" w:rsidR="007F1775" w:rsidRDefault="000F083E">
            <w:pPr>
              <w:textAlignment w:val="bottom"/>
            </w:pPr>
            <w:r>
              <w:rPr>
                <w:rFonts w:ascii="Times New Roman" w:eastAsia="宋体" w:hAnsi="Times New Roman"/>
                <w:color w:val="000000"/>
                <w:sz w:val="20"/>
                <w:szCs w:val="20"/>
              </w:rPr>
              <w:t>Cash</w:t>
            </w:r>
          </w:p>
        </w:tc>
        <w:tc>
          <w:tcPr>
            <w:tcW w:w="0" w:type="auto"/>
            <w:shd w:val="clear" w:color="auto" w:fill="FFFFFF"/>
            <w:tcMar>
              <w:top w:w="40" w:type="dxa"/>
              <w:left w:w="20" w:type="dxa"/>
              <w:bottom w:w="40" w:type="dxa"/>
              <w:right w:w="0" w:type="dxa"/>
            </w:tcMar>
            <w:vAlign w:val="bottom"/>
          </w:tcPr>
          <w:p w14:paraId="0B2FA7AF"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7B0" w14:textId="77777777" w:rsidR="007F1775" w:rsidRDefault="000F083E">
            <w:pPr>
              <w:jc w:val="right"/>
              <w:textAlignment w:val="bottom"/>
            </w:pPr>
            <w:r>
              <w:rPr>
                <w:rFonts w:ascii="Times New Roman" w:eastAsia="宋体" w:hAnsi="Times New Roman"/>
                <w:color w:val="000000"/>
                <w:sz w:val="20"/>
                <w:szCs w:val="20"/>
              </w:rPr>
              <w:t>7,090 </w:t>
            </w:r>
          </w:p>
        </w:tc>
        <w:tc>
          <w:tcPr>
            <w:tcW w:w="0" w:type="auto"/>
            <w:shd w:val="clear" w:color="auto" w:fill="FFFFFF"/>
            <w:tcMar>
              <w:top w:w="40" w:type="dxa"/>
              <w:left w:w="0" w:type="dxa"/>
              <w:bottom w:w="40" w:type="dxa"/>
              <w:right w:w="20" w:type="dxa"/>
            </w:tcMar>
            <w:vAlign w:val="bottom"/>
          </w:tcPr>
          <w:p w14:paraId="0B2FA7B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B2"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7B3"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7B4" w14:textId="77777777" w:rsidR="007F1775" w:rsidRDefault="000F083E">
            <w:pPr>
              <w:jc w:val="right"/>
              <w:textAlignment w:val="bottom"/>
            </w:pPr>
            <w:r>
              <w:rPr>
                <w:rFonts w:ascii="Times New Roman" w:eastAsia="宋体" w:hAnsi="Times New Roman"/>
                <w:color w:val="000000"/>
                <w:sz w:val="20"/>
                <w:szCs w:val="20"/>
              </w:rPr>
              <w:t>7,308 </w:t>
            </w:r>
          </w:p>
        </w:tc>
        <w:tc>
          <w:tcPr>
            <w:tcW w:w="0" w:type="auto"/>
            <w:shd w:val="clear" w:color="auto" w:fill="FFFFFF"/>
            <w:tcMar>
              <w:top w:w="40" w:type="dxa"/>
              <w:left w:w="0" w:type="dxa"/>
              <w:bottom w:w="40" w:type="dxa"/>
              <w:right w:w="20" w:type="dxa"/>
            </w:tcMar>
            <w:vAlign w:val="bottom"/>
          </w:tcPr>
          <w:p w14:paraId="0B2FA7B5" w14:textId="77777777" w:rsidR="007F1775" w:rsidRDefault="007F1775">
            <w:pPr>
              <w:jc w:val="right"/>
              <w:rPr>
                <w:rFonts w:ascii="宋体"/>
              </w:rPr>
            </w:pPr>
          </w:p>
        </w:tc>
      </w:tr>
      <w:tr w:rsidR="007F1775" w14:paraId="0B2FA7BD" w14:textId="77777777">
        <w:tc>
          <w:tcPr>
            <w:tcW w:w="0" w:type="auto"/>
            <w:gridSpan w:val="3"/>
            <w:shd w:val="clear" w:color="auto" w:fill="CCEEFF"/>
            <w:tcMar>
              <w:top w:w="40" w:type="dxa"/>
              <w:left w:w="200" w:type="dxa"/>
              <w:bottom w:w="40" w:type="dxa"/>
              <w:right w:w="20" w:type="dxa"/>
            </w:tcMar>
            <w:vAlign w:val="bottom"/>
          </w:tcPr>
          <w:p w14:paraId="0B2FA7B7" w14:textId="77777777" w:rsidR="007F1775" w:rsidRDefault="000F083E">
            <w:pPr>
              <w:textAlignment w:val="bottom"/>
            </w:pPr>
            <w:r>
              <w:rPr>
                <w:rFonts w:ascii="Times New Roman" w:eastAsia="宋体" w:hAnsi="Times New Roman"/>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0B2FA7B8" w14:textId="77777777" w:rsidR="007F1775" w:rsidRDefault="000F083E">
            <w:pPr>
              <w:jc w:val="right"/>
              <w:textAlignment w:val="bottom"/>
            </w:pPr>
            <w:r>
              <w:rPr>
                <w:rFonts w:ascii="Times New Roman" w:eastAsia="宋体" w:hAnsi="Times New Roman"/>
                <w:color w:val="000000"/>
                <w:sz w:val="20"/>
                <w:szCs w:val="20"/>
              </w:rPr>
              <w:t>7,350 </w:t>
            </w:r>
          </w:p>
        </w:tc>
        <w:tc>
          <w:tcPr>
            <w:tcW w:w="0" w:type="auto"/>
            <w:shd w:val="clear" w:color="auto" w:fill="CCEEFF"/>
            <w:tcMar>
              <w:top w:w="40" w:type="dxa"/>
              <w:left w:w="0" w:type="dxa"/>
              <w:bottom w:w="40" w:type="dxa"/>
              <w:right w:w="20" w:type="dxa"/>
            </w:tcMar>
            <w:vAlign w:val="bottom"/>
          </w:tcPr>
          <w:p w14:paraId="0B2FA7B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BA"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7BB" w14:textId="77777777" w:rsidR="007F1775" w:rsidRDefault="000F083E">
            <w:pPr>
              <w:jc w:val="right"/>
              <w:textAlignment w:val="bottom"/>
            </w:pPr>
            <w:r>
              <w:rPr>
                <w:rFonts w:ascii="Times New Roman" w:eastAsia="宋体" w:hAnsi="Times New Roman"/>
                <w:color w:val="000000"/>
                <w:sz w:val="20"/>
                <w:szCs w:val="20"/>
              </w:rPr>
              <w:t>8,850 </w:t>
            </w:r>
          </w:p>
        </w:tc>
        <w:tc>
          <w:tcPr>
            <w:tcW w:w="0" w:type="auto"/>
            <w:shd w:val="clear" w:color="auto" w:fill="CCEEFF"/>
            <w:tcMar>
              <w:top w:w="40" w:type="dxa"/>
              <w:left w:w="0" w:type="dxa"/>
              <w:bottom w:w="40" w:type="dxa"/>
              <w:right w:w="20" w:type="dxa"/>
            </w:tcMar>
            <w:vAlign w:val="bottom"/>
          </w:tcPr>
          <w:p w14:paraId="0B2FA7BC" w14:textId="77777777" w:rsidR="007F1775" w:rsidRDefault="007F1775">
            <w:pPr>
              <w:jc w:val="right"/>
              <w:rPr>
                <w:rFonts w:ascii="宋体"/>
              </w:rPr>
            </w:pPr>
          </w:p>
        </w:tc>
      </w:tr>
      <w:tr w:rsidR="007F1775" w14:paraId="0B2FA7C4" w14:textId="77777777">
        <w:tc>
          <w:tcPr>
            <w:tcW w:w="0" w:type="auto"/>
            <w:gridSpan w:val="3"/>
            <w:shd w:val="clear" w:color="auto" w:fill="FFFFFF"/>
            <w:tcMar>
              <w:top w:w="40" w:type="dxa"/>
              <w:left w:w="200" w:type="dxa"/>
              <w:bottom w:w="40" w:type="dxa"/>
              <w:right w:w="20" w:type="dxa"/>
            </w:tcMar>
            <w:vAlign w:val="bottom"/>
          </w:tcPr>
          <w:p w14:paraId="0B2FA7BE" w14:textId="77777777" w:rsidR="007F1775" w:rsidRDefault="000F083E">
            <w:pPr>
              <w:textAlignment w:val="bottom"/>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0B2FA7BF" w14:textId="77777777" w:rsidR="007F1775" w:rsidRDefault="000F083E">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bottom"/>
          </w:tcPr>
          <w:p w14:paraId="0B2FA7C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C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7C2" w14:textId="77777777" w:rsidR="007F1775" w:rsidRDefault="000F083E">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B2FA7C3" w14:textId="77777777" w:rsidR="007F1775" w:rsidRDefault="007F1775">
            <w:pPr>
              <w:jc w:val="right"/>
              <w:rPr>
                <w:rFonts w:ascii="宋体"/>
              </w:rPr>
            </w:pPr>
          </w:p>
        </w:tc>
      </w:tr>
      <w:tr w:rsidR="007F1775" w14:paraId="0B2FA7CB" w14:textId="77777777">
        <w:tc>
          <w:tcPr>
            <w:tcW w:w="0" w:type="auto"/>
            <w:gridSpan w:val="3"/>
            <w:shd w:val="clear" w:color="auto" w:fill="CCEEFF"/>
            <w:tcMar>
              <w:top w:w="40" w:type="dxa"/>
              <w:left w:w="200" w:type="dxa"/>
              <w:bottom w:w="40" w:type="dxa"/>
              <w:right w:w="20" w:type="dxa"/>
            </w:tcMar>
            <w:vAlign w:val="bottom"/>
          </w:tcPr>
          <w:p w14:paraId="0B2FA7C5" w14:textId="77777777" w:rsidR="007F1775" w:rsidRDefault="000F083E">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CCEEFF"/>
            <w:tcMar>
              <w:top w:w="40" w:type="dxa"/>
              <w:left w:w="20" w:type="dxa"/>
              <w:bottom w:w="40" w:type="dxa"/>
              <w:right w:w="0" w:type="dxa"/>
            </w:tcMar>
            <w:vAlign w:val="bottom"/>
          </w:tcPr>
          <w:p w14:paraId="0B2FA7C6"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7C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C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7C9" w14:textId="77777777" w:rsidR="007F1775" w:rsidRDefault="000F083E">
            <w:pPr>
              <w:jc w:val="right"/>
              <w:textAlignment w:val="bottom"/>
            </w:pPr>
            <w:r>
              <w:rPr>
                <w:rFonts w:ascii="Times New Roman" w:eastAsia="宋体" w:hAnsi="Times New Roman"/>
                <w:color w:val="000000"/>
                <w:sz w:val="20"/>
                <w:szCs w:val="20"/>
              </w:rPr>
              <w:t>108 </w:t>
            </w:r>
          </w:p>
        </w:tc>
        <w:tc>
          <w:tcPr>
            <w:tcW w:w="0" w:type="auto"/>
            <w:shd w:val="clear" w:color="auto" w:fill="CCEEFF"/>
            <w:tcMar>
              <w:top w:w="40" w:type="dxa"/>
              <w:left w:w="0" w:type="dxa"/>
              <w:bottom w:w="40" w:type="dxa"/>
              <w:right w:w="20" w:type="dxa"/>
            </w:tcMar>
            <w:vAlign w:val="bottom"/>
          </w:tcPr>
          <w:p w14:paraId="0B2FA7CA" w14:textId="77777777" w:rsidR="007F1775" w:rsidRDefault="007F1775">
            <w:pPr>
              <w:jc w:val="right"/>
              <w:rPr>
                <w:rFonts w:ascii="宋体"/>
              </w:rPr>
            </w:pPr>
          </w:p>
        </w:tc>
      </w:tr>
      <w:tr w:rsidR="007F1775" w14:paraId="0B2FA7D2" w14:textId="77777777">
        <w:tc>
          <w:tcPr>
            <w:tcW w:w="0" w:type="auto"/>
            <w:gridSpan w:val="3"/>
            <w:shd w:val="clear" w:color="auto" w:fill="FFFFFF"/>
            <w:tcMar>
              <w:top w:w="40" w:type="dxa"/>
              <w:left w:w="200" w:type="dxa"/>
              <w:bottom w:w="40" w:type="dxa"/>
              <w:right w:w="20" w:type="dxa"/>
            </w:tcMar>
            <w:vAlign w:val="bottom"/>
          </w:tcPr>
          <w:p w14:paraId="0B2FA7CC" w14:textId="77777777" w:rsidR="007F1775" w:rsidRDefault="000F083E">
            <w:pPr>
              <w:textAlignment w:val="bottom"/>
            </w:pPr>
            <w:r>
              <w:rPr>
                <w:rFonts w:ascii="Times New Roman" w:eastAsia="宋体" w:hAnsi="Times New Roman"/>
                <w:color w:val="000000"/>
                <w:sz w:val="20"/>
                <w:szCs w:val="20"/>
              </w:rPr>
              <w:t>Certificates of deposit and time deposits</w:t>
            </w:r>
          </w:p>
        </w:tc>
        <w:tc>
          <w:tcPr>
            <w:tcW w:w="0" w:type="auto"/>
            <w:gridSpan w:val="2"/>
            <w:shd w:val="clear" w:color="auto" w:fill="FFFFFF"/>
            <w:tcMar>
              <w:top w:w="40" w:type="dxa"/>
              <w:left w:w="20" w:type="dxa"/>
              <w:bottom w:w="40" w:type="dxa"/>
              <w:right w:w="0" w:type="dxa"/>
            </w:tcMar>
            <w:vAlign w:val="bottom"/>
          </w:tcPr>
          <w:p w14:paraId="0B2FA7CD" w14:textId="77777777" w:rsidR="007F1775" w:rsidRDefault="000F083E">
            <w:pPr>
              <w:jc w:val="right"/>
              <w:textAlignment w:val="bottom"/>
            </w:pPr>
            <w:r>
              <w:rPr>
                <w:rFonts w:ascii="Times New Roman" w:eastAsia="宋体" w:hAnsi="Times New Roman"/>
                <w:color w:val="000000"/>
                <w:sz w:val="20"/>
                <w:szCs w:val="20"/>
              </w:rPr>
              <w:t>351 </w:t>
            </w:r>
          </w:p>
        </w:tc>
        <w:tc>
          <w:tcPr>
            <w:tcW w:w="0" w:type="auto"/>
            <w:shd w:val="clear" w:color="auto" w:fill="FFFFFF"/>
            <w:tcMar>
              <w:top w:w="40" w:type="dxa"/>
              <w:left w:w="0" w:type="dxa"/>
              <w:bottom w:w="40" w:type="dxa"/>
              <w:right w:w="20" w:type="dxa"/>
            </w:tcMar>
            <w:vAlign w:val="bottom"/>
          </w:tcPr>
          <w:p w14:paraId="0B2FA7C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C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7D0" w14:textId="77777777" w:rsidR="007F1775" w:rsidRDefault="000F083E">
            <w:pPr>
              <w:jc w:val="right"/>
              <w:textAlignment w:val="bottom"/>
            </w:pPr>
            <w:r>
              <w:rPr>
                <w:rFonts w:ascii="Times New Roman" w:eastAsia="宋体" w:hAnsi="Times New Roman"/>
                <w:color w:val="000000"/>
                <w:sz w:val="20"/>
                <w:szCs w:val="20"/>
              </w:rPr>
              <w:t>250 </w:t>
            </w:r>
          </w:p>
        </w:tc>
        <w:tc>
          <w:tcPr>
            <w:tcW w:w="0" w:type="auto"/>
            <w:shd w:val="clear" w:color="auto" w:fill="FFFFFF"/>
            <w:tcMar>
              <w:top w:w="40" w:type="dxa"/>
              <w:left w:w="0" w:type="dxa"/>
              <w:bottom w:w="40" w:type="dxa"/>
              <w:right w:w="20" w:type="dxa"/>
            </w:tcMar>
            <w:vAlign w:val="bottom"/>
          </w:tcPr>
          <w:p w14:paraId="0B2FA7D1" w14:textId="77777777" w:rsidR="007F1775" w:rsidRDefault="007F1775">
            <w:pPr>
              <w:jc w:val="right"/>
              <w:rPr>
                <w:rFonts w:ascii="宋体"/>
              </w:rPr>
            </w:pPr>
          </w:p>
        </w:tc>
      </w:tr>
      <w:tr w:rsidR="007F1775" w14:paraId="0B2FA7D9" w14:textId="77777777">
        <w:tc>
          <w:tcPr>
            <w:tcW w:w="0" w:type="auto"/>
            <w:gridSpan w:val="3"/>
            <w:shd w:val="clear" w:color="auto" w:fill="CCEEFF"/>
            <w:tcMar>
              <w:top w:w="40" w:type="dxa"/>
              <w:left w:w="200" w:type="dxa"/>
              <w:bottom w:w="40" w:type="dxa"/>
              <w:right w:w="20" w:type="dxa"/>
            </w:tcMar>
            <w:vAlign w:val="bottom"/>
          </w:tcPr>
          <w:p w14:paraId="0B2FA7D3" w14:textId="77777777" w:rsidR="007F1775" w:rsidRDefault="000F083E">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0B2FA7D4" w14:textId="77777777" w:rsidR="007F1775" w:rsidRDefault="000F083E">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0B2FA7D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D6"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7D7" w14:textId="77777777" w:rsidR="007F1775" w:rsidRDefault="000F083E">
            <w:pPr>
              <w:jc w:val="right"/>
              <w:textAlignment w:val="bottom"/>
            </w:pPr>
            <w:r>
              <w:rPr>
                <w:rFonts w:ascii="Times New Roman" w:eastAsia="宋体" w:hAnsi="Times New Roman"/>
                <w:color w:val="000000"/>
                <w:sz w:val="20"/>
                <w:szCs w:val="20"/>
              </w:rPr>
              <w:t>60 </w:t>
            </w:r>
          </w:p>
        </w:tc>
        <w:tc>
          <w:tcPr>
            <w:tcW w:w="0" w:type="auto"/>
            <w:shd w:val="clear" w:color="auto" w:fill="CCEEFF"/>
            <w:tcMar>
              <w:top w:w="40" w:type="dxa"/>
              <w:left w:w="0" w:type="dxa"/>
              <w:bottom w:w="40" w:type="dxa"/>
              <w:right w:w="20" w:type="dxa"/>
            </w:tcMar>
            <w:vAlign w:val="bottom"/>
          </w:tcPr>
          <w:p w14:paraId="0B2FA7D8" w14:textId="77777777" w:rsidR="007F1775" w:rsidRDefault="007F1775">
            <w:pPr>
              <w:jc w:val="right"/>
              <w:rPr>
                <w:rFonts w:ascii="宋体"/>
              </w:rPr>
            </w:pPr>
          </w:p>
        </w:tc>
      </w:tr>
      <w:tr w:rsidR="007F1775" w14:paraId="0B2FA7E0" w14:textId="77777777">
        <w:tc>
          <w:tcPr>
            <w:tcW w:w="0" w:type="auto"/>
            <w:gridSpan w:val="3"/>
            <w:shd w:val="clear" w:color="auto" w:fill="FFFFFF"/>
            <w:tcMar>
              <w:top w:w="40" w:type="dxa"/>
              <w:left w:w="380" w:type="dxa"/>
              <w:bottom w:w="40" w:type="dxa"/>
              <w:right w:w="20" w:type="dxa"/>
            </w:tcMar>
            <w:vAlign w:val="bottom"/>
          </w:tcPr>
          <w:p w14:paraId="0B2FA7DA" w14:textId="77777777" w:rsidR="007F1775" w:rsidRDefault="000F083E">
            <w:pPr>
              <w:textAlignment w:val="bottom"/>
            </w:pPr>
            <w:r>
              <w:rPr>
                <w:rFonts w:ascii="Times New Roman" w:eastAsia="宋体" w:hAnsi="Times New Roman"/>
                <w:color w:val="000000"/>
                <w:sz w:val="20"/>
                <w:szCs w:val="20"/>
              </w:rPr>
              <w:t>Total cash and cash equivalents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A7DB" w14:textId="77777777" w:rsidR="007F1775" w:rsidRDefault="000F083E">
            <w:pPr>
              <w:jc w:val="right"/>
              <w:textAlignment w:val="bottom"/>
            </w:pPr>
            <w:r>
              <w:rPr>
                <w:rFonts w:ascii="Times New Roman" w:eastAsia="宋体" w:hAnsi="Times New Roman"/>
                <w:color w:val="000000"/>
                <w:sz w:val="20"/>
                <w:szCs w:val="20"/>
              </w:rPr>
              <w:t>14,886 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7DC"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DD"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A7DE" w14:textId="77777777" w:rsidR="007F1775" w:rsidRDefault="000F083E">
            <w:pPr>
              <w:jc w:val="right"/>
              <w:textAlignment w:val="bottom"/>
            </w:pPr>
            <w:r>
              <w:rPr>
                <w:rFonts w:ascii="Times New Roman" w:eastAsia="宋体" w:hAnsi="Times New Roman"/>
                <w:color w:val="000000"/>
                <w:sz w:val="20"/>
                <w:szCs w:val="20"/>
              </w:rPr>
              <w:t>16,601 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7DF" w14:textId="77777777" w:rsidR="007F1775" w:rsidRDefault="007F1775">
            <w:pPr>
              <w:jc w:val="right"/>
              <w:rPr>
                <w:rFonts w:ascii="宋体"/>
              </w:rPr>
            </w:pPr>
          </w:p>
        </w:tc>
      </w:tr>
      <w:tr w:rsidR="007F1775" w14:paraId="0B2FA7E5" w14:textId="77777777">
        <w:tc>
          <w:tcPr>
            <w:tcW w:w="0" w:type="auto"/>
            <w:gridSpan w:val="3"/>
            <w:shd w:val="clear" w:color="auto" w:fill="CCEEFF"/>
            <w:tcMar>
              <w:top w:w="40" w:type="dxa"/>
              <w:left w:w="20" w:type="dxa"/>
              <w:bottom w:w="40" w:type="dxa"/>
              <w:right w:w="20" w:type="dxa"/>
            </w:tcMar>
            <w:vAlign w:val="bottom"/>
          </w:tcPr>
          <w:p w14:paraId="0B2FA7E1" w14:textId="77777777" w:rsidR="007F1775" w:rsidRDefault="000F083E">
            <w:pPr>
              <w:textAlignment w:val="bottom"/>
            </w:pPr>
            <w:r>
              <w:rPr>
                <w:rFonts w:ascii="Times New Roman" w:eastAsia="宋体" w:hAnsi="Times New Roman"/>
                <w:color w:val="000000"/>
                <w:sz w:val="20"/>
                <w:szCs w:val="20"/>
              </w:rPr>
              <w:t>Marketable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7E2"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7E3"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7E4" w14:textId="77777777" w:rsidR="007F1775" w:rsidRDefault="007F1775">
            <w:pPr>
              <w:rPr>
                <w:rFonts w:ascii="宋体"/>
              </w:rPr>
            </w:pPr>
          </w:p>
        </w:tc>
      </w:tr>
      <w:tr w:rsidR="007F1775" w14:paraId="0B2FA7EC" w14:textId="77777777">
        <w:tc>
          <w:tcPr>
            <w:tcW w:w="0" w:type="auto"/>
            <w:gridSpan w:val="3"/>
            <w:shd w:val="clear" w:color="auto" w:fill="FFFFFF"/>
            <w:tcMar>
              <w:top w:w="40" w:type="dxa"/>
              <w:left w:w="200" w:type="dxa"/>
              <w:bottom w:w="40" w:type="dxa"/>
              <w:right w:w="20" w:type="dxa"/>
            </w:tcMar>
            <w:vAlign w:val="bottom"/>
          </w:tcPr>
          <w:p w14:paraId="0B2FA7E6" w14:textId="77777777" w:rsidR="007F1775" w:rsidRDefault="000F083E">
            <w:pPr>
              <w:textAlignment w:val="bottom"/>
            </w:pPr>
            <w:r>
              <w:rPr>
                <w:rFonts w:ascii="Times New Roman" w:eastAsia="宋体" w:hAnsi="Times New Roman"/>
                <w:color w:val="000000"/>
                <w:sz w:val="20"/>
                <w:szCs w:val="20"/>
              </w:rPr>
              <w:t>U.S. government securities</w:t>
            </w:r>
          </w:p>
        </w:tc>
        <w:tc>
          <w:tcPr>
            <w:tcW w:w="0" w:type="auto"/>
            <w:gridSpan w:val="2"/>
            <w:shd w:val="clear" w:color="auto" w:fill="FFFFFF"/>
            <w:tcMar>
              <w:top w:w="40" w:type="dxa"/>
              <w:left w:w="20" w:type="dxa"/>
              <w:bottom w:w="40" w:type="dxa"/>
              <w:right w:w="0" w:type="dxa"/>
            </w:tcMar>
            <w:vAlign w:val="bottom"/>
          </w:tcPr>
          <w:p w14:paraId="0B2FA7E7" w14:textId="77777777" w:rsidR="007F1775" w:rsidRDefault="000F083E">
            <w:pPr>
              <w:jc w:val="right"/>
              <w:textAlignment w:val="bottom"/>
            </w:pPr>
            <w:r>
              <w:rPr>
                <w:rFonts w:ascii="Times New Roman" w:eastAsia="宋体" w:hAnsi="Times New Roman"/>
                <w:color w:val="000000"/>
                <w:sz w:val="20"/>
                <w:szCs w:val="20"/>
              </w:rPr>
              <w:t>9,721 </w:t>
            </w:r>
          </w:p>
        </w:tc>
        <w:tc>
          <w:tcPr>
            <w:tcW w:w="0" w:type="auto"/>
            <w:shd w:val="clear" w:color="auto" w:fill="FFFFFF"/>
            <w:tcMar>
              <w:top w:w="40" w:type="dxa"/>
              <w:left w:w="0" w:type="dxa"/>
              <w:bottom w:w="40" w:type="dxa"/>
              <w:right w:w="20" w:type="dxa"/>
            </w:tcMar>
            <w:vAlign w:val="bottom"/>
          </w:tcPr>
          <w:p w14:paraId="0B2FA7E8"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E9"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7EA" w14:textId="77777777" w:rsidR="007F1775" w:rsidRDefault="000F083E">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0B2FA7EB" w14:textId="77777777" w:rsidR="007F1775" w:rsidRDefault="007F1775">
            <w:pPr>
              <w:jc w:val="right"/>
              <w:rPr>
                <w:rFonts w:ascii="宋体"/>
              </w:rPr>
            </w:pPr>
          </w:p>
        </w:tc>
      </w:tr>
      <w:tr w:rsidR="007F1775" w14:paraId="0B2FA7F3" w14:textId="77777777">
        <w:tc>
          <w:tcPr>
            <w:tcW w:w="0" w:type="auto"/>
            <w:gridSpan w:val="3"/>
            <w:shd w:val="clear" w:color="auto" w:fill="CCEEFF"/>
            <w:tcMar>
              <w:top w:w="40" w:type="dxa"/>
              <w:left w:w="200" w:type="dxa"/>
              <w:bottom w:w="40" w:type="dxa"/>
              <w:right w:w="20" w:type="dxa"/>
            </w:tcMar>
            <w:vAlign w:val="bottom"/>
          </w:tcPr>
          <w:p w14:paraId="0B2FA7ED" w14:textId="77777777" w:rsidR="007F1775" w:rsidRDefault="000F083E">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CCEEFF"/>
            <w:tcMar>
              <w:top w:w="40" w:type="dxa"/>
              <w:left w:w="20" w:type="dxa"/>
              <w:bottom w:w="40" w:type="dxa"/>
              <w:right w:w="0" w:type="dxa"/>
            </w:tcMar>
            <w:vAlign w:val="bottom"/>
          </w:tcPr>
          <w:p w14:paraId="0B2FA7EE" w14:textId="77777777" w:rsidR="007F1775" w:rsidRDefault="000F083E">
            <w:pPr>
              <w:jc w:val="right"/>
              <w:textAlignment w:val="bottom"/>
            </w:pPr>
            <w:r>
              <w:rPr>
                <w:rFonts w:ascii="Times New Roman" w:eastAsia="宋体" w:hAnsi="Times New Roman"/>
                <w:color w:val="000000"/>
                <w:sz w:val="20"/>
                <w:szCs w:val="20"/>
              </w:rPr>
              <w:t>5,434 </w:t>
            </w:r>
          </w:p>
        </w:tc>
        <w:tc>
          <w:tcPr>
            <w:tcW w:w="0" w:type="auto"/>
            <w:shd w:val="clear" w:color="auto" w:fill="CCEEFF"/>
            <w:tcMar>
              <w:top w:w="40" w:type="dxa"/>
              <w:left w:w="0" w:type="dxa"/>
              <w:bottom w:w="40" w:type="dxa"/>
              <w:right w:w="20" w:type="dxa"/>
            </w:tcMar>
            <w:vAlign w:val="bottom"/>
          </w:tcPr>
          <w:p w14:paraId="0B2FA7E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F0"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7F1" w14:textId="77777777" w:rsidR="007F1775" w:rsidRDefault="000F083E">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0B2FA7F2" w14:textId="77777777" w:rsidR="007F1775" w:rsidRDefault="007F1775">
            <w:pPr>
              <w:jc w:val="right"/>
              <w:rPr>
                <w:rFonts w:ascii="宋体"/>
              </w:rPr>
            </w:pPr>
          </w:p>
        </w:tc>
      </w:tr>
      <w:tr w:rsidR="007F1775" w14:paraId="0B2FA7FA" w14:textId="77777777">
        <w:tc>
          <w:tcPr>
            <w:tcW w:w="0" w:type="auto"/>
            <w:gridSpan w:val="3"/>
            <w:shd w:val="clear" w:color="auto" w:fill="FFFFFF"/>
            <w:tcMar>
              <w:top w:w="40" w:type="dxa"/>
              <w:left w:w="200" w:type="dxa"/>
              <w:bottom w:w="40" w:type="dxa"/>
              <w:right w:w="20" w:type="dxa"/>
            </w:tcMar>
            <w:vAlign w:val="bottom"/>
          </w:tcPr>
          <w:p w14:paraId="0B2FA7F4" w14:textId="77777777" w:rsidR="007F1775" w:rsidRDefault="000F083E">
            <w:pPr>
              <w:textAlignment w:val="bottom"/>
            </w:pPr>
            <w:r>
              <w:rPr>
                <w:rFonts w:ascii="Times New Roman" w:eastAsia="宋体" w:hAnsi="Times New Roman"/>
                <w:color w:val="000000"/>
                <w:sz w:val="20"/>
                <w:szCs w:val="20"/>
              </w:rPr>
              <w:t>Corporate debt securities</w:t>
            </w:r>
          </w:p>
        </w:tc>
        <w:tc>
          <w:tcPr>
            <w:tcW w:w="0" w:type="auto"/>
            <w:gridSpan w:val="2"/>
            <w:shd w:val="clear" w:color="auto" w:fill="FFFFFF"/>
            <w:tcMar>
              <w:top w:w="40" w:type="dxa"/>
              <w:left w:w="20" w:type="dxa"/>
              <w:bottom w:w="40" w:type="dxa"/>
              <w:right w:w="0" w:type="dxa"/>
            </w:tcMar>
            <w:vAlign w:val="bottom"/>
          </w:tcPr>
          <w:p w14:paraId="0B2FA7F5" w14:textId="77777777" w:rsidR="007F1775" w:rsidRDefault="000F083E">
            <w:pPr>
              <w:jc w:val="right"/>
              <w:textAlignment w:val="bottom"/>
            </w:pPr>
            <w:r>
              <w:rPr>
                <w:rFonts w:ascii="Times New Roman" w:eastAsia="宋体" w:hAnsi="Times New Roman"/>
                <w:color w:val="000000"/>
                <w:sz w:val="20"/>
                <w:szCs w:val="20"/>
              </w:rPr>
              <w:t>13,849 </w:t>
            </w:r>
          </w:p>
        </w:tc>
        <w:tc>
          <w:tcPr>
            <w:tcW w:w="0" w:type="auto"/>
            <w:shd w:val="clear" w:color="auto" w:fill="FFFFFF"/>
            <w:tcMar>
              <w:top w:w="40" w:type="dxa"/>
              <w:left w:w="0" w:type="dxa"/>
              <w:bottom w:w="40" w:type="dxa"/>
              <w:right w:w="20" w:type="dxa"/>
            </w:tcMar>
            <w:vAlign w:val="bottom"/>
          </w:tcPr>
          <w:p w14:paraId="0B2FA7F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7F7"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7F8" w14:textId="77777777" w:rsidR="007F1775" w:rsidRDefault="000F083E">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0B2FA7F9" w14:textId="77777777" w:rsidR="007F1775" w:rsidRDefault="007F1775">
            <w:pPr>
              <w:jc w:val="right"/>
              <w:rPr>
                <w:rFonts w:ascii="宋体"/>
              </w:rPr>
            </w:pPr>
          </w:p>
        </w:tc>
      </w:tr>
      <w:tr w:rsidR="007F1775" w14:paraId="0B2FA801" w14:textId="77777777">
        <w:tc>
          <w:tcPr>
            <w:tcW w:w="0" w:type="auto"/>
            <w:gridSpan w:val="3"/>
            <w:shd w:val="clear" w:color="auto" w:fill="CCEEFF"/>
            <w:tcMar>
              <w:top w:w="40" w:type="dxa"/>
              <w:left w:w="380" w:type="dxa"/>
              <w:bottom w:w="40" w:type="dxa"/>
              <w:right w:w="20" w:type="dxa"/>
            </w:tcMar>
            <w:vAlign w:val="bottom"/>
          </w:tcPr>
          <w:p w14:paraId="0B2FA7FB" w14:textId="77777777" w:rsidR="007F1775" w:rsidRDefault="000F083E">
            <w:pPr>
              <w:textAlignment w:val="bottom"/>
            </w:pPr>
            <w:r>
              <w:rPr>
                <w:rFonts w:ascii="Times New Roman" w:eastAsia="宋体" w:hAnsi="Times New Roman"/>
                <w:color w:val="000000"/>
                <w:sz w:val="20"/>
                <w:szCs w:val="20"/>
              </w:rPr>
              <w:t>Total marketable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7FC" w14:textId="77777777" w:rsidR="007F1775" w:rsidRDefault="000F083E">
            <w:pPr>
              <w:jc w:val="right"/>
              <w:textAlignment w:val="bottom"/>
            </w:pPr>
            <w:r>
              <w:rPr>
                <w:rFonts w:ascii="Times New Roman" w:eastAsia="宋体" w:hAnsi="Times New Roman"/>
                <w:color w:val="000000"/>
                <w:sz w:val="20"/>
                <w:szCs w:val="20"/>
              </w:rPr>
              <w:t>29,004 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7F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7FE"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7FF" w14:textId="77777777" w:rsidR="007F1775" w:rsidRDefault="000F083E">
            <w:pPr>
              <w:jc w:val="right"/>
              <w:textAlignment w:val="bottom"/>
            </w:pPr>
            <w:r>
              <w:rPr>
                <w:rFonts w:ascii="Times New Roman" w:eastAsia="宋体" w:hAnsi="Times New Roman"/>
                <w:color w:val="000000"/>
                <w:sz w:val="20"/>
                <w:szCs w:val="20"/>
              </w:rPr>
              <w:t>31,397 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800" w14:textId="77777777" w:rsidR="007F1775" w:rsidRDefault="007F1775">
            <w:pPr>
              <w:jc w:val="right"/>
              <w:rPr>
                <w:rFonts w:ascii="宋体"/>
              </w:rPr>
            </w:pPr>
          </w:p>
        </w:tc>
      </w:tr>
      <w:tr w:rsidR="007F1775" w14:paraId="0B2FA80A" w14:textId="77777777">
        <w:tc>
          <w:tcPr>
            <w:tcW w:w="0" w:type="auto"/>
            <w:gridSpan w:val="3"/>
            <w:shd w:val="clear" w:color="auto" w:fill="FFFFFF"/>
            <w:tcMar>
              <w:top w:w="40" w:type="dxa"/>
              <w:left w:w="20" w:type="dxa"/>
              <w:bottom w:w="40" w:type="dxa"/>
              <w:right w:w="20" w:type="dxa"/>
            </w:tcMar>
            <w:vAlign w:val="bottom"/>
          </w:tcPr>
          <w:p w14:paraId="0B2FA802" w14:textId="77777777" w:rsidR="007F1775" w:rsidRDefault="000F083E">
            <w:pPr>
              <w:textAlignment w:val="bottom"/>
            </w:pPr>
            <w:r>
              <w:rPr>
                <w:rFonts w:ascii="Times New Roman" w:eastAsia="宋体" w:hAnsi="Times New Roman"/>
                <w:color w:val="000000"/>
                <w:sz w:val="20"/>
                <w:szCs w:val="20"/>
              </w:rPr>
              <w:t xml:space="preserve">Total cash and cash </w:t>
            </w:r>
            <w:r>
              <w:rPr>
                <w:rFonts w:ascii="Times New Roman" w:eastAsia="宋体" w:hAnsi="Times New Roman"/>
                <w:color w:val="000000"/>
                <w:sz w:val="20"/>
                <w:szCs w:val="20"/>
              </w:rPr>
              <w:t>equivalents and marketable securities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80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804" w14:textId="77777777" w:rsidR="007F1775" w:rsidRDefault="000F083E">
            <w:pPr>
              <w:jc w:val="right"/>
              <w:textAlignment w:val="bottom"/>
            </w:pPr>
            <w:r>
              <w:rPr>
                <w:rFonts w:ascii="Times New Roman" w:eastAsia="宋体" w:hAnsi="Times New Roman"/>
                <w:color w:val="000000"/>
                <w:sz w:val="20"/>
                <w:szCs w:val="20"/>
              </w:rPr>
              <w:t>43,890 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80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06"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80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808" w14:textId="77777777" w:rsidR="007F1775" w:rsidRDefault="000F083E">
            <w:pPr>
              <w:jc w:val="right"/>
              <w:textAlignment w:val="bottom"/>
            </w:pPr>
            <w:r>
              <w:rPr>
                <w:rFonts w:ascii="Times New Roman" w:eastAsia="宋体" w:hAnsi="Times New Roman"/>
                <w:color w:val="000000"/>
                <w:sz w:val="20"/>
                <w:szCs w:val="20"/>
              </w:rPr>
              <w:t>47,998 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809" w14:textId="77777777" w:rsidR="007F1775" w:rsidRDefault="007F1775">
            <w:pPr>
              <w:jc w:val="right"/>
              <w:rPr>
                <w:rFonts w:ascii="宋体"/>
              </w:rPr>
            </w:pPr>
          </w:p>
        </w:tc>
      </w:tr>
    </w:tbl>
    <w:p w14:paraId="0B2FA80B" w14:textId="77777777" w:rsidR="007F1775" w:rsidRDefault="007F1775">
      <w:pPr>
        <w:ind w:firstLine="540"/>
        <w:jc w:val="both"/>
      </w:pPr>
    </w:p>
    <w:p w14:paraId="0B2FA80C" w14:textId="77777777" w:rsidR="007F1775" w:rsidRDefault="000F083E">
      <w:pPr>
        <w:ind w:firstLine="540"/>
        <w:jc w:val="both"/>
      </w:pPr>
      <w:r>
        <w:rPr>
          <w:rFonts w:ascii="Times New Roman" w:eastAsia="宋体" w:hAnsi="Times New Roman"/>
          <w:color w:val="000000"/>
          <w:sz w:val="20"/>
          <w:szCs w:val="20"/>
        </w:rPr>
        <w:t xml:space="preserve">The following table summarizes our available-for-sale marketable securities with unrealized losses as of March 31, 2022, aggregated by major security type and the length of time that </w:t>
      </w:r>
      <w:r>
        <w:rPr>
          <w:rFonts w:ascii="Times New Roman" w:eastAsia="宋体" w:hAnsi="Times New Roman"/>
          <w:color w:val="000000"/>
          <w:sz w:val="20"/>
          <w:szCs w:val="20"/>
        </w:rPr>
        <w:t>individual securities have been in a continuous loss position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2716"/>
        <w:gridCol w:w="36"/>
        <w:gridCol w:w="120"/>
        <w:gridCol w:w="664"/>
        <w:gridCol w:w="36"/>
        <w:gridCol w:w="36"/>
        <w:gridCol w:w="36"/>
        <w:gridCol w:w="36"/>
        <w:gridCol w:w="121"/>
        <w:gridCol w:w="703"/>
        <w:gridCol w:w="36"/>
        <w:gridCol w:w="36"/>
        <w:gridCol w:w="36"/>
        <w:gridCol w:w="36"/>
        <w:gridCol w:w="120"/>
        <w:gridCol w:w="647"/>
        <w:gridCol w:w="36"/>
        <w:gridCol w:w="36"/>
        <w:gridCol w:w="36"/>
        <w:gridCol w:w="36"/>
        <w:gridCol w:w="121"/>
        <w:gridCol w:w="703"/>
        <w:gridCol w:w="36"/>
        <w:gridCol w:w="36"/>
        <w:gridCol w:w="36"/>
        <w:gridCol w:w="36"/>
        <w:gridCol w:w="120"/>
        <w:gridCol w:w="648"/>
        <w:gridCol w:w="36"/>
        <w:gridCol w:w="36"/>
        <w:gridCol w:w="36"/>
        <w:gridCol w:w="36"/>
        <w:gridCol w:w="121"/>
        <w:gridCol w:w="703"/>
        <w:gridCol w:w="36"/>
      </w:tblGrid>
      <w:tr w:rsidR="007F1775" w14:paraId="0B2FA831" w14:textId="77777777">
        <w:tc>
          <w:tcPr>
            <w:tcW w:w="50" w:type="pct"/>
            <w:shd w:val="clear" w:color="auto" w:fill="auto"/>
            <w:vAlign w:val="bottom"/>
          </w:tcPr>
          <w:p w14:paraId="0B2FA80D" w14:textId="77777777" w:rsidR="007F1775" w:rsidRDefault="007F1775">
            <w:pPr>
              <w:rPr>
                <w:rFonts w:ascii="宋体"/>
              </w:rPr>
            </w:pPr>
          </w:p>
        </w:tc>
        <w:tc>
          <w:tcPr>
            <w:tcW w:w="1708" w:type="pct"/>
            <w:shd w:val="clear" w:color="auto" w:fill="auto"/>
            <w:vAlign w:val="bottom"/>
          </w:tcPr>
          <w:p w14:paraId="0B2FA80E" w14:textId="77777777" w:rsidR="007F1775" w:rsidRDefault="007F1775">
            <w:pPr>
              <w:rPr>
                <w:rFonts w:ascii="宋体"/>
              </w:rPr>
            </w:pPr>
          </w:p>
        </w:tc>
        <w:tc>
          <w:tcPr>
            <w:tcW w:w="5" w:type="pct"/>
            <w:shd w:val="clear" w:color="auto" w:fill="auto"/>
            <w:vAlign w:val="bottom"/>
          </w:tcPr>
          <w:p w14:paraId="0B2FA80F" w14:textId="77777777" w:rsidR="007F1775" w:rsidRDefault="007F1775">
            <w:pPr>
              <w:rPr>
                <w:rFonts w:ascii="宋体"/>
              </w:rPr>
            </w:pPr>
          </w:p>
        </w:tc>
        <w:tc>
          <w:tcPr>
            <w:tcW w:w="50" w:type="pct"/>
            <w:shd w:val="clear" w:color="auto" w:fill="auto"/>
            <w:vAlign w:val="bottom"/>
          </w:tcPr>
          <w:p w14:paraId="0B2FA810" w14:textId="77777777" w:rsidR="007F1775" w:rsidRDefault="007F1775">
            <w:pPr>
              <w:rPr>
                <w:rFonts w:ascii="宋体"/>
              </w:rPr>
            </w:pPr>
          </w:p>
        </w:tc>
        <w:tc>
          <w:tcPr>
            <w:tcW w:w="458" w:type="pct"/>
            <w:shd w:val="clear" w:color="auto" w:fill="auto"/>
            <w:vAlign w:val="bottom"/>
          </w:tcPr>
          <w:p w14:paraId="0B2FA811" w14:textId="77777777" w:rsidR="007F1775" w:rsidRDefault="007F1775">
            <w:pPr>
              <w:rPr>
                <w:rFonts w:ascii="宋体"/>
              </w:rPr>
            </w:pPr>
          </w:p>
        </w:tc>
        <w:tc>
          <w:tcPr>
            <w:tcW w:w="5" w:type="pct"/>
            <w:shd w:val="clear" w:color="auto" w:fill="auto"/>
            <w:vAlign w:val="bottom"/>
          </w:tcPr>
          <w:p w14:paraId="0B2FA812" w14:textId="77777777" w:rsidR="007F1775" w:rsidRDefault="007F1775">
            <w:pPr>
              <w:rPr>
                <w:rFonts w:ascii="宋体"/>
              </w:rPr>
            </w:pPr>
          </w:p>
        </w:tc>
        <w:tc>
          <w:tcPr>
            <w:tcW w:w="5" w:type="pct"/>
            <w:shd w:val="clear" w:color="auto" w:fill="auto"/>
            <w:vAlign w:val="bottom"/>
          </w:tcPr>
          <w:p w14:paraId="0B2FA813" w14:textId="77777777" w:rsidR="007F1775" w:rsidRDefault="007F1775">
            <w:pPr>
              <w:rPr>
                <w:rFonts w:ascii="宋体"/>
              </w:rPr>
            </w:pPr>
          </w:p>
        </w:tc>
        <w:tc>
          <w:tcPr>
            <w:tcW w:w="19" w:type="pct"/>
            <w:shd w:val="clear" w:color="auto" w:fill="auto"/>
            <w:vAlign w:val="bottom"/>
          </w:tcPr>
          <w:p w14:paraId="0B2FA814" w14:textId="77777777" w:rsidR="007F1775" w:rsidRDefault="007F1775">
            <w:pPr>
              <w:rPr>
                <w:rFonts w:ascii="宋体"/>
              </w:rPr>
            </w:pPr>
          </w:p>
        </w:tc>
        <w:tc>
          <w:tcPr>
            <w:tcW w:w="5" w:type="pct"/>
            <w:shd w:val="clear" w:color="auto" w:fill="auto"/>
            <w:vAlign w:val="bottom"/>
          </w:tcPr>
          <w:p w14:paraId="0B2FA815" w14:textId="77777777" w:rsidR="007F1775" w:rsidRDefault="007F1775">
            <w:pPr>
              <w:rPr>
                <w:rFonts w:ascii="宋体"/>
              </w:rPr>
            </w:pPr>
          </w:p>
        </w:tc>
        <w:tc>
          <w:tcPr>
            <w:tcW w:w="50" w:type="pct"/>
            <w:shd w:val="clear" w:color="auto" w:fill="auto"/>
            <w:vAlign w:val="bottom"/>
          </w:tcPr>
          <w:p w14:paraId="0B2FA816" w14:textId="77777777" w:rsidR="007F1775" w:rsidRDefault="007F1775">
            <w:pPr>
              <w:rPr>
                <w:rFonts w:ascii="宋体"/>
              </w:rPr>
            </w:pPr>
          </w:p>
        </w:tc>
        <w:tc>
          <w:tcPr>
            <w:tcW w:w="458" w:type="pct"/>
            <w:shd w:val="clear" w:color="auto" w:fill="auto"/>
            <w:vAlign w:val="bottom"/>
          </w:tcPr>
          <w:p w14:paraId="0B2FA817" w14:textId="77777777" w:rsidR="007F1775" w:rsidRDefault="007F1775">
            <w:pPr>
              <w:rPr>
                <w:rFonts w:ascii="宋体"/>
              </w:rPr>
            </w:pPr>
          </w:p>
        </w:tc>
        <w:tc>
          <w:tcPr>
            <w:tcW w:w="5" w:type="pct"/>
            <w:shd w:val="clear" w:color="auto" w:fill="auto"/>
            <w:vAlign w:val="bottom"/>
          </w:tcPr>
          <w:p w14:paraId="0B2FA818" w14:textId="77777777" w:rsidR="007F1775" w:rsidRDefault="007F1775">
            <w:pPr>
              <w:rPr>
                <w:rFonts w:ascii="宋体"/>
              </w:rPr>
            </w:pPr>
          </w:p>
        </w:tc>
        <w:tc>
          <w:tcPr>
            <w:tcW w:w="5" w:type="pct"/>
            <w:shd w:val="clear" w:color="auto" w:fill="auto"/>
            <w:vAlign w:val="bottom"/>
          </w:tcPr>
          <w:p w14:paraId="0B2FA819" w14:textId="77777777" w:rsidR="007F1775" w:rsidRDefault="007F1775">
            <w:pPr>
              <w:rPr>
                <w:rFonts w:ascii="宋体"/>
              </w:rPr>
            </w:pPr>
          </w:p>
        </w:tc>
        <w:tc>
          <w:tcPr>
            <w:tcW w:w="19" w:type="pct"/>
            <w:shd w:val="clear" w:color="auto" w:fill="auto"/>
            <w:vAlign w:val="bottom"/>
          </w:tcPr>
          <w:p w14:paraId="0B2FA81A" w14:textId="77777777" w:rsidR="007F1775" w:rsidRDefault="007F1775">
            <w:pPr>
              <w:rPr>
                <w:rFonts w:ascii="宋体"/>
              </w:rPr>
            </w:pPr>
          </w:p>
        </w:tc>
        <w:tc>
          <w:tcPr>
            <w:tcW w:w="5" w:type="pct"/>
            <w:shd w:val="clear" w:color="auto" w:fill="auto"/>
            <w:vAlign w:val="bottom"/>
          </w:tcPr>
          <w:p w14:paraId="0B2FA81B" w14:textId="77777777" w:rsidR="007F1775" w:rsidRDefault="007F1775">
            <w:pPr>
              <w:rPr>
                <w:rFonts w:ascii="宋体"/>
              </w:rPr>
            </w:pPr>
          </w:p>
        </w:tc>
        <w:tc>
          <w:tcPr>
            <w:tcW w:w="50" w:type="pct"/>
            <w:shd w:val="clear" w:color="auto" w:fill="auto"/>
            <w:vAlign w:val="bottom"/>
          </w:tcPr>
          <w:p w14:paraId="0B2FA81C" w14:textId="77777777" w:rsidR="007F1775" w:rsidRDefault="007F1775">
            <w:pPr>
              <w:rPr>
                <w:rFonts w:ascii="宋体"/>
              </w:rPr>
            </w:pPr>
          </w:p>
        </w:tc>
        <w:tc>
          <w:tcPr>
            <w:tcW w:w="458" w:type="pct"/>
            <w:shd w:val="clear" w:color="auto" w:fill="auto"/>
            <w:vAlign w:val="bottom"/>
          </w:tcPr>
          <w:p w14:paraId="0B2FA81D" w14:textId="77777777" w:rsidR="007F1775" w:rsidRDefault="007F1775">
            <w:pPr>
              <w:rPr>
                <w:rFonts w:ascii="宋体"/>
              </w:rPr>
            </w:pPr>
          </w:p>
        </w:tc>
        <w:tc>
          <w:tcPr>
            <w:tcW w:w="5" w:type="pct"/>
            <w:shd w:val="clear" w:color="auto" w:fill="auto"/>
            <w:vAlign w:val="bottom"/>
          </w:tcPr>
          <w:p w14:paraId="0B2FA81E" w14:textId="77777777" w:rsidR="007F1775" w:rsidRDefault="007F1775">
            <w:pPr>
              <w:rPr>
                <w:rFonts w:ascii="宋体"/>
              </w:rPr>
            </w:pPr>
          </w:p>
        </w:tc>
        <w:tc>
          <w:tcPr>
            <w:tcW w:w="5" w:type="pct"/>
            <w:shd w:val="clear" w:color="auto" w:fill="auto"/>
            <w:vAlign w:val="bottom"/>
          </w:tcPr>
          <w:p w14:paraId="0B2FA81F" w14:textId="77777777" w:rsidR="007F1775" w:rsidRDefault="007F1775">
            <w:pPr>
              <w:rPr>
                <w:rFonts w:ascii="宋体"/>
              </w:rPr>
            </w:pPr>
          </w:p>
        </w:tc>
        <w:tc>
          <w:tcPr>
            <w:tcW w:w="19" w:type="pct"/>
            <w:shd w:val="clear" w:color="auto" w:fill="auto"/>
            <w:vAlign w:val="bottom"/>
          </w:tcPr>
          <w:p w14:paraId="0B2FA820" w14:textId="77777777" w:rsidR="007F1775" w:rsidRDefault="007F1775">
            <w:pPr>
              <w:rPr>
                <w:rFonts w:ascii="宋体"/>
              </w:rPr>
            </w:pPr>
          </w:p>
        </w:tc>
        <w:tc>
          <w:tcPr>
            <w:tcW w:w="5" w:type="pct"/>
            <w:shd w:val="clear" w:color="auto" w:fill="auto"/>
            <w:vAlign w:val="bottom"/>
          </w:tcPr>
          <w:p w14:paraId="0B2FA821" w14:textId="77777777" w:rsidR="007F1775" w:rsidRDefault="007F1775">
            <w:pPr>
              <w:rPr>
                <w:rFonts w:ascii="宋体"/>
              </w:rPr>
            </w:pPr>
          </w:p>
        </w:tc>
        <w:tc>
          <w:tcPr>
            <w:tcW w:w="50" w:type="pct"/>
            <w:shd w:val="clear" w:color="auto" w:fill="auto"/>
            <w:vAlign w:val="bottom"/>
          </w:tcPr>
          <w:p w14:paraId="0B2FA822" w14:textId="77777777" w:rsidR="007F1775" w:rsidRDefault="007F1775">
            <w:pPr>
              <w:rPr>
                <w:rFonts w:ascii="宋体"/>
              </w:rPr>
            </w:pPr>
          </w:p>
        </w:tc>
        <w:tc>
          <w:tcPr>
            <w:tcW w:w="458" w:type="pct"/>
            <w:shd w:val="clear" w:color="auto" w:fill="auto"/>
            <w:vAlign w:val="bottom"/>
          </w:tcPr>
          <w:p w14:paraId="0B2FA823" w14:textId="77777777" w:rsidR="007F1775" w:rsidRDefault="007F1775">
            <w:pPr>
              <w:rPr>
                <w:rFonts w:ascii="宋体"/>
              </w:rPr>
            </w:pPr>
          </w:p>
        </w:tc>
        <w:tc>
          <w:tcPr>
            <w:tcW w:w="5" w:type="pct"/>
            <w:shd w:val="clear" w:color="auto" w:fill="auto"/>
            <w:vAlign w:val="bottom"/>
          </w:tcPr>
          <w:p w14:paraId="0B2FA824" w14:textId="77777777" w:rsidR="007F1775" w:rsidRDefault="007F1775">
            <w:pPr>
              <w:rPr>
                <w:rFonts w:ascii="宋体"/>
              </w:rPr>
            </w:pPr>
          </w:p>
        </w:tc>
        <w:tc>
          <w:tcPr>
            <w:tcW w:w="5" w:type="pct"/>
            <w:shd w:val="clear" w:color="auto" w:fill="auto"/>
            <w:vAlign w:val="bottom"/>
          </w:tcPr>
          <w:p w14:paraId="0B2FA825" w14:textId="77777777" w:rsidR="007F1775" w:rsidRDefault="007F1775">
            <w:pPr>
              <w:rPr>
                <w:rFonts w:ascii="宋体"/>
              </w:rPr>
            </w:pPr>
          </w:p>
        </w:tc>
        <w:tc>
          <w:tcPr>
            <w:tcW w:w="19" w:type="pct"/>
            <w:shd w:val="clear" w:color="auto" w:fill="auto"/>
            <w:vAlign w:val="bottom"/>
          </w:tcPr>
          <w:p w14:paraId="0B2FA826" w14:textId="77777777" w:rsidR="007F1775" w:rsidRDefault="007F1775">
            <w:pPr>
              <w:rPr>
                <w:rFonts w:ascii="宋体"/>
              </w:rPr>
            </w:pPr>
          </w:p>
        </w:tc>
        <w:tc>
          <w:tcPr>
            <w:tcW w:w="5" w:type="pct"/>
            <w:shd w:val="clear" w:color="auto" w:fill="auto"/>
            <w:vAlign w:val="bottom"/>
          </w:tcPr>
          <w:p w14:paraId="0B2FA827" w14:textId="77777777" w:rsidR="007F1775" w:rsidRDefault="007F1775">
            <w:pPr>
              <w:rPr>
                <w:rFonts w:ascii="宋体"/>
              </w:rPr>
            </w:pPr>
          </w:p>
        </w:tc>
        <w:tc>
          <w:tcPr>
            <w:tcW w:w="50" w:type="pct"/>
            <w:shd w:val="clear" w:color="auto" w:fill="auto"/>
            <w:vAlign w:val="bottom"/>
          </w:tcPr>
          <w:p w14:paraId="0B2FA828" w14:textId="77777777" w:rsidR="007F1775" w:rsidRDefault="007F1775">
            <w:pPr>
              <w:rPr>
                <w:rFonts w:ascii="宋体"/>
              </w:rPr>
            </w:pPr>
          </w:p>
        </w:tc>
        <w:tc>
          <w:tcPr>
            <w:tcW w:w="458" w:type="pct"/>
            <w:shd w:val="clear" w:color="auto" w:fill="auto"/>
            <w:vAlign w:val="bottom"/>
          </w:tcPr>
          <w:p w14:paraId="0B2FA829" w14:textId="77777777" w:rsidR="007F1775" w:rsidRDefault="007F1775">
            <w:pPr>
              <w:rPr>
                <w:rFonts w:ascii="宋体"/>
              </w:rPr>
            </w:pPr>
          </w:p>
        </w:tc>
        <w:tc>
          <w:tcPr>
            <w:tcW w:w="5" w:type="pct"/>
            <w:shd w:val="clear" w:color="auto" w:fill="auto"/>
            <w:vAlign w:val="bottom"/>
          </w:tcPr>
          <w:p w14:paraId="0B2FA82A" w14:textId="77777777" w:rsidR="007F1775" w:rsidRDefault="007F1775">
            <w:pPr>
              <w:rPr>
                <w:rFonts w:ascii="宋体"/>
              </w:rPr>
            </w:pPr>
          </w:p>
        </w:tc>
        <w:tc>
          <w:tcPr>
            <w:tcW w:w="5" w:type="pct"/>
            <w:shd w:val="clear" w:color="auto" w:fill="auto"/>
            <w:vAlign w:val="bottom"/>
          </w:tcPr>
          <w:p w14:paraId="0B2FA82B" w14:textId="77777777" w:rsidR="007F1775" w:rsidRDefault="007F1775">
            <w:pPr>
              <w:rPr>
                <w:rFonts w:ascii="宋体"/>
              </w:rPr>
            </w:pPr>
          </w:p>
        </w:tc>
        <w:tc>
          <w:tcPr>
            <w:tcW w:w="27" w:type="pct"/>
            <w:shd w:val="clear" w:color="auto" w:fill="auto"/>
            <w:vAlign w:val="bottom"/>
          </w:tcPr>
          <w:p w14:paraId="0B2FA82C" w14:textId="77777777" w:rsidR="007F1775" w:rsidRDefault="007F1775">
            <w:pPr>
              <w:rPr>
                <w:rFonts w:ascii="宋体"/>
              </w:rPr>
            </w:pPr>
          </w:p>
        </w:tc>
        <w:tc>
          <w:tcPr>
            <w:tcW w:w="5" w:type="pct"/>
            <w:shd w:val="clear" w:color="auto" w:fill="auto"/>
            <w:vAlign w:val="bottom"/>
          </w:tcPr>
          <w:p w14:paraId="0B2FA82D" w14:textId="77777777" w:rsidR="007F1775" w:rsidRDefault="007F1775">
            <w:pPr>
              <w:rPr>
                <w:rFonts w:ascii="宋体"/>
              </w:rPr>
            </w:pPr>
          </w:p>
        </w:tc>
        <w:tc>
          <w:tcPr>
            <w:tcW w:w="50" w:type="pct"/>
            <w:shd w:val="clear" w:color="auto" w:fill="auto"/>
            <w:vAlign w:val="bottom"/>
          </w:tcPr>
          <w:p w14:paraId="0B2FA82E" w14:textId="77777777" w:rsidR="007F1775" w:rsidRDefault="007F1775">
            <w:pPr>
              <w:rPr>
                <w:rFonts w:ascii="宋体"/>
              </w:rPr>
            </w:pPr>
          </w:p>
        </w:tc>
        <w:tc>
          <w:tcPr>
            <w:tcW w:w="458" w:type="pct"/>
            <w:shd w:val="clear" w:color="auto" w:fill="auto"/>
            <w:vAlign w:val="bottom"/>
          </w:tcPr>
          <w:p w14:paraId="0B2FA82F" w14:textId="77777777" w:rsidR="007F1775" w:rsidRDefault="007F1775">
            <w:pPr>
              <w:rPr>
                <w:rFonts w:ascii="宋体"/>
              </w:rPr>
            </w:pPr>
          </w:p>
        </w:tc>
        <w:tc>
          <w:tcPr>
            <w:tcW w:w="5" w:type="pct"/>
            <w:shd w:val="clear" w:color="auto" w:fill="auto"/>
            <w:vAlign w:val="bottom"/>
          </w:tcPr>
          <w:p w14:paraId="0B2FA830" w14:textId="77777777" w:rsidR="007F1775" w:rsidRDefault="007F1775">
            <w:pPr>
              <w:rPr>
                <w:rFonts w:ascii="宋体"/>
              </w:rPr>
            </w:pPr>
          </w:p>
        </w:tc>
      </w:tr>
      <w:tr w:rsidR="007F1775" w14:paraId="0B2FA834" w14:textId="77777777">
        <w:tc>
          <w:tcPr>
            <w:tcW w:w="0" w:type="auto"/>
            <w:gridSpan w:val="3"/>
            <w:shd w:val="clear" w:color="auto" w:fill="auto"/>
            <w:tcMar>
              <w:top w:w="0" w:type="dxa"/>
              <w:left w:w="20" w:type="dxa"/>
              <w:bottom w:w="0" w:type="dxa"/>
              <w:right w:w="20" w:type="dxa"/>
            </w:tcMar>
            <w:vAlign w:val="bottom"/>
          </w:tcPr>
          <w:p w14:paraId="0B2FA832" w14:textId="77777777" w:rsidR="007F1775" w:rsidRDefault="007F1775">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B2FA833" w14:textId="77777777" w:rsidR="007F1775" w:rsidRDefault="000F083E">
            <w:pPr>
              <w:jc w:val="center"/>
              <w:textAlignment w:val="bottom"/>
            </w:pPr>
            <w:r>
              <w:rPr>
                <w:rFonts w:ascii="Times New Roman" w:eastAsia="宋体" w:hAnsi="Times New Roman"/>
                <w:b/>
                <w:bCs/>
                <w:color w:val="000000"/>
                <w:sz w:val="16"/>
                <w:szCs w:val="16"/>
              </w:rPr>
              <w:t>March 31, 2022</w:t>
            </w:r>
          </w:p>
        </w:tc>
      </w:tr>
      <w:tr w:rsidR="007F1775" w14:paraId="0B2FA83B" w14:textId="77777777">
        <w:tc>
          <w:tcPr>
            <w:tcW w:w="0" w:type="auto"/>
            <w:gridSpan w:val="3"/>
            <w:shd w:val="clear" w:color="auto" w:fill="FFFFFF"/>
            <w:tcMar>
              <w:top w:w="0" w:type="dxa"/>
              <w:left w:w="20" w:type="dxa"/>
              <w:bottom w:w="0" w:type="dxa"/>
              <w:right w:w="20" w:type="dxa"/>
            </w:tcMar>
            <w:vAlign w:val="bottom"/>
          </w:tcPr>
          <w:p w14:paraId="0B2FA835" w14:textId="77777777" w:rsidR="007F1775" w:rsidRDefault="007F1775">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0B2FA836" w14:textId="77777777" w:rsidR="007F1775" w:rsidRDefault="000F083E">
            <w:pPr>
              <w:jc w:val="center"/>
              <w:textAlignment w:val="bottom"/>
            </w:pPr>
            <w:r>
              <w:rPr>
                <w:rFonts w:ascii="Times New Roman" w:eastAsia="宋体" w:hAnsi="Times New Roman"/>
                <w:b/>
                <w:bCs/>
                <w:color w:val="000000"/>
                <w:sz w:val="16"/>
                <w:szCs w:val="16"/>
              </w:rPr>
              <w:t>Less than 12 months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B2FA837" w14:textId="77777777" w:rsidR="007F1775" w:rsidRDefault="007F1775">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0B2FA838" w14:textId="77777777" w:rsidR="007F1775" w:rsidRDefault="000F083E">
            <w:pPr>
              <w:jc w:val="center"/>
              <w:textAlignment w:val="bottom"/>
            </w:pPr>
            <w:r>
              <w:rPr>
                <w:rFonts w:ascii="Times New Roman" w:eastAsia="宋体" w:hAnsi="Times New Roman"/>
                <w:b/>
                <w:bCs/>
                <w:color w:val="000000"/>
                <w:sz w:val="16"/>
                <w:szCs w:val="16"/>
              </w:rPr>
              <w:t>12 months or greater</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B2FA839" w14:textId="77777777" w:rsidR="007F1775" w:rsidRDefault="007F1775">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0B2FA83A" w14:textId="77777777" w:rsidR="007F1775" w:rsidRDefault="000F083E">
            <w:pPr>
              <w:jc w:val="center"/>
              <w:textAlignment w:val="bottom"/>
            </w:pPr>
            <w:r>
              <w:rPr>
                <w:rFonts w:ascii="Times New Roman" w:eastAsia="宋体" w:hAnsi="Times New Roman"/>
                <w:b/>
                <w:bCs/>
                <w:color w:val="000000"/>
                <w:sz w:val="16"/>
                <w:szCs w:val="16"/>
              </w:rPr>
              <w:t>Total</w:t>
            </w:r>
          </w:p>
        </w:tc>
      </w:tr>
      <w:tr w:rsidR="007F1775" w14:paraId="0B2FA848" w14:textId="77777777">
        <w:tc>
          <w:tcPr>
            <w:tcW w:w="0" w:type="auto"/>
            <w:gridSpan w:val="3"/>
            <w:shd w:val="clear" w:color="auto" w:fill="FFFFFF"/>
            <w:tcMar>
              <w:top w:w="0" w:type="dxa"/>
              <w:left w:w="20" w:type="dxa"/>
              <w:bottom w:w="0" w:type="dxa"/>
              <w:right w:w="20" w:type="dxa"/>
            </w:tcMar>
            <w:vAlign w:val="bottom"/>
          </w:tcPr>
          <w:p w14:paraId="0B2FA83C" w14:textId="77777777" w:rsidR="007F1775" w:rsidRDefault="007F17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B2FA83D" w14:textId="77777777" w:rsidR="007F1775" w:rsidRDefault="000F083E">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B2FA83E" w14:textId="77777777" w:rsidR="007F1775" w:rsidRDefault="007F17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B2FA83F" w14:textId="77777777" w:rsidR="007F1775" w:rsidRDefault="000F083E">
            <w:pPr>
              <w:jc w:val="center"/>
              <w:textAlignment w:val="bottom"/>
            </w:pPr>
            <w:r>
              <w:rPr>
                <w:rFonts w:ascii="Times New Roman" w:eastAsia="宋体" w:hAnsi="Times New Roman"/>
                <w:b/>
                <w:bCs/>
                <w:color w:val="000000"/>
                <w:sz w:val="16"/>
                <w:szCs w:val="16"/>
              </w:rPr>
              <w:t>Unrealized losses</w:t>
            </w:r>
          </w:p>
        </w:tc>
        <w:tc>
          <w:tcPr>
            <w:tcW w:w="0" w:type="auto"/>
            <w:gridSpan w:val="3"/>
            <w:shd w:val="clear" w:color="auto" w:fill="FFFFFF"/>
            <w:tcMar>
              <w:top w:w="0" w:type="dxa"/>
              <w:left w:w="20" w:type="dxa"/>
              <w:bottom w:w="0" w:type="dxa"/>
              <w:right w:w="20" w:type="dxa"/>
            </w:tcMar>
            <w:vAlign w:val="bottom"/>
          </w:tcPr>
          <w:p w14:paraId="0B2FA840" w14:textId="77777777" w:rsidR="007F1775" w:rsidRDefault="007F17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B2FA841" w14:textId="77777777" w:rsidR="007F1775" w:rsidRDefault="000F083E">
            <w:pPr>
              <w:jc w:val="center"/>
              <w:textAlignment w:val="bottom"/>
            </w:pPr>
            <w:r>
              <w:rPr>
                <w:rFonts w:ascii="Times New Roman" w:eastAsia="宋体" w:hAnsi="Times New Roman"/>
                <w:b/>
                <w:bCs/>
                <w:color w:val="000000"/>
                <w:sz w:val="16"/>
                <w:szCs w:val="16"/>
              </w:rPr>
              <w:t xml:space="preserve">Fair </w:t>
            </w:r>
            <w:r>
              <w:rPr>
                <w:rFonts w:ascii="Times New Roman" w:eastAsia="宋体" w:hAnsi="Times New Roman"/>
                <w:b/>
                <w:bCs/>
                <w:color w:val="000000"/>
                <w:sz w:val="16"/>
                <w:szCs w:val="16"/>
              </w:rPr>
              <w:t>Value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B2FA842" w14:textId="77777777" w:rsidR="007F1775" w:rsidRDefault="007F17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B2FA843" w14:textId="77777777" w:rsidR="007F1775" w:rsidRDefault="000F083E">
            <w:pPr>
              <w:jc w:val="center"/>
              <w:textAlignment w:val="bottom"/>
            </w:pPr>
            <w:r>
              <w:rPr>
                <w:rFonts w:ascii="Times New Roman" w:eastAsia="宋体" w:hAnsi="Times New Roman"/>
                <w:b/>
                <w:bCs/>
                <w:color w:val="000000"/>
                <w:sz w:val="16"/>
                <w:szCs w:val="16"/>
              </w:rPr>
              <w:t>Unrealized losses</w:t>
            </w:r>
          </w:p>
        </w:tc>
        <w:tc>
          <w:tcPr>
            <w:tcW w:w="0" w:type="auto"/>
            <w:gridSpan w:val="3"/>
            <w:shd w:val="clear" w:color="auto" w:fill="FFFFFF"/>
            <w:tcMar>
              <w:top w:w="0" w:type="dxa"/>
              <w:left w:w="20" w:type="dxa"/>
              <w:bottom w:w="0" w:type="dxa"/>
              <w:right w:w="20" w:type="dxa"/>
            </w:tcMar>
            <w:vAlign w:val="bottom"/>
          </w:tcPr>
          <w:p w14:paraId="0B2FA844" w14:textId="77777777" w:rsidR="007F1775" w:rsidRDefault="007F17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B2FA845" w14:textId="77777777" w:rsidR="007F1775" w:rsidRDefault="000F083E">
            <w:pPr>
              <w:jc w:val="center"/>
              <w:textAlignment w:val="bottom"/>
            </w:pPr>
            <w:r>
              <w:rPr>
                <w:rFonts w:ascii="Times New Roman" w:eastAsia="宋体" w:hAnsi="Times New Roman"/>
                <w:b/>
                <w:bCs/>
                <w:color w:val="000000"/>
                <w:sz w:val="16"/>
                <w:szCs w:val="16"/>
              </w:rPr>
              <w:t>Fair Value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B2FA846" w14:textId="77777777" w:rsidR="007F1775" w:rsidRDefault="007F17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B2FA847" w14:textId="77777777" w:rsidR="007F1775" w:rsidRDefault="000F083E">
            <w:pPr>
              <w:jc w:val="center"/>
              <w:textAlignment w:val="bottom"/>
            </w:pPr>
            <w:r>
              <w:rPr>
                <w:rFonts w:ascii="Times New Roman" w:eastAsia="宋体" w:hAnsi="Times New Roman"/>
                <w:b/>
                <w:bCs/>
                <w:color w:val="000000"/>
                <w:sz w:val="16"/>
                <w:szCs w:val="16"/>
              </w:rPr>
              <w:t>Unrealized losses</w:t>
            </w:r>
          </w:p>
        </w:tc>
      </w:tr>
      <w:tr w:rsidR="007F1775" w14:paraId="0B2FA861" w14:textId="77777777">
        <w:tc>
          <w:tcPr>
            <w:tcW w:w="0" w:type="auto"/>
            <w:gridSpan w:val="3"/>
            <w:shd w:val="clear" w:color="auto" w:fill="CCEEFF"/>
            <w:tcMar>
              <w:top w:w="40" w:type="dxa"/>
              <w:left w:w="20" w:type="dxa"/>
              <w:bottom w:w="40" w:type="dxa"/>
              <w:right w:w="20" w:type="dxa"/>
            </w:tcMar>
            <w:vAlign w:val="bottom"/>
          </w:tcPr>
          <w:p w14:paraId="0B2FA849" w14:textId="77777777" w:rsidR="007F1775" w:rsidRDefault="000F083E">
            <w:pPr>
              <w:textAlignment w:val="bottom"/>
            </w:pPr>
            <w:r>
              <w:rPr>
                <w:rFonts w:ascii="Times New Roman" w:eastAsia="宋体" w:hAnsi="Times New Roman"/>
                <w:color w:val="000000"/>
                <w:sz w:val="20"/>
                <w:szCs w:val="20"/>
              </w:rPr>
              <w:t>U.S. government securities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A84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84B" w14:textId="77777777" w:rsidR="007F1775" w:rsidRDefault="000F083E">
            <w:pPr>
              <w:jc w:val="right"/>
              <w:textAlignment w:val="bottom"/>
            </w:pPr>
            <w:r>
              <w:rPr>
                <w:rFonts w:ascii="Times New Roman" w:eastAsia="宋体" w:hAnsi="Times New Roman"/>
                <w:color w:val="000000"/>
                <w:sz w:val="20"/>
                <w:szCs w:val="20"/>
              </w:rPr>
              <w:t>7,488 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84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4D"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84E"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84F" w14:textId="77777777" w:rsidR="007F1775" w:rsidRDefault="000F083E">
            <w:pPr>
              <w:jc w:val="right"/>
              <w:textAlignment w:val="bottom"/>
            </w:pPr>
            <w:r>
              <w:rPr>
                <w:rFonts w:ascii="Times New Roman" w:eastAsia="宋体" w:hAnsi="Times New Roman"/>
                <w:color w:val="000000"/>
                <w:sz w:val="20"/>
                <w:szCs w:val="20"/>
              </w:rPr>
              <w:t>(218)</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85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51"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852"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853" w14:textId="77777777" w:rsidR="007F1775" w:rsidRDefault="000F083E">
            <w:pPr>
              <w:jc w:val="right"/>
              <w:textAlignment w:val="bottom"/>
            </w:pPr>
            <w:r>
              <w:rPr>
                <w:rFonts w:ascii="Times New Roman" w:eastAsia="宋体" w:hAnsi="Times New Roman"/>
                <w:color w:val="000000"/>
                <w:sz w:val="20"/>
                <w:szCs w:val="20"/>
              </w:rPr>
              <w:t>214 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85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55"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856"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857" w14:textId="77777777" w:rsidR="007F1775" w:rsidRDefault="000F083E">
            <w:pPr>
              <w:jc w:val="right"/>
              <w:textAlignment w:val="bottom"/>
            </w:pPr>
            <w:r>
              <w:rPr>
                <w:rFonts w:ascii="Times New Roman" w:eastAsia="宋体" w:hAnsi="Times New Roman"/>
                <w:color w:val="000000"/>
                <w:sz w:val="20"/>
                <w:szCs w:val="20"/>
              </w:rPr>
              <w:t>(11)</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85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59"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85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85B" w14:textId="77777777" w:rsidR="007F1775" w:rsidRDefault="000F083E">
            <w:pPr>
              <w:jc w:val="right"/>
              <w:textAlignment w:val="bottom"/>
            </w:pPr>
            <w:r>
              <w:rPr>
                <w:rFonts w:ascii="Times New Roman" w:eastAsia="宋体" w:hAnsi="Times New Roman"/>
                <w:color w:val="000000"/>
                <w:sz w:val="20"/>
                <w:szCs w:val="20"/>
              </w:rPr>
              <w:t>7,702 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85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5D"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85E"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85F" w14:textId="77777777" w:rsidR="007F1775" w:rsidRDefault="000F083E">
            <w:pPr>
              <w:jc w:val="right"/>
              <w:textAlignment w:val="bottom"/>
            </w:pPr>
            <w:r>
              <w:rPr>
                <w:rFonts w:ascii="Times New Roman" w:eastAsia="宋体" w:hAnsi="Times New Roman"/>
                <w:color w:val="000000"/>
                <w:sz w:val="20"/>
                <w:szCs w:val="20"/>
              </w:rPr>
              <w:t>(229)</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860" w14:textId="77777777" w:rsidR="007F1775" w:rsidRDefault="007F1775">
            <w:pPr>
              <w:jc w:val="right"/>
              <w:rPr>
                <w:rFonts w:ascii="宋体"/>
              </w:rPr>
            </w:pPr>
          </w:p>
        </w:tc>
      </w:tr>
      <w:tr w:rsidR="007F1775" w14:paraId="0B2FA874" w14:textId="77777777">
        <w:tc>
          <w:tcPr>
            <w:tcW w:w="0" w:type="auto"/>
            <w:gridSpan w:val="3"/>
            <w:shd w:val="clear" w:color="auto" w:fill="FFFFFF"/>
            <w:tcMar>
              <w:top w:w="40" w:type="dxa"/>
              <w:left w:w="20" w:type="dxa"/>
              <w:bottom w:w="40" w:type="dxa"/>
              <w:right w:w="20" w:type="dxa"/>
            </w:tcMar>
            <w:vAlign w:val="bottom"/>
          </w:tcPr>
          <w:p w14:paraId="0B2FA862" w14:textId="77777777" w:rsidR="007F1775" w:rsidRDefault="000F083E">
            <w:pPr>
              <w:textAlignment w:val="bottom"/>
            </w:pPr>
            <w:r>
              <w:rPr>
                <w:rFonts w:ascii="Times New Roman" w:eastAsia="宋体" w:hAnsi="Times New Roman"/>
                <w:color w:val="000000"/>
                <w:sz w:val="20"/>
                <w:szCs w:val="20"/>
              </w:rPr>
              <w:t>U.S. government agency securities</w:t>
            </w:r>
          </w:p>
        </w:tc>
        <w:tc>
          <w:tcPr>
            <w:tcW w:w="0" w:type="auto"/>
            <w:gridSpan w:val="2"/>
            <w:shd w:val="clear" w:color="auto" w:fill="FFFFFF"/>
            <w:tcMar>
              <w:top w:w="40" w:type="dxa"/>
              <w:left w:w="20" w:type="dxa"/>
              <w:bottom w:w="40" w:type="dxa"/>
              <w:right w:w="0" w:type="dxa"/>
            </w:tcMar>
            <w:vAlign w:val="bottom"/>
          </w:tcPr>
          <w:p w14:paraId="0B2FA863" w14:textId="77777777" w:rsidR="007F1775" w:rsidRDefault="000F083E">
            <w:pPr>
              <w:jc w:val="right"/>
              <w:textAlignment w:val="bottom"/>
            </w:pPr>
            <w:r>
              <w:rPr>
                <w:rFonts w:ascii="Times New Roman" w:eastAsia="宋体" w:hAnsi="Times New Roman"/>
                <w:color w:val="000000"/>
                <w:sz w:val="20"/>
                <w:szCs w:val="20"/>
              </w:rPr>
              <w:t>3,345 </w:t>
            </w:r>
          </w:p>
        </w:tc>
        <w:tc>
          <w:tcPr>
            <w:tcW w:w="0" w:type="auto"/>
            <w:shd w:val="clear" w:color="auto" w:fill="FFFFFF"/>
            <w:tcMar>
              <w:top w:w="40" w:type="dxa"/>
              <w:left w:w="0" w:type="dxa"/>
              <w:bottom w:w="40" w:type="dxa"/>
              <w:right w:w="20" w:type="dxa"/>
            </w:tcMar>
            <w:vAlign w:val="bottom"/>
          </w:tcPr>
          <w:p w14:paraId="0B2FA86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6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866" w14:textId="77777777" w:rsidR="007F1775" w:rsidRDefault="000F083E">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left w:w="0" w:type="dxa"/>
              <w:bottom w:w="40" w:type="dxa"/>
              <w:right w:w="20" w:type="dxa"/>
            </w:tcMar>
            <w:vAlign w:val="bottom"/>
          </w:tcPr>
          <w:p w14:paraId="0B2FA86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6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869" w14:textId="77777777" w:rsidR="007F1775" w:rsidRDefault="000F083E">
            <w:pPr>
              <w:jc w:val="right"/>
              <w:textAlignment w:val="bottom"/>
            </w:pPr>
            <w:r>
              <w:rPr>
                <w:rFonts w:ascii="Times New Roman" w:eastAsia="宋体" w:hAnsi="Times New Roman"/>
                <w:color w:val="000000"/>
                <w:sz w:val="20"/>
                <w:szCs w:val="20"/>
              </w:rPr>
              <w:t>1,736 </w:t>
            </w:r>
          </w:p>
        </w:tc>
        <w:tc>
          <w:tcPr>
            <w:tcW w:w="0" w:type="auto"/>
            <w:shd w:val="clear" w:color="auto" w:fill="FFFFFF"/>
            <w:tcMar>
              <w:top w:w="40" w:type="dxa"/>
              <w:left w:w="0" w:type="dxa"/>
              <w:bottom w:w="40" w:type="dxa"/>
              <w:right w:w="20" w:type="dxa"/>
            </w:tcMar>
            <w:vAlign w:val="bottom"/>
          </w:tcPr>
          <w:p w14:paraId="0B2FA86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6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86C" w14:textId="77777777" w:rsidR="007F1775" w:rsidRDefault="000F083E">
            <w:pPr>
              <w:jc w:val="right"/>
              <w:textAlignment w:val="bottom"/>
            </w:pPr>
            <w:r>
              <w:rPr>
                <w:rFonts w:ascii="Times New Roman" w:eastAsia="宋体" w:hAnsi="Times New Roman"/>
                <w:color w:val="000000"/>
                <w:sz w:val="20"/>
                <w:szCs w:val="20"/>
              </w:rPr>
              <w:t>(111)</w:t>
            </w:r>
          </w:p>
        </w:tc>
        <w:tc>
          <w:tcPr>
            <w:tcW w:w="0" w:type="auto"/>
            <w:shd w:val="clear" w:color="auto" w:fill="FFFFFF"/>
            <w:tcMar>
              <w:top w:w="40" w:type="dxa"/>
              <w:left w:w="0" w:type="dxa"/>
              <w:bottom w:w="40" w:type="dxa"/>
              <w:right w:w="20" w:type="dxa"/>
            </w:tcMar>
            <w:vAlign w:val="bottom"/>
          </w:tcPr>
          <w:p w14:paraId="0B2FA86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6E"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86F" w14:textId="77777777" w:rsidR="007F1775" w:rsidRDefault="000F083E">
            <w:pPr>
              <w:jc w:val="right"/>
              <w:textAlignment w:val="bottom"/>
            </w:pPr>
            <w:r>
              <w:rPr>
                <w:rFonts w:ascii="Times New Roman" w:eastAsia="宋体" w:hAnsi="Times New Roman"/>
                <w:color w:val="000000"/>
                <w:sz w:val="20"/>
                <w:szCs w:val="20"/>
              </w:rPr>
              <w:t>5,081 </w:t>
            </w:r>
          </w:p>
        </w:tc>
        <w:tc>
          <w:tcPr>
            <w:tcW w:w="0" w:type="auto"/>
            <w:shd w:val="clear" w:color="auto" w:fill="FFFFFF"/>
            <w:tcMar>
              <w:top w:w="40" w:type="dxa"/>
              <w:left w:w="0" w:type="dxa"/>
              <w:bottom w:w="40" w:type="dxa"/>
              <w:right w:w="20" w:type="dxa"/>
            </w:tcMar>
            <w:vAlign w:val="bottom"/>
          </w:tcPr>
          <w:p w14:paraId="0B2FA87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7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872" w14:textId="77777777" w:rsidR="007F1775" w:rsidRDefault="000F083E">
            <w:pPr>
              <w:jc w:val="right"/>
              <w:textAlignment w:val="bottom"/>
            </w:pPr>
            <w:r>
              <w:rPr>
                <w:rFonts w:ascii="Times New Roman" w:eastAsia="宋体" w:hAnsi="Times New Roman"/>
                <w:color w:val="000000"/>
                <w:sz w:val="20"/>
                <w:szCs w:val="20"/>
              </w:rPr>
              <w:t>(221)</w:t>
            </w:r>
          </w:p>
        </w:tc>
        <w:tc>
          <w:tcPr>
            <w:tcW w:w="0" w:type="auto"/>
            <w:shd w:val="clear" w:color="auto" w:fill="FFFFFF"/>
            <w:tcMar>
              <w:top w:w="40" w:type="dxa"/>
              <w:left w:w="0" w:type="dxa"/>
              <w:bottom w:w="40" w:type="dxa"/>
              <w:right w:w="20" w:type="dxa"/>
            </w:tcMar>
            <w:vAlign w:val="bottom"/>
          </w:tcPr>
          <w:p w14:paraId="0B2FA873" w14:textId="77777777" w:rsidR="007F1775" w:rsidRDefault="007F1775">
            <w:pPr>
              <w:jc w:val="right"/>
              <w:rPr>
                <w:rFonts w:ascii="宋体"/>
              </w:rPr>
            </w:pPr>
          </w:p>
        </w:tc>
      </w:tr>
      <w:tr w:rsidR="007F1775" w14:paraId="0B2FA887" w14:textId="77777777">
        <w:tc>
          <w:tcPr>
            <w:tcW w:w="0" w:type="auto"/>
            <w:gridSpan w:val="3"/>
            <w:shd w:val="clear" w:color="auto" w:fill="CCEEFF"/>
            <w:tcMar>
              <w:top w:w="40" w:type="dxa"/>
              <w:left w:w="20" w:type="dxa"/>
              <w:bottom w:w="40" w:type="dxa"/>
              <w:right w:w="20" w:type="dxa"/>
            </w:tcMar>
            <w:vAlign w:val="bottom"/>
          </w:tcPr>
          <w:p w14:paraId="0B2FA875" w14:textId="77777777" w:rsidR="007F1775" w:rsidRDefault="000F083E">
            <w:pPr>
              <w:textAlignment w:val="bottom"/>
            </w:pPr>
            <w:r>
              <w:rPr>
                <w:rFonts w:ascii="Times New Roman" w:eastAsia="宋体" w:hAnsi="Times New Roman"/>
                <w:color w:val="000000"/>
                <w:sz w:val="20"/>
                <w:szCs w:val="20"/>
              </w:rPr>
              <w:t>Corporate debt securities</w:t>
            </w:r>
          </w:p>
        </w:tc>
        <w:tc>
          <w:tcPr>
            <w:tcW w:w="0" w:type="auto"/>
            <w:gridSpan w:val="2"/>
            <w:shd w:val="clear" w:color="auto" w:fill="CCEEFF"/>
            <w:tcMar>
              <w:top w:w="40" w:type="dxa"/>
              <w:left w:w="20" w:type="dxa"/>
              <w:bottom w:w="40" w:type="dxa"/>
              <w:right w:w="0" w:type="dxa"/>
            </w:tcMar>
            <w:vAlign w:val="bottom"/>
          </w:tcPr>
          <w:p w14:paraId="0B2FA876" w14:textId="77777777" w:rsidR="007F1775" w:rsidRDefault="000F083E">
            <w:pPr>
              <w:jc w:val="right"/>
              <w:textAlignment w:val="bottom"/>
            </w:pPr>
            <w:r>
              <w:rPr>
                <w:rFonts w:ascii="Times New Roman" w:eastAsia="宋体" w:hAnsi="Times New Roman"/>
                <w:color w:val="000000"/>
                <w:sz w:val="20"/>
                <w:szCs w:val="20"/>
              </w:rPr>
              <w:t>11,953 </w:t>
            </w:r>
          </w:p>
        </w:tc>
        <w:tc>
          <w:tcPr>
            <w:tcW w:w="0" w:type="auto"/>
            <w:shd w:val="clear" w:color="auto" w:fill="CCEEFF"/>
            <w:tcMar>
              <w:top w:w="40" w:type="dxa"/>
              <w:left w:w="0" w:type="dxa"/>
              <w:bottom w:w="40" w:type="dxa"/>
              <w:right w:w="20" w:type="dxa"/>
            </w:tcMar>
            <w:vAlign w:val="bottom"/>
          </w:tcPr>
          <w:p w14:paraId="0B2FA87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7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879" w14:textId="77777777" w:rsidR="007F1775" w:rsidRDefault="000F083E">
            <w:pPr>
              <w:jc w:val="right"/>
              <w:textAlignment w:val="bottom"/>
            </w:pPr>
            <w:r>
              <w:rPr>
                <w:rFonts w:ascii="Times New Roman" w:eastAsia="宋体" w:hAnsi="Times New Roman"/>
                <w:color w:val="000000"/>
                <w:sz w:val="20"/>
                <w:szCs w:val="20"/>
              </w:rPr>
              <w:t>(507)</w:t>
            </w:r>
          </w:p>
        </w:tc>
        <w:tc>
          <w:tcPr>
            <w:tcW w:w="0" w:type="auto"/>
            <w:shd w:val="clear" w:color="auto" w:fill="CCEEFF"/>
            <w:tcMar>
              <w:top w:w="40" w:type="dxa"/>
              <w:left w:w="0" w:type="dxa"/>
              <w:bottom w:w="40" w:type="dxa"/>
              <w:right w:w="20" w:type="dxa"/>
            </w:tcMar>
            <w:vAlign w:val="bottom"/>
          </w:tcPr>
          <w:p w14:paraId="0B2FA87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7B"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87C" w14:textId="77777777" w:rsidR="007F1775" w:rsidRDefault="000F083E">
            <w:pPr>
              <w:jc w:val="right"/>
              <w:textAlignment w:val="bottom"/>
            </w:pPr>
            <w:r>
              <w:rPr>
                <w:rFonts w:ascii="Times New Roman" w:eastAsia="宋体" w:hAnsi="Times New Roman"/>
                <w:color w:val="000000"/>
                <w:sz w:val="20"/>
                <w:szCs w:val="20"/>
              </w:rPr>
              <w:t>589 </w:t>
            </w:r>
          </w:p>
        </w:tc>
        <w:tc>
          <w:tcPr>
            <w:tcW w:w="0" w:type="auto"/>
            <w:shd w:val="clear" w:color="auto" w:fill="CCEEFF"/>
            <w:tcMar>
              <w:top w:w="40" w:type="dxa"/>
              <w:left w:w="0" w:type="dxa"/>
              <w:bottom w:w="40" w:type="dxa"/>
              <w:right w:w="20" w:type="dxa"/>
            </w:tcMar>
            <w:vAlign w:val="bottom"/>
          </w:tcPr>
          <w:p w14:paraId="0B2FA87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7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87F" w14:textId="77777777" w:rsidR="007F1775" w:rsidRDefault="000F083E">
            <w:pPr>
              <w:jc w:val="right"/>
              <w:textAlignment w:val="bottom"/>
            </w:pPr>
            <w:r>
              <w:rPr>
                <w:rFonts w:ascii="Times New Roman" w:eastAsia="宋体" w:hAnsi="Times New Roman"/>
                <w:color w:val="000000"/>
                <w:sz w:val="20"/>
                <w:szCs w:val="20"/>
              </w:rPr>
              <w:t>(39)</w:t>
            </w:r>
          </w:p>
        </w:tc>
        <w:tc>
          <w:tcPr>
            <w:tcW w:w="0" w:type="auto"/>
            <w:shd w:val="clear" w:color="auto" w:fill="CCEEFF"/>
            <w:tcMar>
              <w:top w:w="40" w:type="dxa"/>
              <w:left w:w="0" w:type="dxa"/>
              <w:bottom w:w="40" w:type="dxa"/>
              <w:right w:w="20" w:type="dxa"/>
            </w:tcMar>
            <w:vAlign w:val="bottom"/>
          </w:tcPr>
          <w:p w14:paraId="0B2FA88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81"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882" w14:textId="77777777" w:rsidR="007F1775" w:rsidRDefault="000F083E">
            <w:pPr>
              <w:jc w:val="right"/>
              <w:textAlignment w:val="bottom"/>
            </w:pPr>
            <w:r>
              <w:rPr>
                <w:rFonts w:ascii="Times New Roman" w:eastAsia="宋体" w:hAnsi="Times New Roman"/>
                <w:color w:val="000000"/>
                <w:sz w:val="20"/>
                <w:szCs w:val="20"/>
              </w:rPr>
              <w:t>12,542 </w:t>
            </w:r>
          </w:p>
        </w:tc>
        <w:tc>
          <w:tcPr>
            <w:tcW w:w="0" w:type="auto"/>
            <w:shd w:val="clear" w:color="auto" w:fill="CCEEFF"/>
            <w:tcMar>
              <w:top w:w="40" w:type="dxa"/>
              <w:left w:w="0" w:type="dxa"/>
              <w:bottom w:w="40" w:type="dxa"/>
              <w:right w:w="20" w:type="dxa"/>
            </w:tcMar>
            <w:vAlign w:val="bottom"/>
          </w:tcPr>
          <w:p w14:paraId="0B2FA88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84"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885" w14:textId="77777777" w:rsidR="007F1775" w:rsidRDefault="000F083E">
            <w:pPr>
              <w:jc w:val="right"/>
              <w:textAlignment w:val="bottom"/>
            </w:pPr>
            <w:r>
              <w:rPr>
                <w:rFonts w:ascii="Times New Roman" w:eastAsia="宋体" w:hAnsi="Times New Roman"/>
                <w:color w:val="000000"/>
                <w:sz w:val="20"/>
                <w:szCs w:val="20"/>
              </w:rPr>
              <w:t>(546)</w:t>
            </w:r>
          </w:p>
        </w:tc>
        <w:tc>
          <w:tcPr>
            <w:tcW w:w="0" w:type="auto"/>
            <w:shd w:val="clear" w:color="auto" w:fill="CCEEFF"/>
            <w:tcMar>
              <w:top w:w="40" w:type="dxa"/>
              <w:left w:w="0" w:type="dxa"/>
              <w:bottom w:w="40" w:type="dxa"/>
              <w:right w:w="20" w:type="dxa"/>
            </w:tcMar>
            <w:vAlign w:val="bottom"/>
          </w:tcPr>
          <w:p w14:paraId="0B2FA886" w14:textId="77777777" w:rsidR="007F1775" w:rsidRDefault="007F1775">
            <w:pPr>
              <w:jc w:val="right"/>
              <w:rPr>
                <w:rFonts w:ascii="宋体"/>
              </w:rPr>
            </w:pPr>
          </w:p>
        </w:tc>
      </w:tr>
      <w:tr w:rsidR="007F1775" w14:paraId="0B2FA8A0" w14:textId="77777777">
        <w:tc>
          <w:tcPr>
            <w:tcW w:w="0" w:type="auto"/>
            <w:gridSpan w:val="3"/>
            <w:shd w:val="clear" w:color="auto" w:fill="FFFFFF"/>
            <w:tcMar>
              <w:top w:w="40" w:type="dxa"/>
              <w:left w:w="380" w:type="dxa"/>
              <w:bottom w:w="40" w:type="dxa"/>
              <w:right w:w="20" w:type="dxa"/>
            </w:tcMar>
            <w:vAlign w:val="bottom"/>
          </w:tcPr>
          <w:p w14:paraId="0B2FA888" w14:textId="77777777" w:rsidR="007F1775" w:rsidRDefault="000F083E">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889"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88A" w14:textId="77777777" w:rsidR="007F1775" w:rsidRDefault="000F083E">
            <w:pPr>
              <w:jc w:val="right"/>
              <w:textAlignment w:val="bottom"/>
            </w:pPr>
            <w:r>
              <w:rPr>
                <w:rFonts w:ascii="Times New Roman" w:eastAsia="宋体" w:hAnsi="Times New Roman"/>
                <w:color w:val="000000"/>
                <w:sz w:val="20"/>
                <w:szCs w:val="20"/>
              </w:rPr>
              <w:t>22,786 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88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8C"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88D"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88E" w14:textId="77777777" w:rsidR="007F1775" w:rsidRDefault="000F083E">
            <w:pPr>
              <w:jc w:val="right"/>
              <w:textAlignment w:val="bottom"/>
            </w:pPr>
            <w:r>
              <w:rPr>
                <w:rFonts w:ascii="Times New Roman" w:eastAsia="宋体" w:hAnsi="Times New Roman"/>
                <w:color w:val="000000"/>
                <w:sz w:val="20"/>
                <w:szCs w:val="20"/>
              </w:rPr>
              <w:t>(835)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88F"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90"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891"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892" w14:textId="77777777" w:rsidR="007F1775" w:rsidRDefault="000F083E">
            <w:pPr>
              <w:jc w:val="right"/>
              <w:textAlignment w:val="bottom"/>
            </w:pPr>
            <w:r>
              <w:rPr>
                <w:rFonts w:ascii="Times New Roman" w:eastAsia="宋体" w:hAnsi="Times New Roman"/>
                <w:color w:val="000000"/>
                <w:sz w:val="20"/>
                <w:szCs w:val="20"/>
              </w:rPr>
              <w:t>2,539 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89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94"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895"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896" w14:textId="77777777" w:rsidR="007F1775" w:rsidRDefault="000F083E">
            <w:pPr>
              <w:jc w:val="right"/>
              <w:textAlignment w:val="bottom"/>
            </w:pPr>
            <w:r>
              <w:rPr>
                <w:rFonts w:ascii="Times New Roman" w:eastAsia="宋体" w:hAnsi="Times New Roman"/>
                <w:color w:val="000000"/>
                <w:sz w:val="20"/>
                <w:szCs w:val="20"/>
              </w:rPr>
              <w:t>(161)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89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98"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899"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89A" w14:textId="77777777" w:rsidR="007F1775" w:rsidRDefault="000F083E">
            <w:pPr>
              <w:jc w:val="right"/>
              <w:textAlignment w:val="bottom"/>
            </w:pPr>
            <w:r>
              <w:rPr>
                <w:rFonts w:ascii="Times New Roman" w:eastAsia="宋体" w:hAnsi="Times New Roman"/>
                <w:color w:val="000000"/>
                <w:sz w:val="20"/>
                <w:szCs w:val="20"/>
              </w:rPr>
              <w:t>25,325 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89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9C"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89D"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89E" w14:textId="77777777" w:rsidR="007F1775" w:rsidRDefault="000F083E">
            <w:pPr>
              <w:jc w:val="right"/>
              <w:textAlignment w:val="bottom"/>
            </w:pPr>
            <w:r>
              <w:rPr>
                <w:rFonts w:ascii="Times New Roman" w:eastAsia="宋体" w:hAnsi="Times New Roman"/>
                <w:color w:val="000000"/>
                <w:sz w:val="20"/>
                <w:szCs w:val="20"/>
              </w:rPr>
              <w:t>(996)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89F" w14:textId="77777777" w:rsidR="007F1775" w:rsidRDefault="007F1775">
            <w:pPr>
              <w:jc w:val="right"/>
              <w:rPr>
                <w:rFonts w:ascii="宋体"/>
              </w:rPr>
            </w:pPr>
          </w:p>
        </w:tc>
      </w:tr>
    </w:tbl>
    <w:p w14:paraId="0B2FA8A1" w14:textId="77777777" w:rsidR="007F1775" w:rsidRDefault="007F1775">
      <w:pPr>
        <w:ind w:firstLine="540"/>
        <w:jc w:val="both"/>
      </w:pPr>
    </w:p>
    <w:p w14:paraId="0B2FA8A2" w14:textId="77777777" w:rsidR="007F1775" w:rsidRDefault="000F083E">
      <w:pPr>
        <w:ind w:firstLine="540"/>
        <w:jc w:val="both"/>
      </w:pPr>
      <w:r>
        <w:rPr>
          <w:rFonts w:ascii="Times New Roman" w:eastAsia="宋体" w:hAnsi="Times New Roman"/>
          <w:color w:val="000000"/>
          <w:sz w:val="20"/>
          <w:szCs w:val="20"/>
        </w:rPr>
        <w:t>The gross unrealized gains on our marketable securities were not material as of March 31, 2022 and December 31, 2021. The gross unrealized losses were $996 million and not materi</w:t>
      </w:r>
      <w:r>
        <w:rPr>
          <w:rFonts w:ascii="Times New Roman" w:eastAsia="宋体" w:hAnsi="Times New Roman"/>
          <w:color w:val="000000"/>
          <w:sz w:val="20"/>
          <w:szCs w:val="20"/>
        </w:rPr>
        <w:t>al as of March 31, 2022 and December 31, 2021, respectively. The allowance for credit losses on our marketable securities was not material as of March 31, 2022 and December 31, 2021.</w:t>
      </w:r>
    </w:p>
    <w:p w14:paraId="0B2FA8A3" w14:textId="77777777" w:rsidR="007F1775" w:rsidRDefault="007F1775">
      <w:pPr>
        <w:ind w:firstLine="540"/>
        <w:jc w:val="both"/>
      </w:pPr>
    </w:p>
    <w:p w14:paraId="0B2FA8A4" w14:textId="77777777" w:rsidR="007F1775" w:rsidRDefault="000F083E">
      <w:pPr>
        <w:ind w:firstLine="540"/>
      </w:pPr>
      <w:r>
        <w:rPr>
          <w:rFonts w:ascii="Times New Roman" w:eastAsia="宋体" w:hAnsi="Times New Roman"/>
          <w:color w:val="000000"/>
          <w:sz w:val="20"/>
          <w:szCs w:val="20"/>
        </w:rPr>
        <w:t xml:space="preserve">The following table classifies our marketable securities by contractual </w:t>
      </w:r>
      <w:r>
        <w:rPr>
          <w:rFonts w:ascii="Times New Roman" w:eastAsia="宋体" w:hAnsi="Times New Roman"/>
          <w:color w:val="000000"/>
          <w:sz w:val="20"/>
          <w:szCs w:val="20"/>
        </w:rPr>
        <w:t xml:space="preserve">maturities (in millions): </w:t>
      </w:r>
    </w:p>
    <w:tbl>
      <w:tblPr>
        <w:tblW w:w="5000" w:type="pct"/>
        <w:tblCellMar>
          <w:top w:w="15" w:type="dxa"/>
          <w:left w:w="15" w:type="dxa"/>
          <w:bottom w:w="15" w:type="dxa"/>
          <w:right w:w="15" w:type="dxa"/>
        </w:tblCellMar>
        <w:tblLook w:val="04A0" w:firstRow="1" w:lastRow="0" w:firstColumn="1" w:lastColumn="0" w:noHBand="0" w:noVBand="1"/>
      </w:tblPr>
      <w:tblGrid>
        <w:gridCol w:w="52"/>
        <w:gridCol w:w="6886"/>
        <w:gridCol w:w="37"/>
        <w:gridCol w:w="120"/>
        <w:gridCol w:w="1205"/>
        <w:gridCol w:w="36"/>
      </w:tblGrid>
      <w:tr w:rsidR="007F1775" w14:paraId="0B2FA8AB" w14:textId="77777777">
        <w:tc>
          <w:tcPr>
            <w:tcW w:w="50" w:type="pct"/>
            <w:shd w:val="clear" w:color="auto" w:fill="auto"/>
            <w:vAlign w:val="bottom"/>
          </w:tcPr>
          <w:p w14:paraId="0B2FA8A5" w14:textId="77777777" w:rsidR="007F1775" w:rsidRDefault="007F1775">
            <w:pPr>
              <w:rPr>
                <w:rFonts w:ascii="宋体"/>
              </w:rPr>
            </w:pPr>
          </w:p>
        </w:tc>
        <w:tc>
          <w:tcPr>
            <w:tcW w:w="4148" w:type="pct"/>
            <w:shd w:val="clear" w:color="auto" w:fill="auto"/>
            <w:vAlign w:val="bottom"/>
          </w:tcPr>
          <w:p w14:paraId="0B2FA8A6" w14:textId="77777777" w:rsidR="007F1775" w:rsidRDefault="007F1775">
            <w:pPr>
              <w:rPr>
                <w:rFonts w:ascii="宋体"/>
              </w:rPr>
            </w:pPr>
          </w:p>
        </w:tc>
        <w:tc>
          <w:tcPr>
            <w:tcW w:w="5" w:type="pct"/>
            <w:shd w:val="clear" w:color="auto" w:fill="auto"/>
            <w:vAlign w:val="bottom"/>
          </w:tcPr>
          <w:p w14:paraId="0B2FA8A7" w14:textId="77777777" w:rsidR="007F1775" w:rsidRDefault="007F1775">
            <w:pPr>
              <w:rPr>
                <w:rFonts w:ascii="宋体"/>
              </w:rPr>
            </w:pPr>
          </w:p>
        </w:tc>
        <w:tc>
          <w:tcPr>
            <w:tcW w:w="50" w:type="pct"/>
            <w:shd w:val="clear" w:color="auto" w:fill="auto"/>
            <w:vAlign w:val="bottom"/>
          </w:tcPr>
          <w:p w14:paraId="0B2FA8A8" w14:textId="77777777" w:rsidR="007F1775" w:rsidRDefault="007F1775">
            <w:pPr>
              <w:rPr>
                <w:rFonts w:ascii="宋体"/>
              </w:rPr>
            </w:pPr>
          </w:p>
        </w:tc>
        <w:tc>
          <w:tcPr>
            <w:tcW w:w="741" w:type="pct"/>
            <w:shd w:val="clear" w:color="auto" w:fill="auto"/>
            <w:vAlign w:val="bottom"/>
          </w:tcPr>
          <w:p w14:paraId="0B2FA8A9" w14:textId="77777777" w:rsidR="007F1775" w:rsidRDefault="007F1775">
            <w:pPr>
              <w:rPr>
                <w:rFonts w:ascii="宋体"/>
              </w:rPr>
            </w:pPr>
          </w:p>
        </w:tc>
        <w:tc>
          <w:tcPr>
            <w:tcW w:w="5" w:type="pct"/>
            <w:shd w:val="clear" w:color="auto" w:fill="auto"/>
            <w:vAlign w:val="bottom"/>
          </w:tcPr>
          <w:p w14:paraId="0B2FA8AA" w14:textId="77777777" w:rsidR="007F1775" w:rsidRDefault="007F1775">
            <w:pPr>
              <w:rPr>
                <w:rFonts w:ascii="宋体"/>
              </w:rPr>
            </w:pPr>
          </w:p>
        </w:tc>
      </w:tr>
      <w:tr w:rsidR="007F1775" w14:paraId="0B2FA8AE" w14:textId="77777777">
        <w:tc>
          <w:tcPr>
            <w:tcW w:w="0" w:type="auto"/>
            <w:gridSpan w:val="3"/>
            <w:shd w:val="clear" w:color="auto" w:fill="auto"/>
            <w:tcMar>
              <w:top w:w="0" w:type="dxa"/>
              <w:left w:w="20" w:type="dxa"/>
              <w:bottom w:w="0" w:type="dxa"/>
              <w:right w:w="20" w:type="dxa"/>
            </w:tcMar>
            <w:vAlign w:val="bottom"/>
          </w:tcPr>
          <w:p w14:paraId="0B2FA8AC"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8AD" w14:textId="77777777" w:rsidR="007F1775" w:rsidRDefault="000F083E">
            <w:pPr>
              <w:jc w:val="center"/>
              <w:textAlignment w:val="bottom"/>
            </w:pPr>
            <w:r>
              <w:rPr>
                <w:rFonts w:ascii="Times New Roman" w:eastAsia="宋体" w:hAnsi="Times New Roman"/>
                <w:b/>
                <w:bCs/>
                <w:color w:val="000000"/>
                <w:sz w:val="16"/>
                <w:szCs w:val="16"/>
              </w:rPr>
              <w:t>March 31, 2022</w:t>
            </w:r>
          </w:p>
        </w:tc>
      </w:tr>
      <w:tr w:rsidR="007F1775" w14:paraId="0B2FA8B3" w14:textId="77777777">
        <w:tc>
          <w:tcPr>
            <w:tcW w:w="0" w:type="auto"/>
            <w:gridSpan w:val="3"/>
            <w:shd w:val="clear" w:color="auto" w:fill="CCEEFF"/>
            <w:tcMar>
              <w:top w:w="40" w:type="dxa"/>
              <w:left w:w="20" w:type="dxa"/>
              <w:bottom w:w="40" w:type="dxa"/>
              <w:right w:w="20" w:type="dxa"/>
            </w:tcMar>
            <w:vAlign w:val="bottom"/>
          </w:tcPr>
          <w:p w14:paraId="0B2FA8AF" w14:textId="77777777" w:rsidR="007F1775" w:rsidRDefault="000F083E">
            <w:pPr>
              <w:textAlignment w:val="bottom"/>
            </w:pPr>
            <w:r>
              <w:rPr>
                <w:rFonts w:ascii="Times New Roman" w:eastAsia="宋体" w:hAnsi="Times New Roman"/>
                <w:color w:val="000000"/>
                <w:sz w:val="20"/>
                <w:szCs w:val="20"/>
              </w:rPr>
              <w:t>Due within one year</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A8B0"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8B1" w14:textId="77777777" w:rsidR="007F1775" w:rsidRDefault="000F083E">
            <w:pPr>
              <w:jc w:val="right"/>
              <w:textAlignment w:val="bottom"/>
            </w:pPr>
            <w:r>
              <w:rPr>
                <w:rFonts w:ascii="Times New Roman" w:eastAsia="宋体" w:hAnsi="Times New Roman"/>
                <w:color w:val="000000"/>
                <w:sz w:val="20"/>
                <w:szCs w:val="20"/>
              </w:rPr>
              <w:t>2,452 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8B2" w14:textId="77777777" w:rsidR="007F1775" w:rsidRDefault="007F1775">
            <w:pPr>
              <w:jc w:val="right"/>
              <w:rPr>
                <w:rFonts w:ascii="宋体"/>
              </w:rPr>
            </w:pPr>
          </w:p>
        </w:tc>
      </w:tr>
      <w:tr w:rsidR="007F1775" w14:paraId="0B2FA8B7" w14:textId="77777777">
        <w:tc>
          <w:tcPr>
            <w:tcW w:w="0" w:type="auto"/>
            <w:gridSpan w:val="3"/>
            <w:shd w:val="clear" w:color="auto" w:fill="FFFFFF"/>
            <w:tcMar>
              <w:top w:w="40" w:type="dxa"/>
              <w:left w:w="20" w:type="dxa"/>
              <w:bottom w:w="40" w:type="dxa"/>
              <w:right w:w="20" w:type="dxa"/>
            </w:tcMar>
            <w:vAlign w:val="bottom"/>
          </w:tcPr>
          <w:p w14:paraId="0B2FA8B4" w14:textId="77777777" w:rsidR="007F1775" w:rsidRDefault="000F083E">
            <w:pPr>
              <w:textAlignment w:val="bottom"/>
            </w:pPr>
            <w:r>
              <w:rPr>
                <w:rFonts w:ascii="Times New Roman" w:eastAsia="宋体" w:hAnsi="Times New Roman"/>
                <w:color w:val="000000"/>
                <w:sz w:val="20"/>
                <w:szCs w:val="20"/>
              </w:rPr>
              <w:t>Due after one year to five years</w:t>
            </w:r>
          </w:p>
        </w:tc>
        <w:tc>
          <w:tcPr>
            <w:tcW w:w="0" w:type="auto"/>
            <w:gridSpan w:val="2"/>
            <w:shd w:val="clear" w:color="auto" w:fill="FFFFFF"/>
            <w:tcMar>
              <w:top w:w="40" w:type="dxa"/>
              <w:left w:w="20" w:type="dxa"/>
              <w:bottom w:w="40" w:type="dxa"/>
              <w:right w:w="0" w:type="dxa"/>
            </w:tcMar>
            <w:vAlign w:val="bottom"/>
          </w:tcPr>
          <w:p w14:paraId="0B2FA8B5" w14:textId="77777777" w:rsidR="007F1775" w:rsidRDefault="000F083E">
            <w:pPr>
              <w:jc w:val="right"/>
              <w:textAlignment w:val="bottom"/>
            </w:pPr>
            <w:r>
              <w:rPr>
                <w:rFonts w:ascii="Times New Roman" w:eastAsia="宋体" w:hAnsi="Times New Roman"/>
                <w:color w:val="000000"/>
                <w:sz w:val="20"/>
                <w:szCs w:val="20"/>
              </w:rPr>
              <w:t>26,552 </w:t>
            </w:r>
          </w:p>
        </w:tc>
        <w:tc>
          <w:tcPr>
            <w:tcW w:w="0" w:type="auto"/>
            <w:shd w:val="clear" w:color="auto" w:fill="FFFFFF"/>
            <w:tcMar>
              <w:top w:w="40" w:type="dxa"/>
              <w:left w:w="0" w:type="dxa"/>
              <w:bottom w:w="40" w:type="dxa"/>
              <w:right w:w="20" w:type="dxa"/>
            </w:tcMar>
            <w:vAlign w:val="bottom"/>
          </w:tcPr>
          <w:p w14:paraId="0B2FA8B6" w14:textId="77777777" w:rsidR="007F1775" w:rsidRDefault="007F1775">
            <w:pPr>
              <w:jc w:val="right"/>
              <w:rPr>
                <w:rFonts w:ascii="宋体"/>
              </w:rPr>
            </w:pPr>
          </w:p>
        </w:tc>
      </w:tr>
      <w:tr w:rsidR="007F1775" w14:paraId="0B2FA8BC" w14:textId="77777777">
        <w:tc>
          <w:tcPr>
            <w:tcW w:w="0" w:type="auto"/>
            <w:gridSpan w:val="3"/>
            <w:shd w:val="clear" w:color="auto" w:fill="CCEEFF"/>
            <w:tcMar>
              <w:top w:w="40" w:type="dxa"/>
              <w:left w:w="380" w:type="dxa"/>
              <w:bottom w:w="40" w:type="dxa"/>
              <w:right w:w="20" w:type="dxa"/>
            </w:tcMar>
            <w:vAlign w:val="bottom"/>
          </w:tcPr>
          <w:p w14:paraId="0B2FA8B8" w14:textId="77777777" w:rsidR="007F1775" w:rsidRDefault="000F083E">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8B9"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8BA" w14:textId="77777777" w:rsidR="007F1775" w:rsidRDefault="000F083E">
            <w:pPr>
              <w:jc w:val="right"/>
              <w:textAlignment w:val="bottom"/>
            </w:pPr>
            <w:r>
              <w:rPr>
                <w:rFonts w:ascii="Times New Roman" w:eastAsia="宋体" w:hAnsi="Times New Roman"/>
                <w:color w:val="000000"/>
                <w:sz w:val="20"/>
                <w:szCs w:val="20"/>
              </w:rPr>
              <w:t>29,004 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8BB" w14:textId="77777777" w:rsidR="007F1775" w:rsidRDefault="007F1775">
            <w:pPr>
              <w:jc w:val="right"/>
              <w:rPr>
                <w:rFonts w:ascii="宋体"/>
              </w:rPr>
            </w:pPr>
          </w:p>
        </w:tc>
      </w:tr>
    </w:tbl>
    <w:p w14:paraId="0B2FA8BD" w14:textId="77777777" w:rsidR="007F1775" w:rsidRDefault="007F1775">
      <w:pPr>
        <w:spacing w:before="180"/>
      </w:pPr>
    </w:p>
    <w:p w14:paraId="0B2FA8BE" w14:textId="77777777" w:rsidR="007F1775" w:rsidRDefault="000F083E">
      <w:pPr>
        <w:jc w:val="center"/>
      </w:pPr>
      <w:r>
        <w:rPr>
          <w:rFonts w:ascii="Times New Roman" w:eastAsia="宋体" w:hAnsi="Times New Roman"/>
          <w:color w:val="000000"/>
          <w:sz w:val="20"/>
          <w:szCs w:val="20"/>
        </w:rPr>
        <w:t>16</w:t>
      </w:r>
    </w:p>
    <w:p w14:paraId="0B2FA8BF" w14:textId="77777777" w:rsidR="007F1775" w:rsidRDefault="000F083E">
      <w:r>
        <w:pict w14:anchorId="0B2FBF71">
          <v:rect id="_x0000_i1040" style="width:415.3pt;height:1.5pt" o:hralign="center" o:hrstd="t" o:hr="t" fillcolor="#a0a0a0" stroked="f"/>
        </w:pict>
      </w:r>
    </w:p>
    <w:p w14:paraId="0B2FA8C0" w14:textId="77777777" w:rsidR="007F1775" w:rsidRDefault="007F1775"/>
    <w:p w14:paraId="0B2FA8C1" w14:textId="77777777" w:rsidR="007F1775" w:rsidRDefault="007F1775"/>
    <w:p w14:paraId="0B2FA8C2" w14:textId="77777777" w:rsidR="007F1775" w:rsidRDefault="000F083E">
      <w:hyperlink r:id="rId94" w:anchor="iea70e328caa94cefb76a9db6ed6338fc_7" w:history="1">
        <w:r>
          <w:rPr>
            <w:rStyle w:val="a5"/>
            <w:rFonts w:ascii="Times New Roman" w:eastAsia="宋体" w:hAnsi="Times New Roman"/>
            <w:sz w:val="20"/>
            <w:szCs w:val="20"/>
          </w:rPr>
          <w:t>Table of Contents</w:t>
        </w:r>
      </w:hyperlink>
    </w:p>
    <w:p w14:paraId="0B2FA8C3" w14:textId="77777777" w:rsidR="007F1775" w:rsidRDefault="000F083E">
      <w:pPr>
        <w:spacing w:before="180"/>
      </w:pPr>
      <w:r>
        <w:rPr>
          <w:rFonts w:ascii="Times New Roman" w:eastAsia="宋体" w:hAnsi="Times New Roman"/>
          <w:b/>
          <w:bCs/>
          <w:color w:val="000000"/>
          <w:sz w:val="20"/>
          <w:szCs w:val="20"/>
        </w:rPr>
        <w:t>Note 5. Equity Investments</w:t>
      </w:r>
    </w:p>
    <w:p w14:paraId="0B2FA8C4" w14:textId="77777777" w:rsidR="007F1775" w:rsidRDefault="007F1775">
      <w:pPr>
        <w:ind w:firstLine="540"/>
        <w:jc w:val="both"/>
      </w:pPr>
    </w:p>
    <w:p w14:paraId="0B2FA8C5" w14:textId="77777777" w:rsidR="007F1775" w:rsidRDefault="000F083E">
      <w:pPr>
        <w:ind w:firstLine="540"/>
        <w:jc w:val="both"/>
      </w:pPr>
      <w:r>
        <w:rPr>
          <w:rFonts w:ascii="Times New Roman" w:eastAsia="宋体" w:hAnsi="Times New Roman"/>
          <w:color w:val="000000"/>
          <w:sz w:val="20"/>
          <w:szCs w:val="20"/>
        </w:rPr>
        <w:t>Our equity investments are investments in equity securiti</w:t>
      </w:r>
      <w:r>
        <w:rPr>
          <w:rFonts w:ascii="Times New Roman" w:eastAsia="宋体" w:hAnsi="Times New Roman"/>
          <w:color w:val="000000"/>
          <w:sz w:val="20"/>
          <w:szCs w:val="20"/>
        </w:rPr>
        <w:t>es of privately-held companies without readily determinable fair values. The following table summarizes our equity investments that were measured using measurement alternative and equity method (in millions):</w:t>
      </w:r>
    </w:p>
    <w:tbl>
      <w:tblPr>
        <w:tblW w:w="4993" w:type="pct"/>
        <w:tblCellMar>
          <w:top w:w="15" w:type="dxa"/>
          <w:left w:w="15" w:type="dxa"/>
          <w:bottom w:w="15" w:type="dxa"/>
          <w:right w:w="15" w:type="dxa"/>
        </w:tblCellMar>
        <w:tblLook w:val="04A0" w:firstRow="1" w:lastRow="0" w:firstColumn="1" w:lastColumn="0" w:noHBand="0" w:noVBand="1"/>
      </w:tblPr>
      <w:tblGrid>
        <w:gridCol w:w="39"/>
        <w:gridCol w:w="5464"/>
        <w:gridCol w:w="38"/>
        <w:gridCol w:w="120"/>
        <w:gridCol w:w="1181"/>
        <w:gridCol w:w="36"/>
        <w:gridCol w:w="36"/>
        <w:gridCol w:w="36"/>
        <w:gridCol w:w="36"/>
        <w:gridCol w:w="121"/>
        <w:gridCol w:w="1181"/>
        <w:gridCol w:w="36"/>
      </w:tblGrid>
      <w:tr w:rsidR="007F1775" w14:paraId="0B2FA8D2" w14:textId="77777777">
        <w:tc>
          <w:tcPr>
            <w:tcW w:w="50" w:type="pct"/>
            <w:shd w:val="clear" w:color="auto" w:fill="auto"/>
            <w:vAlign w:val="bottom"/>
          </w:tcPr>
          <w:p w14:paraId="0B2FA8C6" w14:textId="77777777" w:rsidR="007F1775" w:rsidRDefault="007F1775">
            <w:pPr>
              <w:rPr>
                <w:rFonts w:ascii="宋体"/>
              </w:rPr>
            </w:pPr>
          </w:p>
        </w:tc>
        <w:tc>
          <w:tcPr>
            <w:tcW w:w="3320" w:type="pct"/>
            <w:shd w:val="clear" w:color="auto" w:fill="auto"/>
            <w:vAlign w:val="bottom"/>
          </w:tcPr>
          <w:p w14:paraId="0B2FA8C7" w14:textId="77777777" w:rsidR="007F1775" w:rsidRDefault="007F1775">
            <w:pPr>
              <w:rPr>
                <w:rFonts w:ascii="宋体"/>
              </w:rPr>
            </w:pPr>
          </w:p>
        </w:tc>
        <w:tc>
          <w:tcPr>
            <w:tcW w:w="5" w:type="pct"/>
            <w:shd w:val="clear" w:color="auto" w:fill="auto"/>
            <w:vAlign w:val="bottom"/>
          </w:tcPr>
          <w:p w14:paraId="0B2FA8C8" w14:textId="77777777" w:rsidR="007F1775" w:rsidRDefault="007F1775">
            <w:pPr>
              <w:rPr>
                <w:rFonts w:ascii="宋体"/>
              </w:rPr>
            </w:pPr>
          </w:p>
        </w:tc>
        <w:tc>
          <w:tcPr>
            <w:tcW w:w="50" w:type="pct"/>
            <w:shd w:val="clear" w:color="auto" w:fill="auto"/>
            <w:vAlign w:val="bottom"/>
          </w:tcPr>
          <w:p w14:paraId="0B2FA8C9" w14:textId="77777777" w:rsidR="007F1775" w:rsidRDefault="007F1775">
            <w:pPr>
              <w:rPr>
                <w:rFonts w:ascii="宋体"/>
              </w:rPr>
            </w:pPr>
          </w:p>
        </w:tc>
        <w:tc>
          <w:tcPr>
            <w:tcW w:w="742" w:type="pct"/>
            <w:shd w:val="clear" w:color="auto" w:fill="auto"/>
            <w:vAlign w:val="bottom"/>
          </w:tcPr>
          <w:p w14:paraId="0B2FA8CA" w14:textId="77777777" w:rsidR="007F1775" w:rsidRDefault="007F1775">
            <w:pPr>
              <w:rPr>
                <w:rFonts w:ascii="宋体"/>
              </w:rPr>
            </w:pPr>
          </w:p>
        </w:tc>
        <w:tc>
          <w:tcPr>
            <w:tcW w:w="5" w:type="pct"/>
            <w:shd w:val="clear" w:color="auto" w:fill="auto"/>
            <w:vAlign w:val="bottom"/>
          </w:tcPr>
          <w:p w14:paraId="0B2FA8CB" w14:textId="77777777" w:rsidR="007F1775" w:rsidRDefault="007F1775">
            <w:pPr>
              <w:rPr>
                <w:rFonts w:ascii="宋体"/>
              </w:rPr>
            </w:pPr>
          </w:p>
        </w:tc>
        <w:tc>
          <w:tcPr>
            <w:tcW w:w="5" w:type="pct"/>
            <w:shd w:val="clear" w:color="auto" w:fill="auto"/>
            <w:vAlign w:val="bottom"/>
          </w:tcPr>
          <w:p w14:paraId="0B2FA8CC" w14:textId="77777777" w:rsidR="007F1775" w:rsidRDefault="007F1775">
            <w:pPr>
              <w:rPr>
                <w:rFonts w:ascii="宋体"/>
              </w:rPr>
            </w:pPr>
          </w:p>
        </w:tc>
        <w:tc>
          <w:tcPr>
            <w:tcW w:w="19" w:type="pct"/>
            <w:shd w:val="clear" w:color="auto" w:fill="auto"/>
            <w:vAlign w:val="bottom"/>
          </w:tcPr>
          <w:p w14:paraId="0B2FA8CD" w14:textId="77777777" w:rsidR="007F1775" w:rsidRDefault="007F1775">
            <w:pPr>
              <w:rPr>
                <w:rFonts w:ascii="宋体"/>
              </w:rPr>
            </w:pPr>
          </w:p>
        </w:tc>
        <w:tc>
          <w:tcPr>
            <w:tcW w:w="5" w:type="pct"/>
            <w:shd w:val="clear" w:color="auto" w:fill="auto"/>
            <w:vAlign w:val="bottom"/>
          </w:tcPr>
          <w:p w14:paraId="0B2FA8CE" w14:textId="77777777" w:rsidR="007F1775" w:rsidRDefault="007F1775">
            <w:pPr>
              <w:rPr>
                <w:rFonts w:ascii="宋体"/>
              </w:rPr>
            </w:pPr>
          </w:p>
        </w:tc>
        <w:tc>
          <w:tcPr>
            <w:tcW w:w="50" w:type="pct"/>
            <w:shd w:val="clear" w:color="auto" w:fill="auto"/>
            <w:vAlign w:val="bottom"/>
          </w:tcPr>
          <w:p w14:paraId="0B2FA8CF" w14:textId="77777777" w:rsidR="007F1775" w:rsidRDefault="007F1775">
            <w:pPr>
              <w:rPr>
                <w:rFonts w:ascii="宋体"/>
              </w:rPr>
            </w:pPr>
          </w:p>
        </w:tc>
        <w:tc>
          <w:tcPr>
            <w:tcW w:w="742" w:type="pct"/>
            <w:shd w:val="clear" w:color="auto" w:fill="auto"/>
            <w:vAlign w:val="bottom"/>
          </w:tcPr>
          <w:p w14:paraId="0B2FA8D0" w14:textId="77777777" w:rsidR="007F1775" w:rsidRDefault="007F1775">
            <w:pPr>
              <w:rPr>
                <w:rFonts w:ascii="宋体"/>
              </w:rPr>
            </w:pPr>
          </w:p>
        </w:tc>
        <w:tc>
          <w:tcPr>
            <w:tcW w:w="5" w:type="pct"/>
            <w:shd w:val="clear" w:color="auto" w:fill="auto"/>
            <w:vAlign w:val="bottom"/>
          </w:tcPr>
          <w:p w14:paraId="0B2FA8D1" w14:textId="77777777" w:rsidR="007F1775" w:rsidRDefault="007F1775">
            <w:pPr>
              <w:rPr>
                <w:rFonts w:ascii="宋体"/>
              </w:rPr>
            </w:pPr>
          </w:p>
        </w:tc>
      </w:tr>
      <w:tr w:rsidR="007F1775" w14:paraId="0B2FA8D7" w14:textId="77777777">
        <w:tc>
          <w:tcPr>
            <w:tcW w:w="0" w:type="auto"/>
            <w:gridSpan w:val="3"/>
            <w:shd w:val="clear" w:color="auto" w:fill="auto"/>
            <w:tcMar>
              <w:top w:w="0" w:type="dxa"/>
              <w:left w:w="20" w:type="dxa"/>
              <w:bottom w:w="0" w:type="dxa"/>
              <w:right w:w="20" w:type="dxa"/>
            </w:tcMar>
            <w:vAlign w:val="bottom"/>
          </w:tcPr>
          <w:p w14:paraId="0B2FA8D3"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8D4" w14:textId="77777777" w:rsidR="007F1775" w:rsidRDefault="000F083E">
            <w:pPr>
              <w:jc w:val="center"/>
              <w:textAlignment w:val="bottom"/>
            </w:pPr>
            <w:r>
              <w:rPr>
                <w:rFonts w:ascii="Times New Roman" w:eastAsia="宋体" w:hAnsi="Times New Roman"/>
                <w:b/>
                <w:bCs/>
                <w:color w:val="000000"/>
                <w:sz w:val="16"/>
                <w:szCs w:val="16"/>
              </w:rPr>
              <w:t>March 31, 2022</w:t>
            </w:r>
          </w:p>
        </w:tc>
        <w:tc>
          <w:tcPr>
            <w:tcW w:w="0" w:type="auto"/>
            <w:gridSpan w:val="3"/>
            <w:shd w:val="clear" w:color="auto" w:fill="auto"/>
            <w:tcMar>
              <w:top w:w="0" w:type="dxa"/>
              <w:left w:w="20" w:type="dxa"/>
              <w:bottom w:w="0" w:type="dxa"/>
              <w:right w:w="20" w:type="dxa"/>
            </w:tcMar>
            <w:vAlign w:val="bottom"/>
          </w:tcPr>
          <w:p w14:paraId="0B2FA8D5"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8D6" w14:textId="77777777" w:rsidR="007F1775" w:rsidRDefault="000F083E">
            <w:pPr>
              <w:jc w:val="center"/>
              <w:textAlignment w:val="bottom"/>
            </w:pPr>
            <w:r>
              <w:rPr>
                <w:rFonts w:ascii="Times New Roman" w:eastAsia="宋体" w:hAnsi="Times New Roman"/>
                <w:b/>
                <w:bCs/>
                <w:color w:val="000000"/>
                <w:sz w:val="16"/>
                <w:szCs w:val="16"/>
              </w:rPr>
              <w:t xml:space="preserve">December 31, </w:t>
            </w:r>
            <w:r>
              <w:rPr>
                <w:rFonts w:ascii="Times New Roman" w:eastAsia="宋体" w:hAnsi="Times New Roman"/>
                <w:b/>
                <w:bCs/>
                <w:color w:val="000000"/>
                <w:sz w:val="16"/>
                <w:szCs w:val="16"/>
              </w:rPr>
              <w:t>2021</w:t>
            </w:r>
          </w:p>
        </w:tc>
      </w:tr>
      <w:tr w:rsidR="007F1775" w14:paraId="0B2FA8DC" w14:textId="77777777">
        <w:tc>
          <w:tcPr>
            <w:tcW w:w="0" w:type="auto"/>
            <w:gridSpan w:val="3"/>
            <w:shd w:val="clear" w:color="auto" w:fill="CCEEFF"/>
            <w:tcMar>
              <w:top w:w="40" w:type="dxa"/>
              <w:left w:w="20" w:type="dxa"/>
              <w:bottom w:w="40" w:type="dxa"/>
              <w:right w:w="20" w:type="dxa"/>
            </w:tcMar>
            <w:vAlign w:val="bottom"/>
          </w:tcPr>
          <w:p w14:paraId="0B2FA8D8" w14:textId="77777777" w:rsidR="007F1775" w:rsidRDefault="000F083E">
            <w:pPr>
              <w:textAlignment w:val="bottom"/>
            </w:pPr>
            <w:r>
              <w:rPr>
                <w:rFonts w:ascii="Times New Roman" w:eastAsia="宋体" w:hAnsi="Times New Roman"/>
                <w:color w:val="000000"/>
                <w:sz w:val="20"/>
                <w:szCs w:val="20"/>
              </w:rPr>
              <w:t>Equity investments under measurement alternative: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8D9"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8DA"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8DB" w14:textId="77777777" w:rsidR="007F1775" w:rsidRDefault="007F1775">
            <w:pPr>
              <w:rPr>
                <w:rFonts w:ascii="宋体"/>
              </w:rPr>
            </w:pPr>
          </w:p>
        </w:tc>
      </w:tr>
      <w:tr w:rsidR="007F1775" w14:paraId="0B2FA8E5" w14:textId="77777777">
        <w:tc>
          <w:tcPr>
            <w:tcW w:w="0" w:type="auto"/>
            <w:gridSpan w:val="3"/>
            <w:shd w:val="clear" w:color="auto" w:fill="FFFFFF"/>
            <w:tcMar>
              <w:top w:w="40" w:type="dxa"/>
              <w:left w:w="200" w:type="dxa"/>
              <w:bottom w:w="40" w:type="dxa"/>
              <w:right w:w="20" w:type="dxa"/>
            </w:tcMar>
            <w:vAlign w:val="bottom"/>
          </w:tcPr>
          <w:p w14:paraId="0B2FA8DD" w14:textId="77777777" w:rsidR="007F1775" w:rsidRDefault="000F083E">
            <w:pPr>
              <w:textAlignment w:val="bottom"/>
            </w:pPr>
            <w:r>
              <w:rPr>
                <w:rFonts w:ascii="Times New Roman" w:eastAsia="宋体" w:hAnsi="Times New Roman"/>
                <w:color w:val="000000"/>
                <w:sz w:val="20"/>
                <w:szCs w:val="20"/>
              </w:rPr>
              <w:t>Initial cost</w:t>
            </w:r>
          </w:p>
        </w:tc>
        <w:tc>
          <w:tcPr>
            <w:tcW w:w="0" w:type="auto"/>
            <w:shd w:val="clear" w:color="auto" w:fill="FFFFFF"/>
            <w:tcMar>
              <w:top w:w="40" w:type="dxa"/>
              <w:left w:w="20" w:type="dxa"/>
              <w:bottom w:w="40" w:type="dxa"/>
              <w:right w:w="0" w:type="dxa"/>
            </w:tcMar>
            <w:vAlign w:val="bottom"/>
          </w:tcPr>
          <w:p w14:paraId="0B2FA8DE"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8DF" w14:textId="77777777" w:rsidR="007F1775" w:rsidRDefault="000F083E">
            <w:pPr>
              <w:jc w:val="right"/>
              <w:textAlignment w:val="bottom"/>
            </w:pPr>
            <w:r>
              <w:rPr>
                <w:rFonts w:ascii="Times New Roman" w:eastAsia="宋体" w:hAnsi="Times New Roman"/>
                <w:color w:val="000000"/>
                <w:sz w:val="20"/>
                <w:szCs w:val="20"/>
              </w:rPr>
              <w:t>6,480 </w:t>
            </w:r>
          </w:p>
        </w:tc>
        <w:tc>
          <w:tcPr>
            <w:tcW w:w="0" w:type="auto"/>
            <w:shd w:val="clear" w:color="auto" w:fill="FFFFFF"/>
            <w:tcMar>
              <w:top w:w="40" w:type="dxa"/>
              <w:left w:w="0" w:type="dxa"/>
              <w:bottom w:w="40" w:type="dxa"/>
              <w:right w:w="20" w:type="dxa"/>
            </w:tcMar>
            <w:vAlign w:val="bottom"/>
          </w:tcPr>
          <w:p w14:paraId="0B2FA8E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E1"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8E2"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8E3" w14:textId="77777777" w:rsidR="007F1775" w:rsidRDefault="000F083E">
            <w:pPr>
              <w:jc w:val="right"/>
              <w:textAlignment w:val="bottom"/>
            </w:pPr>
            <w:r>
              <w:rPr>
                <w:rFonts w:ascii="Times New Roman" w:eastAsia="宋体" w:hAnsi="Times New Roman"/>
                <w:color w:val="000000"/>
                <w:sz w:val="20"/>
                <w:szCs w:val="20"/>
              </w:rPr>
              <w:t>6,480 </w:t>
            </w:r>
          </w:p>
        </w:tc>
        <w:tc>
          <w:tcPr>
            <w:tcW w:w="0" w:type="auto"/>
            <w:shd w:val="clear" w:color="auto" w:fill="FFFFFF"/>
            <w:tcMar>
              <w:top w:w="40" w:type="dxa"/>
              <w:left w:w="0" w:type="dxa"/>
              <w:bottom w:w="40" w:type="dxa"/>
              <w:right w:w="20" w:type="dxa"/>
            </w:tcMar>
            <w:vAlign w:val="bottom"/>
          </w:tcPr>
          <w:p w14:paraId="0B2FA8E4" w14:textId="77777777" w:rsidR="007F1775" w:rsidRDefault="007F1775">
            <w:pPr>
              <w:jc w:val="right"/>
              <w:rPr>
                <w:rFonts w:ascii="宋体"/>
              </w:rPr>
            </w:pPr>
          </w:p>
        </w:tc>
      </w:tr>
      <w:tr w:rsidR="007F1775" w14:paraId="0B2FA8EC" w14:textId="77777777">
        <w:tc>
          <w:tcPr>
            <w:tcW w:w="0" w:type="auto"/>
            <w:gridSpan w:val="3"/>
            <w:shd w:val="clear" w:color="auto" w:fill="CCEEFF"/>
            <w:tcMar>
              <w:top w:w="40" w:type="dxa"/>
              <w:left w:w="200" w:type="dxa"/>
              <w:bottom w:w="40" w:type="dxa"/>
              <w:right w:w="20" w:type="dxa"/>
            </w:tcMar>
            <w:vAlign w:val="bottom"/>
          </w:tcPr>
          <w:p w14:paraId="0B2FA8E6" w14:textId="77777777" w:rsidR="007F1775" w:rsidRDefault="000F083E">
            <w:pPr>
              <w:textAlignment w:val="bottom"/>
            </w:pPr>
            <w:r>
              <w:rPr>
                <w:rFonts w:ascii="Times New Roman" w:eastAsia="宋体" w:hAnsi="Times New Roman"/>
                <w:color w:val="000000"/>
                <w:sz w:val="20"/>
                <w:szCs w:val="20"/>
              </w:rPr>
              <w:t>Cumulative upward adjustments</w:t>
            </w:r>
          </w:p>
        </w:tc>
        <w:tc>
          <w:tcPr>
            <w:tcW w:w="0" w:type="auto"/>
            <w:gridSpan w:val="2"/>
            <w:shd w:val="clear" w:color="auto" w:fill="CCEEFF"/>
            <w:tcMar>
              <w:top w:w="40" w:type="dxa"/>
              <w:left w:w="20" w:type="dxa"/>
              <w:bottom w:w="40" w:type="dxa"/>
              <w:right w:w="0" w:type="dxa"/>
            </w:tcMar>
            <w:vAlign w:val="bottom"/>
          </w:tcPr>
          <w:p w14:paraId="0B2FA8E7" w14:textId="77777777" w:rsidR="007F1775" w:rsidRDefault="000F083E">
            <w:pPr>
              <w:jc w:val="right"/>
              <w:textAlignment w:val="bottom"/>
            </w:pPr>
            <w:r>
              <w:rPr>
                <w:rFonts w:ascii="Times New Roman" w:eastAsia="宋体" w:hAnsi="Times New Roman"/>
                <w:color w:val="000000"/>
                <w:sz w:val="20"/>
                <w:szCs w:val="20"/>
              </w:rPr>
              <w:t>311 </w:t>
            </w:r>
          </w:p>
        </w:tc>
        <w:tc>
          <w:tcPr>
            <w:tcW w:w="0" w:type="auto"/>
            <w:shd w:val="clear" w:color="auto" w:fill="CCEEFF"/>
            <w:tcMar>
              <w:top w:w="40" w:type="dxa"/>
              <w:left w:w="0" w:type="dxa"/>
              <w:bottom w:w="40" w:type="dxa"/>
              <w:right w:w="20" w:type="dxa"/>
            </w:tcMar>
            <w:vAlign w:val="bottom"/>
          </w:tcPr>
          <w:p w14:paraId="0B2FA8E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E9"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8EA" w14:textId="77777777" w:rsidR="007F1775" w:rsidRDefault="000F083E">
            <w:pPr>
              <w:jc w:val="right"/>
              <w:textAlignment w:val="bottom"/>
            </w:pPr>
            <w:r>
              <w:rPr>
                <w:rFonts w:ascii="Times New Roman" w:eastAsia="宋体" w:hAnsi="Times New Roman"/>
                <w:color w:val="000000"/>
                <w:sz w:val="20"/>
                <w:szCs w:val="20"/>
              </w:rPr>
              <w:t>311 </w:t>
            </w:r>
          </w:p>
        </w:tc>
        <w:tc>
          <w:tcPr>
            <w:tcW w:w="0" w:type="auto"/>
            <w:shd w:val="clear" w:color="auto" w:fill="CCEEFF"/>
            <w:tcMar>
              <w:top w:w="40" w:type="dxa"/>
              <w:left w:w="0" w:type="dxa"/>
              <w:bottom w:w="40" w:type="dxa"/>
              <w:right w:w="20" w:type="dxa"/>
            </w:tcMar>
            <w:vAlign w:val="bottom"/>
          </w:tcPr>
          <w:p w14:paraId="0B2FA8EB" w14:textId="77777777" w:rsidR="007F1775" w:rsidRDefault="007F1775">
            <w:pPr>
              <w:jc w:val="right"/>
              <w:rPr>
                <w:rFonts w:ascii="宋体"/>
              </w:rPr>
            </w:pPr>
          </w:p>
        </w:tc>
      </w:tr>
      <w:tr w:rsidR="007F1775" w14:paraId="0B2FA8F3" w14:textId="77777777">
        <w:tc>
          <w:tcPr>
            <w:tcW w:w="0" w:type="auto"/>
            <w:gridSpan w:val="3"/>
            <w:shd w:val="clear" w:color="auto" w:fill="FFFFFF"/>
            <w:tcMar>
              <w:top w:w="40" w:type="dxa"/>
              <w:left w:w="200" w:type="dxa"/>
              <w:bottom w:w="40" w:type="dxa"/>
              <w:right w:w="20" w:type="dxa"/>
            </w:tcMar>
            <w:vAlign w:val="bottom"/>
          </w:tcPr>
          <w:p w14:paraId="0B2FA8ED" w14:textId="77777777" w:rsidR="007F1775" w:rsidRDefault="000F083E">
            <w:pPr>
              <w:textAlignment w:val="bottom"/>
            </w:pPr>
            <w:r>
              <w:rPr>
                <w:rFonts w:ascii="Times New Roman" w:eastAsia="宋体" w:hAnsi="Times New Roman"/>
                <w:color w:val="000000"/>
                <w:sz w:val="20"/>
                <w:szCs w:val="20"/>
              </w:rPr>
              <w:t>Cumulative impairment/downward adjustments</w:t>
            </w:r>
          </w:p>
        </w:tc>
        <w:tc>
          <w:tcPr>
            <w:tcW w:w="0" w:type="auto"/>
            <w:gridSpan w:val="2"/>
            <w:shd w:val="clear" w:color="auto" w:fill="FFFFFF"/>
            <w:tcMar>
              <w:top w:w="40" w:type="dxa"/>
              <w:left w:w="20" w:type="dxa"/>
              <w:bottom w:w="40" w:type="dxa"/>
              <w:right w:w="0" w:type="dxa"/>
            </w:tcMar>
            <w:vAlign w:val="bottom"/>
          </w:tcPr>
          <w:p w14:paraId="0B2FA8EE" w14:textId="77777777" w:rsidR="007F1775" w:rsidRDefault="000F083E">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0B2FA8EF"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F0"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8F1" w14:textId="77777777" w:rsidR="007F1775" w:rsidRDefault="000F083E">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0B2FA8F2" w14:textId="77777777" w:rsidR="007F1775" w:rsidRDefault="007F1775">
            <w:pPr>
              <w:jc w:val="right"/>
              <w:rPr>
                <w:rFonts w:ascii="宋体"/>
              </w:rPr>
            </w:pPr>
          </w:p>
        </w:tc>
      </w:tr>
      <w:tr w:rsidR="007F1775" w14:paraId="0B2FA8FA" w14:textId="77777777">
        <w:tc>
          <w:tcPr>
            <w:tcW w:w="0" w:type="auto"/>
            <w:gridSpan w:val="3"/>
            <w:shd w:val="clear" w:color="auto" w:fill="CCEEFF"/>
            <w:tcMar>
              <w:top w:w="40" w:type="dxa"/>
              <w:left w:w="20" w:type="dxa"/>
              <w:bottom w:w="40" w:type="dxa"/>
              <w:right w:w="20" w:type="dxa"/>
            </w:tcMar>
            <w:vAlign w:val="bottom"/>
          </w:tcPr>
          <w:p w14:paraId="0B2FA8F4" w14:textId="77777777" w:rsidR="007F1775" w:rsidRDefault="000F083E">
            <w:pPr>
              <w:textAlignment w:val="bottom"/>
            </w:pPr>
            <w:r>
              <w:rPr>
                <w:rFonts w:ascii="Times New Roman" w:eastAsia="宋体" w:hAnsi="Times New Roman"/>
                <w:color w:val="000000"/>
                <w:sz w:val="20"/>
                <w:szCs w:val="20"/>
              </w:rPr>
              <w:t>Carrying value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8F5" w14:textId="77777777" w:rsidR="007F1775" w:rsidRDefault="000F083E">
            <w:pPr>
              <w:jc w:val="right"/>
              <w:textAlignment w:val="bottom"/>
            </w:pPr>
            <w:r>
              <w:rPr>
                <w:rFonts w:ascii="Times New Roman" w:eastAsia="宋体" w:hAnsi="Times New Roman"/>
                <w:color w:val="000000"/>
                <w:sz w:val="20"/>
                <w:szCs w:val="20"/>
              </w:rPr>
              <w:t>6,741 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8F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8F7"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8F8" w14:textId="77777777" w:rsidR="007F1775" w:rsidRDefault="000F083E">
            <w:pPr>
              <w:jc w:val="right"/>
              <w:textAlignment w:val="bottom"/>
            </w:pPr>
            <w:r>
              <w:rPr>
                <w:rFonts w:ascii="Times New Roman" w:eastAsia="宋体" w:hAnsi="Times New Roman"/>
                <w:color w:val="000000"/>
                <w:sz w:val="20"/>
                <w:szCs w:val="20"/>
              </w:rPr>
              <w:t>6,741 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8F9" w14:textId="77777777" w:rsidR="007F1775" w:rsidRDefault="007F1775">
            <w:pPr>
              <w:jc w:val="right"/>
              <w:rPr>
                <w:rFonts w:ascii="宋体"/>
              </w:rPr>
            </w:pPr>
          </w:p>
        </w:tc>
      </w:tr>
      <w:tr w:rsidR="007F1775" w14:paraId="0B2FA901" w14:textId="77777777">
        <w:tc>
          <w:tcPr>
            <w:tcW w:w="0" w:type="auto"/>
            <w:gridSpan w:val="3"/>
            <w:shd w:val="clear" w:color="auto" w:fill="FFFFFF"/>
            <w:tcMar>
              <w:top w:w="40" w:type="dxa"/>
              <w:left w:w="20" w:type="dxa"/>
              <w:bottom w:w="40" w:type="dxa"/>
              <w:right w:w="20" w:type="dxa"/>
            </w:tcMar>
            <w:vAlign w:val="bottom"/>
          </w:tcPr>
          <w:p w14:paraId="0B2FA8FB" w14:textId="77777777" w:rsidR="007F1775" w:rsidRDefault="000F083E">
            <w:pPr>
              <w:textAlignment w:val="bottom"/>
            </w:pPr>
            <w:r>
              <w:rPr>
                <w:rFonts w:ascii="Times New Roman" w:eastAsia="宋体" w:hAnsi="Times New Roman"/>
                <w:color w:val="000000"/>
                <w:sz w:val="20"/>
                <w:szCs w:val="20"/>
              </w:rPr>
              <w:t xml:space="preserve">Equity </w:t>
            </w:r>
            <w:r>
              <w:rPr>
                <w:rFonts w:ascii="Times New Roman" w:eastAsia="宋体" w:hAnsi="Times New Roman"/>
                <w:color w:val="000000"/>
                <w:sz w:val="20"/>
                <w:szCs w:val="20"/>
              </w:rPr>
              <w:t>investments under equity method</w:t>
            </w:r>
          </w:p>
        </w:tc>
        <w:tc>
          <w:tcPr>
            <w:tcW w:w="0" w:type="auto"/>
            <w:gridSpan w:val="2"/>
            <w:shd w:val="clear" w:color="auto" w:fill="FFFFFF"/>
            <w:tcMar>
              <w:top w:w="40" w:type="dxa"/>
              <w:left w:w="20" w:type="dxa"/>
              <w:bottom w:w="40" w:type="dxa"/>
              <w:right w:w="0" w:type="dxa"/>
            </w:tcMar>
            <w:vAlign w:val="bottom"/>
          </w:tcPr>
          <w:p w14:paraId="0B2FA8FC" w14:textId="77777777" w:rsidR="007F1775" w:rsidRDefault="000F083E">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0B2FA8F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8FE"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8FF" w14:textId="77777777" w:rsidR="007F1775" w:rsidRDefault="000F083E">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0B2FA900" w14:textId="77777777" w:rsidR="007F1775" w:rsidRDefault="007F1775">
            <w:pPr>
              <w:jc w:val="right"/>
              <w:rPr>
                <w:rFonts w:ascii="宋体"/>
              </w:rPr>
            </w:pPr>
          </w:p>
        </w:tc>
      </w:tr>
      <w:tr w:rsidR="007F1775" w14:paraId="0B2FA90A" w14:textId="77777777">
        <w:tc>
          <w:tcPr>
            <w:tcW w:w="0" w:type="auto"/>
            <w:gridSpan w:val="3"/>
            <w:shd w:val="clear" w:color="auto" w:fill="CCEEFF"/>
            <w:tcMar>
              <w:top w:w="40" w:type="dxa"/>
              <w:left w:w="380" w:type="dxa"/>
              <w:bottom w:w="40" w:type="dxa"/>
              <w:right w:w="20" w:type="dxa"/>
            </w:tcMar>
            <w:vAlign w:val="bottom"/>
          </w:tcPr>
          <w:p w14:paraId="0B2FA902" w14:textId="77777777" w:rsidR="007F1775" w:rsidRDefault="000F083E">
            <w:pPr>
              <w:textAlignment w:val="bottom"/>
            </w:pPr>
            <w:r>
              <w:rPr>
                <w:rFonts w:ascii="Times New Roman" w:eastAsia="宋体" w:hAnsi="Times New Roman"/>
                <w:color w:val="000000"/>
                <w:sz w:val="20"/>
                <w:szCs w:val="20"/>
              </w:rPr>
              <w:t>Total equity investments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90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904" w14:textId="77777777" w:rsidR="007F1775" w:rsidRDefault="000F083E">
            <w:pPr>
              <w:jc w:val="right"/>
              <w:textAlignment w:val="bottom"/>
            </w:pPr>
            <w:r>
              <w:rPr>
                <w:rFonts w:ascii="Times New Roman" w:eastAsia="宋体" w:hAnsi="Times New Roman"/>
                <w:color w:val="000000"/>
                <w:sz w:val="20"/>
                <w:szCs w:val="20"/>
              </w:rPr>
              <w:t>6,775 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90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906"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90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908" w14:textId="77777777" w:rsidR="007F1775" w:rsidRDefault="000F083E">
            <w:pPr>
              <w:jc w:val="right"/>
              <w:textAlignment w:val="bottom"/>
            </w:pPr>
            <w:r>
              <w:rPr>
                <w:rFonts w:ascii="Times New Roman" w:eastAsia="宋体" w:hAnsi="Times New Roman"/>
                <w:color w:val="000000"/>
                <w:sz w:val="20"/>
                <w:szCs w:val="20"/>
              </w:rPr>
              <w:t>6,775 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909" w14:textId="77777777" w:rsidR="007F1775" w:rsidRDefault="007F1775">
            <w:pPr>
              <w:jc w:val="right"/>
              <w:rPr>
                <w:rFonts w:ascii="宋体"/>
              </w:rPr>
            </w:pPr>
          </w:p>
        </w:tc>
      </w:tr>
    </w:tbl>
    <w:p w14:paraId="0B2FA90B" w14:textId="77777777" w:rsidR="007F1775" w:rsidRDefault="007F1775">
      <w:pPr>
        <w:ind w:firstLine="540"/>
        <w:jc w:val="both"/>
      </w:pPr>
    </w:p>
    <w:p w14:paraId="0B2FA90C" w14:textId="77777777" w:rsidR="007F1775" w:rsidRDefault="000F083E">
      <w:pPr>
        <w:spacing w:before="180"/>
      </w:pPr>
      <w:r>
        <w:rPr>
          <w:rFonts w:ascii="Times New Roman" w:eastAsia="宋体" w:hAnsi="Times New Roman"/>
          <w:b/>
          <w:bCs/>
          <w:color w:val="000000"/>
          <w:sz w:val="20"/>
          <w:szCs w:val="20"/>
        </w:rPr>
        <w:t>Note 6. Fair Value Measurements</w:t>
      </w:r>
    </w:p>
    <w:p w14:paraId="0B2FA90D" w14:textId="77777777" w:rsidR="007F1775" w:rsidRDefault="007F1775">
      <w:pPr>
        <w:ind w:firstLine="540"/>
        <w:jc w:val="both"/>
      </w:pPr>
    </w:p>
    <w:p w14:paraId="0B2FA90E" w14:textId="77777777" w:rsidR="007F1775" w:rsidRDefault="000F083E">
      <w:pPr>
        <w:ind w:firstLine="540"/>
        <w:jc w:val="both"/>
      </w:pPr>
      <w:r>
        <w:rPr>
          <w:rFonts w:ascii="Times New Roman" w:eastAsia="宋体" w:hAnsi="Times New Roman"/>
          <w:color w:val="000000"/>
          <w:sz w:val="20"/>
          <w:szCs w:val="20"/>
        </w:rPr>
        <w:t xml:space="preserve">The following table summarizes our assets measured at fair value and the classification by level of input within the fair </w:t>
      </w:r>
      <w:r>
        <w:rPr>
          <w:rFonts w:ascii="Times New Roman" w:eastAsia="宋体" w:hAnsi="Times New Roman"/>
          <w:color w:val="000000"/>
          <w:sz w:val="20"/>
          <w:szCs w:val="20"/>
        </w:rPr>
        <w:t>value hierarchy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422"/>
        <w:gridCol w:w="38"/>
        <w:gridCol w:w="36"/>
        <w:gridCol w:w="36"/>
        <w:gridCol w:w="36"/>
        <w:gridCol w:w="120"/>
        <w:gridCol w:w="941"/>
        <w:gridCol w:w="36"/>
        <w:gridCol w:w="36"/>
        <w:gridCol w:w="36"/>
        <w:gridCol w:w="36"/>
        <w:gridCol w:w="121"/>
        <w:gridCol w:w="1024"/>
        <w:gridCol w:w="37"/>
        <w:gridCol w:w="36"/>
        <w:gridCol w:w="36"/>
        <w:gridCol w:w="36"/>
        <w:gridCol w:w="121"/>
        <w:gridCol w:w="859"/>
        <w:gridCol w:w="37"/>
        <w:gridCol w:w="36"/>
        <w:gridCol w:w="36"/>
        <w:gridCol w:w="36"/>
        <w:gridCol w:w="36"/>
        <w:gridCol w:w="36"/>
        <w:gridCol w:w="36"/>
      </w:tblGrid>
      <w:tr w:rsidR="007F1775" w14:paraId="0B2FA926" w14:textId="77777777">
        <w:tc>
          <w:tcPr>
            <w:tcW w:w="50" w:type="pct"/>
            <w:shd w:val="clear" w:color="auto" w:fill="auto"/>
            <w:vAlign w:val="bottom"/>
          </w:tcPr>
          <w:p w14:paraId="0B2FA90F" w14:textId="77777777" w:rsidR="007F1775" w:rsidRDefault="007F1775">
            <w:pPr>
              <w:rPr>
                <w:rFonts w:ascii="宋体"/>
              </w:rPr>
            </w:pPr>
          </w:p>
        </w:tc>
        <w:tc>
          <w:tcPr>
            <w:tcW w:w="2757" w:type="pct"/>
            <w:shd w:val="clear" w:color="auto" w:fill="auto"/>
            <w:vAlign w:val="bottom"/>
          </w:tcPr>
          <w:p w14:paraId="0B2FA910" w14:textId="77777777" w:rsidR="007F1775" w:rsidRDefault="007F1775">
            <w:pPr>
              <w:rPr>
                <w:rFonts w:ascii="宋体"/>
              </w:rPr>
            </w:pPr>
          </w:p>
        </w:tc>
        <w:tc>
          <w:tcPr>
            <w:tcW w:w="5" w:type="pct"/>
            <w:shd w:val="clear" w:color="auto" w:fill="auto"/>
            <w:vAlign w:val="bottom"/>
          </w:tcPr>
          <w:p w14:paraId="0B2FA911" w14:textId="77777777" w:rsidR="007F1775" w:rsidRDefault="007F1775">
            <w:pPr>
              <w:rPr>
                <w:rFonts w:ascii="宋体"/>
              </w:rPr>
            </w:pPr>
          </w:p>
        </w:tc>
        <w:tc>
          <w:tcPr>
            <w:tcW w:w="5" w:type="pct"/>
            <w:shd w:val="clear" w:color="auto" w:fill="auto"/>
            <w:vAlign w:val="bottom"/>
          </w:tcPr>
          <w:p w14:paraId="0B2FA912" w14:textId="77777777" w:rsidR="007F1775" w:rsidRDefault="007F1775">
            <w:pPr>
              <w:rPr>
                <w:rFonts w:ascii="宋体"/>
              </w:rPr>
            </w:pPr>
          </w:p>
        </w:tc>
        <w:tc>
          <w:tcPr>
            <w:tcW w:w="27" w:type="pct"/>
            <w:shd w:val="clear" w:color="auto" w:fill="auto"/>
            <w:vAlign w:val="bottom"/>
          </w:tcPr>
          <w:p w14:paraId="0B2FA913" w14:textId="77777777" w:rsidR="007F1775" w:rsidRDefault="007F1775">
            <w:pPr>
              <w:rPr>
                <w:rFonts w:ascii="宋体"/>
              </w:rPr>
            </w:pPr>
          </w:p>
        </w:tc>
        <w:tc>
          <w:tcPr>
            <w:tcW w:w="5" w:type="pct"/>
            <w:shd w:val="clear" w:color="auto" w:fill="auto"/>
            <w:vAlign w:val="bottom"/>
          </w:tcPr>
          <w:p w14:paraId="0B2FA914" w14:textId="77777777" w:rsidR="007F1775" w:rsidRDefault="007F1775">
            <w:pPr>
              <w:rPr>
                <w:rFonts w:ascii="宋体"/>
              </w:rPr>
            </w:pPr>
          </w:p>
        </w:tc>
        <w:tc>
          <w:tcPr>
            <w:tcW w:w="50" w:type="pct"/>
            <w:shd w:val="clear" w:color="auto" w:fill="auto"/>
            <w:vAlign w:val="bottom"/>
          </w:tcPr>
          <w:p w14:paraId="0B2FA915" w14:textId="77777777" w:rsidR="007F1775" w:rsidRDefault="007F1775">
            <w:pPr>
              <w:rPr>
                <w:rFonts w:ascii="宋体"/>
              </w:rPr>
            </w:pPr>
          </w:p>
        </w:tc>
        <w:tc>
          <w:tcPr>
            <w:tcW w:w="636" w:type="pct"/>
            <w:shd w:val="clear" w:color="auto" w:fill="auto"/>
            <w:vAlign w:val="bottom"/>
          </w:tcPr>
          <w:p w14:paraId="0B2FA916" w14:textId="77777777" w:rsidR="007F1775" w:rsidRDefault="007F1775">
            <w:pPr>
              <w:rPr>
                <w:rFonts w:ascii="宋体"/>
              </w:rPr>
            </w:pPr>
          </w:p>
        </w:tc>
        <w:tc>
          <w:tcPr>
            <w:tcW w:w="5" w:type="pct"/>
            <w:shd w:val="clear" w:color="auto" w:fill="auto"/>
            <w:vAlign w:val="bottom"/>
          </w:tcPr>
          <w:p w14:paraId="0B2FA917" w14:textId="77777777" w:rsidR="007F1775" w:rsidRDefault="007F1775">
            <w:pPr>
              <w:rPr>
                <w:rFonts w:ascii="宋体"/>
              </w:rPr>
            </w:pPr>
          </w:p>
        </w:tc>
        <w:tc>
          <w:tcPr>
            <w:tcW w:w="5" w:type="pct"/>
            <w:shd w:val="clear" w:color="auto" w:fill="auto"/>
            <w:vAlign w:val="bottom"/>
          </w:tcPr>
          <w:p w14:paraId="0B2FA918" w14:textId="77777777" w:rsidR="007F1775" w:rsidRDefault="007F1775">
            <w:pPr>
              <w:rPr>
                <w:rFonts w:ascii="宋体"/>
              </w:rPr>
            </w:pPr>
          </w:p>
        </w:tc>
        <w:tc>
          <w:tcPr>
            <w:tcW w:w="27" w:type="pct"/>
            <w:shd w:val="clear" w:color="auto" w:fill="auto"/>
            <w:vAlign w:val="bottom"/>
          </w:tcPr>
          <w:p w14:paraId="0B2FA919" w14:textId="77777777" w:rsidR="007F1775" w:rsidRDefault="007F1775">
            <w:pPr>
              <w:rPr>
                <w:rFonts w:ascii="宋体"/>
              </w:rPr>
            </w:pPr>
          </w:p>
        </w:tc>
        <w:tc>
          <w:tcPr>
            <w:tcW w:w="5" w:type="pct"/>
            <w:shd w:val="clear" w:color="auto" w:fill="auto"/>
            <w:vAlign w:val="bottom"/>
          </w:tcPr>
          <w:p w14:paraId="0B2FA91A" w14:textId="77777777" w:rsidR="007F1775" w:rsidRDefault="007F1775">
            <w:pPr>
              <w:rPr>
                <w:rFonts w:ascii="宋体"/>
              </w:rPr>
            </w:pPr>
          </w:p>
        </w:tc>
        <w:tc>
          <w:tcPr>
            <w:tcW w:w="50" w:type="pct"/>
            <w:shd w:val="clear" w:color="auto" w:fill="auto"/>
            <w:vAlign w:val="bottom"/>
          </w:tcPr>
          <w:p w14:paraId="0B2FA91B" w14:textId="77777777" w:rsidR="007F1775" w:rsidRDefault="007F1775">
            <w:pPr>
              <w:rPr>
                <w:rFonts w:ascii="宋体"/>
              </w:rPr>
            </w:pPr>
          </w:p>
        </w:tc>
        <w:tc>
          <w:tcPr>
            <w:tcW w:w="636" w:type="pct"/>
            <w:shd w:val="clear" w:color="auto" w:fill="auto"/>
            <w:vAlign w:val="bottom"/>
          </w:tcPr>
          <w:p w14:paraId="0B2FA91C" w14:textId="77777777" w:rsidR="007F1775" w:rsidRDefault="007F1775">
            <w:pPr>
              <w:rPr>
                <w:rFonts w:ascii="宋体"/>
              </w:rPr>
            </w:pPr>
          </w:p>
        </w:tc>
        <w:tc>
          <w:tcPr>
            <w:tcW w:w="5" w:type="pct"/>
            <w:shd w:val="clear" w:color="auto" w:fill="auto"/>
            <w:vAlign w:val="bottom"/>
          </w:tcPr>
          <w:p w14:paraId="0B2FA91D" w14:textId="77777777" w:rsidR="007F1775" w:rsidRDefault="007F1775">
            <w:pPr>
              <w:rPr>
                <w:rFonts w:ascii="宋体"/>
              </w:rPr>
            </w:pPr>
          </w:p>
        </w:tc>
        <w:tc>
          <w:tcPr>
            <w:tcW w:w="5" w:type="pct"/>
            <w:shd w:val="clear" w:color="auto" w:fill="auto"/>
            <w:vAlign w:val="bottom"/>
          </w:tcPr>
          <w:p w14:paraId="0B2FA91E" w14:textId="77777777" w:rsidR="007F1775" w:rsidRDefault="007F1775">
            <w:pPr>
              <w:rPr>
                <w:rFonts w:ascii="宋体"/>
              </w:rPr>
            </w:pPr>
          </w:p>
        </w:tc>
        <w:tc>
          <w:tcPr>
            <w:tcW w:w="27" w:type="pct"/>
            <w:shd w:val="clear" w:color="auto" w:fill="auto"/>
            <w:vAlign w:val="bottom"/>
          </w:tcPr>
          <w:p w14:paraId="0B2FA91F" w14:textId="77777777" w:rsidR="007F1775" w:rsidRDefault="007F1775">
            <w:pPr>
              <w:rPr>
                <w:rFonts w:ascii="宋体"/>
              </w:rPr>
            </w:pPr>
          </w:p>
        </w:tc>
        <w:tc>
          <w:tcPr>
            <w:tcW w:w="5" w:type="pct"/>
            <w:shd w:val="clear" w:color="auto" w:fill="auto"/>
            <w:vAlign w:val="bottom"/>
          </w:tcPr>
          <w:p w14:paraId="0B2FA920" w14:textId="77777777" w:rsidR="007F1775" w:rsidRDefault="007F1775">
            <w:pPr>
              <w:rPr>
                <w:rFonts w:ascii="宋体"/>
              </w:rPr>
            </w:pPr>
          </w:p>
        </w:tc>
        <w:tc>
          <w:tcPr>
            <w:tcW w:w="50" w:type="pct"/>
            <w:shd w:val="clear" w:color="auto" w:fill="auto"/>
            <w:vAlign w:val="bottom"/>
          </w:tcPr>
          <w:p w14:paraId="0B2FA921" w14:textId="77777777" w:rsidR="007F1775" w:rsidRDefault="007F1775">
            <w:pPr>
              <w:rPr>
                <w:rFonts w:ascii="宋体"/>
              </w:rPr>
            </w:pPr>
          </w:p>
        </w:tc>
        <w:tc>
          <w:tcPr>
            <w:tcW w:w="637" w:type="pct"/>
            <w:shd w:val="clear" w:color="auto" w:fill="auto"/>
            <w:vAlign w:val="bottom"/>
          </w:tcPr>
          <w:p w14:paraId="0B2FA922" w14:textId="77777777" w:rsidR="007F1775" w:rsidRDefault="007F1775">
            <w:pPr>
              <w:rPr>
                <w:rFonts w:ascii="宋体"/>
              </w:rPr>
            </w:pPr>
          </w:p>
        </w:tc>
        <w:tc>
          <w:tcPr>
            <w:tcW w:w="5" w:type="pct"/>
            <w:shd w:val="clear" w:color="auto" w:fill="auto"/>
            <w:vAlign w:val="bottom"/>
          </w:tcPr>
          <w:p w14:paraId="0B2FA923" w14:textId="77777777" w:rsidR="007F1775" w:rsidRDefault="007F1775">
            <w:pPr>
              <w:rPr>
                <w:rFonts w:ascii="宋体"/>
              </w:rPr>
            </w:pPr>
          </w:p>
        </w:tc>
        <w:tc>
          <w:tcPr>
            <w:tcW w:w="0" w:type="auto"/>
            <w:gridSpan w:val="3"/>
            <w:shd w:val="clear" w:color="auto" w:fill="auto"/>
            <w:vAlign w:val="bottom"/>
          </w:tcPr>
          <w:p w14:paraId="0B2FA924" w14:textId="77777777" w:rsidR="007F1775" w:rsidRDefault="007F1775">
            <w:pPr>
              <w:rPr>
                <w:rFonts w:ascii="宋体"/>
                <w:vanish/>
              </w:rPr>
            </w:pPr>
          </w:p>
        </w:tc>
        <w:tc>
          <w:tcPr>
            <w:tcW w:w="0" w:type="auto"/>
            <w:gridSpan w:val="3"/>
            <w:shd w:val="clear" w:color="auto" w:fill="auto"/>
            <w:vAlign w:val="bottom"/>
          </w:tcPr>
          <w:p w14:paraId="0B2FA925" w14:textId="77777777" w:rsidR="007F1775" w:rsidRDefault="007F1775">
            <w:pPr>
              <w:rPr>
                <w:rFonts w:ascii="宋体"/>
                <w:vanish/>
              </w:rPr>
            </w:pPr>
          </w:p>
        </w:tc>
      </w:tr>
      <w:tr w:rsidR="007F1775" w14:paraId="0B2FA932" w14:textId="77777777">
        <w:tc>
          <w:tcPr>
            <w:tcW w:w="0" w:type="auto"/>
            <w:gridSpan w:val="3"/>
            <w:shd w:val="clear" w:color="auto" w:fill="auto"/>
            <w:tcMar>
              <w:top w:w="40" w:type="dxa"/>
              <w:left w:w="20" w:type="dxa"/>
              <w:bottom w:w="40" w:type="dxa"/>
              <w:right w:w="20" w:type="dxa"/>
            </w:tcMar>
            <w:vAlign w:val="bottom"/>
          </w:tcPr>
          <w:p w14:paraId="0B2FA927" w14:textId="77777777" w:rsidR="007F1775" w:rsidRDefault="000F083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B2FA928"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929" w14:textId="77777777" w:rsidR="007F1775" w:rsidRDefault="000F083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B2FA92A" w14:textId="77777777" w:rsidR="007F1775" w:rsidRDefault="007F1775">
            <w:pPr>
              <w:rPr>
                <w:rFonts w:ascii="宋体"/>
              </w:rPr>
            </w:pPr>
          </w:p>
        </w:tc>
        <w:tc>
          <w:tcPr>
            <w:tcW w:w="0" w:type="auto"/>
            <w:gridSpan w:val="9"/>
            <w:shd w:val="clear" w:color="auto" w:fill="auto"/>
            <w:tcMar>
              <w:top w:w="40" w:type="dxa"/>
              <w:left w:w="20" w:type="dxa"/>
              <w:bottom w:w="40" w:type="dxa"/>
              <w:right w:w="20" w:type="dxa"/>
            </w:tcMar>
          </w:tcPr>
          <w:p w14:paraId="0B2FA92B" w14:textId="77777777" w:rsidR="007F1775" w:rsidRDefault="000F083E">
            <w:pPr>
              <w:jc w:val="center"/>
              <w:textAlignment w:val="top"/>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0B2FA92C" w14:textId="77777777" w:rsidR="007F1775" w:rsidRDefault="007F1775">
            <w:pPr>
              <w:rPr>
                <w:rFonts w:ascii="宋体"/>
              </w:rPr>
            </w:pPr>
          </w:p>
        </w:tc>
        <w:tc>
          <w:tcPr>
            <w:tcW w:w="0" w:type="auto"/>
            <w:shd w:val="clear" w:color="auto" w:fill="auto"/>
            <w:vAlign w:val="bottom"/>
          </w:tcPr>
          <w:p w14:paraId="0B2FA92D" w14:textId="77777777" w:rsidR="007F1775" w:rsidRDefault="007F1775">
            <w:pPr>
              <w:rPr>
                <w:rFonts w:ascii="宋体"/>
              </w:rPr>
            </w:pPr>
          </w:p>
        </w:tc>
        <w:tc>
          <w:tcPr>
            <w:tcW w:w="0" w:type="auto"/>
            <w:shd w:val="clear" w:color="auto" w:fill="auto"/>
            <w:vAlign w:val="bottom"/>
          </w:tcPr>
          <w:p w14:paraId="0B2FA92E" w14:textId="77777777" w:rsidR="007F1775" w:rsidRDefault="007F1775">
            <w:pPr>
              <w:rPr>
                <w:rFonts w:ascii="宋体"/>
              </w:rPr>
            </w:pPr>
          </w:p>
        </w:tc>
        <w:tc>
          <w:tcPr>
            <w:tcW w:w="0" w:type="auto"/>
            <w:shd w:val="clear" w:color="auto" w:fill="auto"/>
            <w:vAlign w:val="bottom"/>
          </w:tcPr>
          <w:p w14:paraId="0B2FA92F" w14:textId="77777777" w:rsidR="007F1775" w:rsidRDefault="007F1775">
            <w:pPr>
              <w:rPr>
                <w:rFonts w:ascii="宋体"/>
              </w:rPr>
            </w:pPr>
          </w:p>
        </w:tc>
        <w:tc>
          <w:tcPr>
            <w:tcW w:w="0" w:type="auto"/>
            <w:shd w:val="clear" w:color="auto" w:fill="auto"/>
            <w:vAlign w:val="bottom"/>
          </w:tcPr>
          <w:p w14:paraId="0B2FA930" w14:textId="77777777" w:rsidR="007F1775" w:rsidRDefault="007F1775">
            <w:pPr>
              <w:rPr>
                <w:rFonts w:ascii="宋体"/>
              </w:rPr>
            </w:pPr>
          </w:p>
        </w:tc>
        <w:tc>
          <w:tcPr>
            <w:tcW w:w="0" w:type="auto"/>
            <w:shd w:val="clear" w:color="auto" w:fill="auto"/>
            <w:vAlign w:val="bottom"/>
          </w:tcPr>
          <w:p w14:paraId="0B2FA931" w14:textId="77777777" w:rsidR="007F1775" w:rsidRDefault="007F1775">
            <w:pPr>
              <w:rPr>
                <w:rFonts w:ascii="宋体"/>
              </w:rPr>
            </w:pPr>
          </w:p>
        </w:tc>
      </w:tr>
      <w:tr w:rsidR="007F1775" w14:paraId="0B2FA93C" w14:textId="77777777">
        <w:tc>
          <w:tcPr>
            <w:tcW w:w="0" w:type="auto"/>
            <w:gridSpan w:val="3"/>
            <w:shd w:val="clear" w:color="auto" w:fill="auto"/>
            <w:tcMar>
              <w:top w:w="40" w:type="dxa"/>
              <w:left w:w="20" w:type="dxa"/>
              <w:bottom w:w="40" w:type="dxa"/>
              <w:right w:w="20" w:type="dxa"/>
            </w:tcMar>
            <w:vAlign w:val="bottom"/>
          </w:tcPr>
          <w:p w14:paraId="0B2FA933" w14:textId="77777777" w:rsidR="007F1775" w:rsidRDefault="000F083E">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0B2FA934"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935" w14:textId="77777777" w:rsidR="007F1775" w:rsidRDefault="000F083E">
            <w:pPr>
              <w:jc w:val="center"/>
              <w:textAlignment w:val="bottom"/>
            </w:pPr>
            <w:r>
              <w:rPr>
                <w:rFonts w:ascii="Times New Roman" w:eastAsia="宋体" w:hAnsi="Times New Roman"/>
                <w:b/>
                <w:bCs/>
                <w:color w:val="000000"/>
                <w:sz w:val="16"/>
                <w:szCs w:val="16"/>
              </w:rPr>
              <w:t>March 31, 2022</w:t>
            </w:r>
          </w:p>
        </w:tc>
        <w:tc>
          <w:tcPr>
            <w:tcW w:w="0" w:type="auto"/>
            <w:gridSpan w:val="3"/>
            <w:shd w:val="clear" w:color="auto" w:fill="auto"/>
            <w:tcMar>
              <w:top w:w="0" w:type="dxa"/>
              <w:left w:w="20" w:type="dxa"/>
              <w:bottom w:w="0" w:type="dxa"/>
              <w:right w:w="20" w:type="dxa"/>
            </w:tcMar>
            <w:vAlign w:val="bottom"/>
          </w:tcPr>
          <w:p w14:paraId="0B2FA936"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937" w14:textId="77777777" w:rsidR="007F1775" w:rsidRDefault="000F083E">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938"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939" w14:textId="77777777" w:rsidR="007F1775" w:rsidRDefault="000F083E">
            <w:pPr>
              <w:jc w:val="center"/>
              <w:textAlignment w:val="bottom"/>
            </w:pPr>
            <w:r>
              <w:rPr>
                <w:rFonts w:ascii="Times New Roman" w:eastAsia="宋体" w:hAnsi="Times New Roman"/>
                <w:b/>
                <w:bCs/>
                <w:color w:val="000000"/>
                <w:sz w:val="16"/>
                <w:szCs w:val="16"/>
              </w:rPr>
              <w:t xml:space="preserve">Significant Other </w:t>
            </w:r>
            <w:r>
              <w:rPr>
                <w:rFonts w:ascii="Times New Roman" w:eastAsia="宋体" w:hAnsi="Times New Roman"/>
                <w:b/>
                <w:bCs/>
                <w:color w:val="000000"/>
                <w:sz w:val="16"/>
                <w:szCs w:val="16"/>
              </w:rPr>
              <w:t>Observable Inputs</w:t>
            </w:r>
            <w:r>
              <w:rPr>
                <w:rFonts w:ascii="Times New Roman" w:eastAsia="宋体" w:hAnsi="Times New Roman"/>
                <w:b/>
                <w:bCs/>
                <w:color w:val="000000"/>
                <w:sz w:val="16"/>
                <w:szCs w:val="16"/>
              </w:rPr>
              <w:br/>
              <w:t>(Level 2)</w:t>
            </w:r>
          </w:p>
        </w:tc>
        <w:tc>
          <w:tcPr>
            <w:tcW w:w="0" w:type="auto"/>
            <w:gridSpan w:val="3"/>
            <w:shd w:val="clear" w:color="auto" w:fill="auto"/>
            <w:vAlign w:val="bottom"/>
          </w:tcPr>
          <w:p w14:paraId="0B2FA93A" w14:textId="77777777" w:rsidR="007F1775" w:rsidRDefault="007F1775">
            <w:pPr>
              <w:rPr>
                <w:rFonts w:ascii="宋体"/>
                <w:vanish/>
              </w:rPr>
            </w:pPr>
          </w:p>
        </w:tc>
        <w:tc>
          <w:tcPr>
            <w:tcW w:w="0" w:type="auto"/>
            <w:gridSpan w:val="3"/>
            <w:shd w:val="clear" w:color="auto" w:fill="auto"/>
            <w:vAlign w:val="bottom"/>
          </w:tcPr>
          <w:p w14:paraId="0B2FA93B" w14:textId="77777777" w:rsidR="007F1775" w:rsidRDefault="007F1775">
            <w:pPr>
              <w:rPr>
                <w:rFonts w:ascii="宋体"/>
                <w:vanish/>
              </w:rPr>
            </w:pPr>
          </w:p>
        </w:tc>
      </w:tr>
      <w:tr w:rsidR="007F1775" w14:paraId="0B2FA946"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B2FA93D" w14:textId="77777777" w:rsidR="007F1775" w:rsidRDefault="000F083E">
            <w:pPr>
              <w:textAlignment w:val="top"/>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0B2FA93E"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93F"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940"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941"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942"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943" w14:textId="77777777" w:rsidR="007F1775" w:rsidRDefault="007F1775">
            <w:pPr>
              <w:rPr>
                <w:rFonts w:ascii="宋体"/>
              </w:rPr>
            </w:pPr>
          </w:p>
        </w:tc>
        <w:tc>
          <w:tcPr>
            <w:tcW w:w="0" w:type="auto"/>
            <w:gridSpan w:val="3"/>
            <w:shd w:val="clear" w:color="auto" w:fill="auto"/>
            <w:vAlign w:val="bottom"/>
          </w:tcPr>
          <w:p w14:paraId="0B2FA944" w14:textId="77777777" w:rsidR="007F1775" w:rsidRDefault="007F1775">
            <w:pPr>
              <w:rPr>
                <w:rFonts w:ascii="宋体"/>
                <w:vanish/>
              </w:rPr>
            </w:pPr>
          </w:p>
        </w:tc>
        <w:tc>
          <w:tcPr>
            <w:tcW w:w="0" w:type="auto"/>
            <w:gridSpan w:val="3"/>
            <w:shd w:val="clear" w:color="auto" w:fill="auto"/>
            <w:vAlign w:val="bottom"/>
          </w:tcPr>
          <w:p w14:paraId="0B2FA945" w14:textId="77777777" w:rsidR="007F1775" w:rsidRDefault="007F1775">
            <w:pPr>
              <w:rPr>
                <w:rFonts w:ascii="宋体"/>
                <w:vanish/>
              </w:rPr>
            </w:pPr>
          </w:p>
        </w:tc>
      </w:tr>
      <w:tr w:rsidR="007F1775" w14:paraId="0B2FA956" w14:textId="77777777">
        <w:tc>
          <w:tcPr>
            <w:tcW w:w="0" w:type="auto"/>
            <w:gridSpan w:val="3"/>
            <w:shd w:val="clear" w:color="auto" w:fill="FFFFFF"/>
            <w:tcMar>
              <w:top w:w="40" w:type="dxa"/>
              <w:left w:w="200" w:type="dxa"/>
              <w:bottom w:w="40" w:type="dxa"/>
              <w:right w:w="20" w:type="dxa"/>
            </w:tcMar>
          </w:tcPr>
          <w:p w14:paraId="0B2FA947" w14:textId="77777777" w:rsidR="007F1775" w:rsidRDefault="000F083E">
            <w:pPr>
              <w:textAlignment w:val="top"/>
            </w:pPr>
            <w:r>
              <w:rPr>
                <w:rFonts w:ascii="Times New Roman" w:eastAsia="宋体" w:hAnsi="Times New Roman"/>
                <w:color w:val="000000"/>
                <w:sz w:val="20"/>
                <w:szCs w:val="20"/>
              </w:rPr>
              <w:t>Money market funds</w:t>
            </w:r>
          </w:p>
        </w:tc>
        <w:tc>
          <w:tcPr>
            <w:tcW w:w="0" w:type="auto"/>
            <w:gridSpan w:val="3"/>
            <w:shd w:val="clear" w:color="auto" w:fill="FFFFFF"/>
            <w:tcMar>
              <w:top w:w="0" w:type="dxa"/>
              <w:left w:w="20" w:type="dxa"/>
              <w:bottom w:w="0" w:type="dxa"/>
              <w:right w:w="20" w:type="dxa"/>
            </w:tcMar>
            <w:vAlign w:val="bottom"/>
          </w:tcPr>
          <w:p w14:paraId="0B2FA948"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949"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94A" w14:textId="77777777" w:rsidR="007F1775" w:rsidRDefault="000F083E">
            <w:pPr>
              <w:jc w:val="right"/>
              <w:textAlignment w:val="bottom"/>
            </w:pPr>
            <w:r>
              <w:rPr>
                <w:rFonts w:ascii="Times New Roman" w:eastAsia="宋体" w:hAnsi="Times New Roman"/>
                <w:color w:val="000000"/>
                <w:sz w:val="20"/>
                <w:szCs w:val="20"/>
              </w:rPr>
              <w:t>7,350 </w:t>
            </w:r>
          </w:p>
        </w:tc>
        <w:tc>
          <w:tcPr>
            <w:tcW w:w="0" w:type="auto"/>
            <w:shd w:val="clear" w:color="auto" w:fill="FFFFFF"/>
            <w:tcMar>
              <w:top w:w="40" w:type="dxa"/>
              <w:left w:w="0" w:type="dxa"/>
              <w:bottom w:w="40" w:type="dxa"/>
              <w:right w:w="20" w:type="dxa"/>
            </w:tcMar>
            <w:vAlign w:val="bottom"/>
          </w:tcPr>
          <w:p w14:paraId="0B2FA94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94C"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94D"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94E" w14:textId="77777777" w:rsidR="007F1775" w:rsidRDefault="000F083E">
            <w:pPr>
              <w:jc w:val="right"/>
              <w:textAlignment w:val="bottom"/>
            </w:pPr>
            <w:r>
              <w:rPr>
                <w:rFonts w:ascii="Times New Roman" w:eastAsia="宋体" w:hAnsi="Times New Roman"/>
                <w:color w:val="000000"/>
                <w:sz w:val="20"/>
                <w:szCs w:val="20"/>
              </w:rPr>
              <w:t>7,350 </w:t>
            </w:r>
          </w:p>
        </w:tc>
        <w:tc>
          <w:tcPr>
            <w:tcW w:w="0" w:type="auto"/>
            <w:shd w:val="clear" w:color="auto" w:fill="FFFFFF"/>
            <w:tcMar>
              <w:top w:w="40" w:type="dxa"/>
              <w:left w:w="0" w:type="dxa"/>
              <w:bottom w:w="40" w:type="dxa"/>
              <w:right w:w="20" w:type="dxa"/>
            </w:tcMar>
            <w:vAlign w:val="bottom"/>
          </w:tcPr>
          <w:p w14:paraId="0B2FA94F"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950"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951"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952"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953" w14:textId="77777777" w:rsidR="007F1775" w:rsidRDefault="007F1775">
            <w:pPr>
              <w:jc w:val="right"/>
              <w:rPr>
                <w:rFonts w:ascii="宋体"/>
              </w:rPr>
            </w:pPr>
          </w:p>
        </w:tc>
        <w:tc>
          <w:tcPr>
            <w:tcW w:w="0" w:type="auto"/>
            <w:gridSpan w:val="3"/>
            <w:shd w:val="clear" w:color="auto" w:fill="auto"/>
            <w:vAlign w:val="bottom"/>
          </w:tcPr>
          <w:p w14:paraId="0B2FA954" w14:textId="77777777" w:rsidR="007F1775" w:rsidRDefault="007F1775">
            <w:pPr>
              <w:rPr>
                <w:rFonts w:ascii="宋体"/>
                <w:vanish/>
              </w:rPr>
            </w:pPr>
          </w:p>
        </w:tc>
        <w:tc>
          <w:tcPr>
            <w:tcW w:w="0" w:type="auto"/>
            <w:gridSpan w:val="3"/>
            <w:shd w:val="clear" w:color="auto" w:fill="auto"/>
            <w:vAlign w:val="bottom"/>
          </w:tcPr>
          <w:p w14:paraId="0B2FA955" w14:textId="77777777" w:rsidR="007F1775" w:rsidRDefault="007F1775">
            <w:pPr>
              <w:rPr>
                <w:rFonts w:ascii="宋体"/>
                <w:vanish/>
              </w:rPr>
            </w:pPr>
          </w:p>
        </w:tc>
      </w:tr>
      <w:tr w:rsidR="007F1775" w14:paraId="0B2FA963" w14:textId="77777777">
        <w:tc>
          <w:tcPr>
            <w:tcW w:w="0" w:type="auto"/>
            <w:gridSpan w:val="3"/>
            <w:shd w:val="clear" w:color="auto" w:fill="CCEEFF"/>
            <w:tcMar>
              <w:top w:w="40" w:type="dxa"/>
              <w:left w:w="200" w:type="dxa"/>
              <w:bottom w:w="40" w:type="dxa"/>
              <w:right w:w="20" w:type="dxa"/>
            </w:tcMar>
          </w:tcPr>
          <w:p w14:paraId="0B2FA957" w14:textId="77777777" w:rsidR="007F1775" w:rsidRDefault="000F083E">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0B2FA95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59" w14:textId="77777777" w:rsidR="007F1775" w:rsidRDefault="000F083E">
            <w:pPr>
              <w:jc w:val="right"/>
              <w:textAlignment w:val="bottom"/>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bottom"/>
          </w:tcPr>
          <w:p w14:paraId="0B2FA95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95B"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5C" w14:textId="77777777" w:rsidR="007F1775" w:rsidRDefault="000F083E">
            <w:pPr>
              <w:jc w:val="right"/>
              <w:textAlignment w:val="bottom"/>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bottom"/>
          </w:tcPr>
          <w:p w14:paraId="0B2FA95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95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5F"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960" w14:textId="77777777" w:rsidR="007F1775" w:rsidRDefault="007F1775">
            <w:pPr>
              <w:jc w:val="right"/>
              <w:rPr>
                <w:rFonts w:ascii="宋体"/>
              </w:rPr>
            </w:pPr>
          </w:p>
        </w:tc>
        <w:tc>
          <w:tcPr>
            <w:tcW w:w="0" w:type="auto"/>
            <w:gridSpan w:val="3"/>
            <w:shd w:val="clear" w:color="auto" w:fill="auto"/>
            <w:vAlign w:val="bottom"/>
          </w:tcPr>
          <w:p w14:paraId="0B2FA961" w14:textId="77777777" w:rsidR="007F1775" w:rsidRDefault="007F1775">
            <w:pPr>
              <w:rPr>
                <w:rFonts w:ascii="宋体"/>
                <w:vanish/>
              </w:rPr>
            </w:pPr>
          </w:p>
        </w:tc>
        <w:tc>
          <w:tcPr>
            <w:tcW w:w="0" w:type="auto"/>
            <w:gridSpan w:val="3"/>
            <w:shd w:val="clear" w:color="auto" w:fill="auto"/>
            <w:vAlign w:val="bottom"/>
          </w:tcPr>
          <w:p w14:paraId="0B2FA962" w14:textId="77777777" w:rsidR="007F1775" w:rsidRDefault="007F1775">
            <w:pPr>
              <w:rPr>
                <w:rFonts w:ascii="宋体"/>
                <w:vanish/>
              </w:rPr>
            </w:pPr>
          </w:p>
        </w:tc>
      </w:tr>
      <w:tr w:rsidR="007F1775" w14:paraId="0B2FA96D" w14:textId="77777777">
        <w:trPr>
          <w:hidden/>
        </w:trPr>
        <w:tc>
          <w:tcPr>
            <w:tcW w:w="0" w:type="auto"/>
            <w:gridSpan w:val="3"/>
            <w:shd w:val="clear" w:color="auto" w:fill="auto"/>
            <w:vAlign w:val="bottom"/>
          </w:tcPr>
          <w:p w14:paraId="0B2FA964" w14:textId="77777777" w:rsidR="007F1775" w:rsidRDefault="007F1775">
            <w:pPr>
              <w:rPr>
                <w:rFonts w:ascii="宋体"/>
                <w:vanish/>
              </w:rPr>
            </w:pPr>
          </w:p>
        </w:tc>
        <w:tc>
          <w:tcPr>
            <w:tcW w:w="0" w:type="auto"/>
            <w:gridSpan w:val="3"/>
            <w:shd w:val="clear" w:color="auto" w:fill="auto"/>
            <w:vAlign w:val="bottom"/>
          </w:tcPr>
          <w:p w14:paraId="0B2FA965" w14:textId="77777777" w:rsidR="007F1775" w:rsidRDefault="007F1775">
            <w:pPr>
              <w:rPr>
                <w:rFonts w:ascii="宋体"/>
                <w:vanish/>
              </w:rPr>
            </w:pPr>
          </w:p>
        </w:tc>
        <w:tc>
          <w:tcPr>
            <w:tcW w:w="0" w:type="auto"/>
            <w:gridSpan w:val="3"/>
            <w:shd w:val="clear" w:color="auto" w:fill="auto"/>
            <w:vAlign w:val="bottom"/>
          </w:tcPr>
          <w:p w14:paraId="0B2FA966" w14:textId="77777777" w:rsidR="007F1775" w:rsidRDefault="007F1775">
            <w:pPr>
              <w:rPr>
                <w:rFonts w:ascii="宋体"/>
                <w:vanish/>
              </w:rPr>
            </w:pPr>
          </w:p>
        </w:tc>
        <w:tc>
          <w:tcPr>
            <w:tcW w:w="0" w:type="auto"/>
            <w:gridSpan w:val="3"/>
            <w:shd w:val="clear" w:color="auto" w:fill="auto"/>
            <w:vAlign w:val="bottom"/>
          </w:tcPr>
          <w:p w14:paraId="0B2FA967" w14:textId="77777777" w:rsidR="007F1775" w:rsidRDefault="007F1775">
            <w:pPr>
              <w:rPr>
                <w:rFonts w:ascii="宋体"/>
                <w:vanish/>
              </w:rPr>
            </w:pPr>
          </w:p>
        </w:tc>
        <w:tc>
          <w:tcPr>
            <w:tcW w:w="0" w:type="auto"/>
            <w:gridSpan w:val="3"/>
            <w:shd w:val="clear" w:color="auto" w:fill="auto"/>
            <w:vAlign w:val="bottom"/>
          </w:tcPr>
          <w:p w14:paraId="0B2FA968" w14:textId="77777777" w:rsidR="007F1775" w:rsidRDefault="007F1775">
            <w:pPr>
              <w:rPr>
                <w:rFonts w:ascii="宋体"/>
                <w:vanish/>
              </w:rPr>
            </w:pPr>
          </w:p>
        </w:tc>
        <w:tc>
          <w:tcPr>
            <w:tcW w:w="0" w:type="auto"/>
            <w:gridSpan w:val="3"/>
            <w:shd w:val="clear" w:color="auto" w:fill="auto"/>
            <w:vAlign w:val="bottom"/>
          </w:tcPr>
          <w:p w14:paraId="0B2FA969" w14:textId="77777777" w:rsidR="007F1775" w:rsidRDefault="007F1775">
            <w:pPr>
              <w:rPr>
                <w:rFonts w:ascii="宋体"/>
                <w:vanish/>
              </w:rPr>
            </w:pPr>
          </w:p>
        </w:tc>
        <w:tc>
          <w:tcPr>
            <w:tcW w:w="0" w:type="auto"/>
            <w:gridSpan w:val="3"/>
            <w:shd w:val="clear" w:color="auto" w:fill="auto"/>
            <w:vAlign w:val="bottom"/>
          </w:tcPr>
          <w:p w14:paraId="0B2FA96A" w14:textId="77777777" w:rsidR="007F1775" w:rsidRDefault="007F1775">
            <w:pPr>
              <w:rPr>
                <w:rFonts w:ascii="宋体"/>
                <w:vanish/>
              </w:rPr>
            </w:pPr>
          </w:p>
        </w:tc>
        <w:tc>
          <w:tcPr>
            <w:tcW w:w="0" w:type="auto"/>
            <w:gridSpan w:val="3"/>
            <w:shd w:val="clear" w:color="auto" w:fill="auto"/>
            <w:vAlign w:val="bottom"/>
          </w:tcPr>
          <w:p w14:paraId="0B2FA96B" w14:textId="77777777" w:rsidR="007F1775" w:rsidRDefault="007F1775">
            <w:pPr>
              <w:rPr>
                <w:rFonts w:ascii="宋体"/>
                <w:vanish/>
              </w:rPr>
            </w:pPr>
          </w:p>
        </w:tc>
        <w:tc>
          <w:tcPr>
            <w:tcW w:w="0" w:type="auto"/>
            <w:gridSpan w:val="3"/>
            <w:shd w:val="clear" w:color="auto" w:fill="auto"/>
            <w:vAlign w:val="bottom"/>
          </w:tcPr>
          <w:p w14:paraId="0B2FA96C" w14:textId="77777777" w:rsidR="007F1775" w:rsidRDefault="007F1775">
            <w:pPr>
              <w:rPr>
                <w:rFonts w:ascii="宋体"/>
                <w:vanish/>
              </w:rPr>
            </w:pPr>
          </w:p>
        </w:tc>
      </w:tr>
      <w:tr w:rsidR="007F1775" w14:paraId="0B2FA97A" w14:textId="77777777">
        <w:tc>
          <w:tcPr>
            <w:tcW w:w="0" w:type="auto"/>
            <w:gridSpan w:val="3"/>
            <w:shd w:val="clear" w:color="auto" w:fill="FFFFFF"/>
            <w:tcMar>
              <w:top w:w="40" w:type="dxa"/>
              <w:left w:w="200" w:type="dxa"/>
              <w:bottom w:w="40" w:type="dxa"/>
              <w:right w:w="20" w:type="dxa"/>
            </w:tcMar>
          </w:tcPr>
          <w:p w14:paraId="0B2FA96E" w14:textId="77777777" w:rsidR="007F1775" w:rsidRDefault="000F083E">
            <w:pPr>
              <w:textAlignment w:val="top"/>
            </w:pPr>
            <w:r>
              <w:rPr>
                <w:rFonts w:ascii="Times New Roman" w:eastAsia="宋体" w:hAnsi="Times New Roman"/>
                <w:color w:val="000000"/>
                <w:sz w:val="20"/>
                <w:szCs w:val="20"/>
              </w:rPr>
              <w:t>Certificates of deposit and time deposits</w:t>
            </w:r>
          </w:p>
        </w:tc>
        <w:tc>
          <w:tcPr>
            <w:tcW w:w="0" w:type="auto"/>
            <w:gridSpan w:val="3"/>
            <w:shd w:val="clear" w:color="auto" w:fill="FFFFFF"/>
            <w:tcMar>
              <w:top w:w="0" w:type="dxa"/>
              <w:left w:w="20" w:type="dxa"/>
              <w:bottom w:w="0" w:type="dxa"/>
              <w:right w:w="20" w:type="dxa"/>
            </w:tcMar>
            <w:vAlign w:val="bottom"/>
          </w:tcPr>
          <w:p w14:paraId="0B2FA96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970" w14:textId="77777777" w:rsidR="007F1775" w:rsidRDefault="000F083E">
            <w:pPr>
              <w:jc w:val="right"/>
              <w:textAlignment w:val="bottom"/>
            </w:pPr>
            <w:r>
              <w:rPr>
                <w:rFonts w:ascii="Times New Roman" w:eastAsia="宋体" w:hAnsi="Times New Roman"/>
                <w:color w:val="000000"/>
                <w:sz w:val="20"/>
                <w:szCs w:val="20"/>
              </w:rPr>
              <w:t>351 </w:t>
            </w:r>
          </w:p>
        </w:tc>
        <w:tc>
          <w:tcPr>
            <w:tcW w:w="0" w:type="auto"/>
            <w:shd w:val="clear" w:color="auto" w:fill="FFFFFF"/>
            <w:tcMar>
              <w:top w:w="40" w:type="dxa"/>
              <w:left w:w="0" w:type="dxa"/>
              <w:bottom w:w="40" w:type="dxa"/>
              <w:right w:w="20" w:type="dxa"/>
            </w:tcMar>
            <w:vAlign w:val="bottom"/>
          </w:tcPr>
          <w:p w14:paraId="0B2FA97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972"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973"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97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97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976" w14:textId="77777777" w:rsidR="007F1775" w:rsidRDefault="000F083E">
            <w:pPr>
              <w:jc w:val="right"/>
              <w:textAlignment w:val="bottom"/>
            </w:pPr>
            <w:r>
              <w:rPr>
                <w:rFonts w:ascii="Times New Roman" w:eastAsia="宋体" w:hAnsi="Times New Roman"/>
                <w:color w:val="000000"/>
                <w:sz w:val="20"/>
                <w:szCs w:val="20"/>
              </w:rPr>
              <w:t>351 </w:t>
            </w:r>
          </w:p>
        </w:tc>
        <w:tc>
          <w:tcPr>
            <w:tcW w:w="0" w:type="auto"/>
            <w:shd w:val="clear" w:color="auto" w:fill="FFFFFF"/>
            <w:tcMar>
              <w:top w:w="40" w:type="dxa"/>
              <w:left w:w="0" w:type="dxa"/>
              <w:bottom w:w="40" w:type="dxa"/>
              <w:right w:w="20" w:type="dxa"/>
            </w:tcMar>
            <w:vAlign w:val="bottom"/>
          </w:tcPr>
          <w:p w14:paraId="0B2FA977" w14:textId="77777777" w:rsidR="007F1775" w:rsidRDefault="007F1775">
            <w:pPr>
              <w:jc w:val="right"/>
              <w:rPr>
                <w:rFonts w:ascii="宋体"/>
              </w:rPr>
            </w:pPr>
          </w:p>
        </w:tc>
        <w:tc>
          <w:tcPr>
            <w:tcW w:w="0" w:type="auto"/>
            <w:gridSpan w:val="3"/>
            <w:shd w:val="clear" w:color="auto" w:fill="auto"/>
            <w:vAlign w:val="bottom"/>
          </w:tcPr>
          <w:p w14:paraId="0B2FA978" w14:textId="77777777" w:rsidR="007F1775" w:rsidRDefault="007F1775">
            <w:pPr>
              <w:rPr>
                <w:rFonts w:ascii="宋体"/>
                <w:vanish/>
              </w:rPr>
            </w:pPr>
          </w:p>
        </w:tc>
        <w:tc>
          <w:tcPr>
            <w:tcW w:w="0" w:type="auto"/>
            <w:gridSpan w:val="3"/>
            <w:shd w:val="clear" w:color="auto" w:fill="auto"/>
            <w:vAlign w:val="bottom"/>
          </w:tcPr>
          <w:p w14:paraId="0B2FA979" w14:textId="77777777" w:rsidR="007F1775" w:rsidRDefault="007F1775">
            <w:pPr>
              <w:rPr>
                <w:rFonts w:ascii="宋体"/>
                <w:vanish/>
              </w:rPr>
            </w:pPr>
          </w:p>
        </w:tc>
      </w:tr>
      <w:tr w:rsidR="007F1775" w14:paraId="0B2FA987" w14:textId="77777777">
        <w:tc>
          <w:tcPr>
            <w:tcW w:w="0" w:type="auto"/>
            <w:gridSpan w:val="3"/>
            <w:shd w:val="clear" w:color="auto" w:fill="CCEEFF"/>
            <w:tcMar>
              <w:top w:w="40" w:type="dxa"/>
              <w:left w:w="200" w:type="dxa"/>
              <w:bottom w:w="40" w:type="dxa"/>
              <w:right w:w="20" w:type="dxa"/>
            </w:tcMar>
          </w:tcPr>
          <w:p w14:paraId="0B2FA97B" w14:textId="77777777" w:rsidR="007F1775" w:rsidRDefault="000F083E">
            <w:pPr>
              <w:textAlignment w:val="top"/>
            </w:pPr>
            <w:r>
              <w:rPr>
                <w:rFonts w:ascii="Times New Roman" w:eastAsia="宋体" w:hAnsi="Times New Roman"/>
                <w:color w:val="000000"/>
                <w:sz w:val="20"/>
                <w:szCs w:val="20"/>
              </w:rPr>
              <w:t>C</w:t>
            </w:r>
            <w:r>
              <w:rPr>
                <w:rFonts w:ascii="Times New Roman" w:eastAsia="宋体" w:hAnsi="Times New Roman"/>
                <w:color w:val="000000"/>
                <w:sz w:val="20"/>
                <w:szCs w:val="20"/>
              </w:rPr>
              <w:t>orporate debt securities</w:t>
            </w:r>
          </w:p>
        </w:tc>
        <w:tc>
          <w:tcPr>
            <w:tcW w:w="0" w:type="auto"/>
            <w:gridSpan w:val="3"/>
            <w:shd w:val="clear" w:color="auto" w:fill="CCEEFF"/>
            <w:tcMar>
              <w:top w:w="0" w:type="dxa"/>
              <w:left w:w="20" w:type="dxa"/>
              <w:bottom w:w="0" w:type="dxa"/>
              <w:right w:w="20" w:type="dxa"/>
            </w:tcMar>
            <w:vAlign w:val="bottom"/>
          </w:tcPr>
          <w:p w14:paraId="0B2FA97C"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7D" w14:textId="77777777" w:rsidR="007F1775" w:rsidRDefault="000F083E">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0B2FA97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97F"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80"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98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982"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83" w14:textId="77777777" w:rsidR="007F1775" w:rsidRDefault="000F083E">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0B2FA984" w14:textId="77777777" w:rsidR="007F1775" w:rsidRDefault="007F1775">
            <w:pPr>
              <w:jc w:val="right"/>
              <w:rPr>
                <w:rFonts w:ascii="宋体"/>
              </w:rPr>
            </w:pPr>
          </w:p>
        </w:tc>
        <w:tc>
          <w:tcPr>
            <w:tcW w:w="0" w:type="auto"/>
            <w:gridSpan w:val="3"/>
            <w:shd w:val="clear" w:color="auto" w:fill="auto"/>
            <w:vAlign w:val="bottom"/>
          </w:tcPr>
          <w:p w14:paraId="0B2FA985" w14:textId="77777777" w:rsidR="007F1775" w:rsidRDefault="007F1775">
            <w:pPr>
              <w:rPr>
                <w:rFonts w:ascii="宋体"/>
                <w:vanish/>
              </w:rPr>
            </w:pPr>
          </w:p>
        </w:tc>
        <w:tc>
          <w:tcPr>
            <w:tcW w:w="0" w:type="auto"/>
            <w:gridSpan w:val="3"/>
            <w:shd w:val="clear" w:color="auto" w:fill="auto"/>
            <w:vAlign w:val="bottom"/>
          </w:tcPr>
          <w:p w14:paraId="0B2FA986" w14:textId="77777777" w:rsidR="007F1775" w:rsidRDefault="007F1775">
            <w:pPr>
              <w:rPr>
                <w:rFonts w:ascii="宋体"/>
                <w:vanish/>
              </w:rPr>
            </w:pPr>
          </w:p>
        </w:tc>
      </w:tr>
      <w:tr w:rsidR="007F1775" w14:paraId="0B2FA991" w14:textId="77777777">
        <w:tc>
          <w:tcPr>
            <w:tcW w:w="0" w:type="auto"/>
            <w:gridSpan w:val="3"/>
            <w:shd w:val="clear" w:color="auto" w:fill="FFFFFF"/>
            <w:tcMar>
              <w:top w:w="40" w:type="dxa"/>
              <w:left w:w="20" w:type="dxa"/>
              <w:bottom w:w="40" w:type="dxa"/>
              <w:right w:w="20" w:type="dxa"/>
            </w:tcMar>
          </w:tcPr>
          <w:p w14:paraId="0B2FA988" w14:textId="77777777" w:rsidR="007F1775" w:rsidRDefault="000F083E">
            <w:pPr>
              <w:textAlignment w:val="top"/>
            </w:pPr>
            <w:r>
              <w:rPr>
                <w:rFonts w:ascii="Times New Roman" w:eastAsia="宋体" w:hAnsi="Times New Roman"/>
                <w:color w:val="000000"/>
                <w:sz w:val="20"/>
                <w:szCs w:val="20"/>
              </w:rPr>
              <w:t>Marketable securities:</w:t>
            </w:r>
          </w:p>
        </w:tc>
        <w:tc>
          <w:tcPr>
            <w:tcW w:w="0" w:type="auto"/>
            <w:gridSpan w:val="3"/>
            <w:shd w:val="clear" w:color="auto" w:fill="FFFFFF"/>
            <w:tcMar>
              <w:top w:w="0" w:type="dxa"/>
              <w:left w:w="20" w:type="dxa"/>
              <w:bottom w:w="0" w:type="dxa"/>
              <w:right w:w="20" w:type="dxa"/>
            </w:tcMar>
            <w:vAlign w:val="bottom"/>
          </w:tcPr>
          <w:p w14:paraId="0B2FA989"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98A"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98B"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98C"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98D"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98E" w14:textId="77777777" w:rsidR="007F1775" w:rsidRDefault="007F1775">
            <w:pPr>
              <w:rPr>
                <w:rFonts w:ascii="宋体"/>
              </w:rPr>
            </w:pPr>
          </w:p>
        </w:tc>
        <w:tc>
          <w:tcPr>
            <w:tcW w:w="0" w:type="auto"/>
            <w:gridSpan w:val="3"/>
            <w:shd w:val="clear" w:color="auto" w:fill="auto"/>
            <w:vAlign w:val="bottom"/>
          </w:tcPr>
          <w:p w14:paraId="0B2FA98F" w14:textId="77777777" w:rsidR="007F1775" w:rsidRDefault="007F1775">
            <w:pPr>
              <w:rPr>
                <w:rFonts w:ascii="宋体"/>
                <w:vanish/>
              </w:rPr>
            </w:pPr>
          </w:p>
        </w:tc>
        <w:tc>
          <w:tcPr>
            <w:tcW w:w="0" w:type="auto"/>
            <w:gridSpan w:val="3"/>
            <w:shd w:val="clear" w:color="auto" w:fill="auto"/>
            <w:vAlign w:val="bottom"/>
          </w:tcPr>
          <w:p w14:paraId="0B2FA990" w14:textId="77777777" w:rsidR="007F1775" w:rsidRDefault="007F1775">
            <w:pPr>
              <w:rPr>
                <w:rFonts w:ascii="宋体"/>
                <w:vanish/>
              </w:rPr>
            </w:pPr>
          </w:p>
        </w:tc>
      </w:tr>
      <w:tr w:rsidR="007F1775" w14:paraId="0B2FA99E" w14:textId="77777777">
        <w:tc>
          <w:tcPr>
            <w:tcW w:w="0" w:type="auto"/>
            <w:gridSpan w:val="3"/>
            <w:shd w:val="clear" w:color="auto" w:fill="CCEEFF"/>
            <w:tcMar>
              <w:top w:w="40" w:type="dxa"/>
              <w:left w:w="200" w:type="dxa"/>
              <w:bottom w:w="40" w:type="dxa"/>
              <w:right w:w="20" w:type="dxa"/>
            </w:tcMar>
          </w:tcPr>
          <w:p w14:paraId="0B2FA992" w14:textId="77777777" w:rsidR="007F1775" w:rsidRDefault="000F083E">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0B2FA993"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94" w14:textId="77777777" w:rsidR="007F1775" w:rsidRDefault="000F083E">
            <w:pPr>
              <w:jc w:val="right"/>
              <w:textAlignment w:val="bottom"/>
            </w:pPr>
            <w:r>
              <w:rPr>
                <w:rFonts w:ascii="Times New Roman" w:eastAsia="宋体" w:hAnsi="Times New Roman"/>
                <w:color w:val="000000"/>
                <w:sz w:val="20"/>
                <w:szCs w:val="20"/>
              </w:rPr>
              <w:t>9,721 </w:t>
            </w:r>
          </w:p>
        </w:tc>
        <w:tc>
          <w:tcPr>
            <w:tcW w:w="0" w:type="auto"/>
            <w:shd w:val="clear" w:color="auto" w:fill="CCEEFF"/>
            <w:tcMar>
              <w:top w:w="40" w:type="dxa"/>
              <w:left w:w="0" w:type="dxa"/>
              <w:bottom w:w="40" w:type="dxa"/>
              <w:right w:w="20" w:type="dxa"/>
            </w:tcMar>
            <w:vAlign w:val="bottom"/>
          </w:tcPr>
          <w:p w14:paraId="0B2FA99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996"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97" w14:textId="77777777" w:rsidR="007F1775" w:rsidRDefault="000F083E">
            <w:pPr>
              <w:jc w:val="right"/>
              <w:textAlignment w:val="bottom"/>
            </w:pPr>
            <w:r>
              <w:rPr>
                <w:rFonts w:ascii="Times New Roman" w:eastAsia="宋体" w:hAnsi="Times New Roman"/>
                <w:color w:val="000000"/>
                <w:sz w:val="20"/>
                <w:szCs w:val="20"/>
              </w:rPr>
              <w:t>9,721 </w:t>
            </w:r>
          </w:p>
        </w:tc>
        <w:tc>
          <w:tcPr>
            <w:tcW w:w="0" w:type="auto"/>
            <w:shd w:val="clear" w:color="auto" w:fill="CCEEFF"/>
            <w:tcMar>
              <w:top w:w="40" w:type="dxa"/>
              <w:left w:w="0" w:type="dxa"/>
              <w:bottom w:w="40" w:type="dxa"/>
              <w:right w:w="20" w:type="dxa"/>
            </w:tcMar>
            <w:vAlign w:val="bottom"/>
          </w:tcPr>
          <w:p w14:paraId="0B2FA99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999"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9A"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99B" w14:textId="77777777" w:rsidR="007F1775" w:rsidRDefault="007F1775">
            <w:pPr>
              <w:jc w:val="right"/>
              <w:rPr>
                <w:rFonts w:ascii="宋体"/>
              </w:rPr>
            </w:pPr>
          </w:p>
        </w:tc>
        <w:tc>
          <w:tcPr>
            <w:tcW w:w="0" w:type="auto"/>
            <w:gridSpan w:val="3"/>
            <w:shd w:val="clear" w:color="auto" w:fill="auto"/>
            <w:vAlign w:val="bottom"/>
          </w:tcPr>
          <w:p w14:paraId="0B2FA99C" w14:textId="77777777" w:rsidR="007F1775" w:rsidRDefault="007F1775">
            <w:pPr>
              <w:rPr>
                <w:rFonts w:ascii="宋体"/>
                <w:vanish/>
              </w:rPr>
            </w:pPr>
          </w:p>
        </w:tc>
        <w:tc>
          <w:tcPr>
            <w:tcW w:w="0" w:type="auto"/>
            <w:gridSpan w:val="3"/>
            <w:shd w:val="clear" w:color="auto" w:fill="auto"/>
            <w:vAlign w:val="bottom"/>
          </w:tcPr>
          <w:p w14:paraId="0B2FA99D" w14:textId="77777777" w:rsidR="007F1775" w:rsidRDefault="007F1775">
            <w:pPr>
              <w:rPr>
                <w:rFonts w:ascii="宋体"/>
                <w:vanish/>
              </w:rPr>
            </w:pPr>
          </w:p>
        </w:tc>
      </w:tr>
      <w:tr w:rsidR="007F1775" w14:paraId="0B2FA9AB" w14:textId="77777777">
        <w:tc>
          <w:tcPr>
            <w:tcW w:w="0" w:type="auto"/>
            <w:gridSpan w:val="3"/>
            <w:shd w:val="clear" w:color="auto" w:fill="FFFFFF"/>
            <w:tcMar>
              <w:top w:w="40" w:type="dxa"/>
              <w:left w:w="200" w:type="dxa"/>
              <w:bottom w:w="40" w:type="dxa"/>
              <w:right w:w="20" w:type="dxa"/>
            </w:tcMar>
          </w:tcPr>
          <w:p w14:paraId="0B2FA99F" w14:textId="77777777" w:rsidR="007F1775" w:rsidRDefault="000F083E">
            <w:pPr>
              <w:textAlignment w:val="top"/>
            </w:pPr>
            <w:r>
              <w:rPr>
                <w:rFonts w:ascii="Times New Roman" w:eastAsia="宋体" w:hAnsi="Times New Roman"/>
                <w:color w:val="000000"/>
                <w:sz w:val="20"/>
                <w:szCs w:val="20"/>
              </w:rPr>
              <w:t>U.S. government agency securities</w:t>
            </w:r>
          </w:p>
        </w:tc>
        <w:tc>
          <w:tcPr>
            <w:tcW w:w="0" w:type="auto"/>
            <w:gridSpan w:val="3"/>
            <w:shd w:val="clear" w:color="auto" w:fill="FFFFFF"/>
            <w:tcMar>
              <w:top w:w="0" w:type="dxa"/>
              <w:left w:w="20" w:type="dxa"/>
              <w:bottom w:w="0" w:type="dxa"/>
              <w:right w:w="20" w:type="dxa"/>
            </w:tcMar>
            <w:vAlign w:val="bottom"/>
          </w:tcPr>
          <w:p w14:paraId="0B2FA9A0"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9A1" w14:textId="77777777" w:rsidR="007F1775" w:rsidRDefault="000F083E">
            <w:pPr>
              <w:jc w:val="right"/>
              <w:textAlignment w:val="bottom"/>
            </w:pPr>
            <w:r>
              <w:rPr>
                <w:rFonts w:ascii="Times New Roman" w:eastAsia="宋体" w:hAnsi="Times New Roman"/>
                <w:color w:val="000000"/>
                <w:sz w:val="20"/>
                <w:szCs w:val="20"/>
              </w:rPr>
              <w:t>5,434 </w:t>
            </w:r>
          </w:p>
        </w:tc>
        <w:tc>
          <w:tcPr>
            <w:tcW w:w="0" w:type="auto"/>
            <w:shd w:val="clear" w:color="auto" w:fill="FFFFFF"/>
            <w:tcMar>
              <w:top w:w="40" w:type="dxa"/>
              <w:left w:w="0" w:type="dxa"/>
              <w:bottom w:w="40" w:type="dxa"/>
              <w:right w:w="20" w:type="dxa"/>
            </w:tcMar>
            <w:vAlign w:val="bottom"/>
          </w:tcPr>
          <w:p w14:paraId="0B2FA9A2"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9A3"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9A4" w14:textId="77777777" w:rsidR="007F1775" w:rsidRDefault="000F083E">
            <w:pPr>
              <w:jc w:val="right"/>
              <w:textAlignment w:val="bottom"/>
            </w:pPr>
            <w:r>
              <w:rPr>
                <w:rFonts w:ascii="Times New Roman" w:eastAsia="宋体" w:hAnsi="Times New Roman"/>
                <w:color w:val="000000"/>
                <w:sz w:val="20"/>
                <w:szCs w:val="20"/>
              </w:rPr>
              <w:t>5,434 </w:t>
            </w:r>
          </w:p>
        </w:tc>
        <w:tc>
          <w:tcPr>
            <w:tcW w:w="0" w:type="auto"/>
            <w:shd w:val="clear" w:color="auto" w:fill="FFFFFF"/>
            <w:tcMar>
              <w:top w:w="40" w:type="dxa"/>
              <w:left w:w="0" w:type="dxa"/>
              <w:bottom w:w="40" w:type="dxa"/>
              <w:right w:w="20" w:type="dxa"/>
            </w:tcMar>
            <w:vAlign w:val="bottom"/>
          </w:tcPr>
          <w:p w14:paraId="0B2FA9A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9A6"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9A7"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9A8" w14:textId="77777777" w:rsidR="007F1775" w:rsidRDefault="007F1775">
            <w:pPr>
              <w:jc w:val="right"/>
              <w:rPr>
                <w:rFonts w:ascii="宋体"/>
              </w:rPr>
            </w:pPr>
          </w:p>
        </w:tc>
        <w:tc>
          <w:tcPr>
            <w:tcW w:w="0" w:type="auto"/>
            <w:gridSpan w:val="3"/>
            <w:shd w:val="clear" w:color="auto" w:fill="auto"/>
            <w:vAlign w:val="bottom"/>
          </w:tcPr>
          <w:p w14:paraId="0B2FA9A9" w14:textId="77777777" w:rsidR="007F1775" w:rsidRDefault="007F1775">
            <w:pPr>
              <w:rPr>
                <w:rFonts w:ascii="宋体"/>
                <w:vanish/>
              </w:rPr>
            </w:pPr>
          </w:p>
        </w:tc>
        <w:tc>
          <w:tcPr>
            <w:tcW w:w="0" w:type="auto"/>
            <w:gridSpan w:val="3"/>
            <w:shd w:val="clear" w:color="auto" w:fill="auto"/>
            <w:vAlign w:val="bottom"/>
          </w:tcPr>
          <w:p w14:paraId="0B2FA9AA" w14:textId="77777777" w:rsidR="007F1775" w:rsidRDefault="007F1775">
            <w:pPr>
              <w:rPr>
                <w:rFonts w:ascii="宋体"/>
                <w:vanish/>
              </w:rPr>
            </w:pPr>
          </w:p>
        </w:tc>
      </w:tr>
      <w:tr w:rsidR="007F1775" w14:paraId="0B2FA9B8" w14:textId="77777777">
        <w:tc>
          <w:tcPr>
            <w:tcW w:w="0" w:type="auto"/>
            <w:gridSpan w:val="3"/>
            <w:shd w:val="clear" w:color="auto" w:fill="CCEEFF"/>
            <w:tcMar>
              <w:top w:w="40" w:type="dxa"/>
              <w:left w:w="200" w:type="dxa"/>
              <w:bottom w:w="40" w:type="dxa"/>
              <w:right w:w="20" w:type="dxa"/>
            </w:tcMar>
          </w:tcPr>
          <w:p w14:paraId="0B2FA9AC" w14:textId="77777777" w:rsidR="007F1775" w:rsidRDefault="000F083E">
            <w:pPr>
              <w:textAlignment w:val="top"/>
            </w:pPr>
            <w:r>
              <w:rPr>
                <w:rFonts w:ascii="Times New Roman" w:eastAsia="宋体" w:hAnsi="Times New Roman"/>
                <w:color w:val="000000"/>
                <w:sz w:val="20"/>
                <w:szCs w:val="20"/>
              </w:rPr>
              <w:t>Corporate debt securities</w:t>
            </w:r>
          </w:p>
        </w:tc>
        <w:tc>
          <w:tcPr>
            <w:tcW w:w="0" w:type="auto"/>
            <w:gridSpan w:val="3"/>
            <w:shd w:val="clear" w:color="auto" w:fill="CCEEFF"/>
            <w:tcMar>
              <w:top w:w="0" w:type="dxa"/>
              <w:left w:w="20" w:type="dxa"/>
              <w:bottom w:w="0" w:type="dxa"/>
              <w:right w:w="20" w:type="dxa"/>
            </w:tcMar>
            <w:vAlign w:val="bottom"/>
          </w:tcPr>
          <w:p w14:paraId="0B2FA9AD"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AE" w14:textId="77777777" w:rsidR="007F1775" w:rsidRDefault="000F083E">
            <w:pPr>
              <w:jc w:val="right"/>
              <w:textAlignment w:val="bottom"/>
            </w:pPr>
            <w:r>
              <w:rPr>
                <w:rFonts w:ascii="Times New Roman" w:eastAsia="宋体" w:hAnsi="Times New Roman"/>
                <w:color w:val="000000"/>
                <w:sz w:val="20"/>
                <w:szCs w:val="20"/>
              </w:rPr>
              <w:t>13,849 </w:t>
            </w:r>
          </w:p>
        </w:tc>
        <w:tc>
          <w:tcPr>
            <w:tcW w:w="0" w:type="auto"/>
            <w:shd w:val="clear" w:color="auto" w:fill="CCEEFF"/>
            <w:tcMar>
              <w:top w:w="40" w:type="dxa"/>
              <w:left w:w="0" w:type="dxa"/>
              <w:bottom w:w="40" w:type="dxa"/>
              <w:right w:w="20" w:type="dxa"/>
            </w:tcMar>
            <w:vAlign w:val="bottom"/>
          </w:tcPr>
          <w:p w14:paraId="0B2FA9A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9B0"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B1"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9B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9B3"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9B4" w14:textId="77777777" w:rsidR="007F1775" w:rsidRDefault="000F083E">
            <w:pPr>
              <w:jc w:val="right"/>
              <w:textAlignment w:val="bottom"/>
            </w:pPr>
            <w:r>
              <w:rPr>
                <w:rFonts w:ascii="Times New Roman" w:eastAsia="宋体" w:hAnsi="Times New Roman"/>
                <w:color w:val="000000"/>
                <w:sz w:val="20"/>
                <w:szCs w:val="20"/>
              </w:rPr>
              <w:t>13,849 </w:t>
            </w:r>
          </w:p>
        </w:tc>
        <w:tc>
          <w:tcPr>
            <w:tcW w:w="0" w:type="auto"/>
            <w:shd w:val="clear" w:color="auto" w:fill="CCEEFF"/>
            <w:tcMar>
              <w:top w:w="40" w:type="dxa"/>
              <w:left w:w="0" w:type="dxa"/>
              <w:bottom w:w="40" w:type="dxa"/>
              <w:right w:w="20" w:type="dxa"/>
            </w:tcMar>
            <w:vAlign w:val="bottom"/>
          </w:tcPr>
          <w:p w14:paraId="0B2FA9B5" w14:textId="77777777" w:rsidR="007F1775" w:rsidRDefault="007F1775">
            <w:pPr>
              <w:jc w:val="right"/>
              <w:rPr>
                <w:rFonts w:ascii="宋体"/>
              </w:rPr>
            </w:pPr>
          </w:p>
        </w:tc>
        <w:tc>
          <w:tcPr>
            <w:tcW w:w="0" w:type="auto"/>
            <w:gridSpan w:val="3"/>
            <w:shd w:val="clear" w:color="auto" w:fill="auto"/>
            <w:vAlign w:val="bottom"/>
          </w:tcPr>
          <w:p w14:paraId="0B2FA9B6" w14:textId="77777777" w:rsidR="007F1775" w:rsidRDefault="007F1775">
            <w:pPr>
              <w:rPr>
                <w:rFonts w:ascii="宋体"/>
                <w:vanish/>
              </w:rPr>
            </w:pPr>
          </w:p>
        </w:tc>
        <w:tc>
          <w:tcPr>
            <w:tcW w:w="0" w:type="auto"/>
            <w:gridSpan w:val="3"/>
            <w:shd w:val="clear" w:color="auto" w:fill="auto"/>
            <w:vAlign w:val="bottom"/>
          </w:tcPr>
          <w:p w14:paraId="0B2FA9B7" w14:textId="77777777" w:rsidR="007F1775" w:rsidRDefault="007F1775">
            <w:pPr>
              <w:rPr>
                <w:rFonts w:ascii="宋体"/>
                <w:vanish/>
              </w:rPr>
            </w:pPr>
          </w:p>
        </w:tc>
      </w:tr>
      <w:tr w:rsidR="007F1775" w14:paraId="0B2FA9C8" w14:textId="77777777">
        <w:tc>
          <w:tcPr>
            <w:tcW w:w="0" w:type="auto"/>
            <w:gridSpan w:val="3"/>
            <w:shd w:val="clear" w:color="auto" w:fill="FFFFFF"/>
            <w:tcMar>
              <w:top w:w="40" w:type="dxa"/>
              <w:left w:w="380" w:type="dxa"/>
              <w:bottom w:w="40" w:type="dxa"/>
              <w:right w:w="20" w:type="dxa"/>
            </w:tcMar>
          </w:tcPr>
          <w:p w14:paraId="0B2FA9B9" w14:textId="77777777" w:rsidR="007F1775" w:rsidRDefault="000F083E">
            <w:pPr>
              <w:textAlignment w:val="top"/>
            </w:pPr>
            <w:r>
              <w:rPr>
                <w:rFonts w:ascii="Times New Roman" w:eastAsia="宋体" w:hAnsi="Times New Roman"/>
                <w:color w:val="000000"/>
                <w:sz w:val="20"/>
                <w:szCs w:val="20"/>
              </w:rPr>
              <w:t>T</w:t>
            </w:r>
            <w:r>
              <w:rPr>
                <w:rFonts w:ascii="Times New Roman" w:eastAsia="宋体" w:hAnsi="Times New Roman"/>
                <w:color w:val="000000"/>
                <w:sz w:val="20"/>
                <w:szCs w:val="20"/>
              </w:rPr>
              <w:t>otal cash equivalents and marketable securities</w:t>
            </w:r>
          </w:p>
        </w:tc>
        <w:tc>
          <w:tcPr>
            <w:tcW w:w="0" w:type="auto"/>
            <w:gridSpan w:val="3"/>
            <w:shd w:val="clear" w:color="auto" w:fill="FFFFFF"/>
            <w:tcMar>
              <w:top w:w="0" w:type="dxa"/>
              <w:left w:w="20" w:type="dxa"/>
              <w:bottom w:w="0" w:type="dxa"/>
              <w:right w:w="20" w:type="dxa"/>
            </w:tcMar>
            <w:vAlign w:val="bottom"/>
          </w:tcPr>
          <w:p w14:paraId="0B2FA9BA"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9B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9BC" w14:textId="77777777" w:rsidR="007F1775" w:rsidRDefault="000F083E">
            <w:pPr>
              <w:jc w:val="right"/>
              <w:textAlignment w:val="bottom"/>
            </w:pPr>
            <w:r>
              <w:rPr>
                <w:rFonts w:ascii="Times New Roman" w:eastAsia="宋体" w:hAnsi="Times New Roman"/>
                <w:color w:val="000000"/>
                <w:sz w:val="20"/>
                <w:szCs w:val="20"/>
              </w:rPr>
              <w:t>36,800 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9B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9BE"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9BF"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9C0" w14:textId="77777777" w:rsidR="007F1775" w:rsidRDefault="000F083E">
            <w:pPr>
              <w:jc w:val="right"/>
              <w:textAlignment w:val="bottom"/>
            </w:pPr>
            <w:r>
              <w:rPr>
                <w:rFonts w:ascii="Times New Roman" w:eastAsia="宋体" w:hAnsi="Times New Roman"/>
                <w:color w:val="000000"/>
                <w:sz w:val="20"/>
                <w:szCs w:val="20"/>
              </w:rPr>
              <w:t>22,586 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9C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9C2"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9C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9C4" w14:textId="77777777" w:rsidR="007F1775" w:rsidRDefault="000F083E">
            <w:pPr>
              <w:jc w:val="right"/>
              <w:textAlignment w:val="bottom"/>
            </w:pPr>
            <w:r>
              <w:rPr>
                <w:rFonts w:ascii="Times New Roman" w:eastAsia="宋体" w:hAnsi="Times New Roman"/>
                <w:color w:val="000000"/>
                <w:sz w:val="20"/>
                <w:szCs w:val="20"/>
              </w:rPr>
              <w:t>14,214 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9C5" w14:textId="77777777" w:rsidR="007F1775" w:rsidRDefault="007F1775">
            <w:pPr>
              <w:jc w:val="right"/>
              <w:rPr>
                <w:rFonts w:ascii="宋体"/>
              </w:rPr>
            </w:pPr>
          </w:p>
        </w:tc>
        <w:tc>
          <w:tcPr>
            <w:tcW w:w="0" w:type="auto"/>
            <w:gridSpan w:val="3"/>
            <w:shd w:val="clear" w:color="auto" w:fill="auto"/>
            <w:vAlign w:val="bottom"/>
          </w:tcPr>
          <w:p w14:paraId="0B2FA9C6" w14:textId="77777777" w:rsidR="007F1775" w:rsidRDefault="007F1775">
            <w:pPr>
              <w:rPr>
                <w:rFonts w:ascii="宋体"/>
                <w:vanish/>
              </w:rPr>
            </w:pPr>
          </w:p>
        </w:tc>
        <w:tc>
          <w:tcPr>
            <w:tcW w:w="0" w:type="auto"/>
            <w:gridSpan w:val="3"/>
            <w:shd w:val="clear" w:color="auto" w:fill="auto"/>
            <w:vAlign w:val="bottom"/>
          </w:tcPr>
          <w:p w14:paraId="0B2FA9C7" w14:textId="77777777" w:rsidR="007F1775" w:rsidRDefault="007F1775">
            <w:pPr>
              <w:rPr>
                <w:rFonts w:ascii="宋体"/>
                <w:vanish/>
              </w:rPr>
            </w:pPr>
          </w:p>
        </w:tc>
      </w:tr>
    </w:tbl>
    <w:p w14:paraId="0B2FA9C9" w14:textId="77777777" w:rsidR="007F1775" w:rsidRDefault="000F083E">
      <w:pPr>
        <w:jc w:val="center"/>
      </w:pPr>
      <w:r>
        <w:rPr>
          <w:rFonts w:ascii="Times New Roman" w:eastAsia="宋体" w:hAnsi="Times New Roman"/>
          <w:color w:val="000000"/>
          <w:sz w:val="20"/>
          <w:szCs w:val="20"/>
        </w:rPr>
        <w:t>17</w:t>
      </w:r>
    </w:p>
    <w:p w14:paraId="0B2FA9CA" w14:textId="77777777" w:rsidR="007F1775" w:rsidRDefault="000F083E">
      <w:r>
        <w:pict w14:anchorId="0B2FBF72">
          <v:rect id="_x0000_i1041" style="width:415.3pt;height:1.5pt" o:hralign="center" o:hrstd="t" o:hr="t" fillcolor="#a0a0a0" stroked="f"/>
        </w:pict>
      </w:r>
    </w:p>
    <w:p w14:paraId="0B2FA9CB" w14:textId="77777777" w:rsidR="007F1775" w:rsidRDefault="007F1775"/>
    <w:p w14:paraId="0B2FA9CC" w14:textId="77777777" w:rsidR="007F1775" w:rsidRDefault="007F1775"/>
    <w:p w14:paraId="0B2FA9CD" w14:textId="77777777" w:rsidR="007F1775" w:rsidRDefault="000F083E">
      <w:hyperlink r:id="rId95" w:anchor="iea70e328caa94cefb76a9db6ed6338fc_7" w:history="1">
        <w:r>
          <w:rPr>
            <w:rStyle w:val="a5"/>
            <w:rFonts w:ascii="Times New Roman" w:eastAsia="宋体" w:hAnsi="Times New Roman"/>
            <w:sz w:val="20"/>
            <w:szCs w:val="20"/>
          </w:rPr>
          <w:t>Table o</w:t>
        </w:r>
        <w:r>
          <w:rPr>
            <w:rStyle w:val="a5"/>
            <w:rFonts w:ascii="Times New Roman" w:eastAsia="宋体" w:hAnsi="Times New Roman"/>
            <w:sz w:val="20"/>
            <w:szCs w:val="20"/>
          </w:rPr>
          <w:t>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422"/>
        <w:gridCol w:w="38"/>
        <w:gridCol w:w="36"/>
        <w:gridCol w:w="36"/>
        <w:gridCol w:w="36"/>
        <w:gridCol w:w="120"/>
        <w:gridCol w:w="941"/>
        <w:gridCol w:w="36"/>
        <w:gridCol w:w="36"/>
        <w:gridCol w:w="36"/>
        <w:gridCol w:w="36"/>
        <w:gridCol w:w="121"/>
        <w:gridCol w:w="1024"/>
        <w:gridCol w:w="37"/>
        <w:gridCol w:w="36"/>
        <w:gridCol w:w="36"/>
        <w:gridCol w:w="36"/>
        <w:gridCol w:w="121"/>
        <w:gridCol w:w="859"/>
        <w:gridCol w:w="37"/>
        <w:gridCol w:w="36"/>
        <w:gridCol w:w="36"/>
        <w:gridCol w:w="36"/>
        <w:gridCol w:w="36"/>
        <w:gridCol w:w="36"/>
        <w:gridCol w:w="36"/>
      </w:tblGrid>
      <w:tr w:rsidR="007F1775" w14:paraId="0B2FA9E5" w14:textId="77777777">
        <w:tc>
          <w:tcPr>
            <w:tcW w:w="50" w:type="pct"/>
            <w:shd w:val="clear" w:color="auto" w:fill="auto"/>
            <w:vAlign w:val="bottom"/>
          </w:tcPr>
          <w:p w14:paraId="0B2FA9CE" w14:textId="77777777" w:rsidR="007F1775" w:rsidRDefault="007F1775">
            <w:pPr>
              <w:rPr>
                <w:rFonts w:ascii="宋体"/>
              </w:rPr>
            </w:pPr>
          </w:p>
        </w:tc>
        <w:tc>
          <w:tcPr>
            <w:tcW w:w="2757" w:type="pct"/>
            <w:shd w:val="clear" w:color="auto" w:fill="auto"/>
            <w:vAlign w:val="bottom"/>
          </w:tcPr>
          <w:p w14:paraId="0B2FA9CF" w14:textId="77777777" w:rsidR="007F1775" w:rsidRDefault="007F1775">
            <w:pPr>
              <w:rPr>
                <w:rFonts w:ascii="宋体"/>
              </w:rPr>
            </w:pPr>
          </w:p>
        </w:tc>
        <w:tc>
          <w:tcPr>
            <w:tcW w:w="5" w:type="pct"/>
            <w:shd w:val="clear" w:color="auto" w:fill="auto"/>
            <w:vAlign w:val="bottom"/>
          </w:tcPr>
          <w:p w14:paraId="0B2FA9D0" w14:textId="77777777" w:rsidR="007F1775" w:rsidRDefault="007F1775">
            <w:pPr>
              <w:rPr>
                <w:rFonts w:ascii="宋体"/>
              </w:rPr>
            </w:pPr>
          </w:p>
        </w:tc>
        <w:tc>
          <w:tcPr>
            <w:tcW w:w="5" w:type="pct"/>
            <w:shd w:val="clear" w:color="auto" w:fill="auto"/>
            <w:vAlign w:val="bottom"/>
          </w:tcPr>
          <w:p w14:paraId="0B2FA9D1" w14:textId="77777777" w:rsidR="007F1775" w:rsidRDefault="007F1775">
            <w:pPr>
              <w:rPr>
                <w:rFonts w:ascii="宋体"/>
              </w:rPr>
            </w:pPr>
          </w:p>
        </w:tc>
        <w:tc>
          <w:tcPr>
            <w:tcW w:w="27" w:type="pct"/>
            <w:shd w:val="clear" w:color="auto" w:fill="auto"/>
            <w:vAlign w:val="bottom"/>
          </w:tcPr>
          <w:p w14:paraId="0B2FA9D2" w14:textId="77777777" w:rsidR="007F1775" w:rsidRDefault="007F1775">
            <w:pPr>
              <w:rPr>
                <w:rFonts w:ascii="宋体"/>
              </w:rPr>
            </w:pPr>
          </w:p>
        </w:tc>
        <w:tc>
          <w:tcPr>
            <w:tcW w:w="5" w:type="pct"/>
            <w:shd w:val="clear" w:color="auto" w:fill="auto"/>
            <w:vAlign w:val="bottom"/>
          </w:tcPr>
          <w:p w14:paraId="0B2FA9D3" w14:textId="77777777" w:rsidR="007F1775" w:rsidRDefault="007F1775">
            <w:pPr>
              <w:rPr>
                <w:rFonts w:ascii="宋体"/>
              </w:rPr>
            </w:pPr>
          </w:p>
        </w:tc>
        <w:tc>
          <w:tcPr>
            <w:tcW w:w="50" w:type="pct"/>
            <w:shd w:val="clear" w:color="auto" w:fill="auto"/>
            <w:vAlign w:val="bottom"/>
          </w:tcPr>
          <w:p w14:paraId="0B2FA9D4" w14:textId="77777777" w:rsidR="007F1775" w:rsidRDefault="007F1775">
            <w:pPr>
              <w:rPr>
                <w:rFonts w:ascii="宋体"/>
              </w:rPr>
            </w:pPr>
          </w:p>
        </w:tc>
        <w:tc>
          <w:tcPr>
            <w:tcW w:w="636" w:type="pct"/>
            <w:shd w:val="clear" w:color="auto" w:fill="auto"/>
            <w:vAlign w:val="bottom"/>
          </w:tcPr>
          <w:p w14:paraId="0B2FA9D5" w14:textId="77777777" w:rsidR="007F1775" w:rsidRDefault="007F1775">
            <w:pPr>
              <w:rPr>
                <w:rFonts w:ascii="宋体"/>
              </w:rPr>
            </w:pPr>
          </w:p>
        </w:tc>
        <w:tc>
          <w:tcPr>
            <w:tcW w:w="5" w:type="pct"/>
            <w:shd w:val="clear" w:color="auto" w:fill="auto"/>
            <w:vAlign w:val="bottom"/>
          </w:tcPr>
          <w:p w14:paraId="0B2FA9D6" w14:textId="77777777" w:rsidR="007F1775" w:rsidRDefault="007F1775">
            <w:pPr>
              <w:rPr>
                <w:rFonts w:ascii="宋体"/>
              </w:rPr>
            </w:pPr>
          </w:p>
        </w:tc>
        <w:tc>
          <w:tcPr>
            <w:tcW w:w="5" w:type="pct"/>
            <w:shd w:val="clear" w:color="auto" w:fill="auto"/>
            <w:vAlign w:val="bottom"/>
          </w:tcPr>
          <w:p w14:paraId="0B2FA9D7" w14:textId="77777777" w:rsidR="007F1775" w:rsidRDefault="007F1775">
            <w:pPr>
              <w:rPr>
                <w:rFonts w:ascii="宋体"/>
              </w:rPr>
            </w:pPr>
          </w:p>
        </w:tc>
        <w:tc>
          <w:tcPr>
            <w:tcW w:w="27" w:type="pct"/>
            <w:shd w:val="clear" w:color="auto" w:fill="auto"/>
            <w:vAlign w:val="bottom"/>
          </w:tcPr>
          <w:p w14:paraId="0B2FA9D8" w14:textId="77777777" w:rsidR="007F1775" w:rsidRDefault="007F1775">
            <w:pPr>
              <w:rPr>
                <w:rFonts w:ascii="宋体"/>
              </w:rPr>
            </w:pPr>
          </w:p>
        </w:tc>
        <w:tc>
          <w:tcPr>
            <w:tcW w:w="5" w:type="pct"/>
            <w:shd w:val="clear" w:color="auto" w:fill="auto"/>
            <w:vAlign w:val="bottom"/>
          </w:tcPr>
          <w:p w14:paraId="0B2FA9D9" w14:textId="77777777" w:rsidR="007F1775" w:rsidRDefault="007F1775">
            <w:pPr>
              <w:rPr>
                <w:rFonts w:ascii="宋体"/>
              </w:rPr>
            </w:pPr>
          </w:p>
        </w:tc>
        <w:tc>
          <w:tcPr>
            <w:tcW w:w="50" w:type="pct"/>
            <w:shd w:val="clear" w:color="auto" w:fill="auto"/>
            <w:vAlign w:val="bottom"/>
          </w:tcPr>
          <w:p w14:paraId="0B2FA9DA" w14:textId="77777777" w:rsidR="007F1775" w:rsidRDefault="007F1775">
            <w:pPr>
              <w:rPr>
                <w:rFonts w:ascii="宋体"/>
              </w:rPr>
            </w:pPr>
          </w:p>
        </w:tc>
        <w:tc>
          <w:tcPr>
            <w:tcW w:w="636" w:type="pct"/>
            <w:shd w:val="clear" w:color="auto" w:fill="auto"/>
            <w:vAlign w:val="bottom"/>
          </w:tcPr>
          <w:p w14:paraId="0B2FA9DB" w14:textId="77777777" w:rsidR="007F1775" w:rsidRDefault="007F1775">
            <w:pPr>
              <w:rPr>
                <w:rFonts w:ascii="宋体"/>
              </w:rPr>
            </w:pPr>
          </w:p>
        </w:tc>
        <w:tc>
          <w:tcPr>
            <w:tcW w:w="5" w:type="pct"/>
            <w:shd w:val="clear" w:color="auto" w:fill="auto"/>
            <w:vAlign w:val="bottom"/>
          </w:tcPr>
          <w:p w14:paraId="0B2FA9DC" w14:textId="77777777" w:rsidR="007F1775" w:rsidRDefault="007F1775">
            <w:pPr>
              <w:rPr>
                <w:rFonts w:ascii="宋体"/>
              </w:rPr>
            </w:pPr>
          </w:p>
        </w:tc>
        <w:tc>
          <w:tcPr>
            <w:tcW w:w="5" w:type="pct"/>
            <w:shd w:val="clear" w:color="auto" w:fill="auto"/>
            <w:vAlign w:val="bottom"/>
          </w:tcPr>
          <w:p w14:paraId="0B2FA9DD" w14:textId="77777777" w:rsidR="007F1775" w:rsidRDefault="007F1775">
            <w:pPr>
              <w:rPr>
                <w:rFonts w:ascii="宋体"/>
              </w:rPr>
            </w:pPr>
          </w:p>
        </w:tc>
        <w:tc>
          <w:tcPr>
            <w:tcW w:w="27" w:type="pct"/>
            <w:shd w:val="clear" w:color="auto" w:fill="auto"/>
            <w:vAlign w:val="bottom"/>
          </w:tcPr>
          <w:p w14:paraId="0B2FA9DE" w14:textId="77777777" w:rsidR="007F1775" w:rsidRDefault="007F1775">
            <w:pPr>
              <w:rPr>
                <w:rFonts w:ascii="宋体"/>
              </w:rPr>
            </w:pPr>
          </w:p>
        </w:tc>
        <w:tc>
          <w:tcPr>
            <w:tcW w:w="5" w:type="pct"/>
            <w:shd w:val="clear" w:color="auto" w:fill="auto"/>
            <w:vAlign w:val="bottom"/>
          </w:tcPr>
          <w:p w14:paraId="0B2FA9DF" w14:textId="77777777" w:rsidR="007F1775" w:rsidRDefault="007F1775">
            <w:pPr>
              <w:rPr>
                <w:rFonts w:ascii="宋体"/>
              </w:rPr>
            </w:pPr>
          </w:p>
        </w:tc>
        <w:tc>
          <w:tcPr>
            <w:tcW w:w="50" w:type="pct"/>
            <w:shd w:val="clear" w:color="auto" w:fill="auto"/>
            <w:vAlign w:val="bottom"/>
          </w:tcPr>
          <w:p w14:paraId="0B2FA9E0" w14:textId="77777777" w:rsidR="007F1775" w:rsidRDefault="007F1775">
            <w:pPr>
              <w:rPr>
                <w:rFonts w:ascii="宋体"/>
              </w:rPr>
            </w:pPr>
          </w:p>
        </w:tc>
        <w:tc>
          <w:tcPr>
            <w:tcW w:w="637" w:type="pct"/>
            <w:shd w:val="clear" w:color="auto" w:fill="auto"/>
            <w:vAlign w:val="bottom"/>
          </w:tcPr>
          <w:p w14:paraId="0B2FA9E1" w14:textId="77777777" w:rsidR="007F1775" w:rsidRDefault="007F1775">
            <w:pPr>
              <w:rPr>
                <w:rFonts w:ascii="宋体"/>
              </w:rPr>
            </w:pPr>
          </w:p>
        </w:tc>
        <w:tc>
          <w:tcPr>
            <w:tcW w:w="5" w:type="pct"/>
            <w:shd w:val="clear" w:color="auto" w:fill="auto"/>
            <w:vAlign w:val="bottom"/>
          </w:tcPr>
          <w:p w14:paraId="0B2FA9E2" w14:textId="77777777" w:rsidR="007F1775" w:rsidRDefault="007F1775">
            <w:pPr>
              <w:rPr>
                <w:rFonts w:ascii="宋体"/>
              </w:rPr>
            </w:pPr>
          </w:p>
        </w:tc>
        <w:tc>
          <w:tcPr>
            <w:tcW w:w="0" w:type="auto"/>
            <w:gridSpan w:val="3"/>
            <w:shd w:val="clear" w:color="auto" w:fill="auto"/>
            <w:vAlign w:val="bottom"/>
          </w:tcPr>
          <w:p w14:paraId="0B2FA9E3" w14:textId="77777777" w:rsidR="007F1775" w:rsidRDefault="007F1775">
            <w:pPr>
              <w:rPr>
                <w:rFonts w:ascii="宋体"/>
                <w:vanish/>
              </w:rPr>
            </w:pPr>
          </w:p>
        </w:tc>
        <w:tc>
          <w:tcPr>
            <w:tcW w:w="0" w:type="auto"/>
            <w:gridSpan w:val="3"/>
            <w:shd w:val="clear" w:color="auto" w:fill="auto"/>
            <w:vAlign w:val="bottom"/>
          </w:tcPr>
          <w:p w14:paraId="0B2FA9E4" w14:textId="77777777" w:rsidR="007F1775" w:rsidRDefault="007F1775">
            <w:pPr>
              <w:rPr>
                <w:rFonts w:ascii="宋体"/>
                <w:vanish/>
              </w:rPr>
            </w:pPr>
          </w:p>
        </w:tc>
      </w:tr>
      <w:tr w:rsidR="007F1775" w14:paraId="0B2FA9F1" w14:textId="77777777">
        <w:tc>
          <w:tcPr>
            <w:tcW w:w="0" w:type="auto"/>
            <w:gridSpan w:val="3"/>
            <w:shd w:val="clear" w:color="auto" w:fill="auto"/>
            <w:tcMar>
              <w:top w:w="40" w:type="dxa"/>
              <w:left w:w="20" w:type="dxa"/>
              <w:bottom w:w="40" w:type="dxa"/>
              <w:right w:w="20" w:type="dxa"/>
            </w:tcMar>
            <w:vAlign w:val="bottom"/>
          </w:tcPr>
          <w:p w14:paraId="0B2FA9E6" w14:textId="77777777" w:rsidR="007F1775" w:rsidRDefault="000F083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B2FA9E7"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9E8" w14:textId="77777777" w:rsidR="007F1775" w:rsidRDefault="000F083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B2FA9E9" w14:textId="77777777" w:rsidR="007F1775" w:rsidRDefault="007F1775">
            <w:pPr>
              <w:rPr>
                <w:rFonts w:ascii="宋体"/>
              </w:rPr>
            </w:pPr>
          </w:p>
        </w:tc>
        <w:tc>
          <w:tcPr>
            <w:tcW w:w="0" w:type="auto"/>
            <w:gridSpan w:val="9"/>
            <w:shd w:val="clear" w:color="auto" w:fill="auto"/>
            <w:tcMar>
              <w:top w:w="40" w:type="dxa"/>
              <w:left w:w="20" w:type="dxa"/>
              <w:bottom w:w="40" w:type="dxa"/>
              <w:right w:w="20" w:type="dxa"/>
            </w:tcMar>
          </w:tcPr>
          <w:p w14:paraId="0B2FA9EA" w14:textId="77777777" w:rsidR="007F1775" w:rsidRDefault="000F083E">
            <w:pPr>
              <w:jc w:val="center"/>
              <w:textAlignment w:val="top"/>
            </w:pPr>
            <w:r>
              <w:rPr>
                <w:rFonts w:ascii="Times New Roman" w:eastAsia="宋体" w:hAnsi="Times New Roman"/>
                <w:b/>
                <w:bCs/>
                <w:color w:val="000000"/>
                <w:sz w:val="16"/>
                <w:szCs w:val="16"/>
              </w:rPr>
              <w:t>Fair Value Measurement at Reporting Date Using</w:t>
            </w:r>
          </w:p>
        </w:tc>
        <w:tc>
          <w:tcPr>
            <w:tcW w:w="0" w:type="auto"/>
            <w:shd w:val="clear" w:color="auto" w:fill="auto"/>
            <w:vAlign w:val="bottom"/>
          </w:tcPr>
          <w:p w14:paraId="0B2FA9EB" w14:textId="77777777" w:rsidR="007F1775" w:rsidRDefault="007F1775">
            <w:pPr>
              <w:rPr>
                <w:rFonts w:ascii="宋体"/>
              </w:rPr>
            </w:pPr>
          </w:p>
        </w:tc>
        <w:tc>
          <w:tcPr>
            <w:tcW w:w="0" w:type="auto"/>
            <w:shd w:val="clear" w:color="auto" w:fill="auto"/>
            <w:vAlign w:val="bottom"/>
          </w:tcPr>
          <w:p w14:paraId="0B2FA9EC" w14:textId="77777777" w:rsidR="007F1775" w:rsidRDefault="007F1775">
            <w:pPr>
              <w:rPr>
                <w:rFonts w:ascii="宋体"/>
              </w:rPr>
            </w:pPr>
          </w:p>
        </w:tc>
        <w:tc>
          <w:tcPr>
            <w:tcW w:w="0" w:type="auto"/>
            <w:shd w:val="clear" w:color="auto" w:fill="auto"/>
            <w:vAlign w:val="bottom"/>
          </w:tcPr>
          <w:p w14:paraId="0B2FA9ED" w14:textId="77777777" w:rsidR="007F1775" w:rsidRDefault="007F1775">
            <w:pPr>
              <w:rPr>
                <w:rFonts w:ascii="宋体"/>
              </w:rPr>
            </w:pPr>
          </w:p>
        </w:tc>
        <w:tc>
          <w:tcPr>
            <w:tcW w:w="0" w:type="auto"/>
            <w:shd w:val="clear" w:color="auto" w:fill="auto"/>
            <w:vAlign w:val="bottom"/>
          </w:tcPr>
          <w:p w14:paraId="0B2FA9EE" w14:textId="77777777" w:rsidR="007F1775" w:rsidRDefault="007F1775">
            <w:pPr>
              <w:rPr>
                <w:rFonts w:ascii="宋体"/>
              </w:rPr>
            </w:pPr>
          </w:p>
        </w:tc>
        <w:tc>
          <w:tcPr>
            <w:tcW w:w="0" w:type="auto"/>
            <w:shd w:val="clear" w:color="auto" w:fill="auto"/>
            <w:vAlign w:val="bottom"/>
          </w:tcPr>
          <w:p w14:paraId="0B2FA9EF" w14:textId="77777777" w:rsidR="007F1775" w:rsidRDefault="007F1775">
            <w:pPr>
              <w:rPr>
                <w:rFonts w:ascii="宋体"/>
              </w:rPr>
            </w:pPr>
          </w:p>
        </w:tc>
        <w:tc>
          <w:tcPr>
            <w:tcW w:w="0" w:type="auto"/>
            <w:shd w:val="clear" w:color="auto" w:fill="auto"/>
            <w:vAlign w:val="bottom"/>
          </w:tcPr>
          <w:p w14:paraId="0B2FA9F0" w14:textId="77777777" w:rsidR="007F1775" w:rsidRDefault="007F1775">
            <w:pPr>
              <w:rPr>
                <w:rFonts w:ascii="宋体"/>
              </w:rPr>
            </w:pPr>
          </w:p>
        </w:tc>
      </w:tr>
      <w:tr w:rsidR="007F1775" w14:paraId="0B2FA9FB" w14:textId="77777777">
        <w:tc>
          <w:tcPr>
            <w:tcW w:w="0" w:type="auto"/>
            <w:gridSpan w:val="3"/>
            <w:shd w:val="clear" w:color="auto" w:fill="auto"/>
            <w:tcMar>
              <w:top w:w="40" w:type="dxa"/>
              <w:left w:w="20" w:type="dxa"/>
              <w:bottom w:w="40" w:type="dxa"/>
              <w:right w:w="20" w:type="dxa"/>
            </w:tcMar>
            <w:vAlign w:val="bottom"/>
          </w:tcPr>
          <w:p w14:paraId="0B2FA9F2" w14:textId="77777777" w:rsidR="007F1775" w:rsidRDefault="000F083E">
            <w:pPr>
              <w:textAlignment w:val="bottom"/>
            </w:pP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0B2FA9F3"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9F4" w14:textId="77777777" w:rsidR="007F1775" w:rsidRDefault="000F083E">
            <w:pPr>
              <w:jc w:val="center"/>
              <w:textAlignment w:val="bottom"/>
            </w:pPr>
            <w:r>
              <w:rPr>
                <w:rFonts w:ascii="Times New Roman" w:eastAsia="宋体" w:hAnsi="Times New Roman"/>
                <w:b/>
                <w:bCs/>
                <w:color w:val="000000"/>
                <w:sz w:val="16"/>
                <w:szCs w:val="16"/>
              </w:rPr>
              <w:t>December 31, 2021</w:t>
            </w:r>
          </w:p>
        </w:tc>
        <w:tc>
          <w:tcPr>
            <w:tcW w:w="0" w:type="auto"/>
            <w:gridSpan w:val="3"/>
            <w:shd w:val="clear" w:color="auto" w:fill="auto"/>
            <w:tcMar>
              <w:top w:w="0" w:type="dxa"/>
              <w:left w:w="20" w:type="dxa"/>
              <w:bottom w:w="0" w:type="dxa"/>
              <w:right w:w="20" w:type="dxa"/>
            </w:tcMar>
            <w:vAlign w:val="bottom"/>
          </w:tcPr>
          <w:p w14:paraId="0B2FA9F5"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9F6" w14:textId="77777777" w:rsidR="007F1775" w:rsidRDefault="000F083E">
            <w:pPr>
              <w:jc w:val="center"/>
              <w:textAlignment w:val="bottom"/>
            </w:pPr>
            <w:r>
              <w:rPr>
                <w:rFonts w:ascii="Times New Roman" w:eastAsia="宋体" w:hAnsi="Times New Roman"/>
                <w:b/>
                <w:bCs/>
                <w:color w:val="000000"/>
                <w:sz w:val="16"/>
                <w:szCs w:val="16"/>
              </w:rPr>
              <w:t>Quoted Prices in Active Markets for Identical Assets</w:t>
            </w:r>
            <w:r>
              <w:rPr>
                <w:rFonts w:ascii="Times New Roman" w:eastAsia="宋体" w:hAnsi="Times New Roman"/>
                <w:b/>
                <w:bCs/>
                <w:color w:val="000000"/>
                <w:sz w:val="16"/>
                <w:szCs w:val="16"/>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9F7"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9F8" w14:textId="77777777" w:rsidR="007F1775" w:rsidRDefault="000F083E">
            <w:pPr>
              <w:jc w:val="center"/>
              <w:textAlignment w:val="bottom"/>
            </w:pPr>
            <w:r>
              <w:rPr>
                <w:rFonts w:ascii="Times New Roman" w:eastAsia="宋体" w:hAnsi="Times New Roman"/>
                <w:b/>
                <w:bCs/>
                <w:color w:val="000000"/>
                <w:sz w:val="16"/>
                <w:szCs w:val="16"/>
              </w:rPr>
              <w:t>Significant Other Observable Inputs</w:t>
            </w:r>
            <w:r>
              <w:rPr>
                <w:rFonts w:ascii="Times New Roman" w:eastAsia="宋体" w:hAnsi="Times New Roman"/>
                <w:b/>
                <w:bCs/>
                <w:color w:val="000000"/>
                <w:sz w:val="16"/>
                <w:szCs w:val="16"/>
              </w:rPr>
              <w:br/>
              <w:t>(Level 2)</w:t>
            </w:r>
          </w:p>
        </w:tc>
        <w:tc>
          <w:tcPr>
            <w:tcW w:w="0" w:type="auto"/>
            <w:gridSpan w:val="3"/>
            <w:shd w:val="clear" w:color="auto" w:fill="auto"/>
            <w:vAlign w:val="bottom"/>
          </w:tcPr>
          <w:p w14:paraId="0B2FA9F9" w14:textId="77777777" w:rsidR="007F1775" w:rsidRDefault="007F1775">
            <w:pPr>
              <w:rPr>
                <w:rFonts w:ascii="宋体"/>
                <w:vanish/>
              </w:rPr>
            </w:pPr>
          </w:p>
        </w:tc>
        <w:tc>
          <w:tcPr>
            <w:tcW w:w="0" w:type="auto"/>
            <w:gridSpan w:val="3"/>
            <w:shd w:val="clear" w:color="auto" w:fill="auto"/>
            <w:vAlign w:val="bottom"/>
          </w:tcPr>
          <w:p w14:paraId="0B2FA9FA" w14:textId="77777777" w:rsidR="007F1775" w:rsidRDefault="007F1775">
            <w:pPr>
              <w:rPr>
                <w:rFonts w:ascii="宋体"/>
                <w:vanish/>
              </w:rPr>
            </w:pPr>
          </w:p>
        </w:tc>
      </w:tr>
      <w:tr w:rsidR="007F1775" w14:paraId="0B2FAA05"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0B2FA9FC" w14:textId="77777777" w:rsidR="007F1775" w:rsidRDefault="000F083E">
            <w:pPr>
              <w:textAlignment w:val="top"/>
            </w:pPr>
            <w:r>
              <w:rPr>
                <w:rFonts w:ascii="Times New Roman" w:eastAsia="宋体" w:hAnsi="Times New Roman"/>
                <w:color w:val="000000"/>
                <w:sz w:val="20"/>
                <w:szCs w:val="20"/>
              </w:rPr>
              <w:t>Cash equivalents:</w:t>
            </w:r>
          </w:p>
        </w:tc>
        <w:tc>
          <w:tcPr>
            <w:tcW w:w="0" w:type="auto"/>
            <w:gridSpan w:val="3"/>
            <w:shd w:val="clear" w:color="auto" w:fill="CCEEFF"/>
            <w:tcMar>
              <w:top w:w="0" w:type="dxa"/>
              <w:left w:w="20" w:type="dxa"/>
              <w:bottom w:w="0" w:type="dxa"/>
              <w:right w:w="20" w:type="dxa"/>
            </w:tcMar>
            <w:vAlign w:val="bottom"/>
          </w:tcPr>
          <w:p w14:paraId="0B2FA9FD"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9FE"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9FF"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A00"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A01"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A02" w14:textId="77777777" w:rsidR="007F1775" w:rsidRDefault="007F1775">
            <w:pPr>
              <w:rPr>
                <w:rFonts w:ascii="宋体"/>
              </w:rPr>
            </w:pPr>
          </w:p>
        </w:tc>
        <w:tc>
          <w:tcPr>
            <w:tcW w:w="0" w:type="auto"/>
            <w:gridSpan w:val="3"/>
            <w:shd w:val="clear" w:color="auto" w:fill="auto"/>
            <w:vAlign w:val="bottom"/>
          </w:tcPr>
          <w:p w14:paraId="0B2FAA03" w14:textId="77777777" w:rsidR="007F1775" w:rsidRDefault="007F1775">
            <w:pPr>
              <w:rPr>
                <w:rFonts w:ascii="宋体"/>
                <w:vanish/>
              </w:rPr>
            </w:pPr>
          </w:p>
        </w:tc>
        <w:tc>
          <w:tcPr>
            <w:tcW w:w="0" w:type="auto"/>
            <w:gridSpan w:val="3"/>
            <w:shd w:val="clear" w:color="auto" w:fill="auto"/>
            <w:vAlign w:val="bottom"/>
          </w:tcPr>
          <w:p w14:paraId="0B2FAA04" w14:textId="77777777" w:rsidR="007F1775" w:rsidRDefault="007F1775">
            <w:pPr>
              <w:rPr>
                <w:rFonts w:ascii="宋体"/>
                <w:vanish/>
              </w:rPr>
            </w:pPr>
          </w:p>
        </w:tc>
      </w:tr>
      <w:tr w:rsidR="007F1775" w14:paraId="0B2FAA15" w14:textId="77777777">
        <w:tc>
          <w:tcPr>
            <w:tcW w:w="0" w:type="auto"/>
            <w:gridSpan w:val="3"/>
            <w:shd w:val="clear" w:color="auto" w:fill="FFFFFF"/>
            <w:tcMar>
              <w:top w:w="40" w:type="dxa"/>
              <w:left w:w="200" w:type="dxa"/>
              <w:bottom w:w="40" w:type="dxa"/>
              <w:right w:w="20" w:type="dxa"/>
            </w:tcMar>
          </w:tcPr>
          <w:p w14:paraId="0B2FAA06" w14:textId="77777777" w:rsidR="007F1775" w:rsidRDefault="000F083E">
            <w:pPr>
              <w:textAlignment w:val="top"/>
            </w:pPr>
            <w:r>
              <w:rPr>
                <w:rFonts w:ascii="Times New Roman" w:eastAsia="宋体" w:hAnsi="Times New Roman"/>
                <w:color w:val="000000"/>
                <w:sz w:val="20"/>
                <w:szCs w:val="20"/>
              </w:rPr>
              <w:t xml:space="preserve">Money </w:t>
            </w:r>
            <w:r>
              <w:rPr>
                <w:rFonts w:ascii="Times New Roman" w:eastAsia="宋体" w:hAnsi="Times New Roman"/>
                <w:color w:val="000000"/>
                <w:sz w:val="20"/>
                <w:szCs w:val="20"/>
              </w:rPr>
              <w:t>market funds</w:t>
            </w:r>
          </w:p>
        </w:tc>
        <w:tc>
          <w:tcPr>
            <w:tcW w:w="0" w:type="auto"/>
            <w:gridSpan w:val="3"/>
            <w:shd w:val="clear" w:color="auto" w:fill="FFFFFF"/>
            <w:tcMar>
              <w:top w:w="0" w:type="dxa"/>
              <w:left w:w="20" w:type="dxa"/>
              <w:bottom w:w="0" w:type="dxa"/>
              <w:right w:w="20" w:type="dxa"/>
            </w:tcMar>
            <w:vAlign w:val="bottom"/>
          </w:tcPr>
          <w:p w14:paraId="0B2FAA07"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A08"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A09" w14:textId="77777777" w:rsidR="007F1775" w:rsidRDefault="000F083E">
            <w:pPr>
              <w:jc w:val="right"/>
              <w:textAlignment w:val="bottom"/>
            </w:pPr>
            <w:r>
              <w:rPr>
                <w:rFonts w:ascii="Times New Roman" w:eastAsia="宋体" w:hAnsi="Times New Roman"/>
                <w:color w:val="000000"/>
                <w:sz w:val="20"/>
                <w:szCs w:val="20"/>
              </w:rPr>
              <w:t>8,850 </w:t>
            </w:r>
          </w:p>
        </w:tc>
        <w:tc>
          <w:tcPr>
            <w:tcW w:w="0" w:type="auto"/>
            <w:shd w:val="clear" w:color="auto" w:fill="FFFFFF"/>
            <w:tcMar>
              <w:top w:w="40" w:type="dxa"/>
              <w:left w:w="0" w:type="dxa"/>
              <w:bottom w:w="40" w:type="dxa"/>
              <w:right w:w="20" w:type="dxa"/>
            </w:tcMar>
            <w:vAlign w:val="bottom"/>
          </w:tcPr>
          <w:p w14:paraId="0B2FAA0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0B"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A0C"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A0D" w14:textId="77777777" w:rsidR="007F1775" w:rsidRDefault="000F083E">
            <w:pPr>
              <w:jc w:val="right"/>
              <w:textAlignment w:val="bottom"/>
            </w:pPr>
            <w:r>
              <w:rPr>
                <w:rFonts w:ascii="Times New Roman" w:eastAsia="宋体" w:hAnsi="Times New Roman"/>
                <w:color w:val="000000"/>
                <w:sz w:val="20"/>
                <w:szCs w:val="20"/>
              </w:rPr>
              <w:t>8,850 </w:t>
            </w:r>
          </w:p>
        </w:tc>
        <w:tc>
          <w:tcPr>
            <w:tcW w:w="0" w:type="auto"/>
            <w:shd w:val="clear" w:color="auto" w:fill="FFFFFF"/>
            <w:tcMar>
              <w:top w:w="40" w:type="dxa"/>
              <w:left w:w="0" w:type="dxa"/>
              <w:bottom w:w="40" w:type="dxa"/>
              <w:right w:w="20" w:type="dxa"/>
            </w:tcMar>
            <w:vAlign w:val="bottom"/>
          </w:tcPr>
          <w:p w14:paraId="0B2FAA0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0F"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A10"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A11"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A12" w14:textId="77777777" w:rsidR="007F1775" w:rsidRDefault="007F1775">
            <w:pPr>
              <w:jc w:val="right"/>
              <w:rPr>
                <w:rFonts w:ascii="宋体"/>
              </w:rPr>
            </w:pPr>
          </w:p>
        </w:tc>
        <w:tc>
          <w:tcPr>
            <w:tcW w:w="0" w:type="auto"/>
            <w:gridSpan w:val="3"/>
            <w:shd w:val="clear" w:color="auto" w:fill="auto"/>
            <w:vAlign w:val="bottom"/>
          </w:tcPr>
          <w:p w14:paraId="0B2FAA13" w14:textId="77777777" w:rsidR="007F1775" w:rsidRDefault="007F1775">
            <w:pPr>
              <w:rPr>
                <w:rFonts w:ascii="宋体"/>
                <w:vanish/>
              </w:rPr>
            </w:pPr>
          </w:p>
        </w:tc>
        <w:tc>
          <w:tcPr>
            <w:tcW w:w="0" w:type="auto"/>
            <w:gridSpan w:val="3"/>
            <w:shd w:val="clear" w:color="auto" w:fill="auto"/>
            <w:vAlign w:val="bottom"/>
          </w:tcPr>
          <w:p w14:paraId="0B2FAA14" w14:textId="77777777" w:rsidR="007F1775" w:rsidRDefault="007F1775">
            <w:pPr>
              <w:rPr>
                <w:rFonts w:ascii="宋体"/>
                <w:vanish/>
              </w:rPr>
            </w:pPr>
          </w:p>
        </w:tc>
      </w:tr>
      <w:tr w:rsidR="007F1775" w14:paraId="0B2FAA22" w14:textId="77777777">
        <w:tc>
          <w:tcPr>
            <w:tcW w:w="0" w:type="auto"/>
            <w:gridSpan w:val="3"/>
            <w:shd w:val="clear" w:color="auto" w:fill="CCEEFF"/>
            <w:tcMar>
              <w:top w:w="40" w:type="dxa"/>
              <w:left w:w="200" w:type="dxa"/>
              <w:bottom w:w="40" w:type="dxa"/>
              <w:right w:w="20" w:type="dxa"/>
            </w:tcMar>
          </w:tcPr>
          <w:p w14:paraId="0B2FAA16" w14:textId="77777777" w:rsidR="007F1775" w:rsidRDefault="000F083E">
            <w:pPr>
              <w:textAlignment w:val="top"/>
            </w:pPr>
            <w:r>
              <w:rPr>
                <w:rFonts w:ascii="Times New Roman" w:eastAsia="宋体" w:hAnsi="Times New Roman"/>
                <w:color w:val="000000"/>
                <w:sz w:val="20"/>
                <w:szCs w:val="20"/>
              </w:rPr>
              <w:t>U.S. government securities</w:t>
            </w:r>
          </w:p>
        </w:tc>
        <w:tc>
          <w:tcPr>
            <w:tcW w:w="0" w:type="auto"/>
            <w:gridSpan w:val="3"/>
            <w:shd w:val="clear" w:color="auto" w:fill="CCEEFF"/>
            <w:tcMar>
              <w:top w:w="0" w:type="dxa"/>
              <w:left w:w="20" w:type="dxa"/>
              <w:bottom w:w="0" w:type="dxa"/>
              <w:right w:w="20" w:type="dxa"/>
            </w:tcMar>
            <w:vAlign w:val="bottom"/>
          </w:tcPr>
          <w:p w14:paraId="0B2FAA17"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18" w14:textId="77777777" w:rsidR="007F1775" w:rsidRDefault="000F083E">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0B2FAA1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1A"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1B" w14:textId="77777777" w:rsidR="007F1775" w:rsidRDefault="000F083E">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0B2FAA1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1D"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1E"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A1F" w14:textId="77777777" w:rsidR="007F1775" w:rsidRDefault="007F1775">
            <w:pPr>
              <w:jc w:val="right"/>
              <w:rPr>
                <w:rFonts w:ascii="宋体"/>
              </w:rPr>
            </w:pPr>
          </w:p>
        </w:tc>
        <w:tc>
          <w:tcPr>
            <w:tcW w:w="0" w:type="auto"/>
            <w:gridSpan w:val="3"/>
            <w:shd w:val="clear" w:color="auto" w:fill="auto"/>
            <w:vAlign w:val="bottom"/>
          </w:tcPr>
          <w:p w14:paraId="0B2FAA20" w14:textId="77777777" w:rsidR="007F1775" w:rsidRDefault="007F1775">
            <w:pPr>
              <w:rPr>
                <w:rFonts w:ascii="宋体"/>
                <w:vanish/>
              </w:rPr>
            </w:pPr>
          </w:p>
        </w:tc>
        <w:tc>
          <w:tcPr>
            <w:tcW w:w="0" w:type="auto"/>
            <w:gridSpan w:val="3"/>
            <w:shd w:val="clear" w:color="auto" w:fill="auto"/>
            <w:vAlign w:val="bottom"/>
          </w:tcPr>
          <w:p w14:paraId="0B2FAA21" w14:textId="77777777" w:rsidR="007F1775" w:rsidRDefault="007F1775">
            <w:pPr>
              <w:rPr>
                <w:rFonts w:ascii="宋体"/>
                <w:vanish/>
              </w:rPr>
            </w:pPr>
          </w:p>
        </w:tc>
      </w:tr>
      <w:tr w:rsidR="007F1775" w14:paraId="0B2FAA2F" w14:textId="77777777">
        <w:tc>
          <w:tcPr>
            <w:tcW w:w="0" w:type="auto"/>
            <w:gridSpan w:val="3"/>
            <w:shd w:val="clear" w:color="auto" w:fill="FFFFFF"/>
            <w:tcMar>
              <w:top w:w="40" w:type="dxa"/>
              <w:left w:w="200" w:type="dxa"/>
              <w:bottom w:w="40" w:type="dxa"/>
              <w:right w:w="20" w:type="dxa"/>
            </w:tcMar>
          </w:tcPr>
          <w:p w14:paraId="0B2FAA23" w14:textId="77777777" w:rsidR="007F1775" w:rsidRDefault="000F083E">
            <w:pPr>
              <w:textAlignment w:val="top"/>
            </w:pPr>
            <w:r>
              <w:rPr>
                <w:rFonts w:ascii="Times New Roman" w:eastAsia="宋体" w:hAnsi="Times New Roman"/>
                <w:color w:val="000000"/>
                <w:sz w:val="20"/>
                <w:szCs w:val="20"/>
              </w:rPr>
              <w:t>U</w:t>
            </w:r>
            <w:r>
              <w:rPr>
                <w:rFonts w:ascii="Times New Roman" w:eastAsia="宋体" w:hAnsi="Times New Roman"/>
                <w:color w:val="000000"/>
                <w:sz w:val="20"/>
                <w:szCs w:val="20"/>
              </w:rPr>
              <w:t>.S. government agency securities</w:t>
            </w:r>
          </w:p>
        </w:tc>
        <w:tc>
          <w:tcPr>
            <w:tcW w:w="0" w:type="auto"/>
            <w:gridSpan w:val="3"/>
            <w:shd w:val="clear" w:color="auto" w:fill="FFFFFF"/>
            <w:tcMar>
              <w:top w:w="0" w:type="dxa"/>
              <w:left w:w="20" w:type="dxa"/>
              <w:bottom w:w="0" w:type="dxa"/>
              <w:right w:w="20" w:type="dxa"/>
            </w:tcMar>
            <w:vAlign w:val="bottom"/>
          </w:tcPr>
          <w:p w14:paraId="0B2FAA24"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25" w14:textId="77777777" w:rsidR="007F1775" w:rsidRDefault="000F083E">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0B2FAA2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27"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28" w14:textId="77777777" w:rsidR="007F1775" w:rsidRDefault="000F083E">
            <w:pPr>
              <w:jc w:val="right"/>
              <w:textAlignment w:val="bottom"/>
            </w:pPr>
            <w:r>
              <w:rPr>
                <w:rFonts w:ascii="Times New Roman" w:eastAsia="宋体" w:hAnsi="Times New Roman"/>
                <w:color w:val="000000"/>
                <w:sz w:val="20"/>
                <w:szCs w:val="20"/>
              </w:rPr>
              <w:t>108 </w:t>
            </w:r>
          </w:p>
        </w:tc>
        <w:tc>
          <w:tcPr>
            <w:tcW w:w="0" w:type="auto"/>
            <w:shd w:val="clear" w:color="auto" w:fill="FFFFFF"/>
            <w:tcMar>
              <w:top w:w="40" w:type="dxa"/>
              <w:left w:w="0" w:type="dxa"/>
              <w:bottom w:w="40" w:type="dxa"/>
              <w:right w:w="20" w:type="dxa"/>
            </w:tcMar>
            <w:vAlign w:val="bottom"/>
          </w:tcPr>
          <w:p w14:paraId="0B2FAA2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2A"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2B"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A2C" w14:textId="77777777" w:rsidR="007F1775" w:rsidRDefault="007F1775">
            <w:pPr>
              <w:jc w:val="right"/>
              <w:rPr>
                <w:rFonts w:ascii="宋体"/>
              </w:rPr>
            </w:pPr>
          </w:p>
        </w:tc>
        <w:tc>
          <w:tcPr>
            <w:tcW w:w="0" w:type="auto"/>
            <w:gridSpan w:val="3"/>
            <w:shd w:val="clear" w:color="auto" w:fill="auto"/>
            <w:vAlign w:val="bottom"/>
          </w:tcPr>
          <w:p w14:paraId="0B2FAA2D" w14:textId="77777777" w:rsidR="007F1775" w:rsidRDefault="007F1775">
            <w:pPr>
              <w:rPr>
                <w:rFonts w:ascii="宋体"/>
                <w:vanish/>
              </w:rPr>
            </w:pPr>
          </w:p>
        </w:tc>
        <w:tc>
          <w:tcPr>
            <w:tcW w:w="0" w:type="auto"/>
            <w:gridSpan w:val="3"/>
            <w:shd w:val="clear" w:color="auto" w:fill="auto"/>
            <w:vAlign w:val="bottom"/>
          </w:tcPr>
          <w:p w14:paraId="0B2FAA2E" w14:textId="77777777" w:rsidR="007F1775" w:rsidRDefault="007F1775">
            <w:pPr>
              <w:rPr>
                <w:rFonts w:ascii="宋体"/>
                <w:vanish/>
              </w:rPr>
            </w:pPr>
          </w:p>
        </w:tc>
      </w:tr>
      <w:tr w:rsidR="007F1775" w14:paraId="0B2FAA3C" w14:textId="77777777">
        <w:tc>
          <w:tcPr>
            <w:tcW w:w="0" w:type="auto"/>
            <w:gridSpan w:val="3"/>
            <w:shd w:val="clear" w:color="auto" w:fill="CCEEFF"/>
            <w:tcMar>
              <w:top w:w="40" w:type="dxa"/>
              <w:left w:w="200" w:type="dxa"/>
              <w:bottom w:w="40" w:type="dxa"/>
              <w:right w:w="20" w:type="dxa"/>
            </w:tcMar>
          </w:tcPr>
          <w:p w14:paraId="0B2FAA30" w14:textId="77777777" w:rsidR="007F1775" w:rsidRDefault="000F083E">
            <w:pPr>
              <w:textAlignment w:val="top"/>
            </w:pPr>
            <w:r>
              <w:rPr>
                <w:rFonts w:ascii="Times New Roman" w:eastAsia="宋体" w:hAnsi="Times New Roman"/>
                <w:color w:val="000000"/>
                <w:sz w:val="20"/>
                <w:szCs w:val="20"/>
              </w:rPr>
              <w:t>C</w:t>
            </w:r>
            <w:r>
              <w:rPr>
                <w:rFonts w:ascii="Times New Roman" w:eastAsia="宋体" w:hAnsi="Times New Roman"/>
                <w:color w:val="000000"/>
                <w:sz w:val="20"/>
                <w:szCs w:val="20"/>
              </w:rPr>
              <w:t>ertificates of deposit and time deposits</w:t>
            </w:r>
          </w:p>
        </w:tc>
        <w:tc>
          <w:tcPr>
            <w:tcW w:w="0" w:type="auto"/>
            <w:gridSpan w:val="3"/>
            <w:shd w:val="clear" w:color="auto" w:fill="CCEEFF"/>
            <w:tcMar>
              <w:top w:w="0" w:type="dxa"/>
              <w:left w:w="20" w:type="dxa"/>
              <w:bottom w:w="0" w:type="dxa"/>
              <w:right w:w="20" w:type="dxa"/>
            </w:tcMar>
            <w:vAlign w:val="bottom"/>
          </w:tcPr>
          <w:p w14:paraId="0B2FAA31"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32" w14:textId="77777777" w:rsidR="007F1775" w:rsidRDefault="000F083E">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0B2FAA3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34"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35"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A3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37"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38" w14:textId="77777777" w:rsidR="007F1775" w:rsidRDefault="000F083E">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0B2FAA39" w14:textId="77777777" w:rsidR="007F1775" w:rsidRDefault="007F1775">
            <w:pPr>
              <w:jc w:val="right"/>
              <w:rPr>
                <w:rFonts w:ascii="宋体"/>
              </w:rPr>
            </w:pPr>
          </w:p>
        </w:tc>
        <w:tc>
          <w:tcPr>
            <w:tcW w:w="0" w:type="auto"/>
            <w:gridSpan w:val="3"/>
            <w:shd w:val="clear" w:color="auto" w:fill="auto"/>
            <w:vAlign w:val="bottom"/>
          </w:tcPr>
          <w:p w14:paraId="0B2FAA3A" w14:textId="77777777" w:rsidR="007F1775" w:rsidRDefault="007F1775">
            <w:pPr>
              <w:rPr>
                <w:rFonts w:ascii="宋体"/>
                <w:vanish/>
              </w:rPr>
            </w:pPr>
          </w:p>
        </w:tc>
        <w:tc>
          <w:tcPr>
            <w:tcW w:w="0" w:type="auto"/>
            <w:gridSpan w:val="3"/>
            <w:shd w:val="clear" w:color="auto" w:fill="auto"/>
            <w:vAlign w:val="bottom"/>
          </w:tcPr>
          <w:p w14:paraId="0B2FAA3B" w14:textId="77777777" w:rsidR="007F1775" w:rsidRDefault="007F1775">
            <w:pPr>
              <w:rPr>
                <w:rFonts w:ascii="宋体"/>
                <w:vanish/>
              </w:rPr>
            </w:pPr>
          </w:p>
        </w:tc>
      </w:tr>
      <w:tr w:rsidR="007F1775" w14:paraId="0B2FAA49" w14:textId="77777777">
        <w:tc>
          <w:tcPr>
            <w:tcW w:w="0" w:type="auto"/>
            <w:gridSpan w:val="3"/>
            <w:shd w:val="clear" w:color="auto" w:fill="FFFFFF"/>
            <w:tcMar>
              <w:top w:w="40" w:type="dxa"/>
              <w:left w:w="200" w:type="dxa"/>
              <w:bottom w:w="40" w:type="dxa"/>
              <w:right w:w="20" w:type="dxa"/>
            </w:tcMar>
          </w:tcPr>
          <w:p w14:paraId="0B2FAA3D" w14:textId="77777777" w:rsidR="007F1775" w:rsidRDefault="000F083E">
            <w:pPr>
              <w:textAlignment w:val="top"/>
            </w:pPr>
            <w:r>
              <w:rPr>
                <w:rFonts w:ascii="Times New Roman" w:eastAsia="宋体" w:hAnsi="Times New Roman"/>
                <w:color w:val="000000"/>
                <w:sz w:val="20"/>
                <w:szCs w:val="20"/>
              </w:rPr>
              <w:t>C</w:t>
            </w:r>
            <w:r>
              <w:rPr>
                <w:rFonts w:ascii="Times New Roman" w:eastAsia="宋体" w:hAnsi="Times New Roman"/>
                <w:color w:val="000000"/>
                <w:sz w:val="20"/>
                <w:szCs w:val="20"/>
              </w:rPr>
              <w:t>orporate debt securities</w:t>
            </w:r>
          </w:p>
        </w:tc>
        <w:tc>
          <w:tcPr>
            <w:tcW w:w="0" w:type="auto"/>
            <w:gridSpan w:val="3"/>
            <w:shd w:val="clear" w:color="auto" w:fill="FFFFFF"/>
            <w:tcMar>
              <w:top w:w="0" w:type="dxa"/>
              <w:left w:w="20" w:type="dxa"/>
              <w:bottom w:w="0" w:type="dxa"/>
              <w:right w:w="20" w:type="dxa"/>
            </w:tcMar>
            <w:vAlign w:val="bottom"/>
          </w:tcPr>
          <w:p w14:paraId="0B2FAA3E"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3F" w14:textId="77777777" w:rsidR="007F1775" w:rsidRDefault="000F083E">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0B2FAA4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4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42"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A4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44"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45" w14:textId="77777777" w:rsidR="007F1775" w:rsidRDefault="000F083E">
            <w:pPr>
              <w:jc w:val="right"/>
              <w:textAlignment w:val="bottom"/>
            </w:pPr>
            <w:r>
              <w:rPr>
                <w:rFonts w:ascii="Times New Roman" w:eastAsia="宋体" w:hAnsi="Times New Roman"/>
                <w:color w:val="000000"/>
                <w:sz w:val="20"/>
                <w:szCs w:val="20"/>
              </w:rPr>
              <w:t>60 </w:t>
            </w:r>
          </w:p>
        </w:tc>
        <w:tc>
          <w:tcPr>
            <w:tcW w:w="0" w:type="auto"/>
            <w:shd w:val="clear" w:color="auto" w:fill="FFFFFF"/>
            <w:tcMar>
              <w:top w:w="40" w:type="dxa"/>
              <w:left w:w="0" w:type="dxa"/>
              <w:bottom w:w="40" w:type="dxa"/>
              <w:right w:w="20" w:type="dxa"/>
            </w:tcMar>
            <w:vAlign w:val="bottom"/>
          </w:tcPr>
          <w:p w14:paraId="0B2FAA46" w14:textId="77777777" w:rsidR="007F1775" w:rsidRDefault="007F1775">
            <w:pPr>
              <w:jc w:val="right"/>
              <w:rPr>
                <w:rFonts w:ascii="宋体"/>
              </w:rPr>
            </w:pPr>
          </w:p>
        </w:tc>
        <w:tc>
          <w:tcPr>
            <w:tcW w:w="0" w:type="auto"/>
            <w:gridSpan w:val="3"/>
            <w:shd w:val="clear" w:color="auto" w:fill="auto"/>
            <w:vAlign w:val="bottom"/>
          </w:tcPr>
          <w:p w14:paraId="0B2FAA47" w14:textId="77777777" w:rsidR="007F1775" w:rsidRDefault="007F1775">
            <w:pPr>
              <w:rPr>
                <w:rFonts w:ascii="宋体"/>
                <w:vanish/>
              </w:rPr>
            </w:pPr>
          </w:p>
        </w:tc>
        <w:tc>
          <w:tcPr>
            <w:tcW w:w="0" w:type="auto"/>
            <w:gridSpan w:val="3"/>
            <w:shd w:val="clear" w:color="auto" w:fill="auto"/>
            <w:vAlign w:val="bottom"/>
          </w:tcPr>
          <w:p w14:paraId="0B2FAA48" w14:textId="77777777" w:rsidR="007F1775" w:rsidRDefault="007F1775">
            <w:pPr>
              <w:rPr>
                <w:rFonts w:ascii="宋体"/>
                <w:vanish/>
              </w:rPr>
            </w:pPr>
          </w:p>
        </w:tc>
      </w:tr>
      <w:tr w:rsidR="007F1775" w14:paraId="0B2FAA53" w14:textId="77777777">
        <w:tc>
          <w:tcPr>
            <w:tcW w:w="0" w:type="auto"/>
            <w:gridSpan w:val="3"/>
            <w:shd w:val="clear" w:color="auto" w:fill="CCEEFF"/>
            <w:tcMar>
              <w:top w:w="40" w:type="dxa"/>
              <w:left w:w="20" w:type="dxa"/>
              <w:bottom w:w="40" w:type="dxa"/>
              <w:right w:w="20" w:type="dxa"/>
            </w:tcMar>
          </w:tcPr>
          <w:p w14:paraId="0B2FAA4A" w14:textId="77777777" w:rsidR="007F1775" w:rsidRDefault="000F083E">
            <w:pPr>
              <w:textAlignment w:val="top"/>
            </w:pPr>
            <w:r>
              <w:rPr>
                <w:rFonts w:ascii="Times New Roman" w:eastAsia="宋体" w:hAnsi="Times New Roman"/>
                <w:color w:val="000000"/>
                <w:sz w:val="20"/>
                <w:szCs w:val="20"/>
              </w:rPr>
              <w:t>Marketable securities:</w:t>
            </w:r>
          </w:p>
        </w:tc>
        <w:tc>
          <w:tcPr>
            <w:tcW w:w="0" w:type="auto"/>
            <w:gridSpan w:val="3"/>
            <w:shd w:val="clear" w:color="auto" w:fill="CCEEFF"/>
            <w:tcMar>
              <w:top w:w="0" w:type="dxa"/>
              <w:left w:w="20" w:type="dxa"/>
              <w:bottom w:w="0" w:type="dxa"/>
              <w:right w:w="20" w:type="dxa"/>
            </w:tcMar>
            <w:vAlign w:val="bottom"/>
          </w:tcPr>
          <w:p w14:paraId="0B2FAA4B"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A4C"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A4D"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A4E"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A4F"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A50" w14:textId="77777777" w:rsidR="007F1775" w:rsidRDefault="007F1775">
            <w:pPr>
              <w:rPr>
                <w:rFonts w:ascii="宋体"/>
              </w:rPr>
            </w:pPr>
          </w:p>
        </w:tc>
        <w:tc>
          <w:tcPr>
            <w:tcW w:w="0" w:type="auto"/>
            <w:gridSpan w:val="3"/>
            <w:shd w:val="clear" w:color="auto" w:fill="auto"/>
            <w:vAlign w:val="bottom"/>
          </w:tcPr>
          <w:p w14:paraId="0B2FAA51" w14:textId="77777777" w:rsidR="007F1775" w:rsidRDefault="007F1775">
            <w:pPr>
              <w:rPr>
                <w:rFonts w:ascii="宋体"/>
                <w:vanish/>
              </w:rPr>
            </w:pPr>
          </w:p>
        </w:tc>
        <w:tc>
          <w:tcPr>
            <w:tcW w:w="0" w:type="auto"/>
            <w:gridSpan w:val="3"/>
            <w:shd w:val="clear" w:color="auto" w:fill="auto"/>
            <w:vAlign w:val="bottom"/>
          </w:tcPr>
          <w:p w14:paraId="0B2FAA52" w14:textId="77777777" w:rsidR="007F1775" w:rsidRDefault="007F1775">
            <w:pPr>
              <w:rPr>
                <w:rFonts w:ascii="宋体"/>
                <w:vanish/>
              </w:rPr>
            </w:pPr>
          </w:p>
        </w:tc>
      </w:tr>
      <w:tr w:rsidR="007F1775" w14:paraId="0B2FAA60" w14:textId="77777777">
        <w:tc>
          <w:tcPr>
            <w:tcW w:w="0" w:type="auto"/>
            <w:gridSpan w:val="3"/>
            <w:shd w:val="clear" w:color="auto" w:fill="FFFFFF"/>
            <w:tcMar>
              <w:top w:w="40" w:type="dxa"/>
              <w:left w:w="200" w:type="dxa"/>
              <w:bottom w:w="40" w:type="dxa"/>
              <w:right w:w="20" w:type="dxa"/>
            </w:tcMar>
          </w:tcPr>
          <w:p w14:paraId="0B2FAA54" w14:textId="77777777" w:rsidR="007F1775" w:rsidRDefault="000F083E">
            <w:pPr>
              <w:textAlignment w:val="top"/>
            </w:pPr>
            <w:r>
              <w:rPr>
                <w:rFonts w:ascii="Times New Roman" w:eastAsia="宋体" w:hAnsi="Times New Roman"/>
                <w:color w:val="000000"/>
                <w:sz w:val="20"/>
                <w:szCs w:val="20"/>
              </w:rPr>
              <w:t>U.S. government securities</w:t>
            </w:r>
          </w:p>
        </w:tc>
        <w:tc>
          <w:tcPr>
            <w:tcW w:w="0" w:type="auto"/>
            <w:gridSpan w:val="3"/>
            <w:shd w:val="clear" w:color="auto" w:fill="FFFFFF"/>
            <w:tcMar>
              <w:top w:w="0" w:type="dxa"/>
              <w:left w:w="20" w:type="dxa"/>
              <w:bottom w:w="0" w:type="dxa"/>
              <w:right w:w="20" w:type="dxa"/>
            </w:tcMar>
            <w:vAlign w:val="bottom"/>
          </w:tcPr>
          <w:p w14:paraId="0B2FAA5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56" w14:textId="77777777" w:rsidR="007F1775" w:rsidRDefault="000F083E">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0B2FAA5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5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59" w14:textId="77777777" w:rsidR="007F1775" w:rsidRDefault="000F083E">
            <w:pPr>
              <w:jc w:val="right"/>
              <w:textAlignment w:val="bottom"/>
            </w:pPr>
            <w:r>
              <w:rPr>
                <w:rFonts w:ascii="Times New Roman" w:eastAsia="宋体" w:hAnsi="Times New Roman"/>
                <w:color w:val="000000"/>
                <w:sz w:val="20"/>
                <w:szCs w:val="20"/>
              </w:rPr>
              <w:t>10,901 </w:t>
            </w:r>
          </w:p>
        </w:tc>
        <w:tc>
          <w:tcPr>
            <w:tcW w:w="0" w:type="auto"/>
            <w:shd w:val="clear" w:color="auto" w:fill="FFFFFF"/>
            <w:tcMar>
              <w:top w:w="40" w:type="dxa"/>
              <w:left w:w="0" w:type="dxa"/>
              <w:bottom w:w="40" w:type="dxa"/>
              <w:right w:w="20" w:type="dxa"/>
            </w:tcMar>
            <w:vAlign w:val="bottom"/>
          </w:tcPr>
          <w:p w14:paraId="0B2FAA5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5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5C"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A5D" w14:textId="77777777" w:rsidR="007F1775" w:rsidRDefault="007F1775">
            <w:pPr>
              <w:jc w:val="right"/>
              <w:rPr>
                <w:rFonts w:ascii="宋体"/>
              </w:rPr>
            </w:pPr>
          </w:p>
        </w:tc>
        <w:tc>
          <w:tcPr>
            <w:tcW w:w="0" w:type="auto"/>
            <w:gridSpan w:val="3"/>
            <w:shd w:val="clear" w:color="auto" w:fill="auto"/>
            <w:vAlign w:val="bottom"/>
          </w:tcPr>
          <w:p w14:paraId="0B2FAA5E" w14:textId="77777777" w:rsidR="007F1775" w:rsidRDefault="007F1775">
            <w:pPr>
              <w:rPr>
                <w:rFonts w:ascii="宋体"/>
                <w:vanish/>
              </w:rPr>
            </w:pPr>
          </w:p>
        </w:tc>
        <w:tc>
          <w:tcPr>
            <w:tcW w:w="0" w:type="auto"/>
            <w:gridSpan w:val="3"/>
            <w:shd w:val="clear" w:color="auto" w:fill="auto"/>
            <w:vAlign w:val="bottom"/>
          </w:tcPr>
          <w:p w14:paraId="0B2FAA5F" w14:textId="77777777" w:rsidR="007F1775" w:rsidRDefault="007F1775">
            <w:pPr>
              <w:rPr>
                <w:rFonts w:ascii="宋体"/>
                <w:vanish/>
              </w:rPr>
            </w:pPr>
          </w:p>
        </w:tc>
      </w:tr>
      <w:tr w:rsidR="007F1775" w14:paraId="0B2FAA6D" w14:textId="77777777">
        <w:tc>
          <w:tcPr>
            <w:tcW w:w="0" w:type="auto"/>
            <w:gridSpan w:val="3"/>
            <w:shd w:val="clear" w:color="auto" w:fill="CCEEFF"/>
            <w:tcMar>
              <w:top w:w="40" w:type="dxa"/>
              <w:left w:w="200" w:type="dxa"/>
              <w:bottom w:w="40" w:type="dxa"/>
              <w:right w:w="20" w:type="dxa"/>
            </w:tcMar>
          </w:tcPr>
          <w:p w14:paraId="0B2FAA61" w14:textId="77777777" w:rsidR="007F1775" w:rsidRDefault="000F083E">
            <w:pPr>
              <w:textAlignment w:val="top"/>
            </w:pPr>
            <w:r>
              <w:rPr>
                <w:rFonts w:ascii="Times New Roman" w:eastAsia="宋体" w:hAnsi="Times New Roman"/>
                <w:color w:val="000000"/>
                <w:sz w:val="20"/>
                <w:szCs w:val="20"/>
              </w:rPr>
              <w:t>U</w:t>
            </w:r>
            <w:r>
              <w:rPr>
                <w:rFonts w:ascii="Times New Roman" w:eastAsia="宋体" w:hAnsi="Times New Roman"/>
                <w:color w:val="000000"/>
                <w:sz w:val="20"/>
                <w:szCs w:val="20"/>
              </w:rPr>
              <w:t>.S. government agency securities</w:t>
            </w:r>
          </w:p>
        </w:tc>
        <w:tc>
          <w:tcPr>
            <w:tcW w:w="0" w:type="auto"/>
            <w:gridSpan w:val="3"/>
            <w:shd w:val="clear" w:color="auto" w:fill="CCEEFF"/>
            <w:tcMar>
              <w:top w:w="0" w:type="dxa"/>
              <w:left w:w="20" w:type="dxa"/>
              <w:bottom w:w="0" w:type="dxa"/>
              <w:right w:w="20" w:type="dxa"/>
            </w:tcMar>
            <w:vAlign w:val="bottom"/>
          </w:tcPr>
          <w:p w14:paraId="0B2FAA62"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63" w14:textId="77777777" w:rsidR="007F1775" w:rsidRDefault="000F083E">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0B2FAA6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65"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66" w14:textId="77777777" w:rsidR="007F1775" w:rsidRDefault="000F083E">
            <w:pPr>
              <w:jc w:val="right"/>
              <w:textAlignment w:val="bottom"/>
            </w:pPr>
            <w:r>
              <w:rPr>
                <w:rFonts w:ascii="Times New Roman" w:eastAsia="宋体" w:hAnsi="Times New Roman"/>
                <w:color w:val="000000"/>
                <w:sz w:val="20"/>
                <w:szCs w:val="20"/>
              </w:rPr>
              <w:t>5,927 </w:t>
            </w:r>
          </w:p>
        </w:tc>
        <w:tc>
          <w:tcPr>
            <w:tcW w:w="0" w:type="auto"/>
            <w:shd w:val="clear" w:color="auto" w:fill="CCEEFF"/>
            <w:tcMar>
              <w:top w:w="40" w:type="dxa"/>
              <w:left w:w="0" w:type="dxa"/>
              <w:bottom w:w="40" w:type="dxa"/>
              <w:right w:w="20" w:type="dxa"/>
            </w:tcMar>
            <w:vAlign w:val="bottom"/>
          </w:tcPr>
          <w:p w14:paraId="0B2FAA6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6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69"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A6A" w14:textId="77777777" w:rsidR="007F1775" w:rsidRDefault="007F1775">
            <w:pPr>
              <w:jc w:val="right"/>
              <w:rPr>
                <w:rFonts w:ascii="宋体"/>
              </w:rPr>
            </w:pPr>
          </w:p>
        </w:tc>
        <w:tc>
          <w:tcPr>
            <w:tcW w:w="0" w:type="auto"/>
            <w:gridSpan w:val="3"/>
            <w:shd w:val="clear" w:color="auto" w:fill="auto"/>
            <w:vAlign w:val="bottom"/>
          </w:tcPr>
          <w:p w14:paraId="0B2FAA6B" w14:textId="77777777" w:rsidR="007F1775" w:rsidRDefault="007F1775">
            <w:pPr>
              <w:rPr>
                <w:rFonts w:ascii="宋体"/>
                <w:vanish/>
              </w:rPr>
            </w:pPr>
          </w:p>
        </w:tc>
        <w:tc>
          <w:tcPr>
            <w:tcW w:w="0" w:type="auto"/>
            <w:gridSpan w:val="3"/>
            <w:shd w:val="clear" w:color="auto" w:fill="auto"/>
            <w:vAlign w:val="bottom"/>
          </w:tcPr>
          <w:p w14:paraId="0B2FAA6C" w14:textId="77777777" w:rsidR="007F1775" w:rsidRDefault="007F1775">
            <w:pPr>
              <w:rPr>
                <w:rFonts w:ascii="宋体"/>
                <w:vanish/>
              </w:rPr>
            </w:pPr>
          </w:p>
        </w:tc>
      </w:tr>
      <w:tr w:rsidR="007F1775" w14:paraId="0B2FAA7A" w14:textId="77777777">
        <w:tc>
          <w:tcPr>
            <w:tcW w:w="0" w:type="auto"/>
            <w:gridSpan w:val="3"/>
            <w:shd w:val="clear" w:color="auto" w:fill="FFFFFF"/>
            <w:tcMar>
              <w:top w:w="40" w:type="dxa"/>
              <w:left w:w="200" w:type="dxa"/>
              <w:bottom w:w="40" w:type="dxa"/>
              <w:right w:w="20" w:type="dxa"/>
            </w:tcMar>
          </w:tcPr>
          <w:p w14:paraId="0B2FAA6E" w14:textId="77777777" w:rsidR="007F1775" w:rsidRDefault="000F083E">
            <w:pPr>
              <w:textAlignment w:val="top"/>
            </w:pPr>
            <w:r>
              <w:rPr>
                <w:rFonts w:ascii="Times New Roman" w:eastAsia="宋体" w:hAnsi="Times New Roman"/>
                <w:color w:val="000000"/>
                <w:sz w:val="20"/>
                <w:szCs w:val="20"/>
              </w:rPr>
              <w:t>C</w:t>
            </w:r>
            <w:r>
              <w:rPr>
                <w:rFonts w:ascii="Times New Roman" w:eastAsia="宋体" w:hAnsi="Times New Roman"/>
                <w:color w:val="000000"/>
                <w:sz w:val="20"/>
                <w:szCs w:val="20"/>
              </w:rPr>
              <w:t>orporate debt securities</w:t>
            </w:r>
          </w:p>
        </w:tc>
        <w:tc>
          <w:tcPr>
            <w:tcW w:w="0" w:type="auto"/>
            <w:gridSpan w:val="3"/>
            <w:shd w:val="clear" w:color="auto" w:fill="FFFFFF"/>
            <w:tcMar>
              <w:top w:w="0" w:type="dxa"/>
              <w:left w:w="20" w:type="dxa"/>
              <w:bottom w:w="0" w:type="dxa"/>
              <w:right w:w="20" w:type="dxa"/>
            </w:tcMar>
            <w:vAlign w:val="bottom"/>
          </w:tcPr>
          <w:p w14:paraId="0B2FAA6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70" w14:textId="77777777" w:rsidR="007F1775" w:rsidRDefault="000F083E">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0B2FAA7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72"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73"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A7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7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76" w14:textId="77777777" w:rsidR="007F1775" w:rsidRDefault="000F083E">
            <w:pPr>
              <w:jc w:val="right"/>
              <w:textAlignment w:val="bottom"/>
            </w:pPr>
            <w:r>
              <w:rPr>
                <w:rFonts w:ascii="Times New Roman" w:eastAsia="宋体" w:hAnsi="Times New Roman"/>
                <w:color w:val="000000"/>
                <w:sz w:val="20"/>
                <w:szCs w:val="20"/>
              </w:rPr>
              <w:t>14,569 </w:t>
            </w:r>
          </w:p>
        </w:tc>
        <w:tc>
          <w:tcPr>
            <w:tcW w:w="0" w:type="auto"/>
            <w:shd w:val="clear" w:color="auto" w:fill="FFFFFF"/>
            <w:tcMar>
              <w:top w:w="40" w:type="dxa"/>
              <w:left w:w="0" w:type="dxa"/>
              <w:bottom w:w="40" w:type="dxa"/>
              <w:right w:w="20" w:type="dxa"/>
            </w:tcMar>
            <w:vAlign w:val="bottom"/>
          </w:tcPr>
          <w:p w14:paraId="0B2FAA77" w14:textId="77777777" w:rsidR="007F1775" w:rsidRDefault="007F1775">
            <w:pPr>
              <w:jc w:val="right"/>
              <w:rPr>
                <w:rFonts w:ascii="宋体"/>
              </w:rPr>
            </w:pPr>
          </w:p>
        </w:tc>
        <w:tc>
          <w:tcPr>
            <w:tcW w:w="0" w:type="auto"/>
            <w:gridSpan w:val="3"/>
            <w:shd w:val="clear" w:color="auto" w:fill="auto"/>
            <w:vAlign w:val="bottom"/>
          </w:tcPr>
          <w:p w14:paraId="0B2FAA78" w14:textId="77777777" w:rsidR="007F1775" w:rsidRDefault="007F1775">
            <w:pPr>
              <w:rPr>
                <w:rFonts w:ascii="宋体"/>
                <w:vanish/>
              </w:rPr>
            </w:pPr>
          </w:p>
        </w:tc>
        <w:tc>
          <w:tcPr>
            <w:tcW w:w="0" w:type="auto"/>
            <w:gridSpan w:val="3"/>
            <w:shd w:val="clear" w:color="auto" w:fill="auto"/>
            <w:vAlign w:val="bottom"/>
          </w:tcPr>
          <w:p w14:paraId="0B2FAA79" w14:textId="77777777" w:rsidR="007F1775" w:rsidRDefault="007F1775">
            <w:pPr>
              <w:rPr>
                <w:rFonts w:ascii="宋体"/>
                <w:vanish/>
              </w:rPr>
            </w:pPr>
          </w:p>
        </w:tc>
      </w:tr>
      <w:tr w:rsidR="007F1775" w14:paraId="0B2FAA8A" w14:textId="77777777">
        <w:tc>
          <w:tcPr>
            <w:tcW w:w="0" w:type="auto"/>
            <w:gridSpan w:val="3"/>
            <w:shd w:val="clear" w:color="auto" w:fill="CCEEFF"/>
            <w:tcMar>
              <w:top w:w="40" w:type="dxa"/>
              <w:left w:w="380" w:type="dxa"/>
              <w:bottom w:w="40" w:type="dxa"/>
              <w:right w:w="20" w:type="dxa"/>
            </w:tcMar>
          </w:tcPr>
          <w:p w14:paraId="0B2FAA7B" w14:textId="77777777" w:rsidR="007F1775" w:rsidRDefault="000F083E">
            <w:pPr>
              <w:textAlignment w:val="top"/>
            </w:pPr>
            <w:r>
              <w:rPr>
                <w:rFonts w:ascii="Times New Roman" w:eastAsia="宋体" w:hAnsi="Times New Roman"/>
                <w:color w:val="000000"/>
                <w:sz w:val="20"/>
                <w:szCs w:val="20"/>
              </w:rPr>
              <w:t>Total cash equivalents and marketable securities</w:t>
            </w:r>
          </w:p>
        </w:tc>
        <w:tc>
          <w:tcPr>
            <w:tcW w:w="0" w:type="auto"/>
            <w:gridSpan w:val="3"/>
            <w:shd w:val="clear" w:color="auto" w:fill="CCEEFF"/>
            <w:tcMar>
              <w:top w:w="0" w:type="dxa"/>
              <w:left w:w="20" w:type="dxa"/>
              <w:bottom w:w="0" w:type="dxa"/>
              <w:right w:w="20" w:type="dxa"/>
            </w:tcMar>
            <w:vAlign w:val="bottom"/>
          </w:tcPr>
          <w:p w14:paraId="0B2FAA7C"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A7D"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A7E" w14:textId="77777777" w:rsidR="007F1775" w:rsidRDefault="000F083E">
            <w:pPr>
              <w:jc w:val="right"/>
              <w:textAlignment w:val="bottom"/>
            </w:pPr>
            <w:r>
              <w:rPr>
                <w:rFonts w:ascii="Times New Roman" w:eastAsia="宋体" w:hAnsi="Times New Roman"/>
                <w:color w:val="000000"/>
                <w:sz w:val="20"/>
                <w:szCs w:val="20"/>
              </w:rPr>
              <w:t>40,690 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A7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80"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A81"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A82" w14:textId="77777777" w:rsidR="007F1775" w:rsidRDefault="000F083E">
            <w:pPr>
              <w:jc w:val="right"/>
              <w:textAlignment w:val="bottom"/>
            </w:pPr>
            <w:r>
              <w:rPr>
                <w:rFonts w:ascii="Times New Roman" w:eastAsia="宋体" w:hAnsi="Times New Roman"/>
                <w:color w:val="000000"/>
                <w:sz w:val="20"/>
                <w:szCs w:val="20"/>
              </w:rPr>
              <w:t>25,811 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A8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84"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A85"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A86" w14:textId="77777777" w:rsidR="007F1775" w:rsidRDefault="000F083E">
            <w:pPr>
              <w:jc w:val="right"/>
              <w:textAlignment w:val="bottom"/>
            </w:pPr>
            <w:r>
              <w:rPr>
                <w:rFonts w:ascii="Times New Roman" w:eastAsia="宋体" w:hAnsi="Times New Roman"/>
                <w:color w:val="000000"/>
                <w:sz w:val="20"/>
                <w:szCs w:val="20"/>
              </w:rPr>
              <w:t>14,879 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A87" w14:textId="77777777" w:rsidR="007F1775" w:rsidRDefault="007F1775">
            <w:pPr>
              <w:jc w:val="right"/>
              <w:rPr>
                <w:rFonts w:ascii="宋体"/>
              </w:rPr>
            </w:pPr>
          </w:p>
        </w:tc>
        <w:tc>
          <w:tcPr>
            <w:tcW w:w="0" w:type="auto"/>
            <w:gridSpan w:val="3"/>
            <w:shd w:val="clear" w:color="auto" w:fill="auto"/>
            <w:vAlign w:val="bottom"/>
          </w:tcPr>
          <w:p w14:paraId="0B2FAA88" w14:textId="77777777" w:rsidR="007F1775" w:rsidRDefault="007F1775">
            <w:pPr>
              <w:rPr>
                <w:rFonts w:ascii="宋体"/>
                <w:vanish/>
              </w:rPr>
            </w:pPr>
          </w:p>
        </w:tc>
        <w:tc>
          <w:tcPr>
            <w:tcW w:w="0" w:type="auto"/>
            <w:gridSpan w:val="3"/>
            <w:shd w:val="clear" w:color="auto" w:fill="auto"/>
            <w:vAlign w:val="bottom"/>
          </w:tcPr>
          <w:p w14:paraId="0B2FAA89" w14:textId="77777777" w:rsidR="007F1775" w:rsidRDefault="007F1775">
            <w:pPr>
              <w:rPr>
                <w:rFonts w:ascii="宋体"/>
                <w:vanish/>
              </w:rPr>
            </w:pPr>
          </w:p>
        </w:tc>
      </w:tr>
    </w:tbl>
    <w:p w14:paraId="0B2FAA8B" w14:textId="77777777" w:rsidR="007F1775" w:rsidRDefault="007F1775">
      <w:pPr>
        <w:ind w:firstLine="540"/>
        <w:jc w:val="both"/>
      </w:pPr>
    </w:p>
    <w:p w14:paraId="0B2FAA8C" w14:textId="77777777" w:rsidR="007F1775" w:rsidRDefault="000F083E">
      <w:pPr>
        <w:ind w:firstLine="540"/>
        <w:jc w:val="both"/>
      </w:pPr>
      <w:r>
        <w:rPr>
          <w:rFonts w:ascii="Times New Roman" w:eastAsia="宋体" w:hAnsi="Times New Roman"/>
          <w:color w:val="000000"/>
          <w:sz w:val="20"/>
          <w:szCs w:val="20"/>
        </w:rPr>
        <w:t xml:space="preserve">We classify our cash equivalents and marketable securities within Level 1 or Level 2 because we use quoted market prices or alternative pricing sources and models </w:t>
      </w:r>
      <w:r>
        <w:rPr>
          <w:rFonts w:ascii="Times New Roman" w:eastAsia="宋体" w:hAnsi="Times New Roman"/>
          <w:color w:val="000000"/>
          <w:sz w:val="20"/>
          <w:szCs w:val="20"/>
        </w:rPr>
        <w:t xml:space="preserve">utilizing market observable inputs to determine their fair value. </w:t>
      </w:r>
    </w:p>
    <w:p w14:paraId="0B2FAA8D" w14:textId="77777777" w:rsidR="007F1775" w:rsidRDefault="007F1775">
      <w:pPr>
        <w:ind w:firstLine="540"/>
        <w:jc w:val="both"/>
      </w:pPr>
    </w:p>
    <w:p w14:paraId="0B2FAA8E" w14:textId="77777777" w:rsidR="007F1775" w:rsidRDefault="000F083E">
      <w:pPr>
        <w:ind w:firstLine="540"/>
        <w:jc w:val="both"/>
      </w:pPr>
      <w:r>
        <w:rPr>
          <w:rFonts w:ascii="Times New Roman" w:eastAsia="宋体" w:hAnsi="Times New Roman"/>
          <w:color w:val="000000"/>
          <w:sz w:val="20"/>
          <w:szCs w:val="20"/>
        </w:rPr>
        <w:t>We also have assets and liabilities classified within Level 3 because factors used to develop the estimated fair value are unobservable inputs that are not supported by market activity. As</w:t>
      </w:r>
      <w:r>
        <w:rPr>
          <w:rFonts w:ascii="Times New Roman" w:eastAsia="宋体" w:hAnsi="Times New Roman"/>
          <w:color w:val="000000"/>
          <w:sz w:val="20"/>
          <w:szCs w:val="20"/>
        </w:rPr>
        <w:t xml:space="preserve"> of March 31, 2022, assets and liabilities remeasured at fair value within Level 3 during the three months ended March 31, 2022 were not material. As of December 31, 2021, included in the total $6.78 billion of equity investments, $913 million was remeasur</w:t>
      </w:r>
      <w:r>
        <w:rPr>
          <w:rFonts w:ascii="Times New Roman" w:eastAsia="宋体" w:hAnsi="Times New Roman"/>
          <w:color w:val="000000"/>
          <w:sz w:val="20"/>
          <w:szCs w:val="20"/>
        </w:rPr>
        <w:t>ed at fair value during the year ended December 31, 2021 and was classified within Level 3 of the fair value measurement hierarchy on a non-recurring basis. The gains and losses as the result of the remeasurements were not material for the three months end</w:t>
      </w:r>
      <w:r>
        <w:rPr>
          <w:rFonts w:ascii="Times New Roman" w:eastAsia="宋体" w:hAnsi="Times New Roman"/>
          <w:color w:val="000000"/>
          <w:sz w:val="20"/>
          <w:szCs w:val="20"/>
        </w:rPr>
        <w:t>ed March 31, 2022 and 2021. For information regarding equity investments, see Note 5 — Equity Investments.</w:t>
      </w:r>
    </w:p>
    <w:p w14:paraId="0B2FAA8F" w14:textId="77777777" w:rsidR="007F1775" w:rsidRDefault="007F1775">
      <w:pPr>
        <w:ind w:firstLine="540"/>
        <w:jc w:val="both"/>
      </w:pPr>
    </w:p>
    <w:p w14:paraId="0B2FAA90" w14:textId="77777777" w:rsidR="007F1775" w:rsidRDefault="000F083E">
      <w:pPr>
        <w:spacing w:before="180"/>
        <w:jc w:val="both"/>
      </w:pPr>
      <w:r>
        <w:rPr>
          <w:rFonts w:ascii="Times New Roman" w:eastAsia="宋体" w:hAnsi="Times New Roman"/>
          <w:b/>
          <w:bCs/>
          <w:color w:val="000000"/>
          <w:sz w:val="20"/>
          <w:szCs w:val="20"/>
        </w:rPr>
        <w:t>Note 7. Property and Equipment</w:t>
      </w:r>
    </w:p>
    <w:p w14:paraId="0B2FAA91" w14:textId="77777777" w:rsidR="007F1775" w:rsidRDefault="007F1775">
      <w:pPr>
        <w:ind w:firstLine="540"/>
        <w:jc w:val="both"/>
      </w:pPr>
    </w:p>
    <w:p w14:paraId="0B2FAA92" w14:textId="77777777" w:rsidR="007F1775" w:rsidRDefault="000F083E">
      <w:pPr>
        <w:ind w:firstLine="540"/>
        <w:jc w:val="both"/>
      </w:pPr>
      <w:r>
        <w:rPr>
          <w:rFonts w:ascii="Times New Roman" w:eastAsia="宋体" w:hAnsi="Times New Roman"/>
          <w:color w:val="000000"/>
          <w:sz w:val="20"/>
          <w:szCs w:val="20"/>
        </w:rPr>
        <w:t>Property and equipment, net consists of the following (in millions):</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8"/>
        <w:gridCol w:w="120"/>
        <w:gridCol w:w="1193"/>
        <w:gridCol w:w="36"/>
        <w:gridCol w:w="36"/>
        <w:gridCol w:w="36"/>
        <w:gridCol w:w="36"/>
        <w:gridCol w:w="120"/>
        <w:gridCol w:w="1160"/>
        <w:gridCol w:w="36"/>
      </w:tblGrid>
      <w:tr w:rsidR="007F1775" w14:paraId="0B2FAA9F" w14:textId="77777777">
        <w:tc>
          <w:tcPr>
            <w:tcW w:w="50" w:type="pct"/>
            <w:shd w:val="clear" w:color="auto" w:fill="auto"/>
            <w:vAlign w:val="bottom"/>
          </w:tcPr>
          <w:p w14:paraId="0B2FAA93" w14:textId="77777777" w:rsidR="007F1775" w:rsidRDefault="007F1775">
            <w:pPr>
              <w:rPr>
                <w:rFonts w:ascii="宋体"/>
              </w:rPr>
            </w:pPr>
          </w:p>
        </w:tc>
        <w:tc>
          <w:tcPr>
            <w:tcW w:w="3315" w:type="pct"/>
            <w:shd w:val="clear" w:color="auto" w:fill="auto"/>
            <w:vAlign w:val="bottom"/>
          </w:tcPr>
          <w:p w14:paraId="0B2FAA94" w14:textId="77777777" w:rsidR="007F1775" w:rsidRDefault="007F1775">
            <w:pPr>
              <w:rPr>
                <w:rFonts w:ascii="宋体"/>
              </w:rPr>
            </w:pPr>
          </w:p>
        </w:tc>
        <w:tc>
          <w:tcPr>
            <w:tcW w:w="5" w:type="pct"/>
            <w:shd w:val="clear" w:color="auto" w:fill="auto"/>
            <w:vAlign w:val="bottom"/>
          </w:tcPr>
          <w:p w14:paraId="0B2FAA95" w14:textId="77777777" w:rsidR="007F1775" w:rsidRDefault="007F1775">
            <w:pPr>
              <w:rPr>
                <w:rFonts w:ascii="宋体"/>
              </w:rPr>
            </w:pPr>
          </w:p>
        </w:tc>
        <w:tc>
          <w:tcPr>
            <w:tcW w:w="50" w:type="pct"/>
            <w:shd w:val="clear" w:color="auto" w:fill="auto"/>
            <w:vAlign w:val="bottom"/>
          </w:tcPr>
          <w:p w14:paraId="0B2FAA96" w14:textId="77777777" w:rsidR="007F1775" w:rsidRDefault="007F1775">
            <w:pPr>
              <w:rPr>
                <w:rFonts w:ascii="宋体"/>
              </w:rPr>
            </w:pPr>
          </w:p>
        </w:tc>
        <w:tc>
          <w:tcPr>
            <w:tcW w:w="741" w:type="pct"/>
            <w:shd w:val="clear" w:color="auto" w:fill="auto"/>
            <w:vAlign w:val="bottom"/>
          </w:tcPr>
          <w:p w14:paraId="0B2FAA97" w14:textId="77777777" w:rsidR="007F1775" w:rsidRDefault="007F1775">
            <w:pPr>
              <w:rPr>
                <w:rFonts w:ascii="宋体"/>
              </w:rPr>
            </w:pPr>
          </w:p>
        </w:tc>
        <w:tc>
          <w:tcPr>
            <w:tcW w:w="5" w:type="pct"/>
            <w:shd w:val="clear" w:color="auto" w:fill="auto"/>
            <w:vAlign w:val="bottom"/>
          </w:tcPr>
          <w:p w14:paraId="0B2FAA98" w14:textId="77777777" w:rsidR="007F1775" w:rsidRDefault="007F1775">
            <w:pPr>
              <w:rPr>
                <w:rFonts w:ascii="宋体"/>
              </w:rPr>
            </w:pPr>
          </w:p>
        </w:tc>
        <w:tc>
          <w:tcPr>
            <w:tcW w:w="5" w:type="pct"/>
            <w:shd w:val="clear" w:color="auto" w:fill="auto"/>
            <w:vAlign w:val="bottom"/>
          </w:tcPr>
          <w:p w14:paraId="0B2FAA99" w14:textId="77777777" w:rsidR="007F1775" w:rsidRDefault="007F1775">
            <w:pPr>
              <w:rPr>
                <w:rFonts w:ascii="宋体"/>
              </w:rPr>
            </w:pPr>
          </w:p>
        </w:tc>
        <w:tc>
          <w:tcPr>
            <w:tcW w:w="27" w:type="pct"/>
            <w:shd w:val="clear" w:color="auto" w:fill="auto"/>
            <w:vAlign w:val="bottom"/>
          </w:tcPr>
          <w:p w14:paraId="0B2FAA9A" w14:textId="77777777" w:rsidR="007F1775" w:rsidRDefault="007F1775">
            <w:pPr>
              <w:rPr>
                <w:rFonts w:ascii="宋体"/>
              </w:rPr>
            </w:pPr>
          </w:p>
        </w:tc>
        <w:tc>
          <w:tcPr>
            <w:tcW w:w="5" w:type="pct"/>
            <w:shd w:val="clear" w:color="auto" w:fill="auto"/>
            <w:vAlign w:val="bottom"/>
          </w:tcPr>
          <w:p w14:paraId="0B2FAA9B" w14:textId="77777777" w:rsidR="007F1775" w:rsidRDefault="007F1775">
            <w:pPr>
              <w:rPr>
                <w:rFonts w:ascii="宋体"/>
              </w:rPr>
            </w:pPr>
          </w:p>
        </w:tc>
        <w:tc>
          <w:tcPr>
            <w:tcW w:w="50" w:type="pct"/>
            <w:shd w:val="clear" w:color="auto" w:fill="auto"/>
            <w:vAlign w:val="bottom"/>
          </w:tcPr>
          <w:p w14:paraId="0B2FAA9C" w14:textId="77777777" w:rsidR="007F1775" w:rsidRDefault="007F1775">
            <w:pPr>
              <w:rPr>
                <w:rFonts w:ascii="宋体"/>
              </w:rPr>
            </w:pPr>
          </w:p>
        </w:tc>
        <w:tc>
          <w:tcPr>
            <w:tcW w:w="741" w:type="pct"/>
            <w:shd w:val="clear" w:color="auto" w:fill="auto"/>
            <w:vAlign w:val="bottom"/>
          </w:tcPr>
          <w:p w14:paraId="0B2FAA9D" w14:textId="77777777" w:rsidR="007F1775" w:rsidRDefault="007F1775">
            <w:pPr>
              <w:rPr>
                <w:rFonts w:ascii="宋体"/>
              </w:rPr>
            </w:pPr>
          </w:p>
        </w:tc>
        <w:tc>
          <w:tcPr>
            <w:tcW w:w="5" w:type="pct"/>
            <w:shd w:val="clear" w:color="auto" w:fill="auto"/>
            <w:vAlign w:val="bottom"/>
          </w:tcPr>
          <w:p w14:paraId="0B2FAA9E" w14:textId="77777777" w:rsidR="007F1775" w:rsidRDefault="007F1775">
            <w:pPr>
              <w:rPr>
                <w:rFonts w:ascii="宋体"/>
              </w:rPr>
            </w:pPr>
          </w:p>
        </w:tc>
      </w:tr>
      <w:tr w:rsidR="007F1775" w14:paraId="0B2FAAA4" w14:textId="77777777">
        <w:tc>
          <w:tcPr>
            <w:tcW w:w="0" w:type="auto"/>
            <w:gridSpan w:val="3"/>
            <w:shd w:val="clear" w:color="auto" w:fill="auto"/>
            <w:tcMar>
              <w:top w:w="0" w:type="dxa"/>
              <w:left w:w="20" w:type="dxa"/>
              <w:bottom w:w="0" w:type="dxa"/>
              <w:right w:w="20" w:type="dxa"/>
            </w:tcMar>
            <w:vAlign w:val="bottom"/>
          </w:tcPr>
          <w:p w14:paraId="0B2FAAA0"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AA1" w14:textId="77777777" w:rsidR="007F1775" w:rsidRDefault="000F083E">
            <w:pPr>
              <w:jc w:val="center"/>
              <w:textAlignment w:val="bottom"/>
            </w:pPr>
            <w:r>
              <w:rPr>
                <w:rFonts w:ascii="Times New Roman" w:eastAsia="宋体" w:hAnsi="Times New Roman"/>
                <w:b/>
                <w:bCs/>
                <w:color w:val="000000"/>
                <w:sz w:val="16"/>
                <w:szCs w:val="16"/>
              </w:rPr>
              <w:t>March 31, 2022</w:t>
            </w:r>
          </w:p>
        </w:tc>
        <w:tc>
          <w:tcPr>
            <w:tcW w:w="0" w:type="auto"/>
            <w:gridSpan w:val="3"/>
            <w:shd w:val="clear" w:color="auto" w:fill="auto"/>
            <w:tcMar>
              <w:top w:w="0" w:type="dxa"/>
              <w:left w:w="20" w:type="dxa"/>
              <w:bottom w:w="0" w:type="dxa"/>
              <w:right w:w="20" w:type="dxa"/>
            </w:tcMar>
            <w:vAlign w:val="bottom"/>
          </w:tcPr>
          <w:p w14:paraId="0B2FAAA2"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AA3" w14:textId="77777777" w:rsidR="007F1775" w:rsidRDefault="000F083E">
            <w:pPr>
              <w:jc w:val="center"/>
              <w:textAlignment w:val="bottom"/>
            </w:pPr>
            <w:r>
              <w:rPr>
                <w:rFonts w:ascii="Times New Roman" w:eastAsia="宋体" w:hAnsi="Times New Roman"/>
                <w:b/>
                <w:bCs/>
                <w:color w:val="000000"/>
                <w:sz w:val="16"/>
                <w:szCs w:val="16"/>
              </w:rPr>
              <w:t xml:space="preserve">December 31, </w:t>
            </w:r>
            <w:r>
              <w:rPr>
                <w:rFonts w:ascii="Times New Roman" w:eastAsia="宋体" w:hAnsi="Times New Roman"/>
                <w:b/>
                <w:bCs/>
                <w:color w:val="000000"/>
                <w:sz w:val="16"/>
                <w:szCs w:val="16"/>
              </w:rPr>
              <w:t>2021</w:t>
            </w:r>
          </w:p>
        </w:tc>
      </w:tr>
      <w:tr w:rsidR="007F1775" w14:paraId="0B2FAAAD" w14:textId="77777777">
        <w:tc>
          <w:tcPr>
            <w:tcW w:w="0" w:type="auto"/>
            <w:gridSpan w:val="3"/>
            <w:shd w:val="clear" w:color="auto" w:fill="CCEEFF"/>
            <w:tcMar>
              <w:top w:w="40" w:type="dxa"/>
              <w:left w:w="200" w:type="dxa"/>
              <w:bottom w:w="40" w:type="dxa"/>
              <w:right w:w="20" w:type="dxa"/>
            </w:tcMar>
            <w:vAlign w:val="bottom"/>
          </w:tcPr>
          <w:p w14:paraId="0B2FAAA5" w14:textId="77777777" w:rsidR="007F1775" w:rsidRDefault="000F083E">
            <w:pPr>
              <w:textAlignment w:val="bottom"/>
            </w:pPr>
            <w:r>
              <w:rPr>
                <w:rFonts w:ascii="Times New Roman" w:eastAsia="宋体" w:hAnsi="Times New Roman"/>
                <w:color w:val="000000"/>
                <w:sz w:val="20"/>
                <w:szCs w:val="20"/>
              </w:rPr>
              <w:t>Land</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AAA6"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AA7" w14:textId="77777777" w:rsidR="007F1775" w:rsidRDefault="000F083E">
            <w:pPr>
              <w:jc w:val="right"/>
              <w:textAlignment w:val="bottom"/>
            </w:pPr>
            <w:r>
              <w:rPr>
                <w:rFonts w:ascii="Times New Roman" w:eastAsia="宋体" w:hAnsi="Times New Roman"/>
                <w:color w:val="000000"/>
                <w:sz w:val="20"/>
                <w:szCs w:val="20"/>
              </w:rPr>
              <w:t>1,713 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AA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A9"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AA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AAB" w14:textId="77777777" w:rsidR="007F1775" w:rsidRDefault="000F083E">
            <w:pPr>
              <w:jc w:val="right"/>
              <w:textAlignment w:val="bottom"/>
            </w:pPr>
            <w:r>
              <w:rPr>
                <w:rFonts w:ascii="Times New Roman" w:eastAsia="宋体" w:hAnsi="Times New Roman"/>
                <w:color w:val="000000"/>
                <w:sz w:val="20"/>
                <w:szCs w:val="20"/>
              </w:rPr>
              <w:t>1,688 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AAC" w14:textId="77777777" w:rsidR="007F1775" w:rsidRDefault="007F1775">
            <w:pPr>
              <w:jc w:val="right"/>
              <w:rPr>
                <w:rFonts w:ascii="宋体"/>
              </w:rPr>
            </w:pPr>
          </w:p>
        </w:tc>
      </w:tr>
      <w:tr w:rsidR="007F1775" w14:paraId="0B2FAAB4" w14:textId="77777777">
        <w:tc>
          <w:tcPr>
            <w:tcW w:w="0" w:type="auto"/>
            <w:gridSpan w:val="3"/>
            <w:shd w:val="clear" w:color="auto" w:fill="FFFFFF"/>
            <w:tcMar>
              <w:top w:w="40" w:type="dxa"/>
              <w:left w:w="200" w:type="dxa"/>
              <w:bottom w:w="40" w:type="dxa"/>
              <w:right w:w="20" w:type="dxa"/>
            </w:tcMar>
            <w:vAlign w:val="bottom"/>
          </w:tcPr>
          <w:p w14:paraId="0B2FAAAE" w14:textId="77777777" w:rsidR="007F1775" w:rsidRDefault="000F083E">
            <w:pPr>
              <w:textAlignment w:val="bottom"/>
            </w:pPr>
            <w:r>
              <w:rPr>
                <w:rFonts w:ascii="Times New Roman" w:eastAsia="宋体" w:hAnsi="Times New Roman"/>
                <w:color w:val="000000"/>
                <w:sz w:val="20"/>
                <w:szCs w:val="20"/>
              </w:rPr>
              <w:t>Servers and network assets</w:t>
            </w:r>
          </w:p>
        </w:tc>
        <w:tc>
          <w:tcPr>
            <w:tcW w:w="0" w:type="auto"/>
            <w:gridSpan w:val="2"/>
            <w:shd w:val="clear" w:color="auto" w:fill="FFFFFF"/>
            <w:tcMar>
              <w:top w:w="40" w:type="dxa"/>
              <w:left w:w="20" w:type="dxa"/>
              <w:bottom w:w="40" w:type="dxa"/>
              <w:right w:w="0" w:type="dxa"/>
            </w:tcMar>
            <w:vAlign w:val="bottom"/>
          </w:tcPr>
          <w:p w14:paraId="0B2FAAAF" w14:textId="77777777" w:rsidR="007F1775" w:rsidRDefault="000F083E">
            <w:pPr>
              <w:jc w:val="right"/>
              <w:textAlignment w:val="bottom"/>
            </w:pPr>
            <w:r>
              <w:rPr>
                <w:rFonts w:ascii="Times New Roman" w:eastAsia="宋体" w:hAnsi="Times New Roman"/>
                <w:color w:val="000000"/>
                <w:sz w:val="20"/>
                <w:szCs w:val="20"/>
              </w:rPr>
              <w:t>27,094 </w:t>
            </w:r>
          </w:p>
        </w:tc>
        <w:tc>
          <w:tcPr>
            <w:tcW w:w="0" w:type="auto"/>
            <w:shd w:val="clear" w:color="auto" w:fill="FFFFFF"/>
            <w:tcMar>
              <w:top w:w="40" w:type="dxa"/>
              <w:left w:w="0" w:type="dxa"/>
              <w:bottom w:w="40" w:type="dxa"/>
              <w:right w:w="20" w:type="dxa"/>
            </w:tcMar>
            <w:vAlign w:val="bottom"/>
          </w:tcPr>
          <w:p w14:paraId="0B2FAAB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B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B2" w14:textId="77777777" w:rsidR="007F1775" w:rsidRDefault="000F083E">
            <w:pPr>
              <w:jc w:val="right"/>
              <w:textAlignment w:val="bottom"/>
            </w:pPr>
            <w:r>
              <w:rPr>
                <w:rFonts w:ascii="Times New Roman" w:eastAsia="宋体" w:hAnsi="Times New Roman"/>
                <w:color w:val="000000"/>
                <w:sz w:val="20"/>
                <w:szCs w:val="20"/>
              </w:rPr>
              <w:t>25,584 </w:t>
            </w:r>
          </w:p>
        </w:tc>
        <w:tc>
          <w:tcPr>
            <w:tcW w:w="0" w:type="auto"/>
            <w:shd w:val="clear" w:color="auto" w:fill="FFFFFF"/>
            <w:tcMar>
              <w:top w:w="40" w:type="dxa"/>
              <w:left w:w="0" w:type="dxa"/>
              <w:bottom w:w="40" w:type="dxa"/>
              <w:right w:w="20" w:type="dxa"/>
            </w:tcMar>
            <w:vAlign w:val="bottom"/>
          </w:tcPr>
          <w:p w14:paraId="0B2FAAB3" w14:textId="77777777" w:rsidR="007F1775" w:rsidRDefault="007F1775">
            <w:pPr>
              <w:jc w:val="right"/>
              <w:rPr>
                <w:rFonts w:ascii="宋体"/>
              </w:rPr>
            </w:pPr>
          </w:p>
        </w:tc>
      </w:tr>
      <w:tr w:rsidR="007F1775" w14:paraId="0B2FAABB" w14:textId="77777777">
        <w:tc>
          <w:tcPr>
            <w:tcW w:w="0" w:type="auto"/>
            <w:gridSpan w:val="3"/>
            <w:shd w:val="clear" w:color="auto" w:fill="CCEEFF"/>
            <w:tcMar>
              <w:top w:w="40" w:type="dxa"/>
              <w:left w:w="200" w:type="dxa"/>
              <w:bottom w:w="40" w:type="dxa"/>
              <w:right w:w="20" w:type="dxa"/>
            </w:tcMar>
            <w:vAlign w:val="bottom"/>
          </w:tcPr>
          <w:p w14:paraId="0B2FAAB5" w14:textId="77777777" w:rsidR="007F1775" w:rsidRDefault="000F083E">
            <w:pPr>
              <w:textAlignment w:val="bottom"/>
            </w:pPr>
            <w:r>
              <w:rPr>
                <w:rFonts w:ascii="Times New Roman" w:eastAsia="宋体" w:hAnsi="Times New Roman"/>
                <w:color w:val="000000"/>
                <w:sz w:val="20"/>
                <w:szCs w:val="20"/>
              </w:rPr>
              <w:t>Buildings</w:t>
            </w:r>
          </w:p>
        </w:tc>
        <w:tc>
          <w:tcPr>
            <w:tcW w:w="0" w:type="auto"/>
            <w:gridSpan w:val="2"/>
            <w:shd w:val="clear" w:color="auto" w:fill="CCEEFF"/>
            <w:tcMar>
              <w:top w:w="40" w:type="dxa"/>
              <w:left w:w="20" w:type="dxa"/>
              <w:bottom w:w="40" w:type="dxa"/>
              <w:right w:w="0" w:type="dxa"/>
            </w:tcMar>
            <w:vAlign w:val="bottom"/>
          </w:tcPr>
          <w:p w14:paraId="0B2FAAB6" w14:textId="77777777" w:rsidR="007F1775" w:rsidRDefault="000F083E">
            <w:pPr>
              <w:jc w:val="right"/>
              <w:textAlignment w:val="bottom"/>
            </w:pPr>
            <w:r>
              <w:rPr>
                <w:rFonts w:ascii="Times New Roman" w:eastAsia="宋体" w:hAnsi="Times New Roman"/>
                <w:color w:val="000000"/>
                <w:sz w:val="20"/>
                <w:szCs w:val="20"/>
              </w:rPr>
              <w:t>23,154 </w:t>
            </w:r>
          </w:p>
        </w:tc>
        <w:tc>
          <w:tcPr>
            <w:tcW w:w="0" w:type="auto"/>
            <w:shd w:val="clear" w:color="auto" w:fill="CCEEFF"/>
            <w:tcMar>
              <w:top w:w="40" w:type="dxa"/>
              <w:left w:w="0" w:type="dxa"/>
              <w:bottom w:w="40" w:type="dxa"/>
              <w:right w:w="20" w:type="dxa"/>
            </w:tcMar>
            <w:vAlign w:val="bottom"/>
          </w:tcPr>
          <w:p w14:paraId="0B2FAAB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B8"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B9" w14:textId="77777777" w:rsidR="007F1775" w:rsidRDefault="000F083E">
            <w:pPr>
              <w:jc w:val="right"/>
              <w:textAlignment w:val="bottom"/>
            </w:pPr>
            <w:r>
              <w:rPr>
                <w:rFonts w:ascii="Times New Roman" w:eastAsia="宋体" w:hAnsi="Times New Roman"/>
                <w:color w:val="000000"/>
                <w:sz w:val="20"/>
                <w:szCs w:val="20"/>
              </w:rPr>
              <w:t>22,531 </w:t>
            </w:r>
          </w:p>
        </w:tc>
        <w:tc>
          <w:tcPr>
            <w:tcW w:w="0" w:type="auto"/>
            <w:shd w:val="clear" w:color="auto" w:fill="CCEEFF"/>
            <w:tcMar>
              <w:top w:w="40" w:type="dxa"/>
              <w:left w:w="0" w:type="dxa"/>
              <w:bottom w:w="40" w:type="dxa"/>
              <w:right w:w="20" w:type="dxa"/>
            </w:tcMar>
            <w:vAlign w:val="bottom"/>
          </w:tcPr>
          <w:p w14:paraId="0B2FAABA" w14:textId="77777777" w:rsidR="007F1775" w:rsidRDefault="007F1775">
            <w:pPr>
              <w:jc w:val="right"/>
              <w:rPr>
                <w:rFonts w:ascii="宋体"/>
              </w:rPr>
            </w:pPr>
          </w:p>
        </w:tc>
      </w:tr>
      <w:tr w:rsidR="007F1775" w14:paraId="0B2FAAC2" w14:textId="77777777">
        <w:tc>
          <w:tcPr>
            <w:tcW w:w="0" w:type="auto"/>
            <w:gridSpan w:val="3"/>
            <w:shd w:val="clear" w:color="auto" w:fill="auto"/>
            <w:tcMar>
              <w:top w:w="40" w:type="dxa"/>
              <w:left w:w="200" w:type="dxa"/>
              <w:bottom w:w="40" w:type="dxa"/>
              <w:right w:w="20" w:type="dxa"/>
            </w:tcMar>
            <w:vAlign w:val="bottom"/>
          </w:tcPr>
          <w:p w14:paraId="0B2FAABC" w14:textId="77777777" w:rsidR="007F1775" w:rsidRDefault="000F083E">
            <w:pPr>
              <w:textAlignment w:val="bottom"/>
            </w:pPr>
            <w:r>
              <w:rPr>
                <w:rFonts w:ascii="Times New Roman" w:eastAsia="宋体" w:hAnsi="Times New Roman"/>
                <w:color w:val="000000"/>
                <w:sz w:val="20"/>
                <w:szCs w:val="20"/>
              </w:rPr>
              <w:t>Leasehold improvements</w:t>
            </w:r>
          </w:p>
        </w:tc>
        <w:tc>
          <w:tcPr>
            <w:tcW w:w="0" w:type="auto"/>
            <w:gridSpan w:val="2"/>
            <w:shd w:val="clear" w:color="auto" w:fill="FFFFFF"/>
            <w:tcMar>
              <w:top w:w="40" w:type="dxa"/>
              <w:left w:w="20" w:type="dxa"/>
              <w:bottom w:w="40" w:type="dxa"/>
              <w:right w:w="0" w:type="dxa"/>
            </w:tcMar>
            <w:vAlign w:val="bottom"/>
          </w:tcPr>
          <w:p w14:paraId="0B2FAABD" w14:textId="77777777" w:rsidR="007F1775" w:rsidRDefault="000F083E">
            <w:pPr>
              <w:jc w:val="right"/>
              <w:textAlignment w:val="bottom"/>
            </w:pPr>
            <w:r>
              <w:rPr>
                <w:rFonts w:ascii="Times New Roman" w:eastAsia="宋体" w:hAnsi="Times New Roman"/>
                <w:color w:val="000000"/>
                <w:sz w:val="20"/>
                <w:szCs w:val="20"/>
              </w:rPr>
              <w:t>6,043 </w:t>
            </w:r>
          </w:p>
        </w:tc>
        <w:tc>
          <w:tcPr>
            <w:tcW w:w="0" w:type="auto"/>
            <w:shd w:val="clear" w:color="auto" w:fill="FFFFFF"/>
            <w:tcMar>
              <w:top w:w="40" w:type="dxa"/>
              <w:left w:w="0" w:type="dxa"/>
              <w:bottom w:w="40" w:type="dxa"/>
              <w:right w:w="20" w:type="dxa"/>
            </w:tcMar>
            <w:vAlign w:val="bottom"/>
          </w:tcPr>
          <w:p w14:paraId="0B2FAAB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B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C0" w14:textId="77777777" w:rsidR="007F1775" w:rsidRDefault="000F083E">
            <w:pPr>
              <w:jc w:val="right"/>
              <w:textAlignment w:val="bottom"/>
            </w:pPr>
            <w:r>
              <w:rPr>
                <w:rFonts w:ascii="Times New Roman" w:eastAsia="宋体" w:hAnsi="Times New Roman"/>
                <w:color w:val="000000"/>
                <w:sz w:val="20"/>
                <w:szCs w:val="20"/>
              </w:rPr>
              <w:t>5,795 </w:t>
            </w:r>
          </w:p>
        </w:tc>
        <w:tc>
          <w:tcPr>
            <w:tcW w:w="0" w:type="auto"/>
            <w:shd w:val="clear" w:color="auto" w:fill="FFFFFF"/>
            <w:tcMar>
              <w:top w:w="40" w:type="dxa"/>
              <w:left w:w="0" w:type="dxa"/>
              <w:bottom w:w="40" w:type="dxa"/>
              <w:right w:w="20" w:type="dxa"/>
            </w:tcMar>
            <w:vAlign w:val="bottom"/>
          </w:tcPr>
          <w:p w14:paraId="0B2FAAC1" w14:textId="77777777" w:rsidR="007F1775" w:rsidRDefault="007F1775">
            <w:pPr>
              <w:jc w:val="right"/>
              <w:rPr>
                <w:rFonts w:ascii="宋体"/>
              </w:rPr>
            </w:pPr>
          </w:p>
        </w:tc>
      </w:tr>
      <w:tr w:rsidR="007F1775" w14:paraId="0B2FAAC9" w14:textId="77777777">
        <w:tc>
          <w:tcPr>
            <w:tcW w:w="0" w:type="auto"/>
            <w:gridSpan w:val="3"/>
            <w:shd w:val="clear" w:color="auto" w:fill="CCEEFF"/>
            <w:tcMar>
              <w:top w:w="40" w:type="dxa"/>
              <w:left w:w="200" w:type="dxa"/>
              <w:bottom w:w="40" w:type="dxa"/>
              <w:right w:w="20" w:type="dxa"/>
            </w:tcMar>
            <w:vAlign w:val="bottom"/>
          </w:tcPr>
          <w:p w14:paraId="0B2FAAC3" w14:textId="77777777" w:rsidR="007F1775" w:rsidRDefault="000F083E">
            <w:pPr>
              <w:textAlignment w:val="bottom"/>
            </w:pPr>
            <w:r>
              <w:rPr>
                <w:rFonts w:ascii="Times New Roman" w:eastAsia="宋体" w:hAnsi="Times New Roman"/>
                <w:color w:val="000000"/>
                <w:sz w:val="20"/>
                <w:szCs w:val="20"/>
              </w:rPr>
              <w:t>Equipment and other</w:t>
            </w:r>
          </w:p>
        </w:tc>
        <w:tc>
          <w:tcPr>
            <w:tcW w:w="0" w:type="auto"/>
            <w:gridSpan w:val="2"/>
            <w:shd w:val="clear" w:color="auto" w:fill="CCEEFF"/>
            <w:tcMar>
              <w:top w:w="40" w:type="dxa"/>
              <w:left w:w="20" w:type="dxa"/>
              <w:bottom w:w="40" w:type="dxa"/>
              <w:right w:w="0" w:type="dxa"/>
            </w:tcMar>
            <w:vAlign w:val="bottom"/>
          </w:tcPr>
          <w:p w14:paraId="0B2FAAC4" w14:textId="77777777" w:rsidR="007F1775" w:rsidRDefault="000F083E">
            <w:pPr>
              <w:jc w:val="right"/>
              <w:textAlignment w:val="bottom"/>
            </w:pPr>
            <w:r>
              <w:rPr>
                <w:rFonts w:ascii="Times New Roman" w:eastAsia="宋体" w:hAnsi="Times New Roman"/>
                <w:color w:val="000000"/>
                <w:sz w:val="20"/>
                <w:szCs w:val="20"/>
              </w:rPr>
              <w:t>5,045 </w:t>
            </w:r>
          </w:p>
        </w:tc>
        <w:tc>
          <w:tcPr>
            <w:tcW w:w="0" w:type="auto"/>
            <w:shd w:val="clear" w:color="auto" w:fill="CCEEFF"/>
            <w:tcMar>
              <w:top w:w="40" w:type="dxa"/>
              <w:left w:w="0" w:type="dxa"/>
              <w:bottom w:w="40" w:type="dxa"/>
              <w:right w:w="20" w:type="dxa"/>
            </w:tcMar>
            <w:vAlign w:val="bottom"/>
          </w:tcPr>
          <w:p w14:paraId="0B2FAAC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C6"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C7" w14:textId="77777777" w:rsidR="007F1775" w:rsidRDefault="000F083E">
            <w:pPr>
              <w:jc w:val="right"/>
              <w:textAlignment w:val="bottom"/>
            </w:pPr>
            <w:r>
              <w:rPr>
                <w:rFonts w:ascii="Times New Roman" w:eastAsia="宋体" w:hAnsi="Times New Roman"/>
                <w:color w:val="000000"/>
                <w:sz w:val="20"/>
                <w:szCs w:val="20"/>
              </w:rPr>
              <w:t>4,764 </w:t>
            </w:r>
          </w:p>
        </w:tc>
        <w:tc>
          <w:tcPr>
            <w:tcW w:w="0" w:type="auto"/>
            <w:shd w:val="clear" w:color="auto" w:fill="CCEEFF"/>
            <w:tcMar>
              <w:top w:w="40" w:type="dxa"/>
              <w:left w:w="0" w:type="dxa"/>
              <w:bottom w:w="40" w:type="dxa"/>
              <w:right w:w="20" w:type="dxa"/>
            </w:tcMar>
            <w:vAlign w:val="bottom"/>
          </w:tcPr>
          <w:p w14:paraId="0B2FAAC8" w14:textId="77777777" w:rsidR="007F1775" w:rsidRDefault="007F1775">
            <w:pPr>
              <w:jc w:val="right"/>
              <w:rPr>
                <w:rFonts w:ascii="宋体"/>
              </w:rPr>
            </w:pPr>
          </w:p>
        </w:tc>
      </w:tr>
      <w:tr w:rsidR="007F1775" w14:paraId="0B2FAAD0" w14:textId="77777777">
        <w:tc>
          <w:tcPr>
            <w:tcW w:w="0" w:type="auto"/>
            <w:gridSpan w:val="3"/>
            <w:shd w:val="clear" w:color="auto" w:fill="FFFFFF"/>
            <w:tcMar>
              <w:top w:w="40" w:type="dxa"/>
              <w:left w:w="200" w:type="dxa"/>
              <w:bottom w:w="40" w:type="dxa"/>
              <w:right w:w="20" w:type="dxa"/>
            </w:tcMar>
            <w:vAlign w:val="bottom"/>
          </w:tcPr>
          <w:p w14:paraId="0B2FAACA" w14:textId="77777777" w:rsidR="007F1775" w:rsidRDefault="000F083E">
            <w:pPr>
              <w:textAlignment w:val="bottom"/>
            </w:pPr>
            <w:r>
              <w:rPr>
                <w:rFonts w:ascii="Times New Roman" w:eastAsia="宋体" w:hAnsi="Times New Roman"/>
                <w:color w:val="000000"/>
                <w:sz w:val="20"/>
                <w:szCs w:val="20"/>
              </w:rPr>
              <w:t>Finance lease right-of-use assets</w:t>
            </w:r>
          </w:p>
        </w:tc>
        <w:tc>
          <w:tcPr>
            <w:tcW w:w="0" w:type="auto"/>
            <w:gridSpan w:val="2"/>
            <w:shd w:val="clear" w:color="auto" w:fill="FFFFFF"/>
            <w:tcMar>
              <w:top w:w="40" w:type="dxa"/>
              <w:left w:w="20" w:type="dxa"/>
              <w:bottom w:w="40" w:type="dxa"/>
              <w:right w:w="0" w:type="dxa"/>
            </w:tcMar>
            <w:vAlign w:val="bottom"/>
          </w:tcPr>
          <w:p w14:paraId="0B2FAACB" w14:textId="77777777" w:rsidR="007F1775" w:rsidRDefault="000F083E">
            <w:pPr>
              <w:jc w:val="right"/>
              <w:textAlignment w:val="bottom"/>
            </w:pPr>
            <w:r>
              <w:rPr>
                <w:rFonts w:ascii="Times New Roman" w:eastAsia="宋体" w:hAnsi="Times New Roman"/>
                <w:color w:val="000000"/>
                <w:sz w:val="20"/>
                <w:szCs w:val="20"/>
              </w:rPr>
              <w:t>2,955 </w:t>
            </w:r>
          </w:p>
        </w:tc>
        <w:tc>
          <w:tcPr>
            <w:tcW w:w="0" w:type="auto"/>
            <w:shd w:val="clear" w:color="auto" w:fill="FFFFFF"/>
            <w:tcMar>
              <w:top w:w="40" w:type="dxa"/>
              <w:left w:w="0" w:type="dxa"/>
              <w:bottom w:w="40" w:type="dxa"/>
              <w:right w:w="20" w:type="dxa"/>
            </w:tcMar>
            <w:vAlign w:val="bottom"/>
          </w:tcPr>
          <w:p w14:paraId="0B2FAACC"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CD"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ACE" w14:textId="77777777" w:rsidR="007F1775" w:rsidRDefault="000F083E">
            <w:pPr>
              <w:jc w:val="right"/>
              <w:textAlignment w:val="bottom"/>
            </w:pPr>
            <w:r>
              <w:rPr>
                <w:rFonts w:ascii="Times New Roman" w:eastAsia="宋体" w:hAnsi="Times New Roman"/>
                <w:color w:val="000000"/>
                <w:sz w:val="20"/>
                <w:szCs w:val="20"/>
              </w:rPr>
              <w:t>2,840 </w:t>
            </w:r>
          </w:p>
        </w:tc>
        <w:tc>
          <w:tcPr>
            <w:tcW w:w="0" w:type="auto"/>
            <w:shd w:val="clear" w:color="auto" w:fill="FFFFFF"/>
            <w:tcMar>
              <w:top w:w="40" w:type="dxa"/>
              <w:left w:w="0" w:type="dxa"/>
              <w:bottom w:w="40" w:type="dxa"/>
              <w:right w:w="20" w:type="dxa"/>
            </w:tcMar>
            <w:vAlign w:val="bottom"/>
          </w:tcPr>
          <w:p w14:paraId="0B2FAACF" w14:textId="77777777" w:rsidR="007F1775" w:rsidRDefault="007F1775">
            <w:pPr>
              <w:jc w:val="right"/>
              <w:rPr>
                <w:rFonts w:ascii="宋体"/>
              </w:rPr>
            </w:pPr>
          </w:p>
        </w:tc>
      </w:tr>
      <w:tr w:rsidR="007F1775" w14:paraId="0B2FAAD7" w14:textId="77777777">
        <w:tc>
          <w:tcPr>
            <w:tcW w:w="0" w:type="auto"/>
            <w:gridSpan w:val="3"/>
            <w:shd w:val="clear" w:color="auto" w:fill="CCEEFF"/>
            <w:tcMar>
              <w:top w:w="40" w:type="dxa"/>
              <w:left w:w="200" w:type="dxa"/>
              <w:bottom w:w="40" w:type="dxa"/>
              <w:right w:w="20" w:type="dxa"/>
            </w:tcMar>
            <w:vAlign w:val="bottom"/>
          </w:tcPr>
          <w:p w14:paraId="0B2FAAD1" w14:textId="77777777" w:rsidR="007F1775" w:rsidRDefault="000F083E">
            <w:pPr>
              <w:textAlignment w:val="bottom"/>
            </w:pPr>
            <w:r>
              <w:rPr>
                <w:rFonts w:ascii="Times New Roman" w:eastAsia="宋体" w:hAnsi="Times New Roman"/>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0B2FAAD2" w14:textId="77777777" w:rsidR="007F1775" w:rsidRDefault="000F083E">
            <w:pPr>
              <w:jc w:val="right"/>
              <w:textAlignment w:val="bottom"/>
            </w:pPr>
            <w:r>
              <w:rPr>
                <w:rFonts w:ascii="Times New Roman" w:eastAsia="宋体" w:hAnsi="Times New Roman"/>
                <w:color w:val="000000"/>
                <w:sz w:val="20"/>
                <w:szCs w:val="20"/>
              </w:rPr>
              <w:t>17,031 </w:t>
            </w:r>
          </w:p>
        </w:tc>
        <w:tc>
          <w:tcPr>
            <w:tcW w:w="0" w:type="auto"/>
            <w:shd w:val="clear" w:color="auto" w:fill="CCEEFF"/>
            <w:tcMar>
              <w:top w:w="40" w:type="dxa"/>
              <w:left w:w="0" w:type="dxa"/>
              <w:bottom w:w="40" w:type="dxa"/>
              <w:right w:w="20" w:type="dxa"/>
            </w:tcMar>
            <w:vAlign w:val="bottom"/>
          </w:tcPr>
          <w:p w14:paraId="0B2FAAD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D4"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D5" w14:textId="77777777" w:rsidR="007F1775" w:rsidRDefault="000F083E">
            <w:pPr>
              <w:jc w:val="right"/>
              <w:textAlignment w:val="bottom"/>
            </w:pPr>
            <w:r>
              <w:rPr>
                <w:rFonts w:ascii="Times New Roman" w:eastAsia="宋体" w:hAnsi="Times New Roman"/>
                <w:color w:val="000000"/>
                <w:sz w:val="20"/>
                <w:szCs w:val="20"/>
              </w:rPr>
              <w:t>14,687 </w:t>
            </w:r>
          </w:p>
        </w:tc>
        <w:tc>
          <w:tcPr>
            <w:tcW w:w="0" w:type="auto"/>
            <w:shd w:val="clear" w:color="auto" w:fill="CCEEFF"/>
            <w:tcMar>
              <w:top w:w="40" w:type="dxa"/>
              <w:left w:w="0" w:type="dxa"/>
              <w:bottom w:w="40" w:type="dxa"/>
              <w:right w:w="20" w:type="dxa"/>
            </w:tcMar>
            <w:vAlign w:val="bottom"/>
          </w:tcPr>
          <w:p w14:paraId="0B2FAAD6" w14:textId="77777777" w:rsidR="007F1775" w:rsidRDefault="007F1775">
            <w:pPr>
              <w:jc w:val="right"/>
              <w:rPr>
                <w:rFonts w:ascii="宋体"/>
              </w:rPr>
            </w:pPr>
          </w:p>
        </w:tc>
      </w:tr>
      <w:tr w:rsidR="007F1775" w14:paraId="0B2FAADE" w14:textId="77777777">
        <w:tc>
          <w:tcPr>
            <w:tcW w:w="0" w:type="auto"/>
            <w:gridSpan w:val="3"/>
            <w:shd w:val="clear" w:color="auto" w:fill="FFFFFF"/>
            <w:tcMar>
              <w:top w:w="40" w:type="dxa"/>
              <w:left w:w="20" w:type="dxa"/>
              <w:bottom w:w="40" w:type="dxa"/>
              <w:right w:w="20" w:type="dxa"/>
            </w:tcMar>
            <w:vAlign w:val="bottom"/>
          </w:tcPr>
          <w:p w14:paraId="0B2FAAD8" w14:textId="77777777" w:rsidR="007F1775" w:rsidRDefault="000F083E">
            <w:pPr>
              <w:textAlignment w:val="bottom"/>
            </w:pPr>
            <w:r>
              <w:rPr>
                <w:rFonts w:ascii="Times New Roman" w:eastAsia="宋体" w:hAnsi="Times New Roman"/>
                <w:color w:val="000000"/>
                <w:sz w:val="20"/>
                <w:szCs w:val="20"/>
              </w:rPr>
              <w:t>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AAD9" w14:textId="77777777" w:rsidR="007F1775" w:rsidRDefault="000F083E">
            <w:pPr>
              <w:jc w:val="right"/>
              <w:textAlignment w:val="bottom"/>
            </w:pPr>
            <w:r>
              <w:rPr>
                <w:rFonts w:ascii="Times New Roman" w:eastAsia="宋体" w:hAnsi="Times New Roman"/>
                <w:color w:val="000000"/>
                <w:sz w:val="20"/>
                <w:szCs w:val="20"/>
              </w:rPr>
              <w:t>83,035 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AD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DB"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AADC" w14:textId="77777777" w:rsidR="007F1775" w:rsidRDefault="000F083E">
            <w:pPr>
              <w:jc w:val="right"/>
              <w:textAlignment w:val="bottom"/>
            </w:pPr>
            <w:r>
              <w:rPr>
                <w:rFonts w:ascii="Times New Roman" w:eastAsia="宋体" w:hAnsi="Times New Roman"/>
                <w:color w:val="000000"/>
                <w:sz w:val="20"/>
                <w:szCs w:val="20"/>
              </w:rPr>
              <w:t>77,889 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ADD" w14:textId="77777777" w:rsidR="007F1775" w:rsidRDefault="007F1775">
            <w:pPr>
              <w:jc w:val="right"/>
              <w:rPr>
                <w:rFonts w:ascii="宋体"/>
              </w:rPr>
            </w:pPr>
          </w:p>
        </w:tc>
      </w:tr>
      <w:tr w:rsidR="007F1775" w14:paraId="0B2FAAE5" w14:textId="77777777">
        <w:tc>
          <w:tcPr>
            <w:tcW w:w="0" w:type="auto"/>
            <w:gridSpan w:val="3"/>
            <w:shd w:val="clear" w:color="auto" w:fill="CCEEFF"/>
            <w:tcMar>
              <w:top w:w="40" w:type="dxa"/>
              <w:left w:w="20" w:type="dxa"/>
              <w:bottom w:w="40" w:type="dxa"/>
              <w:right w:w="20" w:type="dxa"/>
            </w:tcMar>
            <w:vAlign w:val="bottom"/>
          </w:tcPr>
          <w:p w14:paraId="0B2FAADF" w14:textId="77777777" w:rsidR="007F1775" w:rsidRDefault="000F083E">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CCEEFF"/>
            <w:tcMar>
              <w:top w:w="40" w:type="dxa"/>
              <w:left w:w="20" w:type="dxa"/>
              <w:bottom w:w="40" w:type="dxa"/>
              <w:right w:w="0" w:type="dxa"/>
            </w:tcMar>
            <w:vAlign w:val="bottom"/>
          </w:tcPr>
          <w:p w14:paraId="0B2FAAE0" w14:textId="77777777" w:rsidR="007F1775" w:rsidRDefault="000F083E">
            <w:pPr>
              <w:jc w:val="right"/>
              <w:textAlignment w:val="bottom"/>
            </w:pPr>
            <w:r>
              <w:rPr>
                <w:rFonts w:ascii="Times New Roman" w:eastAsia="宋体" w:hAnsi="Times New Roman"/>
                <w:color w:val="000000"/>
                <w:sz w:val="20"/>
                <w:szCs w:val="20"/>
              </w:rPr>
              <w:t>(21,453)</w:t>
            </w:r>
          </w:p>
        </w:tc>
        <w:tc>
          <w:tcPr>
            <w:tcW w:w="0" w:type="auto"/>
            <w:shd w:val="clear" w:color="auto" w:fill="CCEEFF"/>
            <w:tcMar>
              <w:top w:w="40" w:type="dxa"/>
              <w:left w:w="0" w:type="dxa"/>
              <w:bottom w:w="40" w:type="dxa"/>
              <w:right w:w="20" w:type="dxa"/>
            </w:tcMar>
            <w:vAlign w:val="bottom"/>
          </w:tcPr>
          <w:p w14:paraId="0B2FAAE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AE2"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AE3" w14:textId="77777777" w:rsidR="007F1775" w:rsidRDefault="000F083E">
            <w:pPr>
              <w:jc w:val="right"/>
              <w:textAlignment w:val="bottom"/>
            </w:pPr>
            <w:r>
              <w:rPr>
                <w:rFonts w:ascii="Times New Roman" w:eastAsia="宋体" w:hAnsi="Times New Roman"/>
                <w:color w:val="000000"/>
                <w:sz w:val="20"/>
                <w:szCs w:val="20"/>
              </w:rPr>
              <w:t>(20,080)</w:t>
            </w:r>
          </w:p>
        </w:tc>
        <w:tc>
          <w:tcPr>
            <w:tcW w:w="0" w:type="auto"/>
            <w:shd w:val="clear" w:color="auto" w:fill="CCEEFF"/>
            <w:tcMar>
              <w:top w:w="40" w:type="dxa"/>
              <w:left w:w="0" w:type="dxa"/>
              <w:bottom w:w="40" w:type="dxa"/>
              <w:right w:w="20" w:type="dxa"/>
            </w:tcMar>
            <w:vAlign w:val="bottom"/>
          </w:tcPr>
          <w:p w14:paraId="0B2FAAE4" w14:textId="77777777" w:rsidR="007F1775" w:rsidRDefault="007F1775">
            <w:pPr>
              <w:jc w:val="right"/>
              <w:rPr>
                <w:rFonts w:ascii="宋体"/>
              </w:rPr>
            </w:pPr>
          </w:p>
        </w:tc>
      </w:tr>
      <w:tr w:rsidR="007F1775" w14:paraId="0B2FAAEE" w14:textId="77777777">
        <w:tc>
          <w:tcPr>
            <w:tcW w:w="0" w:type="auto"/>
            <w:gridSpan w:val="3"/>
            <w:shd w:val="clear" w:color="auto" w:fill="FFFFFF"/>
            <w:tcMar>
              <w:top w:w="40" w:type="dxa"/>
              <w:left w:w="380" w:type="dxa"/>
              <w:bottom w:w="40" w:type="dxa"/>
              <w:right w:w="20" w:type="dxa"/>
            </w:tcMar>
            <w:vAlign w:val="bottom"/>
          </w:tcPr>
          <w:p w14:paraId="0B2FAAE6" w14:textId="77777777" w:rsidR="007F1775" w:rsidRDefault="000F083E">
            <w:pPr>
              <w:textAlignment w:val="bottom"/>
            </w:pPr>
            <w:r>
              <w:rPr>
                <w:rFonts w:ascii="Times New Roman" w:eastAsia="宋体" w:hAnsi="Times New Roman"/>
                <w:color w:val="000000"/>
                <w:sz w:val="20"/>
                <w:szCs w:val="20"/>
              </w:rPr>
              <w:t>Property and equipment, net</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0B2FAAE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0B2FAAE8" w14:textId="77777777" w:rsidR="007F1775" w:rsidRDefault="000F083E">
            <w:pPr>
              <w:jc w:val="right"/>
              <w:textAlignment w:val="bottom"/>
            </w:pPr>
            <w:r>
              <w:rPr>
                <w:rFonts w:ascii="Times New Roman" w:eastAsia="宋体" w:hAnsi="Times New Roman"/>
                <w:color w:val="000000"/>
                <w:sz w:val="20"/>
                <w:szCs w:val="20"/>
              </w:rPr>
              <w:t>61,582 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0B2FAAE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AEA"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AE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AEC" w14:textId="77777777" w:rsidR="007F1775" w:rsidRDefault="000F083E">
            <w:pPr>
              <w:jc w:val="right"/>
              <w:textAlignment w:val="bottom"/>
            </w:pPr>
            <w:r>
              <w:rPr>
                <w:rFonts w:ascii="Times New Roman" w:eastAsia="宋体" w:hAnsi="Times New Roman"/>
                <w:color w:val="000000"/>
                <w:sz w:val="20"/>
                <w:szCs w:val="20"/>
              </w:rPr>
              <w:t>57,809 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AED" w14:textId="77777777" w:rsidR="007F1775" w:rsidRDefault="007F1775">
            <w:pPr>
              <w:jc w:val="right"/>
              <w:rPr>
                <w:rFonts w:ascii="宋体"/>
              </w:rPr>
            </w:pPr>
          </w:p>
        </w:tc>
      </w:tr>
    </w:tbl>
    <w:p w14:paraId="0B2FAAEF" w14:textId="77777777" w:rsidR="007F1775" w:rsidRDefault="007F1775">
      <w:pPr>
        <w:ind w:firstLine="540"/>
        <w:jc w:val="both"/>
      </w:pPr>
    </w:p>
    <w:p w14:paraId="0B2FAAF0" w14:textId="77777777" w:rsidR="007F1775" w:rsidRDefault="000F083E">
      <w:pPr>
        <w:ind w:firstLine="540"/>
        <w:jc w:val="both"/>
      </w:pPr>
      <w:r>
        <w:rPr>
          <w:rFonts w:ascii="Times New Roman" w:eastAsia="宋体" w:hAnsi="Times New Roman"/>
          <w:color w:val="000000"/>
          <w:sz w:val="20"/>
          <w:szCs w:val="20"/>
        </w:rPr>
        <w:t xml:space="preserve">Construction in progress includes costs mostly related to construction of data centers, network infrastructure, and office buildings. Depreciation expense on property and equipment was </w:t>
      </w:r>
      <w:r>
        <w:rPr>
          <w:rFonts w:ascii="Times New Roman" w:eastAsia="宋体" w:hAnsi="Times New Roman"/>
          <w:color w:val="212529"/>
          <w:sz w:val="20"/>
          <w:szCs w:val="20"/>
        </w:rPr>
        <w:t>$2.12 billion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$1.85 billion</w:t>
      </w:r>
      <w:r>
        <w:rPr>
          <w:rFonts w:ascii="Times New Roman" w:eastAsia="宋体" w:hAnsi="Times New Roman"/>
          <w:color w:val="000000"/>
          <w:sz w:val="20"/>
          <w:szCs w:val="20"/>
        </w:rPr>
        <w:t xml:space="preserve"> for the three months ended March 31, 20</w:t>
      </w:r>
      <w:r>
        <w:rPr>
          <w:rFonts w:ascii="Times New Roman" w:eastAsia="宋体" w:hAnsi="Times New Roman"/>
          <w:color w:val="000000"/>
          <w:sz w:val="20"/>
          <w:szCs w:val="20"/>
        </w:rPr>
        <w:t>22 and 2021, respectively.</w:t>
      </w:r>
    </w:p>
    <w:p w14:paraId="0B2FAAF1" w14:textId="77777777" w:rsidR="007F1775" w:rsidRDefault="000F083E">
      <w:pPr>
        <w:jc w:val="center"/>
      </w:pPr>
      <w:r>
        <w:rPr>
          <w:rFonts w:ascii="Times New Roman" w:eastAsia="宋体" w:hAnsi="Times New Roman"/>
          <w:color w:val="000000"/>
          <w:sz w:val="20"/>
          <w:szCs w:val="20"/>
        </w:rPr>
        <w:t>18</w:t>
      </w:r>
    </w:p>
    <w:p w14:paraId="0B2FAAF2" w14:textId="77777777" w:rsidR="007F1775" w:rsidRDefault="000F083E">
      <w:r>
        <w:pict w14:anchorId="0B2FBF73">
          <v:rect id="_x0000_i1042" style="width:415.3pt;height:1.5pt" o:hralign="center" o:hrstd="t" o:hr="t" fillcolor="#a0a0a0" stroked="f"/>
        </w:pict>
      </w:r>
    </w:p>
    <w:p w14:paraId="0B2FAAF3" w14:textId="77777777" w:rsidR="007F1775" w:rsidRDefault="007F1775"/>
    <w:p w14:paraId="0B2FAAF4" w14:textId="77777777" w:rsidR="007F1775" w:rsidRDefault="007F1775"/>
    <w:p w14:paraId="0B2FAAF5" w14:textId="77777777" w:rsidR="007F1775" w:rsidRDefault="000F083E">
      <w:hyperlink r:id="rId96" w:anchor="iea70e328caa94cefb76a9db6ed6338fc_7" w:history="1">
        <w:r>
          <w:rPr>
            <w:rStyle w:val="a5"/>
            <w:rFonts w:ascii="Times New Roman" w:eastAsia="宋体" w:hAnsi="Times New Roman"/>
            <w:sz w:val="20"/>
            <w:szCs w:val="20"/>
          </w:rPr>
          <w:t>Table of Contents</w:t>
        </w:r>
      </w:hyperlink>
    </w:p>
    <w:p w14:paraId="0B2FAAF6" w14:textId="77777777" w:rsidR="007F1775" w:rsidRDefault="000F083E">
      <w:pPr>
        <w:spacing w:before="180"/>
        <w:jc w:val="both"/>
      </w:pPr>
      <w:r>
        <w:rPr>
          <w:rFonts w:ascii="Times New Roman" w:eastAsia="宋体" w:hAnsi="Times New Roman"/>
          <w:b/>
          <w:bCs/>
          <w:color w:val="000000"/>
          <w:sz w:val="20"/>
          <w:szCs w:val="20"/>
        </w:rPr>
        <w:t>Note 8. Leases</w:t>
      </w:r>
    </w:p>
    <w:p w14:paraId="0B2FAAF7" w14:textId="77777777" w:rsidR="007F1775" w:rsidRDefault="007F1775">
      <w:pPr>
        <w:ind w:firstLine="540"/>
        <w:jc w:val="both"/>
      </w:pPr>
    </w:p>
    <w:p w14:paraId="0B2FAAF8" w14:textId="77777777" w:rsidR="007F1775" w:rsidRDefault="000F083E">
      <w:pPr>
        <w:ind w:firstLine="540"/>
        <w:jc w:val="both"/>
      </w:pPr>
      <w:r>
        <w:rPr>
          <w:rFonts w:ascii="Times New Roman" w:eastAsia="宋体" w:hAnsi="Times New Roman"/>
          <w:color w:val="000000"/>
          <w:sz w:val="20"/>
          <w:szCs w:val="20"/>
        </w:rPr>
        <w:t xml:space="preserve">We have entered into various </w:t>
      </w:r>
      <w:r>
        <w:rPr>
          <w:rFonts w:ascii="Times New Roman" w:eastAsia="宋体" w:hAnsi="Times New Roman"/>
          <w:color w:val="000000"/>
          <w:sz w:val="20"/>
          <w:szCs w:val="20"/>
        </w:rPr>
        <w:t>non-cancelable operating lease agreements mostly for certain of our offices, data centers, colocations, and land. We have also entered into various non-cancelable finance lease agreements for certain network infrastructure. Our leases have original lease p</w:t>
      </w:r>
      <w:r>
        <w:rPr>
          <w:rFonts w:ascii="Times New Roman" w:eastAsia="宋体" w:hAnsi="Times New Roman"/>
          <w:color w:val="000000"/>
          <w:sz w:val="20"/>
          <w:szCs w:val="20"/>
        </w:rPr>
        <w:t>eriods expiring between the remainder of 2022 and 2093. Many leases include one or more options to renew. We do not assume renewals in our determination of the lease term unless the renewals are deemed to be reasonably assured. Our lease agreements general</w:t>
      </w:r>
      <w:r>
        <w:rPr>
          <w:rFonts w:ascii="Times New Roman" w:eastAsia="宋体" w:hAnsi="Times New Roman"/>
          <w:color w:val="000000"/>
          <w:sz w:val="20"/>
          <w:szCs w:val="20"/>
        </w:rPr>
        <w:t>ly do not contain any material residual value guarantees or material restrictive covenants.</w:t>
      </w:r>
    </w:p>
    <w:p w14:paraId="0B2FAAF9" w14:textId="77777777" w:rsidR="007F1775" w:rsidRDefault="007F1775">
      <w:pPr>
        <w:ind w:firstLine="540"/>
        <w:jc w:val="both"/>
      </w:pPr>
    </w:p>
    <w:p w14:paraId="0B2FAAFA" w14:textId="77777777" w:rsidR="007F1775" w:rsidRDefault="000F083E">
      <w:pPr>
        <w:ind w:firstLine="540"/>
        <w:jc w:val="both"/>
      </w:pPr>
      <w:r>
        <w:rPr>
          <w:rFonts w:ascii="Times New Roman" w:eastAsia="宋体" w:hAnsi="Times New Roman"/>
          <w:color w:val="000000"/>
          <w:sz w:val="20"/>
          <w:szCs w:val="20"/>
        </w:rPr>
        <w:t>The components of lease costs are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5291"/>
        <w:gridCol w:w="37"/>
        <w:gridCol w:w="120"/>
        <w:gridCol w:w="1150"/>
        <w:gridCol w:w="36"/>
        <w:gridCol w:w="36"/>
        <w:gridCol w:w="36"/>
        <w:gridCol w:w="36"/>
        <w:gridCol w:w="120"/>
        <w:gridCol w:w="1113"/>
        <w:gridCol w:w="36"/>
        <w:gridCol w:w="36"/>
        <w:gridCol w:w="36"/>
        <w:gridCol w:w="36"/>
        <w:gridCol w:w="36"/>
        <w:gridCol w:w="36"/>
        <w:gridCol w:w="36"/>
        <w:gridCol w:w="36"/>
        <w:gridCol w:w="36"/>
      </w:tblGrid>
      <w:tr w:rsidR="007F1775" w14:paraId="0B2FAB0B" w14:textId="77777777">
        <w:tc>
          <w:tcPr>
            <w:tcW w:w="50" w:type="pct"/>
            <w:shd w:val="clear" w:color="auto" w:fill="auto"/>
            <w:vAlign w:val="bottom"/>
          </w:tcPr>
          <w:p w14:paraId="0B2FAAFB" w14:textId="77777777" w:rsidR="007F1775" w:rsidRDefault="007F1775">
            <w:pPr>
              <w:rPr>
                <w:rFonts w:ascii="宋体"/>
              </w:rPr>
            </w:pPr>
          </w:p>
        </w:tc>
        <w:tc>
          <w:tcPr>
            <w:tcW w:w="3315" w:type="pct"/>
            <w:shd w:val="clear" w:color="auto" w:fill="auto"/>
            <w:vAlign w:val="bottom"/>
          </w:tcPr>
          <w:p w14:paraId="0B2FAAFC" w14:textId="77777777" w:rsidR="007F1775" w:rsidRDefault="007F1775">
            <w:pPr>
              <w:rPr>
                <w:rFonts w:ascii="宋体"/>
              </w:rPr>
            </w:pPr>
          </w:p>
        </w:tc>
        <w:tc>
          <w:tcPr>
            <w:tcW w:w="5" w:type="pct"/>
            <w:shd w:val="clear" w:color="auto" w:fill="auto"/>
            <w:vAlign w:val="bottom"/>
          </w:tcPr>
          <w:p w14:paraId="0B2FAAFD" w14:textId="77777777" w:rsidR="007F1775" w:rsidRDefault="007F1775">
            <w:pPr>
              <w:rPr>
                <w:rFonts w:ascii="宋体"/>
              </w:rPr>
            </w:pPr>
          </w:p>
        </w:tc>
        <w:tc>
          <w:tcPr>
            <w:tcW w:w="50" w:type="pct"/>
            <w:shd w:val="clear" w:color="auto" w:fill="auto"/>
            <w:vAlign w:val="bottom"/>
          </w:tcPr>
          <w:p w14:paraId="0B2FAAFE" w14:textId="77777777" w:rsidR="007F1775" w:rsidRDefault="007F1775">
            <w:pPr>
              <w:rPr>
                <w:rFonts w:ascii="宋体"/>
              </w:rPr>
            </w:pPr>
          </w:p>
        </w:tc>
        <w:tc>
          <w:tcPr>
            <w:tcW w:w="741" w:type="pct"/>
            <w:shd w:val="clear" w:color="auto" w:fill="auto"/>
            <w:vAlign w:val="bottom"/>
          </w:tcPr>
          <w:p w14:paraId="0B2FAAFF" w14:textId="77777777" w:rsidR="007F1775" w:rsidRDefault="007F1775">
            <w:pPr>
              <w:rPr>
                <w:rFonts w:ascii="宋体"/>
              </w:rPr>
            </w:pPr>
          </w:p>
        </w:tc>
        <w:tc>
          <w:tcPr>
            <w:tcW w:w="5" w:type="pct"/>
            <w:shd w:val="clear" w:color="auto" w:fill="auto"/>
            <w:vAlign w:val="bottom"/>
          </w:tcPr>
          <w:p w14:paraId="0B2FAB00" w14:textId="77777777" w:rsidR="007F1775" w:rsidRDefault="007F1775">
            <w:pPr>
              <w:rPr>
                <w:rFonts w:ascii="宋体"/>
              </w:rPr>
            </w:pPr>
          </w:p>
        </w:tc>
        <w:tc>
          <w:tcPr>
            <w:tcW w:w="5" w:type="pct"/>
            <w:shd w:val="clear" w:color="auto" w:fill="auto"/>
            <w:vAlign w:val="bottom"/>
          </w:tcPr>
          <w:p w14:paraId="0B2FAB01" w14:textId="77777777" w:rsidR="007F1775" w:rsidRDefault="007F1775">
            <w:pPr>
              <w:rPr>
                <w:rFonts w:ascii="宋体"/>
              </w:rPr>
            </w:pPr>
          </w:p>
        </w:tc>
        <w:tc>
          <w:tcPr>
            <w:tcW w:w="27" w:type="pct"/>
            <w:shd w:val="clear" w:color="auto" w:fill="auto"/>
            <w:vAlign w:val="bottom"/>
          </w:tcPr>
          <w:p w14:paraId="0B2FAB02" w14:textId="77777777" w:rsidR="007F1775" w:rsidRDefault="007F1775">
            <w:pPr>
              <w:rPr>
                <w:rFonts w:ascii="宋体"/>
              </w:rPr>
            </w:pPr>
          </w:p>
        </w:tc>
        <w:tc>
          <w:tcPr>
            <w:tcW w:w="5" w:type="pct"/>
            <w:shd w:val="clear" w:color="auto" w:fill="auto"/>
            <w:vAlign w:val="bottom"/>
          </w:tcPr>
          <w:p w14:paraId="0B2FAB03" w14:textId="77777777" w:rsidR="007F1775" w:rsidRDefault="007F1775">
            <w:pPr>
              <w:rPr>
                <w:rFonts w:ascii="宋体"/>
              </w:rPr>
            </w:pPr>
          </w:p>
        </w:tc>
        <w:tc>
          <w:tcPr>
            <w:tcW w:w="50" w:type="pct"/>
            <w:shd w:val="clear" w:color="auto" w:fill="auto"/>
            <w:vAlign w:val="bottom"/>
          </w:tcPr>
          <w:p w14:paraId="0B2FAB04" w14:textId="77777777" w:rsidR="007F1775" w:rsidRDefault="007F1775">
            <w:pPr>
              <w:rPr>
                <w:rFonts w:ascii="宋体"/>
              </w:rPr>
            </w:pPr>
          </w:p>
        </w:tc>
        <w:tc>
          <w:tcPr>
            <w:tcW w:w="741" w:type="pct"/>
            <w:shd w:val="clear" w:color="auto" w:fill="auto"/>
            <w:vAlign w:val="bottom"/>
          </w:tcPr>
          <w:p w14:paraId="0B2FAB05" w14:textId="77777777" w:rsidR="007F1775" w:rsidRDefault="007F1775">
            <w:pPr>
              <w:rPr>
                <w:rFonts w:ascii="宋体"/>
              </w:rPr>
            </w:pPr>
          </w:p>
        </w:tc>
        <w:tc>
          <w:tcPr>
            <w:tcW w:w="5" w:type="pct"/>
            <w:shd w:val="clear" w:color="auto" w:fill="auto"/>
            <w:vAlign w:val="bottom"/>
          </w:tcPr>
          <w:p w14:paraId="0B2FAB06" w14:textId="77777777" w:rsidR="007F1775" w:rsidRDefault="007F1775">
            <w:pPr>
              <w:rPr>
                <w:rFonts w:ascii="宋体"/>
              </w:rPr>
            </w:pPr>
          </w:p>
        </w:tc>
        <w:tc>
          <w:tcPr>
            <w:tcW w:w="0" w:type="auto"/>
            <w:shd w:val="clear" w:color="auto" w:fill="auto"/>
            <w:vAlign w:val="bottom"/>
          </w:tcPr>
          <w:p w14:paraId="0B2FAB07" w14:textId="77777777" w:rsidR="007F1775" w:rsidRDefault="007F1775">
            <w:pPr>
              <w:rPr>
                <w:rFonts w:ascii="宋体"/>
                <w:vanish/>
              </w:rPr>
            </w:pPr>
          </w:p>
        </w:tc>
        <w:tc>
          <w:tcPr>
            <w:tcW w:w="0" w:type="auto"/>
            <w:shd w:val="clear" w:color="auto" w:fill="auto"/>
            <w:vAlign w:val="bottom"/>
          </w:tcPr>
          <w:p w14:paraId="0B2FAB08" w14:textId="77777777" w:rsidR="007F1775" w:rsidRDefault="007F1775">
            <w:pPr>
              <w:rPr>
                <w:rFonts w:ascii="宋体"/>
                <w:vanish/>
              </w:rPr>
            </w:pPr>
          </w:p>
        </w:tc>
        <w:tc>
          <w:tcPr>
            <w:tcW w:w="0" w:type="auto"/>
            <w:gridSpan w:val="3"/>
            <w:shd w:val="clear" w:color="auto" w:fill="auto"/>
            <w:vAlign w:val="bottom"/>
          </w:tcPr>
          <w:p w14:paraId="0B2FAB09" w14:textId="77777777" w:rsidR="007F1775" w:rsidRDefault="007F1775">
            <w:pPr>
              <w:rPr>
                <w:rFonts w:ascii="宋体"/>
                <w:vanish/>
              </w:rPr>
            </w:pPr>
          </w:p>
        </w:tc>
        <w:tc>
          <w:tcPr>
            <w:tcW w:w="0" w:type="auto"/>
            <w:gridSpan w:val="3"/>
            <w:shd w:val="clear" w:color="auto" w:fill="auto"/>
            <w:vAlign w:val="bottom"/>
          </w:tcPr>
          <w:p w14:paraId="0B2FAB0A" w14:textId="77777777" w:rsidR="007F1775" w:rsidRDefault="007F1775">
            <w:pPr>
              <w:rPr>
                <w:rFonts w:ascii="宋体"/>
                <w:vanish/>
              </w:rPr>
            </w:pPr>
          </w:p>
        </w:tc>
      </w:tr>
      <w:tr w:rsidR="007F1775" w14:paraId="0B2FAB16" w14:textId="77777777">
        <w:tc>
          <w:tcPr>
            <w:tcW w:w="0" w:type="auto"/>
            <w:gridSpan w:val="3"/>
            <w:shd w:val="clear" w:color="auto" w:fill="auto"/>
            <w:tcMar>
              <w:top w:w="0" w:type="dxa"/>
              <w:left w:w="20" w:type="dxa"/>
              <w:bottom w:w="0" w:type="dxa"/>
              <w:right w:w="20" w:type="dxa"/>
            </w:tcMar>
            <w:vAlign w:val="bottom"/>
          </w:tcPr>
          <w:p w14:paraId="0B2FAB0C" w14:textId="77777777" w:rsidR="007F1775" w:rsidRDefault="007F1775">
            <w:pPr>
              <w:rPr>
                <w:rFonts w:ascii="宋体"/>
              </w:rPr>
            </w:pPr>
          </w:p>
        </w:tc>
        <w:tc>
          <w:tcPr>
            <w:tcW w:w="0" w:type="auto"/>
            <w:gridSpan w:val="9"/>
            <w:shd w:val="clear" w:color="auto" w:fill="auto"/>
            <w:tcMar>
              <w:top w:w="40" w:type="dxa"/>
              <w:left w:w="20" w:type="dxa"/>
              <w:bottom w:w="40" w:type="dxa"/>
              <w:right w:w="20" w:type="dxa"/>
            </w:tcMar>
            <w:vAlign w:val="bottom"/>
          </w:tcPr>
          <w:p w14:paraId="0B2FAB0D"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AB0E" w14:textId="77777777" w:rsidR="007F1775" w:rsidRDefault="007F1775">
            <w:pPr>
              <w:rPr>
                <w:rFonts w:ascii="宋体"/>
                <w:vanish/>
              </w:rPr>
            </w:pPr>
          </w:p>
        </w:tc>
        <w:tc>
          <w:tcPr>
            <w:tcW w:w="0" w:type="auto"/>
            <w:shd w:val="clear" w:color="auto" w:fill="auto"/>
            <w:vAlign w:val="bottom"/>
          </w:tcPr>
          <w:p w14:paraId="0B2FAB0F" w14:textId="77777777" w:rsidR="007F1775" w:rsidRDefault="007F1775">
            <w:pPr>
              <w:rPr>
                <w:rFonts w:ascii="宋体"/>
                <w:vanish/>
              </w:rPr>
            </w:pPr>
          </w:p>
        </w:tc>
        <w:tc>
          <w:tcPr>
            <w:tcW w:w="0" w:type="auto"/>
            <w:shd w:val="clear" w:color="auto" w:fill="auto"/>
            <w:vAlign w:val="bottom"/>
          </w:tcPr>
          <w:p w14:paraId="0B2FAB10" w14:textId="77777777" w:rsidR="007F1775" w:rsidRDefault="007F1775">
            <w:pPr>
              <w:rPr>
                <w:rFonts w:ascii="宋体"/>
              </w:rPr>
            </w:pPr>
          </w:p>
        </w:tc>
        <w:tc>
          <w:tcPr>
            <w:tcW w:w="0" w:type="auto"/>
            <w:shd w:val="clear" w:color="auto" w:fill="auto"/>
            <w:vAlign w:val="bottom"/>
          </w:tcPr>
          <w:p w14:paraId="0B2FAB11" w14:textId="77777777" w:rsidR="007F1775" w:rsidRDefault="007F1775">
            <w:pPr>
              <w:rPr>
                <w:rFonts w:ascii="宋体"/>
              </w:rPr>
            </w:pPr>
          </w:p>
        </w:tc>
        <w:tc>
          <w:tcPr>
            <w:tcW w:w="0" w:type="auto"/>
            <w:shd w:val="clear" w:color="auto" w:fill="auto"/>
            <w:vAlign w:val="bottom"/>
          </w:tcPr>
          <w:p w14:paraId="0B2FAB12" w14:textId="77777777" w:rsidR="007F1775" w:rsidRDefault="007F1775">
            <w:pPr>
              <w:rPr>
                <w:rFonts w:ascii="宋体"/>
              </w:rPr>
            </w:pPr>
          </w:p>
        </w:tc>
        <w:tc>
          <w:tcPr>
            <w:tcW w:w="0" w:type="auto"/>
            <w:shd w:val="clear" w:color="auto" w:fill="auto"/>
            <w:vAlign w:val="bottom"/>
          </w:tcPr>
          <w:p w14:paraId="0B2FAB13" w14:textId="77777777" w:rsidR="007F1775" w:rsidRDefault="007F1775">
            <w:pPr>
              <w:rPr>
                <w:rFonts w:ascii="宋体"/>
              </w:rPr>
            </w:pPr>
          </w:p>
        </w:tc>
        <w:tc>
          <w:tcPr>
            <w:tcW w:w="0" w:type="auto"/>
            <w:shd w:val="clear" w:color="auto" w:fill="auto"/>
            <w:vAlign w:val="bottom"/>
          </w:tcPr>
          <w:p w14:paraId="0B2FAB14" w14:textId="77777777" w:rsidR="007F1775" w:rsidRDefault="007F1775">
            <w:pPr>
              <w:rPr>
                <w:rFonts w:ascii="宋体"/>
              </w:rPr>
            </w:pPr>
          </w:p>
        </w:tc>
        <w:tc>
          <w:tcPr>
            <w:tcW w:w="0" w:type="auto"/>
            <w:shd w:val="clear" w:color="auto" w:fill="auto"/>
            <w:vAlign w:val="bottom"/>
          </w:tcPr>
          <w:p w14:paraId="0B2FAB15" w14:textId="77777777" w:rsidR="007F1775" w:rsidRDefault="007F1775">
            <w:pPr>
              <w:rPr>
                <w:rFonts w:ascii="宋体"/>
              </w:rPr>
            </w:pPr>
          </w:p>
        </w:tc>
      </w:tr>
      <w:tr w:rsidR="007F1775" w14:paraId="0B2FAB1F" w14:textId="77777777">
        <w:tc>
          <w:tcPr>
            <w:tcW w:w="0" w:type="auto"/>
            <w:gridSpan w:val="3"/>
            <w:shd w:val="clear" w:color="auto" w:fill="auto"/>
            <w:tcMar>
              <w:top w:w="0" w:type="dxa"/>
              <w:left w:w="20" w:type="dxa"/>
              <w:bottom w:w="0" w:type="dxa"/>
              <w:right w:w="20" w:type="dxa"/>
            </w:tcMar>
            <w:vAlign w:val="bottom"/>
          </w:tcPr>
          <w:p w14:paraId="0B2FAB17"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B18" w14:textId="77777777" w:rsidR="007F1775" w:rsidRDefault="000F083E">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B19"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B1A" w14:textId="77777777" w:rsidR="007F1775" w:rsidRDefault="000F083E">
            <w:pPr>
              <w:jc w:val="center"/>
              <w:textAlignment w:val="center"/>
            </w:pPr>
            <w:r>
              <w:rPr>
                <w:rFonts w:ascii="Times New Roman" w:eastAsia="宋体" w:hAnsi="Times New Roman"/>
                <w:b/>
                <w:bCs/>
                <w:color w:val="000000"/>
                <w:sz w:val="16"/>
                <w:szCs w:val="16"/>
              </w:rPr>
              <w:t>2021</w:t>
            </w:r>
          </w:p>
        </w:tc>
        <w:tc>
          <w:tcPr>
            <w:tcW w:w="0" w:type="auto"/>
            <w:shd w:val="clear" w:color="auto" w:fill="auto"/>
            <w:vAlign w:val="bottom"/>
          </w:tcPr>
          <w:p w14:paraId="0B2FAB1B" w14:textId="77777777" w:rsidR="007F1775" w:rsidRDefault="007F1775">
            <w:pPr>
              <w:rPr>
                <w:rFonts w:ascii="宋体"/>
                <w:vanish/>
              </w:rPr>
            </w:pPr>
          </w:p>
        </w:tc>
        <w:tc>
          <w:tcPr>
            <w:tcW w:w="0" w:type="auto"/>
            <w:shd w:val="clear" w:color="auto" w:fill="auto"/>
            <w:vAlign w:val="bottom"/>
          </w:tcPr>
          <w:p w14:paraId="0B2FAB1C" w14:textId="77777777" w:rsidR="007F1775" w:rsidRDefault="007F1775">
            <w:pPr>
              <w:rPr>
                <w:rFonts w:ascii="宋体"/>
                <w:vanish/>
              </w:rPr>
            </w:pPr>
          </w:p>
        </w:tc>
        <w:tc>
          <w:tcPr>
            <w:tcW w:w="0" w:type="auto"/>
            <w:gridSpan w:val="3"/>
            <w:shd w:val="clear" w:color="auto" w:fill="auto"/>
            <w:vAlign w:val="bottom"/>
          </w:tcPr>
          <w:p w14:paraId="0B2FAB1D" w14:textId="77777777" w:rsidR="007F1775" w:rsidRDefault="007F1775">
            <w:pPr>
              <w:rPr>
                <w:rFonts w:ascii="宋体"/>
                <w:vanish/>
              </w:rPr>
            </w:pPr>
          </w:p>
        </w:tc>
        <w:tc>
          <w:tcPr>
            <w:tcW w:w="0" w:type="auto"/>
            <w:gridSpan w:val="3"/>
            <w:shd w:val="clear" w:color="auto" w:fill="auto"/>
            <w:vAlign w:val="bottom"/>
          </w:tcPr>
          <w:p w14:paraId="0B2FAB1E" w14:textId="77777777" w:rsidR="007F1775" w:rsidRDefault="007F1775">
            <w:pPr>
              <w:rPr>
                <w:rFonts w:ascii="宋体"/>
                <w:vanish/>
              </w:rPr>
            </w:pPr>
          </w:p>
        </w:tc>
      </w:tr>
      <w:tr w:rsidR="007F1775" w14:paraId="0B2FAB28" w14:textId="77777777">
        <w:tc>
          <w:tcPr>
            <w:tcW w:w="0" w:type="auto"/>
            <w:gridSpan w:val="3"/>
            <w:shd w:val="clear" w:color="auto" w:fill="CCEEFF"/>
            <w:tcMar>
              <w:top w:w="40" w:type="dxa"/>
              <w:left w:w="20" w:type="dxa"/>
              <w:bottom w:w="40" w:type="dxa"/>
              <w:right w:w="20" w:type="dxa"/>
            </w:tcMar>
          </w:tcPr>
          <w:p w14:paraId="0B2FAB20" w14:textId="77777777" w:rsidR="007F1775" w:rsidRDefault="000F083E">
            <w:pPr>
              <w:textAlignment w:val="top"/>
            </w:pPr>
            <w:r>
              <w:rPr>
                <w:rFonts w:ascii="Times New Roman" w:eastAsia="宋体" w:hAnsi="Times New Roman"/>
                <w:color w:val="000000"/>
                <w:sz w:val="20"/>
                <w:szCs w:val="20"/>
              </w:rPr>
              <w:t>Finance lease cost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B21"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B22"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B23" w14:textId="77777777" w:rsidR="007F1775" w:rsidRDefault="007F1775">
            <w:pPr>
              <w:rPr>
                <w:rFonts w:ascii="宋体"/>
              </w:rPr>
            </w:pPr>
          </w:p>
        </w:tc>
        <w:tc>
          <w:tcPr>
            <w:tcW w:w="0" w:type="auto"/>
            <w:shd w:val="clear" w:color="auto" w:fill="auto"/>
            <w:vAlign w:val="bottom"/>
          </w:tcPr>
          <w:p w14:paraId="0B2FAB24" w14:textId="77777777" w:rsidR="007F1775" w:rsidRDefault="007F1775">
            <w:pPr>
              <w:rPr>
                <w:rFonts w:ascii="宋体"/>
                <w:vanish/>
              </w:rPr>
            </w:pPr>
          </w:p>
        </w:tc>
        <w:tc>
          <w:tcPr>
            <w:tcW w:w="0" w:type="auto"/>
            <w:shd w:val="clear" w:color="auto" w:fill="auto"/>
            <w:vAlign w:val="bottom"/>
          </w:tcPr>
          <w:p w14:paraId="0B2FAB25" w14:textId="77777777" w:rsidR="007F1775" w:rsidRDefault="007F1775">
            <w:pPr>
              <w:rPr>
                <w:rFonts w:ascii="宋体"/>
                <w:vanish/>
              </w:rPr>
            </w:pPr>
          </w:p>
        </w:tc>
        <w:tc>
          <w:tcPr>
            <w:tcW w:w="0" w:type="auto"/>
            <w:gridSpan w:val="3"/>
            <w:shd w:val="clear" w:color="auto" w:fill="auto"/>
            <w:vAlign w:val="bottom"/>
          </w:tcPr>
          <w:p w14:paraId="0B2FAB26" w14:textId="77777777" w:rsidR="007F1775" w:rsidRDefault="007F1775">
            <w:pPr>
              <w:rPr>
                <w:rFonts w:ascii="宋体"/>
                <w:vanish/>
              </w:rPr>
            </w:pPr>
          </w:p>
        </w:tc>
        <w:tc>
          <w:tcPr>
            <w:tcW w:w="0" w:type="auto"/>
            <w:gridSpan w:val="3"/>
            <w:shd w:val="clear" w:color="auto" w:fill="auto"/>
            <w:vAlign w:val="bottom"/>
          </w:tcPr>
          <w:p w14:paraId="0B2FAB27" w14:textId="77777777" w:rsidR="007F1775" w:rsidRDefault="007F1775">
            <w:pPr>
              <w:rPr>
                <w:rFonts w:ascii="宋体"/>
                <w:vanish/>
              </w:rPr>
            </w:pPr>
          </w:p>
        </w:tc>
      </w:tr>
      <w:tr w:rsidR="007F1775" w14:paraId="0B2FAB35" w14:textId="77777777">
        <w:tc>
          <w:tcPr>
            <w:tcW w:w="0" w:type="auto"/>
            <w:gridSpan w:val="3"/>
            <w:shd w:val="clear" w:color="auto" w:fill="FFFFFF"/>
            <w:tcMar>
              <w:top w:w="40" w:type="dxa"/>
              <w:left w:w="200" w:type="dxa"/>
              <w:bottom w:w="40" w:type="dxa"/>
              <w:right w:w="20" w:type="dxa"/>
            </w:tcMar>
          </w:tcPr>
          <w:p w14:paraId="0B2FAB29" w14:textId="77777777" w:rsidR="007F1775" w:rsidRDefault="000F083E">
            <w:pPr>
              <w:textAlignment w:val="top"/>
            </w:pPr>
            <w:r>
              <w:rPr>
                <w:rFonts w:ascii="Times New Roman" w:eastAsia="宋体" w:hAnsi="Times New Roman"/>
                <w:color w:val="000000"/>
                <w:sz w:val="20"/>
                <w:szCs w:val="20"/>
              </w:rPr>
              <w:t>Amortization of right-of-use assets</w:t>
            </w:r>
          </w:p>
        </w:tc>
        <w:tc>
          <w:tcPr>
            <w:tcW w:w="0" w:type="auto"/>
            <w:shd w:val="clear" w:color="auto" w:fill="FFFFFF"/>
            <w:tcMar>
              <w:top w:w="40" w:type="dxa"/>
              <w:left w:w="20" w:type="dxa"/>
              <w:bottom w:w="40" w:type="dxa"/>
              <w:right w:w="0" w:type="dxa"/>
            </w:tcMar>
            <w:vAlign w:val="bottom"/>
          </w:tcPr>
          <w:p w14:paraId="0B2FAB2A"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B2B" w14:textId="77777777" w:rsidR="007F1775" w:rsidRDefault="000F083E">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0B2FAB2C"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B2D"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B2E"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B2F" w14:textId="77777777" w:rsidR="007F1775" w:rsidRDefault="000F083E">
            <w:pPr>
              <w:jc w:val="right"/>
              <w:textAlignment w:val="bottom"/>
            </w:pPr>
            <w:r>
              <w:rPr>
                <w:rFonts w:ascii="Times New Roman" w:eastAsia="宋体" w:hAnsi="Times New Roman"/>
                <w:color w:val="000000"/>
                <w:sz w:val="20"/>
                <w:szCs w:val="20"/>
              </w:rPr>
              <w:t>81 </w:t>
            </w:r>
          </w:p>
        </w:tc>
        <w:tc>
          <w:tcPr>
            <w:tcW w:w="0" w:type="auto"/>
            <w:shd w:val="clear" w:color="auto" w:fill="FFFFFF"/>
            <w:tcMar>
              <w:top w:w="40" w:type="dxa"/>
              <w:left w:w="0" w:type="dxa"/>
              <w:bottom w:w="40" w:type="dxa"/>
              <w:right w:w="20" w:type="dxa"/>
            </w:tcMar>
            <w:vAlign w:val="bottom"/>
          </w:tcPr>
          <w:p w14:paraId="0B2FAB30" w14:textId="77777777" w:rsidR="007F1775" w:rsidRDefault="007F1775">
            <w:pPr>
              <w:jc w:val="right"/>
              <w:rPr>
                <w:rFonts w:ascii="宋体"/>
              </w:rPr>
            </w:pPr>
          </w:p>
        </w:tc>
        <w:tc>
          <w:tcPr>
            <w:tcW w:w="0" w:type="auto"/>
            <w:shd w:val="clear" w:color="auto" w:fill="auto"/>
            <w:vAlign w:val="bottom"/>
          </w:tcPr>
          <w:p w14:paraId="0B2FAB31" w14:textId="77777777" w:rsidR="007F1775" w:rsidRDefault="007F1775">
            <w:pPr>
              <w:rPr>
                <w:rFonts w:ascii="宋体"/>
                <w:vanish/>
              </w:rPr>
            </w:pPr>
          </w:p>
        </w:tc>
        <w:tc>
          <w:tcPr>
            <w:tcW w:w="0" w:type="auto"/>
            <w:shd w:val="clear" w:color="auto" w:fill="auto"/>
            <w:vAlign w:val="bottom"/>
          </w:tcPr>
          <w:p w14:paraId="0B2FAB32" w14:textId="77777777" w:rsidR="007F1775" w:rsidRDefault="007F1775">
            <w:pPr>
              <w:rPr>
                <w:rFonts w:ascii="宋体"/>
                <w:vanish/>
              </w:rPr>
            </w:pPr>
          </w:p>
        </w:tc>
        <w:tc>
          <w:tcPr>
            <w:tcW w:w="0" w:type="auto"/>
            <w:gridSpan w:val="3"/>
            <w:shd w:val="clear" w:color="auto" w:fill="auto"/>
            <w:vAlign w:val="bottom"/>
          </w:tcPr>
          <w:p w14:paraId="0B2FAB33" w14:textId="77777777" w:rsidR="007F1775" w:rsidRDefault="007F1775">
            <w:pPr>
              <w:rPr>
                <w:rFonts w:ascii="宋体"/>
                <w:vanish/>
              </w:rPr>
            </w:pPr>
          </w:p>
        </w:tc>
        <w:tc>
          <w:tcPr>
            <w:tcW w:w="0" w:type="auto"/>
            <w:gridSpan w:val="3"/>
            <w:shd w:val="clear" w:color="auto" w:fill="auto"/>
            <w:vAlign w:val="bottom"/>
          </w:tcPr>
          <w:p w14:paraId="0B2FAB34" w14:textId="77777777" w:rsidR="007F1775" w:rsidRDefault="007F1775">
            <w:pPr>
              <w:rPr>
                <w:rFonts w:ascii="宋体"/>
                <w:vanish/>
              </w:rPr>
            </w:pPr>
          </w:p>
        </w:tc>
      </w:tr>
      <w:tr w:rsidR="007F1775" w14:paraId="0B2FAB40" w14:textId="77777777">
        <w:tc>
          <w:tcPr>
            <w:tcW w:w="0" w:type="auto"/>
            <w:gridSpan w:val="3"/>
            <w:shd w:val="clear" w:color="auto" w:fill="CCEEFF"/>
            <w:tcMar>
              <w:top w:w="40" w:type="dxa"/>
              <w:left w:w="200" w:type="dxa"/>
              <w:bottom w:w="40" w:type="dxa"/>
              <w:right w:w="20" w:type="dxa"/>
            </w:tcMar>
          </w:tcPr>
          <w:p w14:paraId="0B2FAB36" w14:textId="77777777" w:rsidR="007F1775" w:rsidRDefault="000F083E">
            <w:pPr>
              <w:textAlignment w:val="top"/>
            </w:pPr>
            <w:r>
              <w:rPr>
                <w:rFonts w:ascii="Times New Roman" w:eastAsia="宋体" w:hAnsi="Times New Roman"/>
                <w:color w:val="000000"/>
                <w:sz w:val="20"/>
                <w:szCs w:val="20"/>
              </w:rPr>
              <w:t>Interest</w:t>
            </w:r>
          </w:p>
        </w:tc>
        <w:tc>
          <w:tcPr>
            <w:tcW w:w="0" w:type="auto"/>
            <w:gridSpan w:val="2"/>
            <w:shd w:val="clear" w:color="auto" w:fill="CCEEFF"/>
            <w:tcMar>
              <w:top w:w="40" w:type="dxa"/>
              <w:left w:w="20" w:type="dxa"/>
              <w:bottom w:w="40" w:type="dxa"/>
              <w:right w:w="0" w:type="dxa"/>
            </w:tcMar>
            <w:vAlign w:val="bottom"/>
          </w:tcPr>
          <w:p w14:paraId="0B2FAB37" w14:textId="77777777" w:rsidR="007F1775" w:rsidRDefault="000F083E">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B2FAB3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B39"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B3A" w14:textId="77777777" w:rsidR="007F1775" w:rsidRDefault="000F083E">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B2FAB3B" w14:textId="77777777" w:rsidR="007F1775" w:rsidRDefault="007F1775">
            <w:pPr>
              <w:jc w:val="right"/>
              <w:rPr>
                <w:rFonts w:ascii="宋体"/>
              </w:rPr>
            </w:pPr>
          </w:p>
        </w:tc>
        <w:tc>
          <w:tcPr>
            <w:tcW w:w="0" w:type="auto"/>
            <w:shd w:val="clear" w:color="auto" w:fill="auto"/>
            <w:vAlign w:val="bottom"/>
          </w:tcPr>
          <w:p w14:paraId="0B2FAB3C" w14:textId="77777777" w:rsidR="007F1775" w:rsidRDefault="007F1775">
            <w:pPr>
              <w:rPr>
                <w:rFonts w:ascii="宋体"/>
                <w:vanish/>
              </w:rPr>
            </w:pPr>
          </w:p>
        </w:tc>
        <w:tc>
          <w:tcPr>
            <w:tcW w:w="0" w:type="auto"/>
            <w:shd w:val="clear" w:color="auto" w:fill="auto"/>
            <w:vAlign w:val="bottom"/>
          </w:tcPr>
          <w:p w14:paraId="0B2FAB3D" w14:textId="77777777" w:rsidR="007F1775" w:rsidRDefault="007F1775">
            <w:pPr>
              <w:rPr>
                <w:rFonts w:ascii="宋体"/>
                <w:vanish/>
              </w:rPr>
            </w:pPr>
          </w:p>
        </w:tc>
        <w:tc>
          <w:tcPr>
            <w:tcW w:w="0" w:type="auto"/>
            <w:gridSpan w:val="3"/>
            <w:shd w:val="clear" w:color="auto" w:fill="auto"/>
            <w:vAlign w:val="bottom"/>
          </w:tcPr>
          <w:p w14:paraId="0B2FAB3E" w14:textId="77777777" w:rsidR="007F1775" w:rsidRDefault="007F1775">
            <w:pPr>
              <w:rPr>
                <w:rFonts w:ascii="宋体"/>
                <w:vanish/>
              </w:rPr>
            </w:pPr>
          </w:p>
        </w:tc>
        <w:tc>
          <w:tcPr>
            <w:tcW w:w="0" w:type="auto"/>
            <w:gridSpan w:val="3"/>
            <w:shd w:val="clear" w:color="auto" w:fill="auto"/>
            <w:vAlign w:val="bottom"/>
          </w:tcPr>
          <w:p w14:paraId="0B2FAB3F" w14:textId="77777777" w:rsidR="007F1775" w:rsidRDefault="007F1775">
            <w:pPr>
              <w:rPr>
                <w:rFonts w:ascii="宋体"/>
                <w:vanish/>
              </w:rPr>
            </w:pPr>
          </w:p>
        </w:tc>
      </w:tr>
      <w:tr w:rsidR="007F1775" w14:paraId="0B2FAB4B" w14:textId="77777777">
        <w:tc>
          <w:tcPr>
            <w:tcW w:w="0" w:type="auto"/>
            <w:gridSpan w:val="3"/>
            <w:shd w:val="clear" w:color="auto" w:fill="auto"/>
            <w:tcMar>
              <w:top w:w="40" w:type="dxa"/>
              <w:left w:w="20" w:type="dxa"/>
              <w:bottom w:w="40" w:type="dxa"/>
              <w:right w:w="20" w:type="dxa"/>
            </w:tcMar>
          </w:tcPr>
          <w:p w14:paraId="0B2FAB41" w14:textId="77777777" w:rsidR="007F1775" w:rsidRDefault="000F083E">
            <w:pPr>
              <w:textAlignment w:val="top"/>
            </w:pPr>
            <w:r>
              <w:rPr>
                <w:rFonts w:ascii="Times New Roman" w:eastAsia="宋体" w:hAnsi="Times New Roman"/>
                <w:color w:val="000000"/>
                <w:sz w:val="20"/>
                <w:szCs w:val="20"/>
              </w:rPr>
              <w:t>Operating lease cost</w:t>
            </w:r>
          </w:p>
        </w:tc>
        <w:tc>
          <w:tcPr>
            <w:tcW w:w="0" w:type="auto"/>
            <w:gridSpan w:val="2"/>
            <w:shd w:val="clear" w:color="auto" w:fill="FFFFFF"/>
            <w:tcMar>
              <w:top w:w="40" w:type="dxa"/>
              <w:left w:w="20" w:type="dxa"/>
              <w:bottom w:w="40" w:type="dxa"/>
              <w:right w:w="0" w:type="dxa"/>
            </w:tcMar>
            <w:vAlign w:val="bottom"/>
          </w:tcPr>
          <w:p w14:paraId="0B2FAB42" w14:textId="77777777" w:rsidR="007F1775" w:rsidRDefault="000F083E">
            <w:pPr>
              <w:jc w:val="right"/>
              <w:textAlignment w:val="bottom"/>
            </w:pPr>
            <w:r>
              <w:rPr>
                <w:rFonts w:ascii="Times New Roman" w:eastAsia="宋体" w:hAnsi="Times New Roman"/>
                <w:color w:val="000000"/>
                <w:sz w:val="20"/>
                <w:szCs w:val="20"/>
              </w:rPr>
              <w:t>411 </w:t>
            </w:r>
          </w:p>
        </w:tc>
        <w:tc>
          <w:tcPr>
            <w:tcW w:w="0" w:type="auto"/>
            <w:shd w:val="clear" w:color="auto" w:fill="FFFFFF"/>
            <w:tcMar>
              <w:top w:w="40" w:type="dxa"/>
              <w:left w:w="0" w:type="dxa"/>
              <w:bottom w:w="40" w:type="dxa"/>
              <w:right w:w="20" w:type="dxa"/>
            </w:tcMar>
            <w:vAlign w:val="bottom"/>
          </w:tcPr>
          <w:p w14:paraId="0B2FAB4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B44"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B45" w14:textId="77777777" w:rsidR="007F1775" w:rsidRDefault="000F083E">
            <w:pPr>
              <w:jc w:val="right"/>
              <w:textAlignment w:val="bottom"/>
            </w:pPr>
            <w:r>
              <w:rPr>
                <w:rFonts w:ascii="Times New Roman" w:eastAsia="宋体" w:hAnsi="Times New Roman"/>
                <w:color w:val="000000"/>
                <w:sz w:val="20"/>
                <w:szCs w:val="20"/>
              </w:rPr>
              <w:t>362 </w:t>
            </w:r>
          </w:p>
        </w:tc>
        <w:tc>
          <w:tcPr>
            <w:tcW w:w="0" w:type="auto"/>
            <w:shd w:val="clear" w:color="auto" w:fill="FFFFFF"/>
            <w:tcMar>
              <w:top w:w="40" w:type="dxa"/>
              <w:left w:w="0" w:type="dxa"/>
              <w:bottom w:w="40" w:type="dxa"/>
              <w:right w:w="20" w:type="dxa"/>
            </w:tcMar>
            <w:vAlign w:val="bottom"/>
          </w:tcPr>
          <w:p w14:paraId="0B2FAB46" w14:textId="77777777" w:rsidR="007F1775" w:rsidRDefault="007F1775">
            <w:pPr>
              <w:jc w:val="right"/>
              <w:rPr>
                <w:rFonts w:ascii="宋体"/>
              </w:rPr>
            </w:pPr>
          </w:p>
        </w:tc>
        <w:tc>
          <w:tcPr>
            <w:tcW w:w="0" w:type="auto"/>
            <w:shd w:val="clear" w:color="auto" w:fill="auto"/>
            <w:vAlign w:val="bottom"/>
          </w:tcPr>
          <w:p w14:paraId="0B2FAB47" w14:textId="77777777" w:rsidR="007F1775" w:rsidRDefault="007F1775">
            <w:pPr>
              <w:rPr>
                <w:rFonts w:ascii="宋体"/>
                <w:vanish/>
              </w:rPr>
            </w:pPr>
          </w:p>
        </w:tc>
        <w:tc>
          <w:tcPr>
            <w:tcW w:w="0" w:type="auto"/>
            <w:shd w:val="clear" w:color="auto" w:fill="auto"/>
            <w:vAlign w:val="bottom"/>
          </w:tcPr>
          <w:p w14:paraId="0B2FAB48" w14:textId="77777777" w:rsidR="007F1775" w:rsidRDefault="007F1775">
            <w:pPr>
              <w:rPr>
                <w:rFonts w:ascii="宋体"/>
                <w:vanish/>
              </w:rPr>
            </w:pPr>
          </w:p>
        </w:tc>
        <w:tc>
          <w:tcPr>
            <w:tcW w:w="0" w:type="auto"/>
            <w:gridSpan w:val="3"/>
            <w:shd w:val="clear" w:color="auto" w:fill="auto"/>
            <w:vAlign w:val="bottom"/>
          </w:tcPr>
          <w:p w14:paraId="0B2FAB49" w14:textId="77777777" w:rsidR="007F1775" w:rsidRDefault="007F1775">
            <w:pPr>
              <w:rPr>
                <w:rFonts w:ascii="宋体"/>
                <w:vanish/>
              </w:rPr>
            </w:pPr>
          </w:p>
        </w:tc>
        <w:tc>
          <w:tcPr>
            <w:tcW w:w="0" w:type="auto"/>
            <w:gridSpan w:val="3"/>
            <w:shd w:val="clear" w:color="auto" w:fill="auto"/>
            <w:vAlign w:val="bottom"/>
          </w:tcPr>
          <w:p w14:paraId="0B2FAB4A" w14:textId="77777777" w:rsidR="007F1775" w:rsidRDefault="007F1775">
            <w:pPr>
              <w:rPr>
                <w:rFonts w:ascii="宋体"/>
                <w:vanish/>
              </w:rPr>
            </w:pPr>
          </w:p>
        </w:tc>
      </w:tr>
      <w:tr w:rsidR="007F1775" w14:paraId="0B2FAB56" w14:textId="77777777">
        <w:tc>
          <w:tcPr>
            <w:tcW w:w="0" w:type="auto"/>
            <w:gridSpan w:val="3"/>
            <w:shd w:val="clear" w:color="auto" w:fill="CCEEFF"/>
            <w:tcMar>
              <w:top w:w="40" w:type="dxa"/>
              <w:left w:w="20" w:type="dxa"/>
              <w:bottom w:w="40" w:type="dxa"/>
              <w:right w:w="20" w:type="dxa"/>
            </w:tcMar>
          </w:tcPr>
          <w:p w14:paraId="0B2FAB4C" w14:textId="77777777" w:rsidR="007F1775" w:rsidRDefault="000F083E">
            <w:pPr>
              <w:textAlignment w:val="top"/>
            </w:pPr>
            <w:r>
              <w:rPr>
                <w:rFonts w:ascii="Times New Roman" w:eastAsia="宋体" w:hAnsi="Times New Roman"/>
                <w:color w:val="000000"/>
                <w:sz w:val="20"/>
                <w:szCs w:val="20"/>
              </w:rPr>
              <w:t>Variable lease cost and other, net</w:t>
            </w:r>
          </w:p>
        </w:tc>
        <w:tc>
          <w:tcPr>
            <w:tcW w:w="0" w:type="auto"/>
            <w:gridSpan w:val="2"/>
            <w:shd w:val="clear" w:color="auto" w:fill="CCEEFF"/>
            <w:tcMar>
              <w:top w:w="40" w:type="dxa"/>
              <w:left w:w="20" w:type="dxa"/>
              <w:bottom w:w="40" w:type="dxa"/>
              <w:right w:w="0" w:type="dxa"/>
            </w:tcMar>
            <w:vAlign w:val="bottom"/>
          </w:tcPr>
          <w:p w14:paraId="0B2FAB4D" w14:textId="77777777" w:rsidR="007F1775" w:rsidRDefault="000F083E">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0B2FAB4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B4F"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B50" w14:textId="77777777" w:rsidR="007F1775" w:rsidRDefault="000F083E">
            <w:pPr>
              <w:jc w:val="right"/>
              <w:textAlignment w:val="bottom"/>
            </w:pPr>
            <w:r>
              <w:rPr>
                <w:rFonts w:ascii="Times New Roman" w:eastAsia="宋体" w:hAnsi="Times New Roman"/>
                <w:color w:val="000000"/>
                <w:sz w:val="20"/>
                <w:szCs w:val="20"/>
              </w:rPr>
              <w:t>66 </w:t>
            </w:r>
          </w:p>
        </w:tc>
        <w:tc>
          <w:tcPr>
            <w:tcW w:w="0" w:type="auto"/>
            <w:shd w:val="clear" w:color="auto" w:fill="CCEEFF"/>
            <w:tcMar>
              <w:top w:w="40" w:type="dxa"/>
              <w:left w:w="0" w:type="dxa"/>
              <w:bottom w:w="40" w:type="dxa"/>
              <w:right w:w="20" w:type="dxa"/>
            </w:tcMar>
            <w:vAlign w:val="bottom"/>
          </w:tcPr>
          <w:p w14:paraId="0B2FAB51" w14:textId="77777777" w:rsidR="007F1775" w:rsidRDefault="007F1775">
            <w:pPr>
              <w:jc w:val="right"/>
              <w:rPr>
                <w:rFonts w:ascii="宋体"/>
              </w:rPr>
            </w:pPr>
          </w:p>
        </w:tc>
        <w:tc>
          <w:tcPr>
            <w:tcW w:w="0" w:type="auto"/>
            <w:shd w:val="clear" w:color="auto" w:fill="auto"/>
            <w:vAlign w:val="bottom"/>
          </w:tcPr>
          <w:p w14:paraId="0B2FAB52" w14:textId="77777777" w:rsidR="007F1775" w:rsidRDefault="007F1775">
            <w:pPr>
              <w:rPr>
                <w:rFonts w:ascii="宋体"/>
                <w:vanish/>
              </w:rPr>
            </w:pPr>
          </w:p>
        </w:tc>
        <w:tc>
          <w:tcPr>
            <w:tcW w:w="0" w:type="auto"/>
            <w:shd w:val="clear" w:color="auto" w:fill="auto"/>
            <w:vAlign w:val="bottom"/>
          </w:tcPr>
          <w:p w14:paraId="0B2FAB53" w14:textId="77777777" w:rsidR="007F1775" w:rsidRDefault="007F1775">
            <w:pPr>
              <w:rPr>
                <w:rFonts w:ascii="宋体"/>
                <w:vanish/>
              </w:rPr>
            </w:pPr>
          </w:p>
        </w:tc>
        <w:tc>
          <w:tcPr>
            <w:tcW w:w="0" w:type="auto"/>
            <w:gridSpan w:val="3"/>
            <w:shd w:val="clear" w:color="auto" w:fill="auto"/>
            <w:vAlign w:val="bottom"/>
          </w:tcPr>
          <w:p w14:paraId="0B2FAB54" w14:textId="77777777" w:rsidR="007F1775" w:rsidRDefault="007F1775">
            <w:pPr>
              <w:rPr>
                <w:rFonts w:ascii="宋体"/>
                <w:vanish/>
              </w:rPr>
            </w:pPr>
          </w:p>
        </w:tc>
        <w:tc>
          <w:tcPr>
            <w:tcW w:w="0" w:type="auto"/>
            <w:gridSpan w:val="3"/>
            <w:shd w:val="clear" w:color="auto" w:fill="auto"/>
            <w:vAlign w:val="bottom"/>
          </w:tcPr>
          <w:p w14:paraId="0B2FAB55" w14:textId="77777777" w:rsidR="007F1775" w:rsidRDefault="007F1775">
            <w:pPr>
              <w:rPr>
                <w:rFonts w:ascii="宋体"/>
                <w:vanish/>
              </w:rPr>
            </w:pPr>
          </w:p>
        </w:tc>
      </w:tr>
      <w:tr w:rsidR="007F1775" w14:paraId="0B2FAB63" w14:textId="77777777">
        <w:tc>
          <w:tcPr>
            <w:tcW w:w="0" w:type="auto"/>
            <w:gridSpan w:val="3"/>
            <w:shd w:val="clear" w:color="auto" w:fill="auto"/>
            <w:tcMar>
              <w:top w:w="40" w:type="dxa"/>
              <w:left w:w="380" w:type="dxa"/>
              <w:bottom w:w="40" w:type="dxa"/>
              <w:right w:w="20" w:type="dxa"/>
            </w:tcMar>
          </w:tcPr>
          <w:p w14:paraId="0B2FAB57" w14:textId="77777777" w:rsidR="007F1775" w:rsidRDefault="000F083E">
            <w:pPr>
              <w:textAlignment w:val="top"/>
            </w:pPr>
            <w:r>
              <w:rPr>
                <w:rFonts w:ascii="Times New Roman" w:eastAsia="宋体" w:hAnsi="Times New Roman"/>
                <w:color w:val="000000"/>
                <w:sz w:val="20"/>
                <w:szCs w:val="20"/>
              </w:rPr>
              <w:t>Total lease cost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B58"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B59" w14:textId="77777777" w:rsidR="007F1775" w:rsidRDefault="000F083E">
            <w:pPr>
              <w:jc w:val="right"/>
              <w:textAlignment w:val="bottom"/>
            </w:pPr>
            <w:r>
              <w:rPr>
                <w:rFonts w:ascii="Times New Roman" w:eastAsia="宋体" w:hAnsi="Times New Roman"/>
                <w:color w:val="000000"/>
                <w:sz w:val="20"/>
                <w:szCs w:val="20"/>
              </w:rPr>
              <w:t>603 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B5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B5B"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B5C"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B5D" w14:textId="77777777" w:rsidR="007F1775" w:rsidRDefault="000F083E">
            <w:pPr>
              <w:jc w:val="right"/>
              <w:textAlignment w:val="bottom"/>
            </w:pPr>
            <w:r>
              <w:rPr>
                <w:rFonts w:ascii="Times New Roman" w:eastAsia="宋体" w:hAnsi="Times New Roman"/>
                <w:color w:val="000000"/>
                <w:sz w:val="20"/>
                <w:szCs w:val="20"/>
              </w:rPr>
              <w:t>513 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B5E" w14:textId="77777777" w:rsidR="007F1775" w:rsidRDefault="007F1775">
            <w:pPr>
              <w:jc w:val="right"/>
              <w:rPr>
                <w:rFonts w:ascii="宋体"/>
              </w:rPr>
            </w:pPr>
          </w:p>
        </w:tc>
        <w:tc>
          <w:tcPr>
            <w:tcW w:w="0" w:type="auto"/>
            <w:shd w:val="clear" w:color="auto" w:fill="auto"/>
            <w:vAlign w:val="bottom"/>
          </w:tcPr>
          <w:p w14:paraId="0B2FAB5F" w14:textId="77777777" w:rsidR="007F1775" w:rsidRDefault="007F1775">
            <w:pPr>
              <w:rPr>
                <w:rFonts w:ascii="宋体"/>
                <w:vanish/>
              </w:rPr>
            </w:pPr>
          </w:p>
        </w:tc>
        <w:tc>
          <w:tcPr>
            <w:tcW w:w="0" w:type="auto"/>
            <w:shd w:val="clear" w:color="auto" w:fill="auto"/>
            <w:vAlign w:val="bottom"/>
          </w:tcPr>
          <w:p w14:paraId="0B2FAB60" w14:textId="77777777" w:rsidR="007F1775" w:rsidRDefault="007F1775">
            <w:pPr>
              <w:rPr>
                <w:rFonts w:ascii="宋体"/>
                <w:vanish/>
              </w:rPr>
            </w:pPr>
          </w:p>
        </w:tc>
        <w:tc>
          <w:tcPr>
            <w:tcW w:w="0" w:type="auto"/>
            <w:gridSpan w:val="3"/>
            <w:shd w:val="clear" w:color="auto" w:fill="auto"/>
            <w:vAlign w:val="bottom"/>
          </w:tcPr>
          <w:p w14:paraId="0B2FAB61" w14:textId="77777777" w:rsidR="007F1775" w:rsidRDefault="007F1775">
            <w:pPr>
              <w:rPr>
                <w:rFonts w:ascii="宋体"/>
                <w:vanish/>
              </w:rPr>
            </w:pPr>
          </w:p>
        </w:tc>
        <w:tc>
          <w:tcPr>
            <w:tcW w:w="0" w:type="auto"/>
            <w:gridSpan w:val="3"/>
            <w:shd w:val="clear" w:color="auto" w:fill="auto"/>
            <w:vAlign w:val="bottom"/>
          </w:tcPr>
          <w:p w14:paraId="0B2FAB62" w14:textId="77777777" w:rsidR="007F1775" w:rsidRDefault="007F1775">
            <w:pPr>
              <w:rPr>
                <w:rFonts w:ascii="宋体"/>
                <w:vanish/>
              </w:rPr>
            </w:pPr>
          </w:p>
        </w:tc>
      </w:tr>
    </w:tbl>
    <w:p w14:paraId="0B2FAB64" w14:textId="77777777" w:rsidR="007F1775" w:rsidRDefault="007F1775">
      <w:pPr>
        <w:jc w:val="both"/>
      </w:pPr>
    </w:p>
    <w:p w14:paraId="0B2FAB65" w14:textId="77777777" w:rsidR="007F1775" w:rsidRDefault="000F083E">
      <w:pPr>
        <w:ind w:firstLine="540"/>
        <w:jc w:val="both"/>
      </w:pPr>
      <w:r>
        <w:rPr>
          <w:rFonts w:ascii="Times New Roman" w:eastAsia="宋体" w:hAnsi="Times New Roman"/>
          <w:color w:val="000000"/>
          <w:sz w:val="20"/>
          <w:szCs w:val="20"/>
        </w:rPr>
        <w:t>Suppl</w:t>
      </w:r>
      <w:r>
        <w:rPr>
          <w:rFonts w:ascii="Times New Roman" w:eastAsia="宋体" w:hAnsi="Times New Roman"/>
          <w:color w:val="000000"/>
          <w:sz w:val="20"/>
          <w:szCs w:val="20"/>
        </w:rPr>
        <w:t>emental balance sheet information related to leases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448"/>
        <w:gridCol w:w="36"/>
        <w:gridCol w:w="37"/>
        <w:gridCol w:w="1155"/>
        <w:gridCol w:w="187"/>
        <w:gridCol w:w="36"/>
        <w:gridCol w:w="36"/>
        <w:gridCol w:w="36"/>
        <w:gridCol w:w="47"/>
        <w:gridCol w:w="1094"/>
        <w:gridCol w:w="187"/>
      </w:tblGrid>
      <w:tr w:rsidR="007F1775" w14:paraId="0B2FAB72" w14:textId="77777777">
        <w:trPr>
          <w:jc w:val="center"/>
        </w:trPr>
        <w:tc>
          <w:tcPr>
            <w:tcW w:w="50" w:type="pct"/>
            <w:shd w:val="clear" w:color="auto" w:fill="auto"/>
            <w:vAlign w:val="bottom"/>
          </w:tcPr>
          <w:p w14:paraId="0B2FAB66" w14:textId="77777777" w:rsidR="007F1775" w:rsidRDefault="007F1775">
            <w:pPr>
              <w:rPr>
                <w:rFonts w:ascii="宋体"/>
              </w:rPr>
            </w:pPr>
          </w:p>
        </w:tc>
        <w:tc>
          <w:tcPr>
            <w:tcW w:w="3315" w:type="pct"/>
            <w:shd w:val="clear" w:color="auto" w:fill="auto"/>
            <w:vAlign w:val="bottom"/>
          </w:tcPr>
          <w:p w14:paraId="0B2FAB67" w14:textId="77777777" w:rsidR="007F1775" w:rsidRDefault="007F1775">
            <w:pPr>
              <w:rPr>
                <w:rFonts w:ascii="宋体"/>
              </w:rPr>
            </w:pPr>
          </w:p>
        </w:tc>
        <w:tc>
          <w:tcPr>
            <w:tcW w:w="5" w:type="pct"/>
            <w:shd w:val="clear" w:color="auto" w:fill="auto"/>
            <w:vAlign w:val="bottom"/>
          </w:tcPr>
          <w:p w14:paraId="0B2FAB68" w14:textId="77777777" w:rsidR="007F1775" w:rsidRDefault="007F1775">
            <w:pPr>
              <w:rPr>
                <w:rFonts w:ascii="宋体"/>
              </w:rPr>
            </w:pPr>
          </w:p>
        </w:tc>
        <w:tc>
          <w:tcPr>
            <w:tcW w:w="50" w:type="pct"/>
            <w:shd w:val="clear" w:color="auto" w:fill="auto"/>
            <w:vAlign w:val="bottom"/>
          </w:tcPr>
          <w:p w14:paraId="0B2FAB69" w14:textId="77777777" w:rsidR="007F1775" w:rsidRDefault="007F1775">
            <w:pPr>
              <w:rPr>
                <w:rFonts w:ascii="宋体"/>
              </w:rPr>
            </w:pPr>
          </w:p>
        </w:tc>
        <w:tc>
          <w:tcPr>
            <w:tcW w:w="741" w:type="pct"/>
            <w:shd w:val="clear" w:color="auto" w:fill="auto"/>
            <w:vAlign w:val="bottom"/>
          </w:tcPr>
          <w:p w14:paraId="0B2FAB6A" w14:textId="77777777" w:rsidR="007F1775" w:rsidRDefault="007F1775">
            <w:pPr>
              <w:rPr>
                <w:rFonts w:ascii="宋体"/>
              </w:rPr>
            </w:pPr>
          </w:p>
        </w:tc>
        <w:tc>
          <w:tcPr>
            <w:tcW w:w="5" w:type="pct"/>
            <w:shd w:val="clear" w:color="auto" w:fill="auto"/>
            <w:vAlign w:val="bottom"/>
          </w:tcPr>
          <w:p w14:paraId="0B2FAB6B" w14:textId="77777777" w:rsidR="007F1775" w:rsidRDefault="007F1775">
            <w:pPr>
              <w:rPr>
                <w:rFonts w:ascii="宋体"/>
              </w:rPr>
            </w:pPr>
          </w:p>
        </w:tc>
        <w:tc>
          <w:tcPr>
            <w:tcW w:w="5" w:type="pct"/>
            <w:shd w:val="clear" w:color="auto" w:fill="auto"/>
            <w:vAlign w:val="bottom"/>
          </w:tcPr>
          <w:p w14:paraId="0B2FAB6C" w14:textId="77777777" w:rsidR="007F1775" w:rsidRDefault="007F1775">
            <w:pPr>
              <w:rPr>
                <w:rFonts w:ascii="宋体"/>
              </w:rPr>
            </w:pPr>
          </w:p>
        </w:tc>
        <w:tc>
          <w:tcPr>
            <w:tcW w:w="27" w:type="pct"/>
            <w:shd w:val="clear" w:color="auto" w:fill="auto"/>
            <w:vAlign w:val="bottom"/>
          </w:tcPr>
          <w:p w14:paraId="0B2FAB6D" w14:textId="77777777" w:rsidR="007F1775" w:rsidRDefault="007F1775">
            <w:pPr>
              <w:rPr>
                <w:rFonts w:ascii="宋体"/>
              </w:rPr>
            </w:pPr>
          </w:p>
        </w:tc>
        <w:tc>
          <w:tcPr>
            <w:tcW w:w="5" w:type="pct"/>
            <w:shd w:val="clear" w:color="auto" w:fill="auto"/>
            <w:vAlign w:val="bottom"/>
          </w:tcPr>
          <w:p w14:paraId="0B2FAB6E" w14:textId="77777777" w:rsidR="007F1775" w:rsidRDefault="007F1775">
            <w:pPr>
              <w:rPr>
                <w:rFonts w:ascii="宋体"/>
              </w:rPr>
            </w:pPr>
          </w:p>
        </w:tc>
        <w:tc>
          <w:tcPr>
            <w:tcW w:w="50" w:type="pct"/>
            <w:shd w:val="clear" w:color="auto" w:fill="auto"/>
            <w:vAlign w:val="bottom"/>
          </w:tcPr>
          <w:p w14:paraId="0B2FAB6F" w14:textId="77777777" w:rsidR="007F1775" w:rsidRDefault="007F1775">
            <w:pPr>
              <w:rPr>
                <w:rFonts w:ascii="宋体"/>
              </w:rPr>
            </w:pPr>
          </w:p>
        </w:tc>
        <w:tc>
          <w:tcPr>
            <w:tcW w:w="741" w:type="pct"/>
            <w:shd w:val="clear" w:color="auto" w:fill="auto"/>
            <w:vAlign w:val="bottom"/>
          </w:tcPr>
          <w:p w14:paraId="0B2FAB70" w14:textId="77777777" w:rsidR="007F1775" w:rsidRDefault="007F1775">
            <w:pPr>
              <w:rPr>
                <w:rFonts w:ascii="宋体"/>
              </w:rPr>
            </w:pPr>
          </w:p>
        </w:tc>
        <w:tc>
          <w:tcPr>
            <w:tcW w:w="5" w:type="pct"/>
            <w:shd w:val="clear" w:color="auto" w:fill="auto"/>
            <w:vAlign w:val="bottom"/>
          </w:tcPr>
          <w:p w14:paraId="0B2FAB71" w14:textId="77777777" w:rsidR="007F1775" w:rsidRDefault="007F1775">
            <w:pPr>
              <w:rPr>
                <w:rFonts w:ascii="宋体"/>
              </w:rPr>
            </w:pPr>
          </w:p>
        </w:tc>
      </w:tr>
      <w:tr w:rsidR="007F1775" w14:paraId="0B2FAB77" w14:textId="77777777">
        <w:trPr>
          <w:jc w:val="center"/>
        </w:trPr>
        <w:tc>
          <w:tcPr>
            <w:tcW w:w="0" w:type="auto"/>
            <w:gridSpan w:val="3"/>
            <w:shd w:val="clear" w:color="auto" w:fill="auto"/>
            <w:tcMar>
              <w:top w:w="0" w:type="dxa"/>
              <w:left w:w="20" w:type="dxa"/>
              <w:bottom w:w="0" w:type="dxa"/>
              <w:right w:w="20" w:type="dxa"/>
            </w:tcMar>
            <w:vAlign w:val="bottom"/>
          </w:tcPr>
          <w:p w14:paraId="0B2FAB73"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AB74" w14:textId="77777777" w:rsidR="007F1775" w:rsidRDefault="000F083E">
            <w:pPr>
              <w:jc w:val="center"/>
              <w:textAlignment w:val="center"/>
            </w:pPr>
            <w:r>
              <w:rPr>
                <w:rFonts w:ascii="Times New Roman" w:eastAsia="宋体" w:hAnsi="Times New Roman"/>
                <w:b/>
                <w:bCs/>
                <w:color w:val="000000"/>
                <w:sz w:val="16"/>
                <w:szCs w:val="16"/>
              </w:rPr>
              <w:t>March 31, 2022</w:t>
            </w:r>
          </w:p>
        </w:tc>
        <w:tc>
          <w:tcPr>
            <w:tcW w:w="0" w:type="auto"/>
            <w:gridSpan w:val="3"/>
            <w:shd w:val="clear" w:color="auto" w:fill="auto"/>
            <w:tcMar>
              <w:top w:w="0" w:type="dxa"/>
              <w:left w:w="20" w:type="dxa"/>
              <w:bottom w:w="0" w:type="dxa"/>
              <w:right w:w="20" w:type="dxa"/>
            </w:tcMar>
            <w:vAlign w:val="bottom"/>
          </w:tcPr>
          <w:p w14:paraId="0B2FAB75"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AB76" w14:textId="77777777" w:rsidR="007F1775" w:rsidRDefault="000F083E">
            <w:pPr>
              <w:jc w:val="center"/>
              <w:textAlignment w:val="center"/>
            </w:pPr>
            <w:r>
              <w:rPr>
                <w:rFonts w:ascii="Times New Roman" w:eastAsia="宋体" w:hAnsi="Times New Roman"/>
                <w:b/>
                <w:bCs/>
                <w:color w:val="000000"/>
                <w:sz w:val="16"/>
                <w:szCs w:val="16"/>
              </w:rPr>
              <w:t>December 31, 2021</w:t>
            </w:r>
          </w:p>
        </w:tc>
      </w:tr>
      <w:tr w:rsidR="007F1775" w14:paraId="0B2FAB7C" w14:textId="77777777">
        <w:trPr>
          <w:jc w:val="center"/>
        </w:trPr>
        <w:tc>
          <w:tcPr>
            <w:tcW w:w="0" w:type="auto"/>
            <w:gridSpan w:val="3"/>
            <w:shd w:val="clear" w:color="auto" w:fill="CCEEFF"/>
            <w:tcMar>
              <w:top w:w="40" w:type="dxa"/>
              <w:left w:w="20" w:type="dxa"/>
              <w:bottom w:w="40" w:type="dxa"/>
              <w:right w:w="20" w:type="dxa"/>
            </w:tcMar>
          </w:tcPr>
          <w:p w14:paraId="0B2FAB78" w14:textId="77777777" w:rsidR="007F1775" w:rsidRDefault="000F083E">
            <w:pPr>
              <w:textAlignment w:val="top"/>
            </w:pPr>
            <w:r>
              <w:rPr>
                <w:rFonts w:ascii="Times New Roman" w:eastAsia="宋体" w:hAnsi="Times New Roman"/>
                <w:color w:val="000000"/>
                <w:sz w:val="20"/>
                <w:szCs w:val="20"/>
              </w:rPr>
              <w:t>Weighted-average remaining lease term</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B79"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B7A"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B7B" w14:textId="77777777" w:rsidR="007F1775" w:rsidRDefault="007F1775">
            <w:pPr>
              <w:rPr>
                <w:rFonts w:ascii="宋体"/>
              </w:rPr>
            </w:pPr>
          </w:p>
        </w:tc>
      </w:tr>
      <w:tr w:rsidR="007F1775" w14:paraId="0B2FAB81" w14:textId="77777777">
        <w:trPr>
          <w:jc w:val="center"/>
        </w:trPr>
        <w:tc>
          <w:tcPr>
            <w:tcW w:w="0" w:type="auto"/>
            <w:gridSpan w:val="3"/>
            <w:shd w:val="clear" w:color="auto" w:fill="auto"/>
            <w:tcMar>
              <w:top w:w="40" w:type="dxa"/>
              <w:left w:w="200" w:type="dxa"/>
              <w:bottom w:w="40" w:type="dxa"/>
              <w:right w:w="20" w:type="dxa"/>
            </w:tcMar>
          </w:tcPr>
          <w:p w14:paraId="0B2FAB7D" w14:textId="77777777" w:rsidR="007F1775" w:rsidRDefault="000F083E">
            <w:pPr>
              <w:textAlignment w:val="top"/>
            </w:pPr>
            <w:r>
              <w:rPr>
                <w:rFonts w:ascii="Times New Roman" w:eastAsia="宋体" w:hAnsi="Times New Roman"/>
                <w:color w:val="000000"/>
                <w:sz w:val="20"/>
                <w:szCs w:val="20"/>
              </w:rPr>
              <w:t>Finance leases</w:t>
            </w:r>
          </w:p>
        </w:tc>
        <w:tc>
          <w:tcPr>
            <w:tcW w:w="0" w:type="auto"/>
            <w:gridSpan w:val="3"/>
            <w:shd w:val="clear" w:color="auto" w:fill="FFFFFF"/>
            <w:tcMar>
              <w:top w:w="40" w:type="dxa"/>
              <w:left w:w="20" w:type="dxa"/>
              <w:bottom w:w="40" w:type="dxa"/>
              <w:right w:w="20" w:type="dxa"/>
            </w:tcMar>
            <w:vAlign w:val="bottom"/>
          </w:tcPr>
          <w:p w14:paraId="0B2FAB7E" w14:textId="77777777" w:rsidR="007F1775" w:rsidRDefault="000F083E">
            <w:pPr>
              <w:jc w:val="right"/>
              <w:textAlignment w:val="bottom"/>
            </w:pPr>
            <w:r>
              <w:rPr>
                <w:rFonts w:ascii="Times New Roman" w:eastAsia="宋体" w:hAnsi="Times New Roman"/>
                <w:color w:val="000000"/>
                <w:sz w:val="20"/>
                <w:szCs w:val="20"/>
              </w:rPr>
              <w:t>13.9 years</w:t>
            </w:r>
          </w:p>
        </w:tc>
        <w:tc>
          <w:tcPr>
            <w:tcW w:w="0" w:type="auto"/>
            <w:gridSpan w:val="3"/>
            <w:shd w:val="clear" w:color="auto" w:fill="FFFFFF"/>
            <w:tcMar>
              <w:top w:w="0" w:type="dxa"/>
              <w:left w:w="20" w:type="dxa"/>
              <w:bottom w:w="0" w:type="dxa"/>
              <w:right w:w="20" w:type="dxa"/>
            </w:tcMar>
            <w:vAlign w:val="bottom"/>
          </w:tcPr>
          <w:p w14:paraId="0B2FAB7F" w14:textId="77777777" w:rsidR="007F1775" w:rsidRDefault="007F1775">
            <w:pPr>
              <w:rPr>
                <w:rFonts w:ascii="宋体"/>
              </w:rPr>
            </w:pPr>
          </w:p>
        </w:tc>
        <w:tc>
          <w:tcPr>
            <w:tcW w:w="0" w:type="auto"/>
            <w:gridSpan w:val="3"/>
            <w:shd w:val="clear" w:color="auto" w:fill="FFFFFF"/>
            <w:tcMar>
              <w:top w:w="40" w:type="dxa"/>
              <w:left w:w="20" w:type="dxa"/>
              <w:bottom w:w="40" w:type="dxa"/>
              <w:right w:w="20" w:type="dxa"/>
            </w:tcMar>
            <w:vAlign w:val="bottom"/>
          </w:tcPr>
          <w:p w14:paraId="0B2FAB80" w14:textId="77777777" w:rsidR="007F1775" w:rsidRDefault="000F083E">
            <w:pPr>
              <w:jc w:val="right"/>
              <w:textAlignment w:val="bottom"/>
            </w:pPr>
            <w:r>
              <w:rPr>
                <w:rFonts w:ascii="Times New Roman" w:eastAsia="宋体" w:hAnsi="Times New Roman"/>
                <w:color w:val="000000"/>
                <w:sz w:val="20"/>
                <w:szCs w:val="20"/>
              </w:rPr>
              <w:t>13.9 years</w:t>
            </w:r>
          </w:p>
        </w:tc>
      </w:tr>
      <w:tr w:rsidR="007F1775" w14:paraId="0B2FAB86" w14:textId="77777777">
        <w:trPr>
          <w:jc w:val="center"/>
        </w:trPr>
        <w:tc>
          <w:tcPr>
            <w:tcW w:w="0" w:type="auto"/>
            <w:gridSpan w:val="3"/>
            <w:shd w:val="clear" w:color="auto" w:fill="CCEEFF"/>
            <w:tcMar>
              <w:top w:w="40" w:type="dxa"/>
              <w:left w:w="200" w:type="dxa"/>
              <w:bottom w:w="40" w:type="dxa"/>
              <w:right w:w="20" w:type="dxa"/>
            </w:tcMar>
          </w:tcPr>
          <w:p w14:paraId="0B2FAB82" w14:textId="77777777" w:rsidR="007F1775" w:rsidRDefault="000F083E">
            <w:pPr>
              <w:textAlignment w:val="top"/>
            </w:pPr>
            <w:r>
              <w:rPr>
                <w:rFonts w:ascii="Times New Roman" w:eastAsia="宋体" w:hAnsi="Times New Roman"/>
                <w:color w:val="000000"/>
                <w:sz w:val="20"/>
                <w:szCs w:val="20"/>
              </w:rPr>
              <w:t>Operating leases</w:t>
            </w:r>
          </w:p>
        </w:tc>
        <w:tc>
          <w:tcPr>
            <w:tcW w:w="0" w:type="auto"/>
            <w:gridSpan w:val="3"/>
            <w:shd w:val="clear" w:color="auto" w:fill="CCEEFF"/>
            <w:tcMar>
              <w:top w:w="40" w:type="dxa"/>
              <w:left w:w="20" w:type="dxa"/>
              <w:bottom w:w="40" w:type="dxa"/>
              <w:right w:w="20" w:type="dxa"/>
            </w:tcMar>
            <w:vAlign w:val="bottom"/>
          </w:tcPr>
          <w:p w14:paraId="0B2FAB83" w14:textId="77777777" w:rsidR="007F1775" w:rsidRDefault="000F083E">
            <w:pPr>
              <w:jc w:val="right"/>
              <w:textAlignment w:val="bottom"/>
            </w:pPr>
            <w:r>
              <w:rPr>
                <w:rFonts w:ascii="Times New Roman" w:eastAsia="宋体" w:hAnsi="Times New Roman"/>
                <w:color w:val="000000"/>
                <w:sz w:val="20"/>
                <w:szCs w:val="20"/>
              </w:rPr>
              <w:t>12.8 years</w:t>
            </w:r>
          </w:p>
        </w:tc>
        <w:tc>
          <w:tcPr>
            <w:tcW w:w="0" w:type="auto"/>
            <w:gridSpan w:val="3"/>
            <w:shd w:val="clear" w:color="auto" w:fill="CCEEFF"/>
            <w:tcMar>
              <w:top w:w="0" w:type="dxa"/>
              <w:left w:w="20" w:type="dxa"/>
              <w:bottom w:w="0" w:type="dxa"/>
              <w:right w:w="20" w:type="dxa"/>
            </w:tcMar>
            <w:vAlign w:val="bottom"/>
          </w:tcPr>
          <w:p w14:paraId="0B2FAB84" w14:textId="77777777" w:rsidR="007F1775" w:rsidRDefault="007F1775">
            <w:pPr>
              <w:rPr>
                <w:rFonts w:ascii="宋体"/>
              </w:rPr>
            </w:pPr>
          </w:p>
        </w:tc>
        <w:tc>
          <w:tcPr>
            <w:tcW w:w="0" w:type="auto"/>
            <w:gridSpan w:val="3"/>
            <w:shd w:val="clear" w:color="auto" w:fill="CCEEFF"/>
            <w:tcMar>
              <w:top w:w="40" w:type="dxa"/>
              <w:left w:w="20" w:type="dxa"/>
              <w:bottom w:w="40" w:type="dxa"/>
              <w:right w:w="20" w:type="dxa"/>
            </w:tcMar>
            <w:vAlign w:val="bottom"/>
          </w:tcPr>
          <w:p w14:paraId="0B2FAB85" w14:textId="77777777" w:rsidR="007F1775" w:rsidRDefault="000F083E">
            <w:pPr>
              <w:jc w:val="right"/>
              <w:textAlignment w:val="bottom"/>
            </w:pPr>
            <w:r>
              <w:rPr>
                <w:rFonts w:ascii="Times New Roman" w:eastAsia="宋体" w:hAnsi="Times New Roman"/>
                <w:color w:val="000000"/>
                <w:sz w:val="20"/>
                <w:szCs w:val="20"/>
              </w:rPr>
              <w:t>13.0 years</w:t>
            </w:r>
          </w:p>
        </w:tc>
      </w:tr>
      <w:tr w:rsidR="007F1775" w14:paraId="0B2FAB8B" w14:textId="77777777">
        <w:trPr>
          <w:jc w:val="center"/>
        </w:trPr>
        <w:tc>
          <w:tcPr>
            <w:tcW w:w="0" w:type="auto"/>
            <w:gridSpan w:val="3"/>
            <w:shd w:val="clear" w:color="auto" w:fill="FFFFFF"/>
            <w:tcMar>
              <w:top w:w="40" w:type="dxa"/>
              <w:left w:w="20" w:type="dxa"/>
              <w:bottom w:w="40" w:type="dxa"/>
              <w:right w:w="20" w:type="dxa"/>
            </w:tcMar>
          </w:tcPr>
          <w:p w14:paraId="0B2FAB87" w14:textId="77777777" w:rsidR="007F1775" w:rsidRDefault="000F083E">
            <w:pPr>
              <w:textAlignment w:val="top"/>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bottom"/>
          </w:tcPr>
          <w:p w14:paraId="0B2FAB88"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B89"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B8A" w14:textId="77777777" w:rsidR="007F1775" w:rsidRDefault="007F1775">
            <w:pPr>
              <w:rPr>
                <w:rFonts w:ascii="宋体"/>
              </w:rPr>
            </w:pPr>
          </w:p>
        </w:tc>
      </w:tr>
      <w:tr w:rsidR="007F1775" w14:paraId="0B2FAB92" w14:textId="77777777">
        <w:trPr>
          <w:jc w:val="center"/>
        </w:trPr>
        <w:tc>
          <w:tcPr>
            <w:tcW w:w="0" w:type="auto"/>
            <w:gridSpan w:val="3"/>
            <w:shd w:val="clear" w:color="auto" w:fill="CCEEFF"/>
            <w:tcMar>
              <w:top w:w="40" w:type="dxa"/>
              <w:left w:w="200" w:type="dxa"/>
              <w:bottom w:w="40" w:type="dxa"/>
              <w:right w:w="20" w:type="dxa"/>
            </w:tcMar>
          </w:tcPr>
          <w:p w14:paraId="0B2FAB8C" w14:textId="77777777" w:rsidR="007F1775" w:rsidRDefault="000F083E">
            <w:pPr>
              <w:textAlignment w:val="top"/>
            </w:pPr>
            <w:r>
              <w:rPr>
                <w:rFonts w:ascii="Times New Roman" w:eastAsia="宋体" w:hAnsi="Times New Roman"/>
                <w:color w:val="000000"/>
                <w:sz w:val="20"/>
                <w:szCs w:val="20"/>
              </w:rPr>
              <w:t>Finance leases</w:t>
            </w:r>
          </w:p>
        </w:tc>
        <w:tc>
          <w:tcPr>
            <w:tcW w:w="0" w:type="auto"/>
            <w:gridSpan w:val="2"/>
            <w:shd w:val="clear" w:color="auto" w:fill="CCEEFF"/>
            <w:tcMar>
              <w:top w:w="40" w:type="dxa"/>
              <w:left w:w="20" w:type="dxa"/>
              <w:bottom w:w="40" w:type="dxa"/>
              <w:right w:w="0" w:type="dxa"/>
            </w:tcMar>
            <w:vAlign w:val="bottom"/>
          </w:tcPr>
          <w:p w14:paraId="0B2FAB8D" w14:textId="77777777" w:rsidR="007F1775" w:rsidRDefault="000F083E">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0B2FAB8E"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B2FAB8F"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B90" w14:textId="77777777" w:rsidR="007F1775" w:rsidRDefault="000F083E">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0B2FAB91" w14:textId="77777777" w:rsidR="007F1775" w:rsidRDefault="000F083E">
            <w:pPr>
              <w:jc w:val="right"/>
              <w:textAlignment w:val="bottom"/>
            </w:pPr>
            <w:r>
              <w:rPr>
                <w:rFonts w:ascii="Times New Roman" w:eastAsia="宋体" w:hAnsi="Times New Roman"/>
                <w:color w:val="000000"/>
                <w:sz w:val="20"/>
                <w:szCs w:val="20"/>
              </w:rPr>
              <w:t>%</w:t>
            </w:r>
          </w:p>
        </w:tc>
      </w:tr>
      <w:tr w:rsidR="007F1775" w14:paraId="0B2FAB99" w14:textId="77777777">
        <w:trPr>
          <w:jc w:val="center"/>
        </w:trPr>
        <w:tc>
          <w:tcPr>
            <w:tcW w:w="0" w:type="auto"/>
            <w:gridSpan w:val="3"/>
            <w:shd w:val="clear" w:color="auto" w:fill="FFFFFF"/>
            <w:tcMar>
              <w:top w:w="40" w:type="dxa"/>
              <w:left w:w="200" w:type="dxa"/>
              <w:bottom w:w="40" w:type="dxa"/>
              <w:right w:w="20" w:type="dxa"/>
            </w:tcMar>
          </w:tcPr>
          <w:p w14:paraId="0B2FAB93" w14:textId="77777777" w:rsidR="007F1775" w:rsidRDefault="000F083E">
            <w:pPr>
              <w:textAlignment w:val="top"/>
            </w:pPr>
            <w:r>
              <w:rPr>
                <w:rFonts w:ascii="Times New Roman" w:eastAsia="宋体" w:hAnsi="Times New Roman"/>
                <w:color w:val="000000"/>
                <w:sz w:val="20"/>
                <w:szCs w:val="20"/>
              </w:rPr>
              <w:t>Operating leases</w:t>
            </w:r>
          </w:p>
        </w:tc>
        <w:tc>
          <w:tcPr>
            <w:tcW w:w="0" w:type="auto"/>
            <w:gridSpan w:val="2"/>
            <w:shd w:val="clear" w:color="auto" w:fill="FFFFFF"/>
            <w:tcMar>
              <w:top w:w="40" w:type="dxa"/>
              <w:left w:w="20" w:type="dxa"/>
              <w:bottom w:w="40" w:type="dxa"/>
              <w:right w:w="0" w:type="dxa"/>
            </w:tcMar>
            <w:vAlign w:val="bottom"/>
          </w:tcPr>
          <w:p w14:paraId="0B2FAB94" w14:textId="77777777" w:rsidR="007F1775" w:rsidRDefault="000F083E">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0B2FAB95"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B2FAB96"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B97" w14:textId="77777777" w:rsidR="007F1775" w:rsidRDefault="000F083E">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0B2FAB98" w14:textId="77777777" w:rsidR="007F1775" w:rsidRDefault="000F083E">
            <w:pPr>
              <w:jc w:val="right"/>
              <w:textAlignment w:val="bottom"/>
            </w:pPr>
            <w:r>
              <w:rPr>
                <w:rFonts w:ascii="Times New Roman" w:eastAsia="宋体" w:hAnsi="Times New Roman"/>
                <w:color w:val="000000"/>
                <w:sz w:val="20"/>
                <w:szCs w:val="20"/>
              </w:rPr>
              <w:t>%</w:t>
            </w:r>
          </w:p>
        </w:tc>
      </w:tr>
    </w:tbl>
    <w:p w14:paraId="0B2FAB9A" w14:textId="77777777" w:rsidR="007F1775" w:rsidRDefault="007F1775">
      <w:pPr>
        <w:ind w:firstLine="540"/>
        <w:jc w:val="both"/>
      </w:pPr>
    </w:p>
    <w:p w14:paraId="0B2FAB9B" w14:textId="77777777" w:rsidR="007F1775" w:rsidRDefault="000F083E">
      <w:pPr>
        <w:ind w:firstLine="540"/>
        <w:jc w:val="both"/>
      </w:pPr>
      <w:r>
        <w:rPr>
          <w:rFonts w:ascii="Times New Roman" w:eastAsia="宋体" w:hAnsi="Times New Roman"/>
          <w:color w:val="000000"/>
          <w:sz w:val="20"/>
          <w:szCs w:val="20"/>
        </w:rPr>
        <w:t>The following is a schedule, by years, of maturities of lease liabilities as of March 31, 2022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7"/>
        <w:gridCol w:w="120"/>
        <w:gridCol w:w="1193"/>
        <w:gridCol w:w="36"/>
        <w:gridCol w:w="36"/>
        <w:gridCol w:w="36"/>
        <w:gridCol w:w="36"/>
        <w:gridCol w:w="121"/>
        <w:gridCol w:w="1160"/>
        <w:gridCol w:w="36"/>
      </w:tblGrid>
      <w:tr w:rsidR="007F1775" w14:paraId="0B2FABA8" w14:textId="77777777">
        <w:tc>
          <w:tcPr>
            <w:tcW w:w="50" w:type="pct"/>
            <w:shd w:val="clear" w:color="auto" w:fill="auto"/>
            <w:vAlign w:val="bottom"/>
          </w:tcPr>
          <w:p w14:paraId="0B2FAB9C" w14:textId="77777777" w:rsidR="007F1775" w:rsidRDefault="007F1775">
            <w:pPr>
              <w:rPr>
                <w:rFonts w:ascii="宋体"/>
              </w:rPr>
            </w:pPr>
          </w:p>
        </w:tc>
        <w:tc>
          <w:tcPr>
            <w:tcW w:w="3315" w:type="pct"/>
            <w:shd w:val="clear" w:color="auto" w:fill="auto"/>
            <w:vAlign w:val="bottom"/>
          </w:tcPr>
          <w:p w14:paraId="0B2FAB9D" w14:textId="77777777" w:rsidR="007F1775" w:rsidRDefault="007F1775">
            <w:pPr>
              <w:rPr>
                <w:rFonts w:ascii="宋体"/>
              </w:rPr>
            </w:pPr>
          </w:p>
        </w:tc>
        <w:tc>
          <w:tcPr>
            <w:tcW w:w="5" w:type="pct"/>
            <w:shd w:val="clear" w:color="auto" w:fill="auto"/>
            <w:vAlign w:val="bottom"/>
          </w:tcPr>
          <w:p w14:paraId="0B2FAB9E" w14:textId="77777777" w:rsidR="007F1775" w:rsidRDefault="007F1775">
            <w:pPr>
              <w:rPr>
                <w:rFonts w:ascii="宋体"/>
              </w:rPr>
            </w:pPr>
          </w:p>
        </w:tc>
        <w:tc>
          <w:tcPr>
            <w:tcW w:w="50" w:type="pct"/>
            <w:shd w:val="clear" w:color="auto" w:fill="auto"/>
            <w:vAlign w:val="bottom"/>
          </w:tcPr>
          <w:p w14:paraId="0B2FAB9F" w14:textId="77777777" w:rsidR="007F1775" w:rsidRDefault="007F1775">
            <w:pPr>
              <w:rPr>
                <w:rFonts w:ascii="宋体"/>
              </w:rPr>
            </w:pPr>
          </w:p>
        </w:tc>
        <w:tc>
          <w:tcPr>
            <w:tcW w:w="741" w:type="pct"/>
            <w:shd w:val="clear" w:color="auto" w:fill="auto"/>
            <w:vAlign w:val="bottom"/>
          </w:tcPr>
          <w:p w14:paraId="0B2FABA0" w14:textId="77777777" w:rsidR="007F1775" w:rsidRDefault="007F1775">
            <w:pPr>
              <w:rPr>
                <w:rFonts w:ascii="宋体"/>
              </w:rPr>
            </w:pPr>
          </w:p>
        </w:tc>
        <w:tc>
          <w:tcPr>
            <w:tcW w:w="5" w:type="pct"/>
            <w:shd w:val="clear" w:color="auto" w:fill="auto"/>
            <w:vAlign w:val="bottom"/>
          </w:tcPr>
          <w:p w14:paraId="0B2FABA1" w14:textId="77777777" w:rsidR="007F1775" w:rsidRDefault="007F1775">
            <w:pPr>
              <w:rPr>
                <w:rFonts w:ascii="宋体"/>
              </w:rPr>
            </w:pPr>
          </w:p>
        </w:tc>
        <w:tc>
          <w:tcPr>
            <w:tcW w:w="5" w:type="pct"/>
            <w:shd w:val="clear" w:color="auto" w:fill="auto"/>
            <w:vAlign w:val="bottom"/>
          </w:tcPr>
          <w:p w14:paraId="0B2FABA2" w14:textId="77777777" w:rsidR="007F1775" w:rsidRDefault="007F1775">
            <w:pPr>
              <w:rPr>
                <w:rFonts w:ascii="宋体"/>
              </w:rPr>
            </w:pPr>
          </w:p>
        </w:tc>
        <w:tc>
          <w:tcPr>
            <w:tcW w:w="27" w:type="pct"/>
            <w:shd w:val="clear" w:color="auto" w:fill="auto"/>
            <w:vAlign w:val="bottom"/>
          </w:tcPr>
          <w:p w14:paraId="0B2FABA3" w14:textId="77777777" w:rsidR="007F1775" w:rsidRDefault="007F1775">
            <w:pPr>
              <w:rPr>
                <w:rFonts w:ascii="宋体"/>
              </w:rPr>
            </w:pPr>
          </w:p>
        </w:tc>
        <w:tc>
          <w:tcPr>
            <w:tcW w:w="5" w:type="pct"/>
            <w:shd w:val="clear" w:color="auto" w:fill="auto"/>
            <w:vAlign w:val="bottom"/>
          </w:tcPr>
          <w:p w14:paraId="0B2FABA4" w14:textId="77777777" w:rsidR="007F1775" w:rsidRDefault="007F1775">
            <w:pPr>
              <w:rPr>
                <w:rFonts w:ascii="宋体"/>
              </w:rPr>
            </w:pPr>
          </w:p>
        </w:tc>
        <w:tc>
          <w:tcPr>
            <w:tcW w:w="50" w:type="pct"/>
            <w:shd w:val="clear" w:color="auto" w:fill="auto"/>
            <w:vAlign w:val="bottom"/>
          </w:tcPr>
          <w:p w14:paraId="0B2FABA5" w14:textId="77777777" w:rsidR="007F1775" w:rsidRDefault="007F1775">
            <w:pPr>
              <w:rPr>
                <w:rFonts w:ascii="宋体"/>
              </w:rPr>
            </w:pPr>
          </w:p>
        </w:tc>
        <w:tc>
          <w:tcPr>
            <w:tcW w:w="741" w:type="pct"/>
            <w:shd w:val="clear" w:color="auto" w:fill="auto"/>
            <w:vAlign w:val="bottom"/>
          </w:tcPr>
          <w:p w14:paraId="0B2FABA6" w14:textId="77777777" w:rsidR="007F1775" w:rsidRDefault="007F1775">
            <w:pPr>
              <w:rPr>
                <w:rFonts w:ascii="宋体"/>
              </w:rPr>
            </w:pPr>
          </w:p>
        </w:tc>
        <w:tc>
          <w:tcPr>
            <w:tcW w:w="5" w:type="pct"/>
            <w:shd w:val="clear" w:color="auto" w:fill="auto"/>
            <w:vAlign w:val="bottom"/>
          </w:tcPr>
          <w:p w14:paraId="0B2FABA7" w14:textId="77777777" w:rsidR="007F1775" w:rsidRDefault="007F1775">
            <w:pPr>
              <w:rPr>
                <w:rFonts w:ascii="宋体"/>
              </w:rPr>
            </w:pPr>
          </w:p>
        </w:tc>
      </w:tr>
      <w:tr w:rsidR="007F1775" w14:paraId="0B2FABAD" w14:textId="77777777">
        <w:tc>
          <w:tcPr>
            <w:tcW w:w="0" w:type="auto"/>
            <w:gridSpan w:val="3"/>
            <w:shd w:val="clear" w:color="auto" w:fill="auto"/>
            <w:tcMar>
              <w:top w:w="0" w:type="dxa"/>
              <w:left w:w="20" w:type="dxa"/>
              <w:bottom w:w="0" w:type="dxa"/>
              <w:right w:w="20" w:type="dxa"/>
            </w:tcMar>
            <w:vAlign w:val="bottom"/>
          </w:tcPr>
          <w:p w14:paraId="0B2FABA9"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ABAA" w14:textId="77777777" w:rsidR="007F1775" w:rsidRDefault="000F083E">
            <w:pPr>
              <w:jc w:val="center"/>
              <w:textAlignment w:val="center"/>
            </w:pPr>
            <w:r>
              <w:rPr>
                <w:rFonts w:ascii="Times New Roman" w:eastAsia="宋体" w:hAnsi="Times New Roman"/>
                <w:b/>
                <w:bCs/>
                <w:color w:val="000000"/>
                <w:sz w:val="16"/>
                <w:szCs w:val="16"/>
              </w:rPr>
              <w:t>Operating Leases</w:t>
            </w:r>
          </w:p>
        </w:tc>
        <w:tc>
          <w:tcPr>
            <w:tcW w:w="0" w:type="auto"/>
            <w:gridSpan w:val="3"/>
            <w:shd w:val="clear" w:color="auto" w:fill="auto"/>
            <w:tcMar>
              <w:top w:w="0" w:type="dxa"/>
              <w:left w:w="20" w:type="dxa"/>
              <w:bottom w:w="0" w:type="dxa"/>
              <w:right w:w="20" w:type="dxa"/>
            </w:tcMar>
            <w:vAlign w:val="bottom"/>
          </w:tcPr>
          <w:p w14:paraId="0B2FABAB"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center"/>
          </w:tcPr>
          <w:p w14:paraId="0B2FABAC" w14:textId="77777777" w:rsidR="007F1775" w:rsidRDefault="000F083E">
            <w:pPr>
              <w:jc w:val="center"/>
              <w:textAlignment w:val="center"/>
            </w:pPr>
            <w:r>
              <w:rPr>
                <w:rFonts w:ascii="Times New Roman" w:eastAsia="宋体" w:hAnsi="Times New Roman"/>
                <w:b/>
                <w:bCs/>
                <w:color w:val="000000"/>
                <w:sz w:val="16"/>
                <w:szCs w:val="16"/>
              </w:rPr>
              <w:t xml:space="preserve">Finance </w:t>
            </w:r>
            <w:r>
              <w:rPr>
                <w:rFonts w:ascii="Times New Roman" w:eastAsia="宋体" w:hAnsi="Times New Roman"/>
                <w:b/>
                <w:bCs/>
                <w:color w:val="000000"/>
                <w:sz w:val="16"/>
                <w:szCs w:val="16"/>
              </w:rPr>
              <w:t>Leases</w:t>
            </w:r>
          </w:p>
        </w:tc>
      </w:tr>
      <w:tr w:rsidR="007F1775" w14:paraId="0B2FABB6" w14:textId="77777777">
        <w:tc>
          <w:tcPr>
            <w:tcW w:w="0" w:type="auto"/>
            <w:gridSpan w:val="3"/>
            <w:shd w:val="clear" w:color="auto" w:fill="CCEEFF"/>
            <w:tcMar>
              <w:top w:w="40" w:type="dxa"/>
              <w:left w:w="20" w:type="dxa"/>
              <w:bottom w:w="40" w:type="dxa"/>
              <w:right w:w="20" w:type="dxa"/>
            </w:tcMar>
          </w:tcPr>
          <w:p w14:paraId="0B2FABAE" w14:textId="77777777" w:rsidR="007F1775" w:rsidRDefault="000F083E">
            <w:pPr>
              <w:textAlignment w:val="top"/>
            </w:pPr>
            <w:r>
              <w:rPr>
                <w:rFonts w:ascii="Times New Roman" w:eastAsia="宋体" w:hAnsi="Times New Roman"/>
                <w:color w:val="000000"/>
                <w:sz w:val="20"/>
                <w:szCs w:val="20"/>
              </w:rPr>
              <w:t>The remainder of 2022</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ABAF"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BB0" w14:textId="77777777" w:rsidR="007F1775" w:rsidRDefault="000F083E">
            <w:pPr>
              <w:jc w:val="right"/>
              <w:textAlignment w:val="bottom"/>
            </w:pPr>
            <w:r>
              <w:rPr>
                <w:rFonts w:ascii="Times New Roman" w:eastAsia="宋体" w:hAnsi="Times New Roman"/>
                <w:color w:val="000000"/>
                <w:sz w:val="20"/>
                <w:szCs w:val="20"/>
              </w:rPr>
              <w:t>1,061 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BB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BB2"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BB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BB4" w14:textId="77777777" w:rsidR="007F1775" w:rsidRDefault="000F083E">
            <w:pPr>
              <w:jc w:val="right"/>
              <w:textAlignment w:val="bottom"/>
            </w:pPr>
            <w:r>
              <w:rPr>
                <w:rFonts w:ascii="Times New Roman" w:eastAsia="宋体" w:hAnsi="Times New Roman"/>
                <w:color w:val="000000"/>
                <w:sz w:val="20"/>
                <w:szCs w:val="20"/>
              </w:rPr>
              <w:t>78 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BB5" w14:textId="77777777" w:rsidR="007F1775" w:rsidRDefault="007F1775">
            <w:pPr>
              <w:jc w:val="right"/>
              <w:rPr>
                <w:rFonts w:ascii="宋体"/>
              </w:rPr>
            </w:pPr>
          </w:p>
        </w:tc>
      </w:tr>
      <w:tr w:rsidR="007F1775" w14:paraId="0B2FABBD" w14:textId="77777777">
        <w:tc>
          <w:tcPr>
            <w:tcW w:w="0" w:type="auto"/>
            <w:gridSpan w:val="3"/>
            <w:shd w:val="clear" w:color="auto" w:fill="FFFFFF"/>
            <w:tcMar>
              <w:top w:w="40" w:type="dxa"/>
              <w:left w:w="20" w:type="dxa"/>
              <w:bottom w:w="40" w:type="dxa"/>
              <w:right w:w="20" w:type="dxa"/>
            </w:tcMar>
          </w:tcPr>
          <w:p w14:paraId="0B2FABB7" w14:textId="77777777" w:rsidR="007F1775" w:rsidRDefault="000F083E">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0B2FABB8" w14:textId="77777777" w:rsidR="007F1775" w:rsidRDefault="000F083E">
            <w:pPr>
              <w:jc w:val="right"/>
              <w:textAlignment w:val="bottom"/>
            </w:pPr>
            <w:r>
              <w:rPr>
                <w:rFonts w:ascii="Times New Roman" w:eastAsia="宋体" w:hAnsi="Times New Roman"/>
                <w:color w:val="000000"/>
                <w:sz w:val="20"/>
                <w:szCs w:val="20"/>
              </w:rPr>
              <w:t>1,600 </w:t>
            </w:r>
          </w:p>
        </w:tc>
        <w:tc>
          <w:tcPr>
            <w:tcW w:w="0" w:type="auto"/>
            <w:shd w:val="clear" w:color="auto" w:fill="FFFFFF"/>
            <w:tcMar>
              <w:top w:w="40" w:type="dxa"/>
              <w:left w:w="0" w:type="dxa"/>
              <w:bottom w:w="40" w:type="dxa"/>
              <w:right w:w="20" w:type="dxa"/>
            </w:tcMar>
            <w:vAlign w:val="bottom"/>
          </w:tcPr>
          <w:p w14:paraId="0B2FABB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BBA"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BBB" w14:textId="77777777" w:rsidR="007F1775" w:rsidRDefault="000F083E">
            <w:pPr>
              <w:jc w:val="right"/>
              <w:textAlignment w:val="bottom"/>
            </w:pPr>
            <w:r>
              <w:rPr>
                <w:rFonts w:ascii="Times New Roman" w:eastAsia="宋体" w:hAnsi="Times New Roman"/>
                <w:color w:val="000000"/>
                <w:sz w:val="20"/>
                <w:szCs w:val="20"/>
              </w:rPr>
              <w:t>69 </w:t>
            </w:r>
          </w:p>
        </w:tc>
        <w:tc>
          <w:tcPr>
            <w:tcW w:w="0" w:type="auto"/>
            <w:shd w:val="clear" w:color="auto" w:fill="FFFFFF"/>
            <w:tcMar>
              <w:top w:w="40" w:type="dxa"/>
              <w:left w:w="0" w:type="dxa"/>
              <w:bottom w:w="40" w:type="dxa"/>
              <w:right w:w="20" w:type="dxa"/>
            </w:tcMar>
            <w:vAlign w:val="bottom"/>
          </w:tcPr>
          <w:p w14:paraId="0B2FABBC" w14:textId="77777777" w:rsidR="007F1775" w:rsidRDefault="007F1775">
            <w:pPr>
              <w:jc w:val="right"/>
              <w:rPr>
                <w:rFonts w:ascii="宋体"/>
              </w:rPr>
            </w:pPr>
          </w:p>
        </w:tc>
      </w:tr>
      <w:tr w:rsidR="007F1775" w14:paraId="0B2FABC4" w14:textId="77777777">
        <w:tc>
          <w:tcPr>
            <w:tcW w:w="0" w:type="auto"/>
            <w:gridSpan w:val="3"/>
            <w:shd w:val="clear" w:color="auto" w:fill="CCEEFF"/>
            <w:tcMar>
              <w:top w:w="40" w:type="dxa"/>
              <w:left w:w="20" w:type="dxa"/>
              <w:bottom w:w="40" w:type="dxa"/>
              <w:right w:w="20" w:type="dxa"/>
            </w:tcMar>
          </w:tcPr>
          <w:p w14:paraId="0B2FABBE" w14:textId="77777777" w:rsidR="007F1775" w:rsidRDefault="000F083E">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0B2FABBF" w14:textId="77777777" w:rsidR="007F1775" w:rsidRDefault="000F083E">
            <w:pPr>
              <w:jc w:val="right"/>
              <w:textAlignment w:val="bottom"/>
            </w:pPr>
            <w:r>
              <w:rPr>
                <w:rFonts w:ascii="Times New Roman" w:eastAsia="宋体" w:hAnsi="Times New Roman"/>
                <w:color w:val="000000"/>
                <w:sz w:val="20"/>
                <w:szCs w:val="20"/>
              </w:rPr>
              <w:t>1,565 </w:t>
            </w:r>
          </w:p>
        </w:tc>
        <w:tc>
          <w:tcPr>
            <w:tcW w:w="0" w:type="auto"/>
            <w:shd w:val="clear" w:color="auto" w:fill="CCEEFF"/>
            <w:tcMar>
              <w:top w:w="40" w:type="dxa"/>
              <w:left w:w="0" w:type="dxa"/>
              <w:bottom w:w="40" w:type="dxa"/>
              <w:right w:w="20" w:type="dxa"/>
            </w:tcMar>
            <w:vAlign w:val="bottom"/>
          </w:tcPr>
          <w:p w14:paraId="0B2FABC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BC1"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BC2" w14:textId="77777777" w:rsidR="007F1775" w:rsidRDefault="000F083E">
            <w:pPr>
              <w:jc w:val="right"/>
              <w:textAlignment w:val="bottom"/>
            </w:pPr>
            <w:r>
              <w:rPr>
                <w:rFonts w:ascii="Times New Roman" w:eastAsia="宋体" w:hAnsi="Times New Roman"/>
                <w:color w:val="000000"/>
                <w:sz w:val="20"/>
                <w:szCs w:val="20"/>
              </w:rPr>
              <w:t>47 </w:t>
            </w:r>
          </w:p>
        </w:tc>
        <w:tc>
          <w:tcPr>
            <w:tcW w:w="0" w:type="auto"/>
            <w:shd w:val="clear" w:color="auto" w:fill="CCEEFF"/>
            <w:tcMar>
              <w:top w:w="40" w:type="dxa"/>
              <w:left w:w="0" w:type="dxa"/>
              <w:bottom w:w="40" w:type="dxa"/>
              <w:right w:w="20" w:type="dxa"/>
            </w:tcMar>
            <w:vAlign w:val="bottom"/>
          </w:tcPr>
          <w:p w14:paraId="0B2FABC3" w14:textId="77777777" w:rsidR="007F1775" w:rsidRDefault="007F1775">
            <w:pPr>
              <w:jc w:val="right"/>
              <w:rPr>
                <w:rFonts w:ascii="宋体"/>
              </w:rPr>
            </w:pPr>
          </w:p>
        </w:tc>
      </w:tr>
      <w:tr w:rsidR="007F1775" w14:paraId="0B2FABCB" w14:textId="77777777">
        <w:tc>
          <w:tcPr>
            <w:tcW w:w="0" w:type="auto"/>
            <w:gridSpan w:val="3"/>
            <w:shd w:val="clear" w:color="auto" w:fill="FFFFFF"/>
            <w:tcMar>
              <w:top w:w="40" w:type="dxa"/>
              <w:left w:w="20" w:type="dxa"/>
              <w:bottom w:w="40" w:type="dxa"/>
              <w:right w:w="20" w:type="dxa"/>
            </w:tcMar>
          </w:tcPr>
          <w:p w14:paraId="0B2FABC5" w14:textId="77777777" w:rsidR="007F1775" w:rsidRDefault="000F083E">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0B2FABC6" w14:textId="77777777" w:rsidR="007F1775" w:rsidRDefault="000F083E">
            <w:pPr>
              <w:jc w:val="right"/>
              <w:textAlignment w:val="bottom"/>
            </w:pPr>
            <w:r>
              <w:rPr>
                <w:rFonts w:ascii="Times New Roman" w:eastAsia="宋体" w:hAnsi="Times New Roman"/>
                <w:color w:val="000000"/>
                <w:sz w:val="20"/>
                <w:szCs w:val="20"/>
              </w:rPr>
              <w:t>1,403 </w:t>
            </w:r>
          </w:p>
        </w:tc>
        <w:tc>
          <w:tcPr>
            <w:tcW w:w="0" w:type="auto"/>
            <w:shd w:val="clear" w:color="auto" w:fill="FFFFFF"/>
            <w:tcMar>
              <w:top w:w="40" w:type="dxa"/>
              <w:left w:w="0" w:type="dxa"/>
              <w:bottom w:w="40" w:type="dxa"/>
              <w:right w:w="20" w:type="dxa"/>
            </w:tcMar>
            <w:vAlign w:val="bottom"/>
          </w:tcPr>
          <w:p w14:paraId="0B2FABC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BC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BC9" w14:textId="77777777" w:rsidR="007F1775" w:rsidRDefault="000F083E">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0B2FABCA" w14:textId="77777777" w:rsidR="007F1775" w:rsidRDefault="007F1775">
            <w:pPr>
              <w:jc w:val="right"/>
              <w:rPr>
                <w:rFonts w:ascii="宋体"/>
              </w:rPr>
            </w:pPr>
          </w:p>
        </w:tc>
      </w:tr>
      <w:tr w:rsidR="007F1775" w14:paraId="0B2FABD2" w14:textId="77777777">
        <w:tc>
          <w:tcPr>
            <w:tcW w:w="0" w:type="auto"/>
            <w:gridSpan w:val="3"/>
            <w:shd w:val="clear" w:color="auto" w:fill="CCEEFF"/>
            <w:tcMar>
              <w:top w:w="40" w:type="dxa"/>
              <w:left w:w="20" w:type="dxa"/>
              <w:bottom w:w="40" w:type="dxa"/>
              <w:right w:w="20" w:type="dxa"/>
            </w:tcMar>
          </w:tcPr>
          <w:p w14:paraId="0B2FABCC" w14:textId="77777777" w:rsidR="007F1775" w:rsidRDefault="000F083E">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0B2FABCD" w14:textId="77777777" w:rsidR="007F1775" w:rsidRDefault="000F083E">
            <w:pPr>
              <w:jc w:val="right"/>
              <w:textAlignment w:val="bottom"/>
            </w:pPr>
            <w:r>
              <w:rPr>
                <w:rFonts w:ascii="Times New Roman" w:eastAsia="宋体" w:hAnsi="Times New Roman"/>
                <w:color w:val="000000"/>
                <w:sz w:val="20"/>
                <w:szCs w:val="20"/>
              </w:rPr>
              <w:t>1,344 </w:t>
            </w:r>
          </w:p>
        </w:tc>
        <w:tc>
          <w:tcPr>
            <w:tcW w:w="0" w:type="auto"/>
            <w:shd w:val="clear" w:color="auto" w:fill="CCEEFF"/>
            <w:tcMar>
              <w:top w:w="40" w:type="dxa"/>
              <w:left w:w="0" w:type="dxa"/>
              <w:bottom w:w="40" w:type="dxa"/>
              <w:right w:w="20" w:type="dxa"/>
            </w:tcMar>
            <w:vAlign w:val="bottom"/>
          </w:tcPr>
          <w:p w14:paraId="0B2FABC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BCF"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BD0" w14:textId="77777777" w:rsidR="007F1775" w:rsidRDefault="000F083E">
            <w:pPr>
              <w:jc w:val="right"/>
              <w:textAlignment w:val="bottom"/>
            </w:pPr>
            <w:r>
              <w:rPr>
                <w:rFonts w:ascii="Times New Roman" w:eastAsia="宋体" w:hAnsi="Times New Roman"/>
                <w:color w:val="000000"/>
                <w:sz w:val="20"/>
                <w:szCs w:val="20"/>
              </w:rPr>
              <w:t>47 </w:t>
            </w:r>
          </w:p>
        </w:tc>
        <w:tc>
          <w:tcPr>
            <w:tcW w:w="0" w:type="auto"/>
            <w:shd w:val="clear" w:color="auto" w:fill="CCEEFF"/>
            <w:tcMar>
              <w:top w:w="40" w:type="dxa"/>
              <w:left w:w="0" w:type="dxa"/>
              <w:bottom w:w="40" w:type="dxa"/>
              <w:right w:w="20" w:type="dxa"/>
            </w:tcMar>
            <w:vAlign w:val="bottom"/>
          </w:tcPr>
          <w:p w14:paraId="0B2FABD1" w14:textId="77777777" w:rsidR="007F1775" w:rsidRDefault="007F1775">
            <w:pPr>
              <w:jc w:val="right"/>
              <w:rPr>
                <w:rFonts w:ascii="宋体"/>
              </w:rPr>
            </w:pPr>
          </w:p>
        </w:tc>
      </w:tr>
      <w:tr w:rsidR="007F1775" w14:paraId="0B2FABD9" w14:textId="77777777">
        <w:tc>
          <w:tcPr>
            <w:tcW w:w="0" w:type="auto"/>
            <w:gridSpan w:val="3"/>
            <w:shd w:val="clear" w:color="auto" w:fill="auto"/>
            <w:tcMar>
              <w:top w:w="40" w:type="dxa"/>
              <w:left w:w="20" w:type="dxa"/>
              <w:bottom w:w="40" w:type="dxa"/>
              <w:right w:w="20" w:type="dxa"/>
            </w:tcMar>
          </w:tcPr>
          <w:p w14:paraId="0B2FABD3" w14:textId="77777777" w:rsidR="007F1775" w:rsidRDefault="000F083E">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B2FABD4" w14:textId="77777777" w:rsidR="007F1775" w:rsidRDefault="000F083E">
            <w:pPr>
              <w:jc w:val="right"/>
              <w:textAlignment w:val="bottom"/>
            </w:pPr>
            <w:r>
              <w:rPr>
                <w:rFonts w:ascii="Times New Roman" w:eastAsia="宋体" w:hAnsi="Times New Roman"/>
                <w:color w:val="000000"/>
                <w:sz w:val="20"/>
                <w:szCs w:val="20"/>
              </w:rPr>
              <w:t>10,312 </w:t>
            </w:r>
          </w:p>
        </w:tc>
        <w:tc>
          <w:tcPr>
            <w:tcW w:w="0" w:type="auto"/>
            <w:shd w:val="clear" w:color="auto" w:fill="FFFFFF"/>
            <w:tcMar>
              <w:top w:w="40" w:type="dxa"/>
              <w:left w:w="0" w:type="dxa"/>
              <w:bottom w:w="40" w:type="dxa"/>
              <w:right w:w="20" w:type="dxa"/>
            </w:tcMar>
            <w:vAlign w:val="bottom"/>
          </w:tcPr>
          <w:p w14:paraId="0B2FABD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BD6"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BD7" w14:textId="77777777" w:rsidR="007F1775" w:rsidRDefault="000F083E">
            <w:pPr>
              <w:jc w:val="right"/>
              <w:textAlignment w:val="bottom"/>
            </w:pPr>
            <w:r>
              <w:rPr>
                <w:rFonts w:ascii="Times New Roman" w:eastAsia="宋体" w:hAnsi="Times New Roman"/>
                <w:color w:val="000000"/>
                <w:sz w:val="20"/>
                <w:szCs w:val="20"/>
              </w:rPr>
              <w:t>434 </w:t>
            </w:r>
          </w:p>
        </w:tc>
        <w:tc>
          <w:tcPr>
            <w:tcW w:w="0" w:type="auto"/>
            <w:shd w:val="clear" w:color="auto" w:fill="FFFFFF"/>
            <w:tcMar>
              <w:top w:w="40" w:type="dxa"/>
              <w:left w:w="0" w:type="dxa"/>
              <w:bottom w:w="40" w:type="dxa"/>
              <w:right w:w="20" w:type="dxa"/>
            </w:tcMar>
            <w:vAlign w:val="bottom"/>
          </w:tcPr>
          <w:p w14:paraId="0B2FABD8" w14:textId="77777777" w:rsidR="007F1775" w:rsidRDefault="007F1775">
            <w:pPr>
              <w:jc w:val="right"/>
              <w:rPr>
                <w:rFonts w:ascii="宋体"/>
              </w:rPr>
            </w:pPr>
          </w:p>
        </w:tc>
      </w:tr>
      <w:tr w:rsidR="007F1775" w14:paraId="0B2FABE0" w14:textId="77777777">
        <w:tc>
          <w:tcPr>
            <w:tcW w:w="0" w:type="auto"/>
            <w:gridSpan w:val="3"/>
            <w:shd w:val="clear" w:color="auto" w:fill="CCEEFF"/>
            <w:tcMar>
              <w:top w:w="40" w:type="dxa"/>
              <w:left w:w="200" w:type="dxa"/>
              <w:bottom w:w="40" w:type="dxa"/>
              <w:right w:w="20" w:type="dxa"/>
            </w:tcMar>
          </w:tcPr>
          <w:p w14:paraId="0B2FABDA" w14:textId="77777777" w:rsidR="007F1775" w:rsidRDefault="000F083E">
            <w:pPr>
              <w:textAlignment w:val="top"/>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BDB" w14:textId="77777777" w:rsidR="007F1775" w:rsidRDefault="000F083E">
            <w:pPr>
              <w:jc w:val="right"/>
              <w:textAlignment w:val="bottom"/>
            </w:pPr>
            <w:r>
              <w:rPr>
                <w:rFonts w:ascii="Times New Roman" w:eastAsia="宋体" w:hAnsi="Times New Roman"/>
                <w:color w:val="000000"/>
                <w:sz w:val="20"/>
                <w:szCs w:val="20"/>
              </w:rPr>
              <w:t>17,285 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BD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BDD"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BDE" w14:textId="77777777" w:rsidR="007F1775" w:rsidRDefault="000F083E">
            <w:pPr>
              <w:jc w:val="right"/>
              <w:textAlignment w:val="bottom"/>
            </w:pPr>
            <w:r>
              <w:rPr>
                <w:rFonts w:ascii="Times New Roman" w:eastAsia="宋体" w:hAnsi="Times New Roman"/>
                <w:color w:val="000000"/>
                <w:sz w:val="20"/>
                <w:szCs w:val="20"/>
              </w:rPr>
              <w:t>722 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BDF" w14:textId="77777777" w:rsidR="007F1775" w:rsidRDefault="007F1775">
            <w:pPr>
              <w:jc w:val="right"/>
              <w:rPr>
                <w:rFonts w:ascii="宋体"/>
              </w:rPr>
            </w:pPr>
          </w:p>
        </w:tc>
      </w:tr>
      <w:tr w:rsidR="007F1775" w14:paraId="0B2FABE7" w14:textId="77777777">
        <w:tc>
          <w:tcPr>
            <w:tcW w:w="0" w:type="auto"/>
            <w:gridSpan w:val="3"/>
            <w:shd w:val="clear" w:color="auto" w:fill="auto"/>
            <w:tcMar>
              <w:top w:w="40" w:type="dxa"/>
              <w:left w:w="200" w:type="dxa"/>
              <w:bottom w:w="40" w:type="dxa"/>
              <w:right w:w="20" w:type="dxa"/>
            </w:tcMar>
          </w:tcPr>
          <w:p w14:paraId="0B2FABE1" w14:textId="77777777" w:rsidR="007F1775" w:rsidRDefault="000F083E">
            <w:pPr>
              <w:textAlignment w:val="top"/>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0B2FABE2" w14:textId="77777777" w:rsidR="007F1775" w:rsidRDefault="000F083E">
            <w:pPr>
              <w:jc w:val="right"/>
              <w:textAlignment w:val="bottom"/>
            </w:pPr>
            <w:r>
              <w:rPr>
                <w:rFonts w:ascii="Times New Roman" w:eastAsia="宋体" w:hAnsi="Times New Roman"/>
                <w:color w:val="000000"/>
                <w:sz w:val="20"/>
                <w:szCs w:val="20"/>
              </w:rPr>
              <w:t>(3,232)</w:t>
            </w:r>
          </w:p>
        </w:tc>
        <w:tc>
          <w:tcPr>
            <w:tcW w:w="0" w:type="auto"/>
            <w:shd w:val="clear" w:color="auto" w:fill="FFFFFF"/>
            <w:tcMar>
              <w:top w:w="40" w:type="dxa"/>
              <w:left w:w="0" w:type="dxa"/>
              <w:bottom w:w="40" w:type="dxa"/>
              <w:right w:w="20" w:type="dxa"/>
            </w:tcMar>
            <w:vAlign w:val="bottom"/>
          </w:tcPr>
          <w:p w14:paraId="0B2FABE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BE4"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BE5" w14:textId="77777777" w:rsidR="007F1775" w:rsidRDefault="000F083E">
            <w:pPr>
              <w:jc w:val="right"/>
              <w:textAlignment w:val="bottom"/>
            </w:pPr>
            <w:r>
              <w:rPr>
                <w:rFonts w:ascii="Times New Roman" w:eastAsia="宋体" w:hAnsi="Times New Roman"/>
                <w:color w:val="000000"/>
                <w:sz w:val="20"/>
                <w:szCs w:val="20"/>
              </w:rPr>
              <w:t>(117)</w:t>
            </w:r>
          </w:p>
        </w:tc>
        <w:tc>
          <w:tcPr>
            <w:tcW w:w="0" w:type="auto"/>
            <w:shd w:val="clear" w:color="auto" w:fill="FFFFFF"/>
            <w:tcMar>
              <w:top w:w="40" w:type="dxa"/>
              <w:left w:w="0" w:type="dxa"/>
              <w:bottom w:w="40" w:type="dxa"/>
              <w:right w:w="20" w:type="dxa"/>
            </w:tcMar>
            <w:vAlign w:val="bottom"/>
          </w:tcPr>
          <w:p w14:paraId="0B2FABE6" w14:textId="77777777" w:rsidR="007F1775" w:rsidRDefault="007F1775">
            <w:pPr>
              <w:jc w:val="right"/>
              <w:rPr>
                <w:rFonts w:ascii="宋体"/>
              </w:rPr>
            </w:pPr>
          </w:p>
        </w:tc>
      </w:tr>
      <w:tr w:rsidR="007F1775" w14:paraId="0B2FABF0" w14:textId="77777777">
        <w:tc>
          <w:tcPr>
            <w:tcW w:w="0" w:type="auto"/>
            <w:gridSpan w:val="3"/>
            <w:shd w:val="clear" w:color="auto" w:fill="CCEEFF"/>
            <w:tcMar>
              <w:top w:w="40" w:type="dxa"/>
              <w:left w:w="380" w:type="dxa"/>
              <w:bottom w:w="40" w:type="dxa"/>
              <w:right w:w="20" w:type="dxa"/>
            </w:tcMar>
          </w:tcPr>
          <w:p w14:paraId="0B2FABE8" w14:textId="77777777" w:rsidR="007F1775" w:rsidRDefault="000F083E">
            <w:pPr>
              <w:textAlignment w:val="top"/>
            </w:pPr>
            <w:r>
              <w:rPr>
                <w:rFonts w:ascii="Times New Roman" w:eastAsia="宋体" w:hAnsi="Times New Roman"/>
                <w:color w:val="000000"/>
                <w:sz w:val="20"/>
                <w:szCs w:val="20"/>
              </w:rPr>
              <w:t>Present value of lease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ABE9"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BEA" w14:textId="77777777" w:rsidR="007F1775" w:rsidRDefault="000F083E">
            <w:pPr>
              <w:jc w:val="right"/>
              <w:textAlignment w:val="bottom"/>
            </w:pPr>
            <w:r>
              <w:rPr>
                <w:rFonts w:ascii="Times New Roman" w:eastAsia="宋体" w:hAnsi="Times New Roman"/>
                <w:color w:val="000000"/>
                <w:sz w:val="20"/>
                <w:szCs w:val="20"/>
              </w:rPr>
              <w:t>14,053 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BEB"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BEC"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BED"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BEE" w14:textId="77777777" w:rsidR="007F1775" w:rsidRDefault="000F083E">
            <w:pPr>
              <w:jc w:val="right"/>
              <w:textAlignment w:val="bottom"/>
            </w:pPr>
            <w:r>
              <w:rPr>
                <w:rFonts w:ascii="Times New Roman" w:eastAsia="宋体" w:hAnsi="Times New Roman"/>
                <w:color w:val="000000"/>
                <w:sz w:val="20"/>
                <w:szCs w:val="20"/>
              </w:rPr>
              <w:t>605 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BEF" w14:textId="77777777" w:rsidR="007F1775" w:rsidRDefault="007F1775">
            <w:pPr>
              <w:jc w:val="right"/>
              <w:rPr>
                <w:rFonts w:ascii="宋体"/>
              </w:rPr>
            </w:pPr>
          </w:p>
        </w:tc>
      </w:tr>
      <w:tr w:rsidR="007F1775" w14:paraId="0B2FABF5" w14:textId="77777777">
        <w:trPr>
          <w:trHeight w:val="300"/>
        </w:trPr>
        <w:tc>
          <w:tcPr>
            <w:tcW w:w="0" w:type="auto"/>
            <w:gridSpan w:val="3"/>
            <w:shd w:val="clear" w:color="auto" w:fill="FFFFFF"/>
            <w:tcMar>
              <w:top w:w="0" w:type="dxa"/>
              <w:left w:w="20" w:type="dxa"/>
              <w:bottom w:w="0" w:type="dxa"/>
              <w:right w:w="20" w:type="dxa"/>
            </w:tcMar>
            <w:vAlign w:val="bottom"/>
          </w:tcPr>
          <w:p w14:paraId="0B2FABF1" w14:textId="77777777" w:rsidR="007F1775" w:rsidRDefault="007F177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B2FABF2"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BF3" w14:textId="77777777" w:rsidR="007F1775" w:rsidRDefault="007F177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B2FABF4" w14:textId="77777777" w:rsidR="007F1775" w:rsidRDefault="007F1775">
            <w:pPr>
              <w:rPr>
                <w:rFonts w:ascii="宋体"/>
              </w:rPr>
            </w:pPr>
          </w:p>
        </w:tc>
      </w:tr>
      <w:tr w:rsidR="007F1775" w14:paraId="0B2FABFE" w14:textId="77777777">
        <w:tc>
          <w:tcPr>
            <w:tcW w:w="0" w:type="auto"/>
            <w:gridSpan w:val="3"/>
            <w:shd w:val="clear" w:color="auto" w:fill="CCEEFF"/>
            <w:tcMar>
              <w:top w:w="40" w:type="dxa"/>
              <w:left w:w="20" w:type="dxa"/>
              <w:bottom w:w="40" w:type="dxa"/>
              <w:right w:w="20" w:type="dxa"/>
            </w:tcMar>
          </w:tcPr>
          <w:p w14:paraId="0B2FABF6" w14:textId="77777777" w:rsidR="007F1775" w:rsidRDefault="000F083E">
            <w:pPr>
              <w:textAlignment w:val="top"/>
            </w:pPr>
            <w:r>
              <w:rPr>
                <w:rFonts w:ascii="Times New Roman" w:eastAsia="宋体" w:hAnsi="Times New Roman"/>
                <w:color w:val="000000"/>
                <w:sz w:val="20"/>
                <w:szCs w:val="20"/>
              </w:rPr>
              <w:t>Lease liabilities, current</w:t>
            </w:r>
          </w:p>
        </w:tc>
        <w:tc>
          <w:tcPr>
            <w:tcW w:w="0" w:type="auto"/>
            <w:shd w:val="clear" w:color="auto" w:fill="CCEEFF"/>
            <w:tcMar>
              <w:top w:w="40" w:type="dxa"/>
              <w:left w:w="20" w:type="dxa"/>
              <w:bottom w:w="40" w:type="dxa"/>
              <w:right w:w="0" w:type="dxa"/>
            </w:tcMar>
            <w:vAlign w:val="bottom"/>
          </w:tcPr>
          <w:p w14:paraId="0B2FABF7"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BF8" w14:textId="77777777" w:rsidR="007F1775" w:rsidRDefault="000F083E">
            <w:pPr>
              <w:jc w:val="right"/>
              <w:textAlignment w:val="bottom"/>
            </w:pPr>
            <w:r>
              <w:rPr>
                <w:rFonts w:ascii="Times New Roman" w:eastAsia="宋体" w:hAnsi="Times New Roman"/>
                <w:color w:val="000000"/>
                <w:sz w:val="20"/>
                <w:szCs w:val="20"/>
              </w:rPr>
              <w:t>1,159 </w:t>
            </w:r>
          </w:p>
        </w:tc>
        <w:tc>
          <w:tcPr>
            <w:tcW w:w="0" w:type="auto"/>
            <w:shd w:val="clear" w:color="auto" w:fill="CCEEFF"/>
            <w:tcMar>
              <w:top w:w="40" w:type="dxa"/>
              <w:left w:w="0" w:type="dxa"/>
              <w:bottom w:w="40" w:type="dxa"/>
              <w:right w:w="20" w:type="dxa"/>
            </w:tcMar>
            <w:vAlign w:val="bottom"/>
          </w:tcPr>
          <w:p w14:paraId="0B2FABF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BFA"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BFB"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BFC" w14:textId="77777777" w:rsidR="007F1775" w:rsidRDefault="000F083E">
            <w:pPr>
              <w:jc w:val="right"/>
              <w:textAlignment w:val="bottom"/>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bottom"/>
          </w:tcPr>
          <w:p w14:paraId="0B2FABFD" w14:textId="77777777" w:rsidR="007F1775" w:rsidRDefault="007F1775">
            <w:pPr>
              <w:jc w:val="right"/>
              <w:rPr>
                <w:rFonts w:ascii="宋体"/>
              </w:rPr>
            </w:pPr>
          </w:p>
        </w:tc>
      </w:tr>
      <w:tr w:rsidR="007F1775" w14:paraId="0B2FAC05" w14:textId="77777777">
        <w:tc>
          <w:tcPr>
            <w:tcW w:w="0" w:type="auto"/>
            <w:gridSpan w:val="3"/>
            <w:shd w:val="clear" w:color="auto" w:fill="FFFFFF"/>
            <w:tcMar>
              <w:top w:w="40" w:type="dxa"/>
              <w:left w:w="20" w:type="dxa"/>
              <w:bottom w:w="40" w:type="dxa"/>
              <w:right w:w="20" w:type="dxa"/>
            </w:tcMar>
          </w:tcPr>
          <w:p w14:paraId="0B2FABFF" w14:textId="77777777" w:rsidR="007F1775" w:rsidRDefault="000F083E">
            <w:pPr>
              <w:textAlignment w:val="top"/>
            </w:pPr>
            <w:r>
              <w:rPr>
                <w:rFonts w:ascii="Times New Roman" w:eastAsia="宋体" w:hAnsi="Times New Roman"/>
                <w:color w:val="000000"/>
                <w:sz w:val="20"/>
                <w:szCs w:val="20"/>
              </w:rPr>
              <w:t>Lease liabilities, non-current</w:t>
            </w:r>
          </w:p>
        </w:tc>
        <w:tc>
          <w:tcPr>
            <w:tcW w:w="0" w:type="auto"/>
            <w:gridSpan w:val="2"/>
            <w:shd w:val="clear" w:color="auto" w:fill="auto"/>
            <w:tcMar>
              <w:top w:w="40" w:type="dxa"/>
              <w:left w:w="20" w:type="dxa"/>
              <w:bottom w:w="40" w:type="dxa"/>
              <w:right w:w="0" w:type="dxa"/>
            </w:tcMar>
            <w:vAlign w:val="bottom"/>
          </w:tcPr>
          <w:p w14:paraId="0B2FAC00" w14:textId="77777777" w:rsidR="007F1775" w:rsidRDefault="000F083E">
            <w:pPr>
              <w:jc w:val="right"/>
              <w:textAlignment w:val="bottom"/>
            </w:pPr>
            <w:r>
              <w:rPr>
                <w:rFonts w:ascii="Times New Roman" w:eastAsia="宋体" w:hAnsi="Times New Roman"/>
                <w:color w:val="000000"/>
                <w:sz w:val="20"/>
                <w:szCs w:val="20"/>
              </w:rPr>
              <w:t>12,894 </w:t>
            </w:r>
          </w:p>
        </w:tc>
        <w:tc>
          <w:tcPr>
            <w:tcW w:w="0" w:type="auto"/>
            <w:shd w:val="clear" w:color="auto" w:fill="auto"/>
            <w:tcMar>
              <w:top w:w="40" w:type="dxa"/>
              <w:left w:w="0" w:type="dxa"/>
              <w:bottom w:w="40" w:type="dxa"/>
              <w:right w:w="20" w:type="dxa"/>
            </w:tcMar>
            <w:vAlign w:val="bottom"/>
          </w:tcPr>
          <w:p w14:paraId="0B2FAC01" w14:textId="77777777" w:rsidR="007F1775" w:rsidRDefault="007F1775">
            <w:pPr>
              <w:jc w:val="right"/>
              <w:rPr>
                <w:rFonts w:ascii="宋体"/>
              </w:rPr>
            </w:pPr>
          </w:p>
        </w:tc>
        <w:tc>
          <w:tcPr>
            <w:tcW w:w="0" w:type="auto"/>
            <w:gridSpan w:val="3"/>
            <w:shd w:val="clear" w:color="auto" w:fill="auto"/>
            <w:tcMar>
              <w:top w:w="0" w:type="dxa"/>
              <w:left w:w="20" w:type="dxa"/>
              <w:bottom w:w="0" w:type="dxa"/>
              <w:right w:w="20" w:type="dxa"/>
            </w:tcMar>
            <w:vAlign w:val="bottom"/>
          </w:tcPr>
          <w:p w14:paraId="0B2FAC02" w14:textId="77777777" w:rsidR="007F1775" w:rsidRDefault="007F1775">
            <w:pPr>
              <w:rPr>
                <w:rFonts w:ascii="宋体"/>
              </w:rPr>
            </w:pPr>
          </w:p>
        </w:tc>
        <w:tc>
          <w:tcPr>
            <w:tcW w:w="0" w:type="auto"/>
            <w:gridSpan w:val="2"/>
            <w:shd w:val="clear" w:color="auto" w:fill="auto"/>
            <w:tcMar>
              <w:top w:w="40" w:type="dxa"/>
              <w:left w:w="20" w:type="dxa"/>
              <w:bottom w:w="40" w:type="dxa"/>
              <w:right w:w="0" w:type="dxa"/>
            </w:tcMar>
            <w:vAlign w:val="bottom"/>
          </w:tcPr>
          <w:p w14:paraId="0B2FAC03" w14:textId="77777777" w:rsidR="007F1775" w:rsidRDefault="000F083E">
            <w:pPr>
              <w:jc w:val="right"/>
              <w:textAlignment w:val="bottom"/>
            </w:pPr>
            <w:r>
              <w:rPr>
                <w:rFonts w:ascii="Times New Roman" w:eastAsia="宋体" w:hAnsi="Times New Roman"/>
                <w:color w:val="000000"/>
                <w:sz w:val="20"/>
                <w:szCs w:val="20"/>
              </w:rPr>
              <w:t>524 </w:t>
            </w:r>
          </w:p>
        </w:tc>
        <w:tc>
          <w:tcPr>
            <w:tcW w:w="0" w:type="auto"/>
            <w:shd w:val="clear" w:color="auto" w:fill="auto"/>
            <w:tcMar>
              <w:top w:w="40" w:type="dxa"/>
              <w:left w:w="0" w:type="dxa"/>
              <w:bottom w:w="40" w:type="dxa"/>
              <w:right w:w="20" w:type="dxa"/>
            </w:tcMar>
            <w:vAlign w:val="bottom"/>
          </w:tcPr>
          <w:p w14:paraId="0B2FAC04" w14:textId="77777777" w:rsidR="007F1775" w:rsidRDefault="007F1775">
            <w:pPr>
              <w:jc w:val="right"/>
              <w:rPr>
                <w:rFonts w:ascii="宋体"/>
              </w:rPr>
            </w:pPr>
          </w:p>
        </w:tc>
      </w:tr>
      <w:tr w:rsidR="007F1775" w14:paraId="0B2FAC0E" w14:textId="77777777">
        <w:tc>
          <w:tcPr>
            <w:tcW w:w="0" w:type="auto"/>
            <w:gridSpan w:val="3"/>
            <w:shd w:val="clear" w:color="auto" w:fill="CCEEFF"/>
            <w:tcMar>
              <w:top w:w="40" w:type="dxa"/>
              <w:left w:w="380" w:type="dxa"/>
              <w:bottom w:w="40" w:type="dxa"/>
              <w:right w:w="20" w:type="dxa"/>
            </w:tcMar>
          </w:tcPr>
          <w:p w14:paraId="0B2FAC06" w14:textId="77777777" w:rsidR="007F1775" w:rsidRDefault="000F083E">
            <w:pPr>
              <w:textAlignment w:val="top"/>
            </w:pPr>
            <w:r>
              <w:rPr>
                <w:rFonts w:ascii="Times New Roman" w:eastAsia="宋体" w:hAnsi="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C0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C08" w14:textId="77777777" w:rsidR="007F1775" w:rsidRDefault="000F083E">
            <w:pPr>
              <w:jc w:val="right"/>
              <w:textAlignment w:val="bottom"/>
            </w:pPr>
            <w:r>
              <w:rPr>
                <w:rFonts w:ascii="Times New Roman" w:eastAsia="宋体" w:hAnsi="Times New Roman"/>
                <w:color w:val="000000"/>
                <w:sz w:val="20"/>
                <w:szCs w:val="20"/>
              </w:rPr>
              <w:t>14,053 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C0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C0A"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C0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C0C" w14:textId="77777777" w:rsidR="007F1775" w:rsidRDefault="000F083E">
            <w:pPr>
              <w:jc w:val="right"/>
              <w:textAlignment w:val="bottom"/>
            </w:pPr>
            <w:r>
              <w:rPr>
                <w:rFonts w:ascii="Times New Roman" w:eastAsia="宋体" w:hAnsi="Times New Roman"/>
                <w:color w:val="000000"/>
                <w:sz w:val="20"/>
                <w:szCs w:val="20"/>
              </w:rPr>
              <w:t>605 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C0D" w14:textId="77777777" w:rsidR="007F1775" w:rsidRDefault="007F1775">
            <w:pPr>
              <w:jc w:val="right"/>
              <w:rPr>
                <w:rFonts w:ascii="宋体"/>
              </w:rPr>
            </w:pPr>
          </w:p>
        </w:tc>
      </w:tr>
    </w:tbl>
    <w:p w14:paraId="0B2FAC0F" w14:textId="77777777" w:rsidR="007F1775" w:rsidRDefault="007F1775">
      <w:pPr>
        <w:ind w:firstLine="540"/>
        <w:jc w:val="both"/>
      </w:pPr>
    </w:p>
    <w:p w14:paraId="0B2FAC10" w14:textId="77777777" w:rsidR="007F1775" w:rsidRDefault="000F083E">
      <w:pPr>
        <w:jc w:val="center"/>
      </w:pPr>
      <w:r>
        <w:rPr>
          <w:rFonts w:ascii="Times New Roman" w:eastAsia="宋体" w:hAnsi="Times New Roman"/>
          <w:color w:val="000000"/>
          <w:sz w:val="20"/>
          <w:szCs w:val="20"/>
        </w:rPr>
        <w:t>19</w:t>
      </w:r>
    </w:p>
    <w:p w14:paraId="0B2FAC11" w14:textId="77777777" w:rsidR="007F1775" w:rsidRDefault="000F083E">
      <w:r>
        <w:pict w14:anchorId="0B2FBF74">
          <v:rect id="_x0000_i1043" style="width:415.3pt;height:1.5pt" o:hralign="center" o:hrstd="t" o:hr="t" fillcolor="#a0a0a0" stroked="f"/>
        </w:pict>
      </w:r>
    </w:p>
    <w:p w14:paraId="0B2FAC12" w14:textId="77777777" w:rsidR="007F1775" w:rsidRDefault="007F1775"/>
    <w:p w14:paraId="0B2FAC13" w14:textId="77777777" w:rsidR="007F1775" w:rsidRDefault="007F1775"/>
    <w:p w14:paraId="0B2FAC14" w14:textId="77777777" w:rsidR="007F1775" w:rsidRDefault="000F083E">
      <w:hyperlink r:id="rId97" w:anchor="iea70e328caa94cefb76a9db6ed6338fc_7" w:history="1">
        <w:r>
          <w:rPr>
            <w:rStyle w:val="a5"/>
            <w:rFonts w:ascii="Times New Roman" w:eastAsia="宋体" w:hAnsi="Times New Roman"/>
            <w:sz w:val="20"/>
            <w:szCs w:val="20"/>
          </w:rPr>
          <w:t>Table of Contents</w:t>
        </w:r>
      </w:hyperlink>
    </w:p>
    <w:p w14:paraId="0B2FAC15" w14:textId="77777777" w:rsidR="007F1775" w:rsidRDefault="000F083E">
      <w:pPr>
        <w:ind w:firstLine="540"/>
        <w:jc w:val="both"/>
      </w:pPr>
      <w:r>
        <w:rPr>
          <w:rFonts w:ascii="Times New Roman" w:eastAsia="宋体" w:hAnsi="Times New Roman"/>
          <w:color w:val="000000"/>
          <w:sz w:val="20"/>
          <w:szCs w:val="20"/>
        </w:rPr>
        <w:t>The table above does not include lease payments that were not fixed at commencement o</w:t>
      </w:r>
      <w:r>
        <w:rPr>
          <w:rFonts w:ascii="Times New Roman" w:eastAsia="宋体" w:hAnsi="Times New Roman"/>
          <w:color w:val="000000"/>
          <w:sz w:val="20"/>
          <w:szCs w:val="20"/>
        </w:rPr>
        <w:t>r lease modification. As of March 31, 2022, we have additional operating and finance leases, that have not yet commenced, with lease obligations of approximately $9.78 billion and $1.63 billion, respectively, mostly for offices, data centers, and network i</w:t>
      </w:r>
      <w:r>
        <w:rPr>
          <w:rFonts w:ascii="Times New Roman" w:eastAsia="宋体" w:hAnsi="Times New Roman"/>
          <w:color w:val="000000"/>
          <w:sz w:val="20"/>
          <w:szCs w:val="20"/>
        </w:rPr>
        <w:t>nfrastructure. These operating and finance leases will commence between the remainder of 2022 and 2028 with lease terms of greater than one year to 30 years.</w:t>
      </w:r>
    </w:p>
    <w:p w14:paraId="0B2FAC16" w14:textId="77777777" w:rsidR="007F1775" w:rsidRDefault="007F1775">
      <w:pPr>
        <w:ind w:firstLine="540"/>
        <w:jc w:val="both"/>
      </w:pPr>
    </w:p>
    <w:p w14:paraId="0B2FAC17" w14:textId="77777777" w:rsidR="007F1775" w:rsidRDefault="000F083E">
      <w:pPr>
        <w:ind w:firstLine="540"/>
        <w:jc w:val="both"/>
      </w:pPr>
      <w:r>
        <w:rPr>
          <w:rFonts w:ascii="Times New Roman" w:eastAsia="宋体" w:hAnsi="Times New Roman"/>
          <w:color w:val="000000"/>
          <w:sz w:val="20"/>
          <w:szCs w:val="20"/>
        </w:rPr>
        <w:t>Supplemental cash flow information related to leases is as follows (in millions):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5486"/>
        <w:gridCol w:w="36"/>
        <w:gridCol w:w="120"/>
        <w:gridCol w:w="1193"/>
        <w:gridCol w:w="36"/>
        <w:gridCol w:w="36"/>
        <w:gridCol w:w="36"/>
        <w:gridCol w:w="36"/>
        <w:gridCol w:w="120"/>
        <w:gridCol w:w="1160"/>
        <w:gridCol w:w="36"/>
      </w:tblGrid>
      <w:tr w:rsidR="007F1775" w14:paraId="0B2FAC24" w14:textId="77777777">
        <w:tc>
          <w:tcPr>
            <w:tcW w:w="50" w:type="pct"/>
            <w:shd w:val="clear" w:color="auto" w:fill="auto"/>
            <w:vAlign w:val="bottom"/>
          </w:tcPr>
          <w:p w14:paraId="0B2FAC18" w14:textId="77777777" w:rsidR="007F1775" w:rsidRDefault="007F1775">
            <w:pPr>
              <w:rPr>
                <w:rFonts w:ascii="宋体"/>
              </w:rPr>
            </w:pPr>
          </w:p>
        </w:tc>
        <w:tc>
          <w:tcPr>
            <w:tcW w:w="3315" w:type="pct"/>
            <w:shd w:val="clear" w:color="auto" w:fill="auto"/>
            <w:vAlign w:val="bottom"/>
          </w:tcPr>
          <w:p w14:paraId="0B2FAC19" w14:textId="77777777" w:rsidR="007F1775" w:rsidRDefault="007F1775">
            <w:pPr>
              <w:rPr>
                <w:rFonts w:ascii="宋体"/>
              </w:rPr>
            </w:pPr>
          </w:p>
        </w:tc>
        <w:tc>
          <w:tcPr>
            <w:tcW w:w="5" w:type="pct"/>
            <w:shd w:val="clear" w:color="auto" w:fill="auto"/>
            <w:vAlign w:val="bottom"/>
          </w:tcPr>
          <w:p w14:paraId="0B2FAC1A" w14:textId="77777777" w:rsidR="007F1775" w:rsidRDefault="007F1775">
            <w:pPr>
              <w:rPr>
                <w:rFonts w:ascii="宋体"/>
              </w:rPr>
            </w:pPr>
          </w:p>
        </w:tc>
        <w:tc>
          <w:tcPr>
            <w:tcW w:w="50" w:type="pct"/>
            <w:shd w:val="clear" w:color="auto" w:fill="auto"/>
            <w:vAlign w:val="bottom"/>
          </w:tcPr>
          <w:p w14:paraId="0B2FAC1B" w14:textId="77777777" w:rsidR="007F1775" w:rsidRDefault="007F1775">
            <w:pPr>
              <w:rPr>
                <w:rFonts w:ascii="宋体"/>
              </w:rPr>
            </w:pPr>
          </w:p>
        </w:tc>
        <w:tc>
          <w:tcPr>
            <w:tcW w:w="741" w:type="pct"/>
            <w:shd w:val="clear" w:color="auto" w:fill="auto"/>
            <w:vAlign w:val="bottom"/>
          </w:tcPr>
          <w:p w14:paraId="0B2FAC1C" w14:textId="77777777" w:rsidR="007F1775" w:rsidRDefault="007F1775">
            <w:pPr>
              <w:rPr>
                <w:rFonts w:ascii="宋体"/>
              </w:rPr>
            </w:pPr>
          </w:p>
        </w:tc>
        <w:tc>
          <w:tcPr>
            <w:tcW w:w="5" w:type="pct"/>
            <w:shd w:val="clear" w:color="auto" w:fill="auto"/>
            <w:vAlign w:val="bottom"/>
          </w:tcPr>
          <w:p w14:paraId="0B2FAC1D" w14:textId="77777777" w:rsidR="007F1775" w:rsidRDefault="007F1775">
            <w:pPr>
              <w:rPr>
                <w:rFonts w:ascii="宋体"/>
              </w:rPr>
            </w:pPr>
          </w:p>
        </w:tc>
        <w:tc>
          <w:tcPr>
            <w:tcW w:w="5" w:type="pct"/>
            <w:shd w:val="clear" w:color="auto" w:fill="auto"/>
            <w:vAlign w:val="bottom"/>
          </w:tcPr>
          <w:p w14:paraId="0B2FAC1E" w14:textId="77777777" w:rsidR="007F1775" w:rsidRDefault="007F1775">
            <w:pPr>
              <w:rPr>
                <w:rFonts w:ascii="宋体"/>
              </w:rPr>
            </w:pPr>
          </w:p>
        </w:tc>
        <w:tc>
          <w:tcPr>
            <w:tcW w:w="27" w:type="pct"/>
            <w:shd w:val="clear" w:color="auto" w:fill="auto"/>
            <w:vAlign w:val="bottom"/>
          </w:tcPr>
          <w:p w14:paraId="0B2FAC1F" w14:textId="77777777" w:rsidR="007F1775" w:rsidRDefault="007F1775">
            <w:pPr>
              <w:rPr>
                <w:rFonts w:ascii="宋体"/>
              </w:rPr>
            </w:pPr>
          </w:p>
        </w:tc>
        <w:tc>
          <w:tcPr>
            <w:tcW w:w="5" w:type="pct"/>
            <w:shd w:val="clear" w:color="auto" w:fill="auto"/>
            <w:vAlign w:val="bottom"/>
          </w:tcPr>
          <w:p w14:paraId="0B2FAC20" w14:textId="77777777" w:rsidR="007F1775" w:rsidRDefault="007F1775">
            <w:pPr>
              <w:rPr>
                <w:rFonts w:ascii="宋体"/>
              </w:rPr>
            </w:pPr>
          </w:p>
        </w:tc>
        <w:tc>
          <w:tcPr>
            <w:tcW w:w="50" w:type="pct"/>
            <w:shd w:val="clear" w:color="auto" w:fill="auto"/>
            <w:vAlign w:val="bottom"/>
          </w:tcPr>
          <w:p w14:paraId="0B2FAC21" w14:textId="77777777" w:rsidR="007F1775" w:rsidRDefault="007F1775">
            <w:pPr>
              <w:rPr>
                <w:rFonts w:ascii="宋体"/>
              </w:rPr>
            </w:pPr>
          </w:p>
        </w:tc>
        <w:tc>
          <w:tcPr>
            <w:tcW w:w="741" w:type="pct"/>
            <w:shd w:val="clear" w:color="auto" w:fill="auto"/>
            <w:vAlign w:val="bottom"/>
          </w:tcPr>
          <w:p w14:paraId="0B2FAC22" w14:textId="77777777" w:rsidR="007F1775" w:rsidRDefault="007F1775">
            <w:pPr>
              <w:rPr>
                <w:rFonts w:ascii="宋体"/>
              </w:rPr>
            </w:pPr>
          </w:p>
        </w:tc>
        <w:tc>
          <w:tcPr>
            <w:tcW w:w="5" w:type="pct"/>
            <w:shd w:val="clear" w:color="auto" w:fill="auto"/>
            <w:vAlign w:val="bottom"/>
          </w:tcPr>
          <w:p w14:paraId="0B2FAC23" w14:textId="77777777" w:rsidR="007F1775" w:rsidRDefault="007F1775">
            <w:pPr>
              <w:rPr>
                <w:rFonts w:ascii="宋体"/>
              </w:rPr>
            </w:pPr>
          </w:p>
        </w:tc>
      </w:tr>
      <w:tr w:rsidR="007F1775" w14:paraId="0B2FAC27" w14:textId="77777777">
        <w:tc>
          <w:tcPr>
            <w:tcW w:w="0" w:type="auto"/>
            <w:gridSpan w:val="3"/>
            <w:shd w:val="clear" w:color="auto" w:fill="auto"/>
            <w:tcMar>
              <w:top w:w="0" w:type="dxa"/>
              <w:left w:w="20" w:type="dxa"/>
              <w:bottom w:w="0" w:type="dxa"/>
              <w:right w:w="20" w:type="dxa"/>
            </w:tcMar>
            <w:vAlign w:val="bottom"/>
          </w:tcPr>
          <w:p w14:paraId="0B2FAC25" w14:textId="77777777" w:rsidR="007F1775" w:rsidRDefault="007F1775">
            <w:pPr>
              <w:rPr>
                <w:rFonts w:ascii="宋体"/>
              </w:rPr>
            </w:pPr>
          </w:p>
        </w:tc>
        <w:tc>
          <w:tcPr>
            <w:tcW w:w="0" w:type="auto"/>
            <w:gridSpan w:val="9"/>
            <w:shd w:val="clear" w:color="auto" w:fill="auto"/>
            <w:tcMar>
              <w:top w:w="40" w:type="dxa"/>
              <w:left w:w="20" w:type="dxa"/>
              <w:bottom w:w="40" w:type="dxa"/>
              <w:right w:w="20" w:type="dxa"/>
            </w:tcMar>
            <w:vAlign w:val="center"/>
          </w:tcPr>
          <w:p w14:paraId="0B2FAC26" w14:textId="77777777" w:rsidR="007F1775" w:rsidRDefault="000F083E">
            <w:pPr>
              <w:jc w:val="center"/>
              <w:textAlignment w:val="center"/>
            </w:pPr>
            <w:r>
              <w:rPr>
                <w:rFonts w:ascii="Times New Roman" w:eastAsia="宋体" w:hAnsi="Times New Roman"/>
                <w:b/>
                <w:bCs/>
                <w:color w:val="000000"/>
                <w:sz w:val="16"/>
                <w:szCs w:val="16"/>
              </w:rPr>
              <w:t>Three Months Ended March 31,</w:t>
            </w:r>
          </w:p>
        </w:tc>
      </w:tr>
      <w:tr w:rsidR="007F1775" w14:paraId="0B2FAC2C" w14:textId="77777777">
        <w:tc>
          <w:tcPr>
            <w:tcW w:w="0" w:type="auto"/>
            <w:gridSpan w:val="3"/>
            <w:shd w:val="clear" w:color="auto" w:fill="auto"/>
            <w:tcMar>
              <w:top w:w="0" w:type="dxa"/>
              <w:left w:w="20" w:type="dxa"/>
              <w:bottom w:w="0" w:type="dxa"/>
              <w:right w:w="20" w:type="dxa"/>
            </w:tcMar>
            <w:vAlign w:val="bottom"/>
          </w:tcPr>
          <w:p w14:paraId="0B2FAC28"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C29" w14:textId="77777777" w:rsidR="007F1775" w:rsidRDefault="000F083E">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C2A"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C2B" w14:textId="77777777" w:rsidR="007F1775" w:rsidRDefault="000F083E">
            <w:pPr>
              <w:jc w:val="center"/>
              <w:textAlignment w:val="center"/>
            </w:pPr>
            <w:r>
              <w:rPr>
                <w:rFonts w:ascii="Times New Roman" w:eastAsia="宋体" w:hAnsi="Times New Roman"/>
                <w:b/>
                <w:bCs/>
                <w:color w:val="000000"/>
                <w:sz w:val="16"/>
                <w:szCs w:val="16"/>
              </w:rPr>
              <w:t>2021</w:t>
            </w:r>
          </w:p>
        </w:tc>
      </w:tr>
      <w:tr w:rsidR="007F1775" w14:paraId="0B2FAC31" w14:textId="77777777">
        <w:tc>
          <w:tcPr>
            <w:tcW w:w="0" w:type="auto"/>
            <w:gridSpan w:val="3"/>
            <w:shd w:val="clear" w:color="auto" w:fill="CCEEFF"/>
            <w:tcMar>
              <w:top w:w="40" w:type="dxa"/>
              <w:left w:w="20" w:type="dxa"/>
              <w:bottom w:w="40" w:type="dxa"/>
              <w:right w:w="20" w:type="dxa"/>
            </w:tcMar>
          </w:tcPr>
          <w:p w14:paraId="0B2FAC2D" w14:textId="77777777" w:rsidR="007F1775" w:rsidRDefault="000F083E">
            <w:pPr>
              <w:textAlignment w:val="top"/>
            </w:pPr>
            <w:r>
              <w:rPr>
                <w:rFonts w:ascii="Times New Roman" w:eastAsia="宋体" w:hAnsi="Times New Roman"/>
                <w:color w:val="000000"/>
                <w:sz w:val="20"/>
                <w:szCs w:val="20"/>
              </w:rPr>
              <w:t>Cash paid for amounts included in the measurement of lease liabilities: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C2E"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C2F"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C30" w14:textId="77777777" w:rsidR="007F1775" w:rsidRDefault="007F1775">
            <w:pPr>
              <w:rPr>
                <w:rFonts w:ascii="宋体"/>
              </w:rPr>
            </w:pPr>
          </w:p>
        </w:tc>
      </w:tr>
      <w:tr w:rsidR="007F1775" w14:paraId="0B2FAC3A" w14:textId="77777777">
        <w:tc>
          <w:tcPr>
            <w:tcW w:w="0" w:type="auto"/>
            <w:gridSpan w:val="3"/>
            <w:shd w:val="clear" w:color="auto" w:fill="FFFFFF"/>
            <w:tcMar>
              <w:top w:w="40" w:type="dxa"/>
              <w:left w:w="200" w:type="dxa"/>
              <w:bottom w:w="40" w:type="dxa"/>
              <w:right w:w="20" w:type="dxa"/>
            </w:tcMar>
          </w:tcPr>
          <w:p w14:paraId="0B2FAC32" w14:textId="77777777" w:rsidR="007F1775" w:rsidRDefault="000F083E">
            <w:pPr>
              <w:textAlignment w:val="top"/>
            </w:pPr>
            <w:r>
              <w:rPr>
                <w:rFonts w:ascii="Times New Roman" w:eastAsia="宋体" w:hAnsi="Times New Roman"/>
                <w:color w:val="000000"/>
                <w:sz w:val="20"/>
                <w:szCs w:val="20"/>
              </w:rPr>
              <w:t>Operating cash flows for operating leases</w:t>
            </w:r>
          </w:p>
        </w:tc>
        <w:tc>
          <w:tcPr>
            <w:tcW w:w="0" w:type="auto"/>
            <w:shd w:val="clear" w:color="auto" w:fill="FFFFFF"/>
            <w:tcMar>
              <w:top w:w="40" w:type="dxa"/>
              <w:left w:w="20" w:type="dxa"/>
              <w:bottom w:w="40" w:type="dxa"/>
              <w:right w:w="0" w:type="dxa"/>
            </w:tcMar>
            <w:vAlign w:val="bottom"/>
          </w:tcPr>
          <w:p w14:paraId="0B2FAC33"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C34" w14:textId="77777777" w:rsidR="007F1775" w:rsidRDefault="000F083E">
            <w:pPr>
              <w:jc w:val="right"/>
              <w:textAlignment w:val="bottom"/>
            </w:pPr>
            <w:r>
              <w:rPr>
                <w:rFonts w:ascii="Times New Roman" w:eastAsia="宋体" w:hAnsi="Times New Roman"/>
                <w:color w:val="000000"/>
                <w:sz w:val="20"/>
                <w:szCs w:val="20"/>
              </w:rPr>
              <w:t>389 </w:t>
            </w:r>
          </w:p>
        </w:tc>
        <w:tc>
          <w:tcPr>
            <w:tcW w:w="0" w:type="auto"/>
            <w:shd w:val="clear" w:color="auto" w:fill="FFFFFF"/>
            <w:tcMar>
              <w:top w:w="40" w:type="dxa"/>
              <w:left w:w="0" w:type="dxa"/>
              <w:bottom w:w="40" w:type="dxa"/>
              <w:right w:w="20" w:type="dxa"/>
            </w:tcMar>
            <w:vAlign w:val="bottom"/>
          </w:tcPr>
          <w:p w14:paraId="0B2FAC3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C36"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C37"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C38" w14:textId="77777777" w:rsidR="007F1775" w:rsidRDefault="000F083E">
            <w:pPr>
              <w:jc w:val="right"/>
              <w:textAlignment w:val="bottom"/>
            </w:pPr>
            <w:r>
              <w:rPr>
                <w:rFonts w:ascii="Times New Roman" w:eastAsia="宋体" w:hAnsi="Times New Roman"/>
                <w:color w:val="000000"/>
                <w:sz w:val="20"/>
                <w:szCs w:val="20"/>
              </w:rPr>
              <w:t>329 </w:t>
            </w:r>
          </w:p>
        </w:tc>
        <w:tc>
          <w:tcPr>
            <w:tcW w:w="0" w:type="auto"/>
            <w:shd w:val="clear" w:color="auto" w:fill="FFFFFF"/>
            <w:tcMar>
              <w:top w:w="40" w:type="dxa"/>
              <w:left w:w="0" w:type="dxa"/>
              <w:bottom w:w="40" w:type="dxa"/>
              <w:right w:w="20" w:type="dxa"/>
            </w:tcMar>
            <w:vAlign w:val="bottom"/>
          </w:tcPr>
          <w:p w14:paraId="0B2FAC39" w14:textId="77777777" w:rsidR="007F1775" w:rsidRDefault="007F1775">
            <w:pPr>
              <w:jc w:val="right"/>
              <w:rPr>
                <w:rFonts w:ascii="宋体"/>
              </w:rPr>
            </w:pPr>
          </w:p>
        </w:tc>
      </w:tr>
      <w:tr w:rsidR="007F1775" w14:paraId="0B2FAC43" w14:textId="77777777">
        <w:tc>
          <w:tcPr>
            <w:tcW w:w="0" w:type="auto"/>
            <w:gridSpan w:val="3"/>
            <w:shd w:val="clear" w:color="auto" w:fill="CCEEFF"/>
            <w:tcMar>
              <w:top w:w="40" w:type="dxa"/>
              <w:left w:w="200" w:type="dxa"/>
              <w:bottom w:w="40" w:type="dxa"/>
              <w:right w:w="20" w:type="dxa"/>
            </w:tcMar>
          </w:tcPr>
          <w:p w14:paraId="0B2FAC3B" w14:textId="77777777" w:rsidR="007F1775" w:rsidRDefault="000F083E">
            <w:pPr>
              <w:textAlignment w:val="top"/>
            </w:pPr>
            <w:r>
              <w:rPr>
                <w:rFonts w:ascii="Times New Roman" w:eastAsia="宋体" w:hAnsi="Times New Roman"/>
                <w:color w:val="000000"/>
                <w:sz w:val="20"/>
                <w:szCs w:val="20"/>
              </w:rPr>
              <w:t>Operating cash flows for finance leases</w:t>
            </w:r>
          </w:p>
        </w:tc>
        <w:tc>
          <w:tcPr>
            <w:tcW w:w="0" w:type="auto"/>
            <w:shd w:val="clear" w:color="auto" w:fill="CCEEFF"/>
            <w:tcMar>
              <w:top w:w="40" w:type="dxa"/>
              <w:left w:w="20" w:type="dxa"/>
              <w:bottom w:w="40" w:type="dxa"/>
              <w:right w:w="0" w:type="dxa"/>
            </w:tcMar>
            <w:vAlign w:val="bottom"/>
          </w:tcPr>
          <w:p w14:paraId="0B2FAC3C"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C3D" w14:textId="77777777" w:rsidR="007F1775" w:rsidRDefault="000F083E">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B2FAC3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C3F"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C40"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C41" w14:textId="77777777" w:rsidR="007F1775" w:rsidRDefault="000F083E">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B2FAC42" w14:textId="77777777" w:rsidR="007F1775" w:rsidRDefault="007F1775">
            <w:pPr>
              <w:jc w:val="right"/>
              <w:rPr>
                <w:rFonts w:ascii="宋体"/>
              </w:rPr>
            </w:pPr>
          </w:p>
        </w:tc>
      </w:tr>
      <w:tr w:rsidR="007F1775" w14:paraId="0B2FAC4C" w14:textId="77777777">
        <w:tc>
          <w:tcPr>
            <w:tcW w:w="0" w:type="auto"/>
            <w:gridSpan w:val="3"/>
            <w:shd w:val="clear" w:color="auto" w:fill="auto"/>
            <w:tcMar>
              <w:top w:w="40" w:type="dxa"/>
              <w:left w:w="200" w:type="dxa"/>
              <w:bottom w:w="40" w:type="dxa"/>
              <w:right w:w="20" w:type="dxa"/>
            </w:tcMar>
          </w:tcPr>
          <w:p w14:paraId="0B2FAC44" w14:textId="77777777" w:rsidR="007F1775" w:rsidRDefault="000F083E">
            <w:pPr>
              <w:textAlignment w:val="top"/>
            </w:pPr>
            <w:r>
              <w:rPr>
                <w:rFonts w:ascii="Times New Roman" w:eastAsia="宋体" w:hAnsi="Times New Roman"/>
                <w:color w:val="000000"/>
                <w:sz w:val="20"/>
                <w:szCs w:val="20"/>
              </w:rPr>
              <w:t xml:space="preserve">Financing cash </w:t>
            </w:r>
            <w:r>
              <w:rPr>
                <w:rFonts w:ascii="Times New Roman" w:eastAsia="宋体" w:hAnsi="Times New Roman"/>
                <w:color w:val="000000"/>
                <w:sz w:val="20"/>
                <w:szCs w:val="20"/>
              </w:rPr>
              <w:t>flows for finance leases</w:t>
            </w:r>
          </w:p>
        </w:tc>
        <w:tc>
          <w:tcPr>
            <w:tcW w:w="0" w:type="auto"/>
            <w:shd w:val="clear" w:color="auto" w:fill="FFFFFF"/>
            <w:tcMar>
              <w:top w:w="40" w:type="dxa"/>
              <w:left w:w="20" w:type="dxa"/>
              <w:bottom w:w="40" w:type="dxa"/>
              <w:right w:w="0" w:type="dxa"/>
            </w:tcMar>
            <w:vAlign w:val="bottom"/>
          </w:tcPr>
          <w:p w14:paraId="0B2FAC45"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C46" w14:textId="77777777" w:rsidR="007F1775" w:rsidRDefault="000F083E">
            <w:pPr>
              <w:jc w:val="right"/>
              <w:textAlignment w:val="bottom"/>
            </w:pPr>
            <w:r>
              <w:rPr>
                <w:rFonts w:ascii="Times New Roman" w:eastAsia="宋体" w:hAnsi="Times New Roman"/>
                <w:color w:val="000000"/>
                <w:sz w:val="20"/>
                <w:szCs w:val="20"/>
              </w:rPr>
              <w:t>233 </w:t>
            </w:r>
          </w:p>
        </w:tc>
        <w:tc>
          <w:tcPr>
            <w:tcW w:w="0" w:type="auto"/>
            <w:shd w:val="clear" w:color="auto" w:fill="FFFFFF"/>
            <w:tcMar>
              <w:top w:w="40" w:type="dxa"/>
              <w:left w:w="0" w:type="dxa"/>
              <w:bottom w:w="40" w:type="dxa"/>
              <w:right w:w="20" w:type="dxa"/>
            </w:tcMar>
            <w:vAlign w:val="bottom"/>
          </w:tcPr>
          <w:p w14:paraId="0B2FAC4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C48"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C49"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C4A" w14:textId="77777777" w:rsidR="007F1775" w:rsidRDefault="000F083E">
            <w:pPr>
              <w:jc w:val="right"/>
              <w:textAlignment w:val="bottom"/>
            </w:pPr>
            <w:r>
              <w:rPr>
                <w:rFonts w:ascii="Times New Roman" w:eastAsia="宋体" w:hAnsi="Times New Roman"/>
                <w:color w:val="000000"/>
                <w:sz w:val="20"/>
                <w:szCs w:val="20"/>
              </w:rPr>
              <w:t>151 </w:t>
            </w:r>
          </w:p>
        </w:tc>
        <w:tc>
          <w:tcPr>
            <w:tcW w:w="0" w:type="auto"/>
            <w:shd w:val="clear" w:color="auto" w:fill="FFFFFF"/>
            <w:tcMar>
              <w:top w:w="40" w:type="dxa"/>
              <w:left w:w="0" w:type="dxa"/>
              <w:bottom w:w="40" w:type="dxa"/>
              <w:right w:w="20" w:type="dxa"/>
            </w:tcMar>
            <w:vAlign w:val="bottom"/>
          </w:tcPr>
          <w:p w14:paraId="0B2FAC4B" w14:textId="77777777" w:rsidR="007F1775" w:rsidRDefault="007F1775">
            <w:pPr>
              <w:jc w:val="right"/>
              <w:rPr>
                <w:rFonts w:ascii="宋体"/>
              </w:rPr>
            </w:pPr>
          </w:p>
        </w:tc>
      </w:tr>
      <w:tr w:rsidR="007F1775" w14:paraId="0B2FAC51" w14:textId="77777777">
        <w:tc>
          <w:tcPr>
            <w:tcW w:w="0" w:type="auto"/>
            <w:gridSpan w:val="3"/>
            <w:shd w:val="clear" w:color="auto" w:fill="CCEEFF"/>
            <w:tcMar>
              <w:top w:w="40" w:type="dxa"/>
              <w:left w:w="20" w:type="dxa"/>
              <w:bottom w:w="40" w:type="dxa"/>
              <w:right w:w="20" w:type="dxa"/>
            </w:tcMar>
          </w:tcPr>
          <w:p w14:paraId="0B2FAC4D" w14:textId="77777777" w:rsidR="007F1775" w:rsidRDefault="000F083E">
            <w:pPr>
              <w:textAlignment w:val="top"/>
            </w:pPr>
            <w:r>
              <w:rPr>
                <w:rFonts w:ascii="Times New Roman" w:eastAsia="宋体" w:hAnsi="Times New Roman"/>
                <w:color w:val="000000"/>
                <w:sz w:val="20"/>
                <w:szCs w:val="20"/>
              </w:rPr>
              <w:t>Lease liabilities arising from obtaining right-of-use assets:</w:t>
            </w:r>
          </w:p>
        </w:tc>
        <w:tc>
          <w:tcPr>
            <w:tcW w:w="0" w:type="auto"/>
            <w:gridSpan w:val="3"/>
            <w:shd w:val="clear" w:color="auto" w:fill="CCEEFF"/>
            <w:tcMar>
              <w:top w:w="0" w:type="dxa"/>
              <w:left w:w="20" w:type="dxa"/>
              <w:bottom w:w="0" w:type="dxa"/>
              <w:right w:w="20" w:type="dxa"/>
            </w:tcMar>
            <w:vAlign w:val="bottom"/>
          </w:tcPr>
          <w:p w14:paraId="0B2FAC4E"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C4F"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C50" w14:textId="77777777" w:rsidR="007F1775" w:rsidRDefault="007F1775">
            <w:pPr>
              <w:rPr>
                <w:rFonts w:ascii="宋体"/>
              </w:rPr>
            </w:pPr>
          </w:p>
        </w:tc>
      </w:tr>
      <w:tr w:rsidR="007F1775" w14:paraId="0B2FAC5A" w14:textId="77777777">
        <w:tc>
          <w:tcPr>
            <w:tcW w:w="0" w:type="auto"/>
            <w:gridSpan w:val="3"/>
            <w:shd w:val="clear" w:color="auto" w:fill="auto"/>
            <w:tcMar>
              <w:top w:w="40" w:type="dxa"/>
              <w:left w:w="200" w:type="dxa"/>
              <w:bottom w:w="40" w:type="dxa"/>
              <w:right w:w="20" w:type="dxa"/>
            </w:tcMar>
          </w:tcPr>
          <w:p w14:paraId="0B2FAC52" w14:textId="77777777" w:rsidR="007F1775" w:rsidRDefault="000F083E">
            <w:pPr>
              <w:textAlignment w:val="top"/>
            </w:pPr>
            <w:r>
              <w:rPr>
                <w:rFonts w:ascii="Times New Roman" w:eastAsia="宋体" w:hAnsi="Times New Roman"/>
                <w:color w:val="000000"/>
                <w:sz w:val="20"/>
                <w:szCs w:val="20"/>
              </w:rPr>
              <w:t>Operating leases</w:t>
            </w:r>
          </w:p>
        </w:tc>
        <w:tc>
          <w:tcPr>
            <w:tcW w:w="0" w:type="auto"/>
            <w:shd w:val="clear" w:color="auto" w:fill="FFFFFF"/>
            <w:tcMar>
              <w:top w:w="40" w:type="dxa"/>
              <w:left w:w="20" w:type="dxa"/>
              <w:bottom w:w="40" w:type="dxa"/>
              <w:right w:w="0" w:type="dxa"/>
            </w:tcMar>
            <w:vAlign w:val="bottom"/>
          </w:tcPr>
          <w:p w14:paraId="0B2FAC53"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C54" w14:textId="77777777" w:rsidR="007F1775" w:rsidRDefault="000F083E">
            <w:pPr>
              <w:jc w:val="right"/>
              <w:textAlignment w:val="bottom"/>
            </w:pPr>
            <w:r>
              <w:rPr>
                <w:rFonts w:ascii="Times New Roman" w:eastAsia="宋体" w:hAnsi="Times New Roman"/>
                <w:color w:val="000000"/>
                <w:sz w:val="20"/>
                <w:szCs w:val="20"/>
              </w:rPr>
              <w:t>539 </w:t>
            </w:r>
          </w:p>
        </w:tc>
        <w:tc>
          <w:tcPr>
            <w:tcW w:w="0" w:type="auto"/>
            <w:shd w:val="clear" w:color="auto" w:fill="FFFFFF"/>
            <w:tcMar>
              <w:top w:w="40" w:type="dxa"/>
              <w:left w:w="0" w:type="dxa"/>
              <w:bottom w:w="40" w:type="dxa"/>
              <w:right w:w="20" w:type="dxa"/>
            </w:tcMar>
            <w:vAlign w:val="bottom"/>
          </w:tcPr>
          <w:p w14:paraId="0B2FAC5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C56"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C57"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C58" w14:textId="77777777" w:rsidR="007F1775" w:rsidRDefault="000F083E">
            <w:pPr>
              <w:jc w:val="right"/>
              <w:textAlignment w:val="bottom"/>
            </w:pPr>
            <w:r>
              <w:rPr>
                <w:rFonts w:ascii="Times New Roman" w:eastAsia="宋体" w:hAnsi="Times New Roman"/>
                <w:color w:val="000000"/>
                <w:sz w:val="20"/>
                <w:szCs w:val="20"/>
              </w:rPr>
              <w:t>1,282 </w:t>
            </w:r>
          </w:p>
        </w:tc>
        <w:tc>
          <w:tcPr>
            <w:tcW w:w="0" w:type="auto"/>
            <w:shd w:val="clear" w:color="auto" w:fill="FFFFFF"/>
            <w:tcMar>
              <w:top w:w="40" w:type="dxa"/>
              <w:left w:w="0" w:type="dxa"/>
              <w:bottom w:w="40" w:type="dxa"/>
              <w:right w:w="20" w:type="dxa"/>
            </w:tcMar>
            <w:vAlign w:val="bottom"/>
          </w:tcPr>
          <w:p w14:paraId="0B2FAC59" w14:textId="77777777" w:rsidR="007F1775" w:rsidRDefault="007F1775">
            <w:pPr>
              <w:jc w:val="right"/>
              <w:rPr>
                <w:rFonts w:ascii="宋体"/>
              </w:rPr>
            </w:pPr>
          </w:p>
        </w:tc>
      </w:tr>
      <w:tr w:rsidR="007F1775" w14:paraId="0B2FAC63" w14:textId="77777777">
        <w:tc>
          <w:tcPr>
            <w:tcW w:w="0" w:type="auto"/>
            <w:gridSpan w:val="3"/>
            <w:shd w:val="clear" w:color="auto" w:fill="CCEEFF"/>
            <w:tcMar>
              <w:top w:w="40" w:type="dxa"/>
              <w:left w:w="200" w:type="dxa"/>
              <w:bottom w:w="40" w:type="dxa"/>
              <w:right w:w="20" w:type="dxa"/>
            </w:tcMar>
          </w:tcPr>
          <w:p w14:paraId="0B2FAC5B" w14:textId="77777777" w:rsidR="007F1775" w:rsidRDefault="000F083E">
            <w:pPr>
              <w:textAlignment w:val="top"/>
            </w:pPr>
            <w:r>
              <w:rPr>
                <w:rFonts w:ascii="Times New Roman" w:eastAsia="宋体" w:hAnsi="Times New Roman"/>
                <w:color w:val="000000"/>
                <w:sz w:val="20"/>
                <w:szCs w:val="20"/>
              </w:rPr>
              <w:t>Finance leases</w:t>
            </w:r>
          </w:p>
        </w:tc>
        <w:tc>
          <w:tcPr>
            <w:tcW w:w="0" w:type="auto"/>
            <w:shd w:val="clear" w:color="auto" w:fill="CCEEFF"/>
            <w:tcMar>
              <w:top w:w="40" w:type="dxa"/>
              <w:left w:w="20" w:type="dxa"/>
              <w:bottom w:w="40" w:type="dxa"/>
              <w:right w:w="0" w:type="dxa"/>
            </w:tcMar>
            <w:vAlign w:val="bottom"/>
          </w:tcPr>
          <w:p w14:paraId="0B2FAC5C"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C5D" w14:textId="77777777" w:rsidR="007F1775" w:rsidRDefault="000F083E">
            <w:pPr>
              <w:jc w:val="right"/>
              <w:textAlignment w:val="bottom"/>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bottom"/>
          </w:tcPr>
          <w:p w14:paraId="0B2FAC5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C5F"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C60"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C61" w14:textId="77777777" w:rsidR="007F1775" w:rsidRDefault="000F083E">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0B2FAC62" w14:textId="77777777" w:rsidR="007F1775" w:rsidRDefault="007F1775">
            <w:pPr>
              <w:jc w:val="right"/>
              <w:rPr>
                <w:rFonts w:ascii="宋体"/>
              </w:rPr>
            </w:pPr>
          </w:p>
        </w:tc>
      </w:tr>
    </w:tbl>
    <w:p w14:paraId="0B2FAC64" w14:textId="77777777" w:rsidR="007F1775" w:rsidRDefault="007F1775"/>
    <w:p w14:paraId="0B2FAC65" w14:textId="77777777" w:rsidR="007F1775" w:rsidRDefault="000F083E">
      <w:pPr>
        <w:spacing w:before="180"/>
      </w:pPr>
      <w:r>
        <w:rPr>
          <w:rFonts w:ascii="Times New Roman" w:eastAsia="宋体" w:hAnsi="Times New Roman"/>
          <w:b/>
          <w:bCs/>
          <w:color w:val="000000"/>
          <w:sz w:val="20"/>
          <w:szCs w:val="20"/>
        </w:rPr>
        <w:t>Note 9. Acquisitions, Goodwill and Intangible Assets</w:t>
      </w:r>
    </w:p>
    <w:p w14:paraId="0B2FAC66" w14:textId="77777777" w:rsidR="007F1775" w:rsidRDefault="007F1775">
      <w:pPr>
        <w:ind w:firstLine="540"/>
        <w:jc w:val="both"/>
      </w:pPr>
    </w:p>
    <w:p w14:paraId="0B2FAC67" w14:textId="77777777" w:rsidR="007F1775" w:rsidRDefault="000F083E">
      <w:pPr>
        <w:ind w:firstLine="540"/>
        <w:jc w:val="both"/>
      </w:pPr>
      <w:r>
        <w:rPr>
          <w:rFonts w:ascii="Times New Roman" w:eastAsia="宋体" w:hAnsi="Times New Roman"/>
          <w:color w:val="000000"/>
          <w:sz w:val="20"/>
          <w:szCs w:val="20"/>
        </w:rPr>
        <w:t xml:space="preserve">During the three </w:t>
      </w:r>
      <w:r>
        <w:rPr>
          <w:rFonts w:ascii="Times New Roman" w:eastAsia="宋体" w:hAnsi="Times New Roman"/>
          <w:color w:val="000000"/>
          <w:sz w:val="20"/>
          <w:szCs w:val="20"/>
        </w:rPr>
        <w:t>months ended March 31, 2022, we completed several business acquisitions with total cash consideration transferred of $774 million, which in aggregate was allocated to $182 million of intangible assets, $759 million of goodwill, and $167 million of net liab</w:t>
      </w:r>
      <w:r>
        <w:rPr>
          <w:rFonts w:ascii="Times New Roman" w:eastAsia="宋体" w:hAnsi="Times New Roman"/>
          <w:color w:val="000000"/>
          <w:sz w:val="20"/>
          <w:szCs w:val="20"/>
        </w:rPr>
        <w:t>ilities assumed. Goodwill generated from all business acquisitions completed was primarily attributable to expected synergies from future growth and potential monetization opportunities. The amount of goodwill generated that was deductible for tax purposes</w:t>
      </w:r>
      <w:r>
        <w:rPr>
          <w:rFonts w:ascii="Times New Roman" w:eastAsia="宋体" w:hAnsi="Times New Roman"/>
          <w:color w:val="000000"/>
          <w:sz w:val="20"/>
          <w:szCs w:val="20"/>
        </w:rPr>
        <w:t xml:space="preserve"> was not material. Acquisition-related costs were immaterial and were expensed as incurred in the condensed consolidated statements of operations. Pro forma historical results of operations related to these business acquisitions have not been presented bec</w:t>
      </w:r>
      <w:r>
        <w:rPr>
          <w:rFonts w:ascii="Times New Roman" w:eastAsia="宋体" w:hAnsi="Times New Roman"/>
          <w:color w:val="000000"/>
          <w:sz w:val="20"/>
          <w:szCs w:val="20"/>
        </w:rPr>
        <w:t>ause they are not material to our condensed consolidated financial statements, either individually or in the aggregate. We have included the financial results of these acquired businesses in our condensed consolidated financial statements from their respec</w:t>
      </w:r>
      <w:r>
        <w:rPr>
          <w:rFonts w:ascii="Times New Roman" w:eastAsia="宋体" w:hAnsi="Times New Roman"/>
          <w:color w:val="000000"/>
          <w:sz w:val="20"/>
          <w:szCs w:val="20"/>
        </w:rPr>
        <w:t>tive dates of acquisition.</w:t>
      </w:r>
    </w:p>
    <w:p w14:paraId="0B2FAC68" w14:textId="77777777" w:rsidR="007F1775" w:rsidRDefault="007F1775">
      <w:pPr>
        <w:ind w:firstLine="540"/>
        <w:jc w:val="both"/>
      </w:pPr>
    </w:p>
    <w:p w14:paraId="0B2FAC69" w14:textId="77777777" w:rsidR="007F1775" w:rsidRDefault="000F083E">
      <w:pPr>
        <w:ind w:firstLine="540"/>
        <w:jc w:val="both"/>
      </w:pPr>
      <w:r>
        <w:rPr>
          <w:rFonts w:ascii="Times New Roman" w:eastAsia="宋体" w:hAnsi="Times New Roman"/>
          <w:color w:val="000000"/>
          <w:sz w:val="20"/>
          <w:szCs w:val="20"/>
        </w:rPr>
        <w:t>Changes in the carrying amount of goodwill by reportable segment for the three months ended March 31, 2022 are as follows (in millions):</w:t>
      </w:r>
      <w:r>
        <w:rPr>
          <w:rFonts w:ascii="Times New Roman" w:eastAsia="宋体" w:hAnsi="Times New Roman"/>
          <w:color w:val="000000"/>
          <w:sz w:val="18"/>
          <w:szCs w:val="18"/>
        </w:rPr>
        <w:t> </w:t>
      </w:r>
    </w:p>
    <w:p w14:paraId="0B2FAC6A" w14:textId="77777777" w:rsidR="007F1775" w:rsidRDefault="007F1775">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38"/>
        <w:gridCol w:w="4593"/>
        <w:gridCol w:w="37"/>
        <w:gridCol w:w="120"/>
        <w:gridCol w:w="993"/>
        <w:gridCol w:w="36"/>
        <w:gridCol w:w="36"/>
        <w:gridCol w:w="36"/>
        <w:gridCol w:w="36"/>
        <w:gridCol w:w="121"/>
        <w:gridCol w:w="994"/>
        <w:gridCol w:w="36"/>
        <w:gridCol w:w="36"/>
        <w:gridCol w:w="36"/>
        <w:gridCol w:w="36"/>
        <w:gridCol w:w="120"/>
        <w:gridCol w:w="996"/>
        <w:gridCol w:w="36"/>
      </w:tblGrid>
      <w:tr w:rsidR="007F1775" w14:paraId="0B2FAC7D" w14:textId="77777777">
        <w:tc>
          <w:tcPr>
            <w:tcW w:w="50" w:type="pct"/>
            <w:shd w:val="clear" w:color="auto" w:fill="auto"/>
            <w:vAlign w:val="bottom"/>
          </w:tcPr>
          <w:p w14:paraId="0B2FAC6B" w14:textId="77777777" w:rsidR="007F1775" w:rsidRDefault="007F1775">
            <w:pPr>
              <w:rPr>
                <w:rFonts w:ascii="宋体"/>
              </w:rPr>
            </w:pPr>
          </w:p>
        </w:tc>
        <w:tc>
          <w:tcPr>
            <w:tcW w:w="2809" w:type="pct"/>
            <w:shd w:val="clear" w:color="auto" w:fill="auto"/>
            <w:vAlign w:val="bottom"/>
          </w:tcPr>
          <w:p w14:paraId="0B2FAC6C" w14:textId="77777777" w:rsidR="007F1775" w:rsidRDefault="007F1775">
            <w:pPr>
              <w:rPr>
                <w:rFonts w:ascii="宋体"/>
              </w:rPr>
            </w:pPr>
          </w:p>
        </w:tc>
        <w:tc>
          <w:tcPr>
            <w:tcW w:w="5" w:type="pct"/>
            <w:shd w:val="clear" w:color="auto" w:fill="auto"/>
            <w:vAlign w:val="bottom"/>
          </w:tcPr>
          <w:p w14:paraId="0B2FAC6D" w14:textId="77777777" w:rsidR="007F1775" w:rsidRDefault="007F1775">
            <w:pPr>
              <w:rPr>
                <w:rFonts w:ascii="宋体"/>
              </w:rPr>
            </w:pPr>
          </w:p>
        </w:tc>
        <w:tc>
          <w:tcPr>
            <w:tcW w:w="50" w:type="pct"/>
            <w:shd w:val="clear" w:color="auto" w:fill="auto"/>
            <w:vAlign w:val="bottom"/>
          </w:tcPr>
          <w:p w14:paraId="0B2FAC6E" w14:textId="77777777" w:rsidR="007F1775" w:rsidRDefault="007F1775">
            <w:pPr>
              <w:rPr>
                <w:rFonts w:ascii="宋体"/>
              </w:rPr>
            </w:pPr>
          </w:p>
        </w:tc>
        <w:tc>
          <w:tcPr>
            <w:tcW w:w="636" w:type="pct"/>
            <w:shd w:val="clear" w:color="auto" w:fill="auto"/>
            <w:vAlign w:val="bottom"/>
          </w:tcPr>
          <w:p w14:paraId="0B2FAC6F" w14:textId="77777777" w:rsidR="007F1775" w:rsidRDefault="007F1775">
            <w:pPr>
              <w:rPr>
                <w:rFonts w:ascii="宋体"/>
              </w:rPr>
            </w:pPr>
          </w:p>
        </w:tc>
        <w:tc>
          <w:tcPr>
            <w:tcW w:w="5" w:type="pct"/>
            <w:shd w:val="clear" w:color="auto" w:fill="auto"/>
            <w:vAlign w:val="bottom"/>
          </w:tcPr>
          <w:p w14:paraId="0B2FAC70" w14:textId="77777777" w:rsidR="007F1775" w:rsidRDefault="007F1775">
            <w:pPr>
              <w:rPr>
                <w:rFonts w:ascii="宋体"/>
              </w:rPr>
            </w:pPr>
          </w:p>
        </w:tc>
        <w:tc>
          <w:tcPr>
            <w:tcW w:w="5" w:type="pct"/>
            <w:shd w:val="clear" w:color="auto" w:fill="auto"/>
            <w:vAlign w:val="bottom"/>
          </w:tcPr>
          <w:p w14:paraId="0B2FAC71" w14:textId="77777777" w:rsidR="007F1775" w:rsidRDefault="007F1775">
            <w:pPr>
              <w:rPr>
                <w:rFonts w:ascii="宋体"/>
              </w:rPr>
            </w:pPr>
          </w:p>
        </w:tc>
        <w:tc>
          <w:tcPr>
            <w:tcW w:w="19" w:type="pct"/>
            <w:shd w:val="clear" w:color="auto" w:fill="auto"/>
            <w:vAlign w:val="bottom"/>
          </w:tcPr>
          <w:p w14:paraId="0B2FAC72" w14:textId="77777777" w:rsidR="007F1775" w:rsidRDefault="007F1775">
            <w:pPr>
              <w:rPr>
                <w:rFonts w:ascii="宋体"/>
              </w:rPr>
            </w:pPr>
          </w:p>
        </w:tc>
        <w:tc>
          <w:tcPr>
            <w:tcW w:w="5" w:type="pct"/>
            <w:shd w:val="clear" w:color="auto" w:fill="auto"/>
            <w:vAlign w:val="bottom"/>
          </w:tcPr>
          <w:p w14:paraId="0B2FAC73" w14:textId="77777777" w:rsidR="007F1775" w:rsidRDefault="007F1775">
            <w:pPr>
              <w:rPr>
                <w:rFonts w:ascii="宋体"/>
              </w:rPr>
            </w:pPr>
          </w:p>
        </w:tc>
        <w:tc>
          <w:tcPr>
            <w:tcW w:w="50" w:type="pct"/>
            <w:shd w:val="clear" w:color="auto" w:fill="auto"/>
            <w:vAlign w:val="bottom"/>
          </w:tcPr>
          <w:p w14:paraId="0B2FAC74" w14:textId="77777777" w:rsidR="007F1775" w:rsidRDefault="007F1775">
            <w:pPr>
              <w:rPr>
                <w:rFonts w:ascii="宋体"/>
              </w:rPr>
            </w:pPr>
          </w:p>
        </w:tc>
        <w:tc>
          <w:tcPr>
            <w:tcW w:w="636" w:type="pct"/>
            <w:shd w:val="clear" w:color="auto" w:fill="auto"/>
            <w:vAlign w:val="bottom"/>
          </w:tcPr>
          <w:p w14:paraId="0B2FAC75" w14:textId="77777777" w:rsidR="007F1775" w:rsidRDefault="007F1775">
            <w:pPr>
              <w:rPr>
                <w:rFonts w:ascii="宋体"/>
              </w:rPr>
            </w:pPr>
          </w:p>
        </w:tc>
        <w:tc>
          <w:tcPr>
            <w:tcW w:w="5" w:type="pct"/>
            <w:shd w:val="clear" w:color="auto" w:fill="auto"/>
            <w:vAlign w:val="bottom"/>
          </w:tcPr>
          <w:p w14:paraId="0B2FAC76" w14:textId="77777777" w:rsidR="007F1775" w:rsidRDefault="007F1775">
            <w:pPr>
              <w:rPr>
                <w:rFonts w:ascii="宋体"/>
              </w:rPr>
            </w:pPr>
          </w:p>
        </w:tc>
        <w:tc>
          <w:tcPr>
            <w:tcW w:w="5" w:type="pct"/>
            <w:shd w:val="clear" w:color="auto" w:fill="auto"/>
            <w:vAlign w:val="bottom"/>
          </w:tcPr>
          <w:p w14:paraId="0B2FAC77" w14:textId="77777777" w:rsidR="007F1775" w:rsidRDefault="007F1775">
            <w:pPr>
              <w:rPr>
                <w:rFonts w:ascii="宋体"/>
              </w:rPr>
            </w:pPr>
          </w:p>
        </w:tc>
        <w:tc>
          <w:tcPr>
            <w:tcW w:w="19" w:type="pct"/>
            <w:shd w:val="clear" w:color="auto" w:fill="auto"/>
            <w:vAlign w:val="bottom"/>
          </w:tcPr>
          <w:p w14:paraId="0B2FAC78" w14:textId="77777777" w:rsidR="007F1775" w:rsidRDefault="007F1775">
            <w:pPr>
              <w:rPr>
                <w:rFonts w:ascii="宋体"/>
              </w:rPr>
            </w:pPr>
          </w:p>
        </w:tc>
        <w:tc>
          <w:tcPr>
            <w:tcW w:w="5" w:type="pct"/>
            <w:shd w:val="clear" w:color="auto" w:fill="auto"/>
            <w:vAlign w:val="bottom"/>
          </w:tcPr>
          <w:p w14:paraId="0B2FAC79" w14:textId="77777777" w:rsidR="007F1775" w:rsidRDefault="007F1775">
            <w:pPr>
              <w:rPr>
                <w:rFonts w:ascii="宋体"/>
              </w:rPr>
            </w:pPr>
          </w:p>
        </w:tc>
        <w:tc>
          <w:tcPr>
            <w:tcW w:w="50" w:type="pct"/>
            <w:shd w:val="clear" w:color="auto" w:fill="auto"/>
            <w:vAlign w:val="bottom"/>
          </w:tcPr>
          <w:p w14:paraId="0B2FAC7A" w14:textId="77777777" w:rsidR="007F1775" w:rsidRDefault="007F1775">
            <w:pPr>
              <w:rPr>
                <w:rFonts w:ascii="宋体"/>
              </w:rPr>
            </w:pPr>
          </w:p>
        </w:tc>
        <w:tc>
          <w:tcPr>
            <w:tcW w:w="637" w:type="pct"/>
            <w:shd w:val="clear" w:color="auto" w:fill="auto"/>
            <w:vAlign w:val="bottom"/>
          </w:tcPr>
          <w:p w14:paraId="0B2FAC7B" w14:textId="77777777" w:rsidR="007F1775" w:rsidRDefault="007F1775">
            <w:pPr>
              <w:rPr>
                <w:rFonts w:ascii="宋体"/>
              </w:rPr>
            </w:pPr>
          </w:p>
        </w:tc>
        <w:tc>
          <w:tcPr>
            <w:tcW w:w="5" w:type="pct"/>
            <w:shd w:val="clear" w:color="auto" w:fill="auto"/>
            <w:vAlign w:val="bottom"/>
          </w:tcPr>
          <w:p w14:paraId="0B2FAC7C" w14:textId="77777777" w:rsidR="007F1775" w:rsidRDefault="007F1775">
            <w:pPr>
              <w:rPr>
                <w:rFonts w:ascii="宋体"/>
              </w:rPr>
            </w:pPr>
          </w:p>
        </w:tc>
      </w:tr>
      <w:tr w:rsidR="007F1775" w14:paraId="0B2FAC84" w14:textId="77777777">
        <w:tc>
          <w:tcPr>
            <w:tcW w:w="0" w:type="auto"/>
            <w:gridSpan w:val="3"/>
            <w:shd w:val="clear" w:color="auto" w:fill="auto"/>
            <w:tcMar>
              <w:top w:w="0" w:type="dxa"/>
              <w:left w:w="20" w:type="dxa"/>
              <w:bottom w:w="0" w:type="dxa"/>
              <w:right w:w="20" w:type="dxa"/>
            </w:tcMar>
            <w:vAlign w:val="bottom"/>
          </w:tcPr>
          <w:p w14:paraId="0B2FAC7E"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C7F" w14:textId="77777777" w:rsidR="007F1775" w:rsidRDefault="000F083E">
            <w:pPr>
              <w:jc w:val="center"/>
              <w:textAlignment w:val="bottom"/>
            </w:pPr>
            <w:r>
              <w:rPr>
                <w:rFonts w:ascii="Times New Roman" w:eastAsia="宋体" w:hAnsi="Times New Roman"/>
                <w:b/>
                <w:bCs/>
                <w:color w:val="000000"/>
                <w:sz w:val="16"/>
                <w:szCs w:val="16"/>
              </w:rPr>
              <w:t>Family of Apps</w:t>
            </w:r>
          </w:p>
        </w:tc>
        <w:tc>
          <w:tcPr>
            <w:tcW w:w="0" w:type="auto"/>
            <w:gridSpan w:val="3"/>
            <w:shd w:val="clear" w:color="auto" w:fill="auto"/>
            <w:tcMar>
              <w:top w:w="0" w:type="dxa"/>
              <w:left w:w="20" w:type="dxa"/>
              <w:bottom w:w="0" w:type="dxa"/>
              <w:right w:w="20" w:type="dxa"/>
            </w:tcMar>
            <w:vAlign w:val="bottom"/>
          </w:tcPr>
          <w:p w14:paraId="0B2FAC80"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C81" w14:textId="77777777" w:rsidR="007F1775" w:rsidRDefault="000F083E">
            <w:pPr>
              <w:jc w:val="center"/>
              <w:textAlignment w:val="bottom"/>
            </w:pPr>
            <w:r>
              <w:rPr>
                <w:rFonts w:ascii="Times New Roman" w:eastAsia="宋体" w:hAnsi="Times New Roman"/>
                <w:b/>
                <w:bCs/>
                <w:color w:val="000000"/>
                <w:sz w:val="16"/>
                <w:szCs w:val="16"/>
              </w:rPr>
              <w:t>Reality Labs</w:t>
            </w:r>
          </w:p>
        </w:tc>
        <w:tc>
          <w:tcPr>
            <w:tcW w:w="0" w:type="auto"/>
            <w:gridSpan w:val="3"/>
            <w:shd w:val="clear" w:color="auto" w:fill="auto"/>
            <w:tcMar>
              <w:top w:w="0" w:type="dxa"/>
              <w:left w:w="20" w:type="dxa"/>
              <w:bottom w:w="0" w:type="dxa"/>
              <w:right w:w="20" w:type="dxa"/>
            </w:tcMar>
            <w:vAlign w:val="bottom"/>
          </w:tcPr>
          <w:p w14:paraId="0B2FAC82"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C83" w14:textId="77777777" w:rsidR="007F1775" w:rsidRDefault="000F083E">
            <w:pPr>
              <w:jc w:val="center"/>
              <w:textAlignment w:val="bottom"/>
            </w:pPr>
            <w:r>
              <w:rPr>
                <w:rFonts w:ascii="Times New Roman" w:eastAsia="宋体" w:hAnsi="Times New Roman"/>
                <w:b/>
                <w:bCs/>
                <w:color w:val="000000"/>
                <w:sz w:val="16"/>
                <w:szCs w:val="16"/>
              </w:rPr>
              <w:t>Total</w:t>
            </w:r>
          </w:p>
        </w:tc>
      </w:tr>
      <w:tr w:rsidR="007F1775" w14:paraId="0B2FAC91" w14:textId="77777777">
        <w:tc>
          <w:tcPr>
            <w:tcW w:w="0" w:type="auto"/>
            <w:gridSpan w:val="3"/>
            <w:shd w:val="clear" w:color="auto" w:fill="CCEEFF"/>
            <w:tcMar>
              <w:top w:w="40" w:type="dxa"/>
              <w:left w:w="20" w:type="dxa"/>
              <w:bottom w:w="40" w:type="dxa"/>
              <w:right w:w="20" w:type="dxa"/>
            </w:tcMar>
            <w:vAlign w:val="bottom"/>
          </w:tcPr>
          <w:p w14:paraId="0B2FAC85" w14:textId="77777777" w:rsidR="007F1775" w:rsidRDefault="000F083E">
            <w:pPr>
              <w:textAlignment w:val="bottom"/>
            </w:pPr>
            <w:r>
              <w:rPr>
                <w:rFonts w:ascii="Times New Roman" w:eastAsia="宋体" w:hAnsi="Times New Roman"/>
                <w:color w:val="000000"/>
                <w:sz w:val="20"/>
                <w:szCs w:val="20"/>
              </w:rPr>
              <w:t xml:space="preserve">Goodwill at December 31, </w:t>
            </w:r>
            <w:r>
              <w:rPr>
                <w:rFonts w:ascii="Times New Roman" w:eastAsia="宋体" w:hAnsi="Times New Roman"/>
                <w:color w:val="000000"/>
                <w:sz w:val="20"/>
                <w:szCs w:val="20"/>
              </w:rPr>
              <w:t>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AC86"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C87" w14:textId="77777777" w:rsidR="007F1775" w:rsidRDefault="000F083E">
            <w:pPr>
              <w:jc w:val="right"/>
              <w:textAlignment w:val="bottom"/>
            </w:pPr>
            <w:r>
              <w:rPr>
                <w:rFonts w:ascii="Times New Roman" w:eastAsia="宋体" w:hAnsi="Times New Roman"/>
                <w:color w:val="000000"/>
                <w:sz w:val="20"/>
                <w:szCs w:val="20"/>
              </w:rPr>
              <w:t>18,458 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C8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C89"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C8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C8B" w14:textId="77777777" w:rsidR="007F1775" w:rsidRDefault="000F083E">
            <w:pPr>
              <w:jc w:val="right"/>
              <w:textAlignment w:val="bottom"/>
            </w:pPr>
            <w:r>
              <w:rPr>
                <w:rFonts w:ascii="Times New Roman" w:eastAsia="宋体" w:hAnsi="Times New Roman"/>
                <w:color w:val="000000"/>
                <w:sz w:val="20"/>
                <w:szCs w:val="20"/>
              </w:rPr>
              <w:t>739 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C8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C8D"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C8E"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C8F" w14:textId="77777777" w:rsidR="007F1775" w:rsidRDefault="000F083E">
            <w:pPr>
              <w:jc w:val="right"/>
              <w:textAlignment w:val="bottom"/>
            </w:pPr>
            <w:r>
              <w:rPr>
                <w:rFonts w:ascii="Times New Roman" w:eastAsia="宋体" w:hAnsi="Times New Roman"/>
                <w:color w:val="000000"/>
                <w:sz w:val="20"/>
                <w:szCs w:val="20"/>
              </w:rPr>
              <w:t>19,197 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C90" w14:textId="77777777" w:rsidR="007F1775" w:rsidRDefault="007F1775">
            <w:pPr>
              <w:jc w:val="right"/>
              <w:rPr>
                <w:rFonts w:ascii="宋体"/>
              </w:rPr>
            </w:pPr>
          </w:p>
        </w:tc>
      </w:tr>
      <w:tr w:rsidR="007F1775" w14:paraId="0B2FAC9B" w14:textId="77777777">
        <w:tc>
          <w:tcPr>
            <w:tcW w:w="0" w:type="auto"/>
            <w:gridSpan w:val="3"/>
            <w:shd w:val="clear" w:color="auto" w:fill="FFFFFF"/>
            <w:tcMar>
              <w:top w:w="40" w:type="dxa"/>
              <w:left w:w="200" w:type="dxa"/>
              <w:bottom w:w="40" w:type="dxa"/>
              <w:right w:w="20" w:type="dxa"/>
            </w:tcMar>
            <w:vAlign w:val="bottom"/>
          </w:tcPr>
          <w:p w14:paraId="0B2FAC92" w14:textId="77777777" w:rsidR="007F1775" w:rsidRDefault="000F083E">
            <w:pPr>
              <w:textAlignment w:val="bottom"/>
            </w:pPr>
            <w:r>
              <w:rPr>
                <w:rFonts w:ascii="Times New Roman" w:eastAsia="宋体" w:hAnsi="Times New Roman"/>
                <w:color w:val="000000"/>
                <w:sz w:val="20"/>
                <w:szCs w:val="20"/>
              </w:rPr>
              <w:t>Acquisitions</w:t>
            </w:r>
          </w:p>
        </w:tc>
        <w:tc>
          <w:tcPr>
            <w:tcW w:w="0" w:type="auto"/>
            <w:gridSpan w:val="2"/>
            <w:shd w:val="clear" w:color="auto" w:fill="FFFFFF"/>
            <w:tcMar>
              <w:top w:w="40" w:type="dxa"/>
              <w:left w:w="20" w:type="dxa"/>
              <w:bottom w:w="40" w:type="dxa"/>
              <w:right w:w="0" w:type="dxa"/>
            </w:tcMar>
            <w:vAlign w:val="bottom"/>
          </w:tcPr>
          <w:p w14:paraId="0B2FAC93" w14:textId="77777777" w:rsidR="007F1775" w:rsidRDefault="000F083E">
            <w:pPr>
              <w:jc w:val="right"/>
              <w:textAlignment w:val="bottom"/>
            </w:pPr>
            <w:r>
              <w:rPr>
                <w:rFonts w:ascii="Times New Roman" w:eastAsia="宋体" w:hAnsi="Times New Roman"/>
                <w:color w:val="000000"/>
                <w:sz w:val="20"/>
                <w:szCs w:val="20"/>
              </w:rPr>
              <w:t>759 </w:t>
            </w:r>
          </w:p>
        </w:tc>
        <w:tc>
          <w:tcPr>
            <w:tcW w:w="0" w:type="auto"/>
            <w:shd w:val="clear" w:color="auto" w:fill="FFFFFF"/>
            <w:tcMar>
              <w:top w:w="40" w:type="dxa"/>
              <w:left w:w="0" w:type="dxa"/>
              <w:bottom w:w="40" w:type="dxa"/>
              <w:right w:w="20" w:type="dxa"/>
            </w:tcMar>
            <w:vAlign w:val="bottom"/>
          </w:tcPr>
          <w:p w14:paraId="0B2FAC9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C9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C96"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C9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C9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C99" w14:textId="77777777" w:rsidR="007F1775" w:rsidRDefault="000F083E">
            <w:pPr>
              <w:jc w:val="right"/>
              <w:textAlignment w:val="bottom"/>
            </w:pPr>
            <w:r>
              <w:rPr>
                <w:rFonts w:ascii="Times New Roman" w:eastAsia="宋体" w:hAnsi="Times New Roman"/>
                <w:color w:val="000000"/>
                <w:sz w:val="20"/>
                <w:szCs w:val="20"/>
              </w:rPr>
              <w:t>759 </w:t>
            </w:r>
          </w:p>
        </w:tc>
        <w:tc>
          <w:tcPr>
            <w:tcW w:w="0" w:type="auto"/>
            <w:shd w:val="clear" w:color="auto" w:fill="FFFFFF"/>
            <w:tcMar>
              <w:top w:w="40" w:type="dxa"/>
              <w:left w:w="0" w:type="dxa"/>
              <w:bottom w:w="40" w:type="dxa"/>
              <w:right w:w="20" w:type="dxa"/>
            </w:tcMar>
            <w:vAlign w:val="bottom"/>
          </w:tcPr>
          <w:p w14:paraId="0B2FAC9A" w14:textId="77777777" w:rsidR="007F1775" w:rsidRDefault="007F1775">
            <w:pPr>
              <w:jc w:val="right"/>
              <w:rPr>
                <w:rFonts w:ascii="宋体"/>
              </w:rPr>
            </w:pPr>
          </w:p>
        </w:tc>
      </w:tr>
      <w:tr w:rsidR="007F1775" w14:paraId="0B2FACA5" w14:textId="77777777">
        <w:tc>
          <w:tcPr>
            <w:tcW w:w="0" w:type="auto"/>
            <w:gridSpan w:val="3"/>
            <w:shd w:val="clear" w:color="auto" w:fill="CCEEFF"/>
            <w:tcMar>
              <w:top w:w="40" w:type="dxa"/>
              <w:left w:w="200" w:type="dxa"/>
              <w:bottom w:w="40" w:type="dxa"/>
              <w:right w:w="20" w:type="dxa"/>
            </w:tcMar>
            <w:vAlign w:val="bottom"/>
          </w:tcPr>
          <w:p w14:paraId="0B2FAC9C" w14:textId="77777777" w:rsidR="007F1775" w:rsidRDefault="000F083E">
            <w:pPr>
              <w:textAlignment w:val="bottom"/>
            </w:pPr>
            <w:r>
              <w:rPr>
                <w:rFonts w:ascii="Times New Roman" w:eastAsia="宋体" w:hAnsi="Times New Roman"/>
                <w:color w:val="000000"/>
                <w:sz w:val="20"/>
                <w:szCs w:val="20"/>
              </w:rPr>
              <w:t>Adjustments</w:t>
            </w:r>
          </w:p>
        </w:tc>
        <w:tc>
          <w:tcPr>
            <w:tcW w:w="0" w:type="auto"/>
            <w:gridSpan w:val="2"/>
            <w:shd w:val="clear" w:color="auto" w:fill="CCEEFF"/>
            <w:tcMar>
              <w:top w:w="40" w:type="dxa"/>
              <w:left w:w="20" w:type="dxa"/>
              <w:bottom w:w="40" w:type="dxa"/>
              <w:right w:w="0" w:type="dxa"/>
            </w:tcMar>
            <w:vAlign w:val="bottom"/>
          </w:tcPr>
          <w:p w14:paraId="0B2FAC9D"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AC9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C9F"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CA0" w14:textId="77777777" w:rsidR="007F1775" w:rsidRDefault="000F083E">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0B2FACA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CA2"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CA3" w14:textId="77777777" w:rsidR="007F1775" w:rsidRDefault="000F083E">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0B2FACA4" w14:textId="77777777" w:rsidR="007F1775" w:rsidRDefault="007F1775">
            <w:pPr>
              <w:jc w:val="right"/>
              <w:rPr>
                <w:rFonts w:ascii="宋体"/>
              </w:rPr>
            </w:pPr>
          </w:p>
        </w:tc>
      </w:tr>
      <w:tr w:rsidR="007F1775" w14:paraId="0B2FACB2" w14:textId="77777777">
        <w:tc>
          <w:tcPr>
            <w:tcW w:w="0" w:type="auto"/>
            <w:gridSpan w:val="3"/>
            <w:shd w:val="clear" w:color="auto" w:fill="FFFFFF"/>
            <w:tcMar>
              <w:top w:w="40" w:type="dxa"/>
              <w:left w:w="20" w:type="dxa"/>
              <w:bottom w:w="40" w:type="dxa"/>
              <w:right w:w="20" w:type="dxa"/>
            </w:tcMar>
            <w:vAlign w:val="bottom"/>
          </w:tcPr>
          <w:p w14:paraId="0B2FACA6" w14:textId="77777777" w:rsidR="007F1775" w:rsidRDefault="000F083E">
            <w:pPr>
              <w:textAlignment w:val="bottom"/>
            </w:pPr>
            <w:r>
              <w:rPr>
                <w:rFonts w:ascii="Times New Roman" w:eastAsia="宋体" w:hAnsi="Times New Roman"/>
                <w:color w:val="000000"/>
                <w:sz w:val="20"/>
                <w:szCs w:val="20"/>
              </w:rPr>
              <w:t>Goodwill at March 31,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CA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CA8" w14:textId="77777777" w:rsidR="007F1775" w:rsidRDefault="000F083E">
            <w:pPr>
              <w:jc w:val="right"/>
              <w:textAlignment w:val="bottom"/>
            </w:pPr>
            <w:r>
              <w:rPr>
                <w:rFonts w:ascii="Times New Roman" w:eastAsia="宋体" w:hAnsi="Times New Roman"/>
                <w:color w:val="000000"/>
                <w:sz w:val="20"/>
                <w:szCs w:val="20"/>
              </w:rPr>
              <w:t>19,217 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CA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CAA"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CA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CAC" w14:textId="77777777" w:rsidR="007F1775" w:rsidRDefault="000F083E">
            <w:pPr>
              <w:jc w:val="right"/>
              <w:textAlignment w:val="bottom"/>
            </w:pPr>
            <w:r>
              <w:rPr>
                <w:rFonts w:ascii="Times New Roman" w:eastAsia="宋体" w:hAnsi="Times New Roman"/>
                <w:color w:val="000000"/>
                <w:sz w:val="20"/>
                <w:szCs w:val="20"/>
              </w:rPr>
              <w:t>706 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CA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CAE"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ACAF"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ACB0" w14:textId="77777777" w:rsidR="007F1775" w:rsidRDefault="000F083E">
            <w:pPr>
              <w:jc w:val="right"/>
              <w:textAlignment w:val="bottom"/>
            </w:pPr>
            <w:r>
              <w:rPr>
                <w:rFonts w:ascii="Times New Roman" w:eastAsia="宋体" w:hAnsi="Times New Roman"/>
                <w:color w:val="000000"/>
                <w:sz w:val="20"/>
                <w:szCs w:val="20"/>
              </w:rPr>
              <w:t>19,923 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ACB1" w14:textId="77777777" w:rsidR="007F1775" w:rsidRDefault="007F1775">
            <w:pPr>
              <w:jc w:val="right"/>
              <w:rPr>
                <w:rFonts w:ascii="宋体"/>
              </w:rPr>
            </w:pPr>
          </w:p>
        </w:tc>
      </w:tr>
    </w:tbl>
    <w:p w14:paraId="0B2FACB3" w14:textId="77777777" w:rsidR="007F1775" w:rsidRDefault="007F1775"/>
    <w:p w14:paraId="0B2FACB4" w14:textId="77777777" w:rsidR="007F1775" w:rsidRDefault="000F083E">
      <w:pPr>
        <w:jc w:val="center"/>
      </w:pPr>
      <w:r>
        <w:rPr>
          <w:rFonts w:ascii="Times New Roman" w:eastAsia="宋体" w:hAnsi="Times New Roman"/>
          <w:color w:val="000000"/>
          <w:sz w:val="20"/>
          <w:szCs w:val="20"/>
        </w:rPr>
        <w:t>20</w:t>
      </w:r>
    </w:p>
    <w:p w14:paraId="0B2FACB5" w14:textId="77777777" w:rsidR="007F1775" w:rsidRDefault="000F083E">
      <w:r>
        <w:pict w14:anchorId="0B2FBF75">
          <v:rect id="_x0000_i1044" style="width:415.3pt;height:1.5pt" o:hralign="center" o:hrstd="t" o:hr="t" fillcolor="#a0a0a0" stroked="f"/>
        </w:pict>
      </w:r>
    </w:p>
    <w:p w14:paraId="0B2FACB6" w14:textId="77777777" w:rsidR="007F1775" w:rsidRDefault="007F1775"/>
    <w:p w14:paraId="0B2FACB7" w14:textId="77777777" w:rsidR="007F1775" w:rsidRDefault="007F1775"/>
    <w:p w14:paraId="0B2FACB8" w14:textId="77777777" w:rsidR="007F1775" w:rsidRDefault="000F083E">
      <w:hyperlink r:id="rId98" w:anchor="iea70e328caa94cefb76a9db6ed6338fc_7" w:history="1">
        <w:r>
          <w:rPr>
            <w:rStyle w:val="a5"/>
            <w:rFonts w:ascii="Times New Roman" w:eastAsia="宋体" w:hAnsi="Times New Roman"/>
            <w:sz w:val="20"/>
            <w:szCs w:val="20"/>
          </w:rPr>
          <w:t>Table of Contents</w:t>
        </w:r>
      </w:hyperlink>
    </w:p>
    <w:p w14:paraId="0B2FACB9" w14:textId="77777777" w:rsidR="007F1775" w:rsidRDefault="000F083E">
      <w:pPr>
        <w:ind w:firstLine="540"/>
        <w:jc w:val="both"/>
      </w:pPr>
      <w:r>
        <w:rPr>
          <w:rFonts w:ascii="Times New Roman" w:eastAsia="宋体" w:hAnsi="Times New Roman"/>
          <w:color w:val="000000"/>
          <w:sz w:val="20"/>
          <w:szCs w:val="20"/>
        </w:rPr>
        <w:t>The following table set</w:t>
      </w:r>
      <w:r>
        <w:rPr>
          <w:rFonts w:ascii="Times New Roman" w:eastAsia="宋体" w:hAnsi="Times New Roman"/>
          <w:color w:val="000000"/>
          <w:sz w:val="20"/>
          <w:szCs w:val="20"/>
        </w:rPr>
        <w:t>s forth the major categories of the intangible assets and the weighted</w:t>
      </w:r>
      <w:r>
        <w:rPr>
          <w:rFonts w:ascii="Times New Roman" w:eastAsia="宋体" w:hAnsi="Times New Roman"/>
          <w:color w:val="000000"/>
          <w:sz w:val="20"/>
          <w:szCs w:val="20"/>
        </w:rPr>
        <w:noBreakHyphen/>
        <w:t>average remaining useful lives for those assets that are not already fully amortized (in millions):</w:t>
      </w:r>
    </w:p>
    <w:p w14:paraId="0B2FACBA" w14:textId="77777777" w:rsidR="007F1775" w:rsidRDefault="007F1775">
      <w:pPr>
        <w:ind w:firstLine="540"/>
        <w:jc w:val="both"/>
      </w:pPr>
    </w:p>
    <w:tbl>
      <w:tblPr>
        <w:tblW w:w="4985" w:type="pct"/>
        <w:tblCellMar>
          <w:top w:w="15" w:type="dxa"/>
          <w:left w:w="15" w:type="dxa"/>
          <w:bottom w:w="15" w:type="dxa"/>
          <w:right w:w="15" w:type="dxa"/>
        </w:tblCellMar>
        <w:tblLook w:val="04A0" w:firstRow="1" w:lastRow="0" w:firstColumn="1" w:lastColumn="0" w:noHBand="0" w:noVBand="1"/>
      </w:tblPr>
      <w:tblGrid>
        <w:gridCol w:w="54"/>
        <w:gridCol w:w="1213"/>
        <w:gridCol w:w="36"/>
        <w:gridCol w:w="139"/>
        <w:gridCol w:w="1166"/>
        <w:gridCol w:w="36"/>
        <w:gridCol w:w="36"/>
        <w:gridCol w:w="36"/>
        <w:gridCol w:w="36"/>
        <w:gridCol w:w="121"/>
        <w:gridCol w:w="593"/>
        <w:gridCol w:w="36"/>
        <w:gridCol w:w="36"/>
        <w:gridCol w:w="36"/>
        <w:gridCol w:w="36"/>
        <w:gridCol w:w="121"/>
        <w:gridCol w:w="865"/>
        <w:gridCol w:w="36"/>
        <w:gridCol w:w="36"/>
        <w:gridCol w:w="36"/>
        <w:gridCol w:w="36"/>
        <w:gridCol w:w="121"/>
        <w:gridCol w:w="593"/>
        <w:gridCol w:w="36"/>
        <w:gridCol w:w="36"/>
        <w:gridCol w:w="36"/>
        <w:gridCol w:w="36"/>
        <w:gridCol w:w="121"/>
        <w:gridCol w:w="593"/>
        <w:gridCol w:w="36"/>
        <w:gridCol w:w="36"/>
        <w:gridCol w:w="36"/>
        <w:gridCol w:w="36"/>
        <w:gridCol w:w="121"/>
        <w:gridCol w:w="865"/>
        <w:gridCol w:w="36"/>
        <w:gridCol w:w="36"/>
        <w:gridCol w:w="36"/>
        <w:gridCol w:w="36"/>
        <w:gridCol w:w="121"/>
        <w:gridCol w:w="593"/>
        <w:gridCol w:w="36"/>
      </w:tblGrid>
      <w:tr w:rsidR="007F1775" w14:paraId="0B2FACE5" w14:textId="77777777">
        <w:tc>
          <w:tcPr>
            <w:tcW w:w="50" w:type="pct"/>
            <w:shd w:val="clear" w:color="auto" w:fill="auto"/>
            <w:vAlign w:val="bottom"/>
          </w:tcPr>
          <w:p w14:paraId="0B2FACBB" w14:textId="77777777" w:rsidR="007F1775" w:rsidRDefault="007F1775">
            <w:pPr>
              <w:rPr>
                <w:rFonts w:ascii="宋体"/>
              </w:rPr>
            </w:pPr>
          </w:p>
        </w:tc>
        <w:tc>
          <w:tcPr>
            <w:tcW w:w="1153" w:type="pct"/>
            <w:shd w:val="clear" w:color="auto" w:fill="auto"/>
            <w:vAlign w:val="bottom"/>
          </w:tcPr>
          <w:p w14:paraId="0B2FACBC" w14:textId="77777777" w:rsidR="007F1775" w:rsidRDefault="007F1775">
            <w:pPr>
              <w:rPr>
                <w:rFonts w:ascii="宋体"/>
              </w:rPr>
            </w:pPr>
          </w:p>
        </w:tc>
        <w:tc>
          <w:tcPr>
            <w:tcW w:w="5" w:type="pct"/>
            <w:shd w:val="clear" w:color="auto" w:fill="auto"/>
            <w:vAlign w:val="bottom"/>
          </w:tcPr>
          <w:p w14:paraId="0B2FACBD" w14:textId="77777777" w:rsidR="007F1775" w:rsidRDefault="007F1775">
            <w:pPr>
              <w:rPr>
                <w:rFonts w:ascii="宋体"/>
              </w:rPr>
            </w:pPr>
          </w:p>
        </w:tc>
        <w:tc>
          <w:tcPr>
            <w:tcW w:w="50" w:type="pct"/>
            <w:shd w:val="clear" w:color="auto" w:fill="auto"/>
            <w:vAlign w:val="bottom"/>
          </w:tcPr>
          <w:p w14:paraId="0B2FACBE" w14:textId="77777777" w:rsidR="007F1775" w:rsidRDefault="007F1775">
            <w:pPr>
              <w:rPr>
                <w:rFonts w:ascii="宋体"/>
              </w:rPr>
            </w:pPr>
          </w:p>
        </w:tc>
        <w:tc>
          <w:tcPr>
            <w:tcW w:w="422" w:type="pct"/>
            <w:shd w:val="clear" w:color="auto" w:fill="auto"/>
            <w:vAlign w:val="bottom"/>
          </w:tcPr>
          <w:p w14:paraId="0B2FACBF" w14:textId="77777777" w:rsidR="007F1775" w:rsidRDefault="007F1775">
            <w:pPr>
              <w:rPr>
                <w:rFonts w:ascii="宋体"/>
              </w:rPr>
            </w:pPr>
          </w:p>
        </w:tc>
        <w:tc>
          <w:tcPr>
            <w:tcW w:w="5" w:type="pct"/>
            <w:shd w:val="clear" w:color="auto" w:fill="auto"/>
            <w:vAlign w:val="bottom"/>
          </w:tcPr>
          <w:p w14:paraId="0B2FACC0" w14:textId="77777777" w:rsidR="007F1775" w:rsidRDefault="007F1775">
            <w:pPr>
              <w:rPr>
                <w:rFonts w:ascii="宋体"/>
              </w:rPr>
            </w:pPr>
          </w:p>
        </w:tc>
        <w:tc>
          <w:tcPr>
            <w:tcW w:w="5" w:type="pct"/>
            <w:shd w:val="clear" w:color="auto" w:fill="auto"/>
            <w:vAlign w:val="bottom"/>
          </w:tcPr>
          <w:p w14:paraId="0B2FACC1" w14:textId="77777777" w:rsidR="007F1775" w:rsidRDefault="007F1775">
            <w:pPr>
              <w:rPr>
                <w:rFonts w:ascii="宋体"/>
              </w:rPr>
            </w:pPr>
          </w:p>
        </w:tc>
        <w:tc>
          <w:tcPr>
            <w:tcW w:w="27" w:type="pct"/>
            <w:shd w:val="clear" w:color="auto" w:fill="auto"/>
            <w:vAlign w:val="bottom"/>
          </w:tcPr>
          <w:p w14:paraId="0B2FACC2" w14:textId="77777777" w:rsidR="007F1775" w:rsidRDefault="007F1775">
            <w:pPr>
              <w:rPr>
                <w:rFonts w:ascii="宋体"/>
              </w:rPr>
            </w:pPr>
          </w:p>
        </w:tc>
        <w:tc>
          <w:tcPr>
            <w:tcW w:w="5" w:type="pct"/>
            <w:shd w:val="clear" w:color="auto" w:fill="auto"/>
            <w:vAlign w:val="bottom"/>
          </w:tcPr>
          <w:p w14:paraId="0B2FACC3" w14:textId="77777777" w:rsidR="007F1775" w:rsidRDefault="007F1775">
            <w:pPr>
              <w:rPr>
                <w:rFonts w:ascii="宋体"/>
              </w:rPr>
            </w:pPr>
          </w:p>
        </w:tc>
        <w:tc>
          <w:tcPr>
            <w:tcW w:w="50" w:type="pct"/>
            <w:shd w:val="clear" w:color="auto" w:fill="auto"/>
            <w:vAlign w:val="bottom"/>
          </w:tcPr>
          <w:p w14:paraId="0B2FACC4" w14:textId="77777777" w:rsidR="007F1775" w:rsidRDefault="007F1775">
            <w:pPr>
              <w:rPr>
                <w:rFonts w:ascii="宋体"/>
              </w:rPr>
            </w:pPr>
          </w:p>
        </w:tc>
        <w:tc>
          <w:tcPr>
            <w:tcW w:w="422" w:type="pct"/>
            <w:shd w:val="clear" w:color="auto" w:fill="auto"/>
            <w:vAlign w:val="bottom"/>
          </w:tcPr>
          <w:p w14:paraId="0B2FACC5" w14:textId="77777777" w:rsidR="007F1775" w:rsidRDefault="007F1775">
            <w:pPr>
              <w:rPr>
                <w:rFonts w:ascii="宋体"/>
              </w:rPr>
            </w:pPr>
          </w:p>
        </w:tc>
        <w:tc>
          <w:tcPr>
            <w:tcW w:w="5" w:type="pct"/>
            <w:shd w:val="clear" w:color="auto" w:fill="auto"/>
            <w:vAlign w:val="bottom"/>
          </w:tcPr>
          <w:p w14:paraId="0B2FACC6" w14:textId="77777777" w:rsidR="007F1775" w:rsidRDefault="007F1775">
            <w:pPr>
              <w:rPr>
                <w:rFonts w:ascii="宋体"/>
              </w:rPr>
            </w:pPr>
          </w:p>
        </w:tc>
        <w:tc>
          <w:tcPr>
            <w:tcW w:w="5" w:type="pct"/>
            <w:shd w:val="clear" w:color="auto" w:fill="auto"/>
            <w:vAlign w:val="bottom"/>
          </w:tcPr>
          <w:p w14:paraId="0B2FACC7" w14:textId="77777777" w:rsidR="007F1775" w:rsidRDefault="007F1775">
            <w:pPr>
              <w:rPr>
                <w:rFonts w:ascii="宋体"/>
              </w:rPr>
            </w:pPr>
          </w:p>
        </w:tc>
        <w:tc>
          <w:tcPr>
            <w:tcW w:w="27" w:type="pct"/>
            <w:shd w:val="clear" w:color="auto" w:fill="auto"/>
            <w:vAlign w:val="bottom"/>
          </w:tcPr>
          <w:p w14:paraId="0B2FACC8" w14:textId="77777777" w:rsidR="007F1775" w:rsidRDefault="007F1775">
            <w:pPr>
              <w:rPr>
                <w:rFonts w:ascii="宋体"/>
              </w:rPr>
            </w:pPr>
          </w:p>
        </w:tc>
        <w:tc>
          <w:tcPr>
            <w:tcW w:w="5" w:type="pct"/>
            <w:shd w:val="clear" w:color="auto" w:fill="auto"/>
            <w:vAlign w:val="bottom"/>
          </w:tcPr>
          <w:p w14:paraId="0B2FACC9" w14:textId="77777777" w:rsidR="007F1775" w:rsidRDefault="007F1775">
            <w:pPr>
              <w:rPr>
                <w:rFonts w:ascii="宋体"/>
              </w:rPr>
            </w:pPr>
          </w:p>
        </w:tc>
        <w:tc>
          <w:tcPr>
            <w:tcW w:w="50" w:type="pct"/>
            <w:shd w:val="clear" w:color="auto" w:fill="auto"/>
            <w:vAlign w:val="bottom"/>
          </w:tcPr>
          <w:p w14:paraId="0B2FACCA" w14:textId="77777777" w:rsidR="007F1775" w:rsidRDefault="007F1775">
            <w:pPr>
              <w:rPr>
                <w:rFonts w:ascii="宋体"/>
              </w:rPr>
            </w:pPr>
          </w:p>
        </w:tc>
        <w:tc>
          <w:tcPr>
            <w:tcW w:w="534" w:type="pct"/>
            <w:shd w:val="clear" w:color="auto" w:fill="auto"/>
            <w:vAlign w:val="bottom"/>
          </w:tcPr>
          <w:p w14:paraId="0B2FACCB" w14:textId="77777777" w:rsidR="007F1775" w:rsidRDefault="007F1775">
            <w:pPr>
              <w:rPr>
                <w:rFonts w:ascii="宋体"/>
              </w:rPr>
            </w:pPr>
          </w:p>
        </w:tc>
        <w:tc>
          <w:tcPr>
            <w:tcW w:w="5" w:type="pct"/>
            <w:shd w:val="clear" w:color="auto" w:fill="auto"/>
            <w:vAlign w:val="bottom"/>
          </w:tcPr>
          <w:p w14:paraId="0B2FACCC" w14:textId="77777777" w:rsidR="007F1775" w:rsidRDefault="007F1775">
            <w:pPr>
              <w:rPr>
                <w:rFonts w:ascii="宋体"/>
              </w:rPr>
            </w:pPr>
          </w:p>
        </w:tc>
        <w:tc>
          <w:tcPr>
            <w:tcW w:w="5" w:type="pct"/>
            <w:shd w:val="clear" w:color="auto" w:fill="auto"/>
            <w:vAlign w:val="bottom"/>
          </w:tcPr>
          <w:p w14:paraId="0B2FACCD" w14:textId="77777777" w:rsidR="007F1775" w:rsidRDefault="007F1775">
            <w:pPr>
              <w:rPr>
                <w:rFonts w:ascii="宋体"/>
              </w:rPr>
            </w:pPr>
          </w:p>
        </w:tc>
        <w:tc>
          <w:tcPr>
            <w:tcW w:w="27" w:type="pct"/>
            <w:shd w:val="clear" w:color="auto" w:fill="auto"/>
            <w:vAlign w:val="bottom"/>
          </w:tcPr>
          <w:p w14:paraId="0B2FACCE" w14:textId="77777777" w:rsidR="007F1775" w:rsidRDefault="007F1775">
            <w:pPr>
              <w:rPr>
                <w:rFonts w:ascii="宋体"/>
              </w:rPr>
            </w:pPr>
          </w:p>
        </w:tc>
        <w:tc>
          <w:tcPr>
            <w:tcW w:w="5" w:type="pct"/>
            <w:shd w:val="clear" w:color="auto" w:fill="auto"/>
            <w:vAlign w:val="bottom"/>
          </w:tcPr>
          <w:p w14:paraId="0B2FACCF" w14:textId="77777777" w:rsidR="007F1775" w:rsidRDefault="007F1775">
            <w:pPr>
              <w:rPr>
                <w:rFonts w:ascii="宋体"/>
              </w:rPr>
            </w:pPr>
          </w:p>
        </w:tc>
        <w:tc>
          <w:tcPr>
            <w:tcW w:w="50" w:type="pct"/>
            <w:shd w:val="clear" w:color="auto" w:fill="auto"/>
            <w:vAlign w:val="bottom"/>
          </w:tcPr>
          <w:p w14:paraId="0B2FACD0" w14:textId="77777777" w:rsidR="007F1775" w:rsidRDefault="007F1775">
            <w:pPr>
              <w:rPr>
                <w:rFonts w:ascii="宋体"/>
              </w:rPr>
            </w:pPr>
          </w:p>
        </w:tc>
        <w:tc>
          <w:tcPr>
            <w:tcW w:w="422" w:type="pct"/>
            <w:shd w:val="clear" w:color="auto" w:fill="auto"/>
            <w:vAlign w:val="bottom"/>
          </w:tcPr>
          <w:p w14:paraId="0B2FACD1" w14:textId="77777777" w:rsidR="007F1775" w:rsidRDefault="007F1775">
            <w:pPr>
              <w:rPr>
                <w:rFonts w:ascii="宋体"/>
              </w:rPr>
            </w:pPr>
          </w:p>
        </w:tc>
        <w:tc>
          <w:tcPr>
            <w:tcW w:w="5" w:type="pct"/>
            <w:shd w:val="clear" w:color="auto" w:fill="auto"/>
            <w:vAlign w:val="bottom"/>
          </w:tcPr>
          <w:p w14:paraId="0B2FACD2" w14:textId="77777777" w:rsidR="007F1775" w:rsidRDefault="007F1775">
            <w:pPr>
              <w:rPr>
                <w:rFonts w:ascii="宋体"/>
              </w:rPr>
            </w:pPr>
          </w:p>
        </w:tc>
        <w:tc>
          <w:tcPr>
            <w:tcW w:w="5" w:type="pct"/>
            <w:shd w:val="clear" w:color="auto" w:fill="auto"/>
            <w:vAlign w:val="bottom"/>
          </w:tcPr>
          <w:p w14:paraId="0B2FACD3" w14:textId="77777777" w:rsidR="007F1775" w:rsidRDefault="007F1775">
            <w:pPr>
              <w:rPr>
                <w:rFonts w:ascii="宋体"/>
              </w:rPr>
            </w:pPr>
          </w:p>
        </w:tc>
        <w:tc>
          <w:tcPr>
            <w:tcW w:w="27" w:type="pct"/>
            <w:shd w:val="clear" w:color="auto" w:fill="auto"/>
            <w:vAlign w:val="bottom"/>
          </w:tcPr>
          <w:p w14:paraId="0B2FACD4" w14:textId="77777777" w:rsidR="007F1775" w:rsidRDefault="007F1775">
            <w:pPr>
              <w:rPr>
                <w:rFonts w:ascii="宋体"/>
              </w:rPr>
            </w:pPr>
          </w:p>
        </w:tc>
        <w:tc>
          <w:tcPr>
            <w:tcW w:w="5" w:type="pct"/>
            <w:shd w:val="clear" w:color="auto" w:fill="auto"/>
            <w:vAlign w:val="bottom"/>
          </w:tcPr>
          <w:p w14:paraId="0B2FACD5" w14:textId="77777777" w:rsidR="007F1775" w:rsidRDefault="007F1775">
            <w:pPr>
              <w:rPr>
                <w:rFonts w:ascii="宋体"/>
              </w:rPr>
            </w:pPr>
          </w:p>
        </w:tc>
        <w:tc>
          <w:tcPr>
            <w:tcW w:w="50" w:type="pct"/>
            <w:shd w:val="clear" w:color="auto" w:fill="auto"/>
            <w:vAlign w:val="bottom"/>
          </w:tcPr>
          <w:p w14:paraId="0B2FACD6" w14:textId="77777777" w:rsidR="007F1775" w:rsidRDefault="007F1775">
            <w:pPr>
              <w:rPr>
                <w:rFonts w:ascii="宋体"/>
              </w:rPr>
            </w:pPr>
          </w:p>
        </w:tc>
        <w:tc>
          <w:tcPr>
            <w:tcW w:w="422" w:type="pct"/>
            <w:shd w:val="clear" w:color="auto" w:fill="auto"/>
            <w:vAlign w:val="bottom"/>
          </w:tcPr>
          <w:p w14:paraId="0B2FACD7" w14:textId="77777777" w:rsidR="007F1775" w:rsidRDefault="007F1775">
            <w:pPr>
              <w:rPr>
                <w:rFonts w:ascii="宋体"/>
              </w:rPr>
            </w:pPr>
          </w:p>
        </w:tc>
        <w:tc>
          <w:tcPr>
            <w:tcW w:w="5" w:type="pct"/>
            <w:shd w:val="clear" w:color="auto" w:fill="auto"/>
            <w:vAlign w:val="bottom"/>
          </w:tcPr>
          <w:p w14:paraId="0B2FACD8" w14:textId="77777777" w:rsidR="007F1775" w:rsidRDefault="007F1775">
            <w:pPr>
              <w:rPr>
                <w:rFonts w:ascii="宋体"/>
              </w:rPr>
            </w:pPr>
          </w:p>
        </w:tc>
        <w:tc>
          <w:tcPr>
            <w:tcW w:w="5" w:type="pct"/>
            <w:shd w:val="clear" w:color="auto" w:fill="auto"/>
            <w:vAlign w:val="bottom"/>
          </w:tcPr>
          <w:p w14:paraId="0B2FACD9" w14:textId="77777777" w:rsidR="007F1775" w:rsidRDefault="007F1775">
            <w:pPr>
              <w:rPr>
                <w:rFonts w:ascii="宋体"/>
              </w:rPr>
            </w:pPr>
          </w:p>
        </w:tc>
        <w:tc>
          <w:tcPr>
            <w:tcW w:w="27" w:type="pct"/>
            <w:shd w:val="clear" w:color="auto" w:fill="auto"/>
            <w:vAlign w:val="bottom"/>
          </w:tcPr>
          <w:p w14:paraId="0B2FACDA" w14:textId="77777777" w:rsidR="007F1775" w:rsidRDefault="007F1775">
            <w:pPr>
              <w:rPr>
                <w:rFonts w:ascii="宋体"/>
              </w:rPr>
            </w:pPr>
          </w:p>
        </w:tc>
        <w:tc>
          <w:tcPr>
            <w:tcW w:w="5" w:type="pct"/>
            <w:shd w:val="clear" w:color="auto" w:fill="auto"/>
            <w:vAlign w:val="bottom"/>
          </w:tcPr>
          <w:p w14:paraId="0B2FACDB" w14:textId="77777777" w:rsidR="007F1775" w:rsidRDefault="007F1775">
            <w:pPr>
              <w:rPr>
                <w:rFonts w:ascii="宋体"/>
              </w:rPr>
            </w:pPr>
          </w:p>
        </w:tc>
        <w:tc>
          <w:tcPr>
            <w:tcW w:w="50" w:type="pct"/>
            <w:shd w:val="clear" w:color="auto" w:fill="auto"/>
            <w:vAlign w:val="bottom"/>
          </w:tcPr>
          <w:p w14:paraId="0B2FACDC" w14:textId="77777777" w:rsidR="007F1775" w:rsidRDefault="007F1775">
            <w:pPr>
              <w:rPr>
                <w:rFonts w:ascii="宋体"/>
              </w:rPr>
            </w:pPr>
          </w:p>
        </w:tc>
        <w:tc>
          <w:tcPr>
            <w:tcW w:w="534" w:type="pct"/>
            <w:shd w:val="clear" w:color="auto" w:fill="auto"/>
            <w:vAlign w:val="bottom"/>
          </w:tcPr>
          <w:p w14:paraId="0B2FACDD" w14:textId="77777777" w:rsidR="007F1775" w:rsidRDefault="007F1775">
            <w:pPr>
              <w:rPr>
                <w:rFonts w:ascii="宋体"/>
              </w:rPr>
            </w:pPr>
          </w:p>
        </w:tc>
        <w:tc>
          <w:tcPr>
            <w:tcW w:w="5" w:type="pct"/>
            <w:shd w:val="clear" w:color="auto" w:fill="auto"/>
            <w:vAlign w:val="bottom"/>
          </w:tcPr>
          <w:p w14:paraId="0B2FACDE" w14:textId="77777777" w:rsidR="007F1775" w:rsidRDefault="007F1775">
            <w:pPr>
              <w:rPr>
                <w:rFonts w:ascii="宋体"/>
              </w:rPr>
            </w:pPr>
          </w:p>
        </w:tc>
        <w:tc>
          <w:tcPr>
            <w:tcW w:w="5" w:type="pct"/>
            <w:shd w:val="clear" w:color="auto" w:fill="auto"/>
            <w:vAlign w:val="bottom"/>
          </w:tcPr>
          <w:p w14:paraId="0B2FACDF" w14:textId="77777777" w:rsidR="007F1775" w:rsidRDefault="007F1775">
            <w:pPr>
              <w:rPr>
                <w:rFonts w:ascii="宋体"/>
              </w:rPr>
            </w:pPr>
          </w:p>
        </w:tc>
        <w:tc>
          <w:tcPr>
            <w:tcW w:w="27" w:type="pct"/>
            <w:shd w:val="clear" w:color="auto" w:fill="auto"/>
            <w:vAlign w:val="bottom"/>
          </w:tcPr>
          <w:p w14:paraId="0B2FACE0" w14:textId="77777777" w:rsidR="007F1775" w:rsidRDefault="007F1775">
            <w:pPr>
              <w:rPr>
                <w:rFonts w:ascii="宋体"/>
              </w:rPr>
            </w:pPr>
          </w:p>
        </w:tc>
        <w:tc>
          <w:tcPr>
            <w:tcW w:w="5" w:type="pct"/>
            <w:shd w:val="clear" w:color="auto" w:fill="auto"/>
            <w:vAlign w:val="bottom"/>
          </w:tcPr>
          <w:p w14:paraId="0B2FACE1" w14:textId="77777777" w:rsidR="007F1775" w:rsidRDefault="007F1775">
            <w:pPr>
              <w:rPr>
                <w:rFonts w:ascii="宋体"/>
              </w:rPr>
            </w:pPr>
          </w:p>
        </w:tc>
        <w:tc>
          <w:tcPr>
            <w:tcW w:w="50" w:type="pct"/>
            <w:shd w:val="clear" w:color="auto" w:fill="auto"/>
            <w:vAlign w:val="bottom"/>
          </w:tcPr>
          <w:p w14:paraId="0B2FACE2" w14:textId="77777777" w:rsidR="007F1775" w:rsidRDefault="007F1775">
            <w:pPr>
              <w:rPr>
                <w:rFonts w:ascii="宋体"/>
              </w:rPr>
            </w:pPr>
          </w:p>
        </w:tc>
        <w:tc>
          <w:tcPr>
            <w:tcW w:w="422" w:type="pct"/>
            <w:shd w:val="clear" w:color="auto" w:fill="auto"/>
            <w:vAlign w:val="bottom"/>
          </w:tcPr>
          <w:p w14:paraId="0B2FACE3" w14:textId="77777777" w:rsidR="007F1775" w:rsidRDefault="007F1775">
            <w:pPr>
              <w:rPr>
                <w:rFonts w:ascii="宋体"/>
              </w:rPr>
            </w:pPr>
          </w:p>
        </w:tc>
        <w:tc>
          <w:tcPr>
            <w:tcW w:w="5" w:type="pct"/>
            <w:shd w:val="clear" w:color="auto" w:fill="auto"/>
            <w:vAlign w:val="bottom"/>
          </w:tcPr>
          <w:p w14:paraId="0B2FACE4" w14:textId="77777777" w:rsidR="007F1775" w:rsidRDefault="007F1775">
            <w:pPr>
              <w:rPr>
                <w:rFonts w:ascii="宋体"/>
              </w:rPr>
            </w:pPr>
          </w:p>
        </w:tc>
      </w:tr>
      <w:tr w:rsidR="007F1775" w14:paraId="0B2FACEC" w14:textId="77777777">
        <w:tc>
          <w:tcPr>
            <w:tcW w:w="0" w:type="auto"/>
            <w:gridSpan w:val="3"/>
            <w:shd w:val="clear" w:color="auto" w:fill="auto"/>
            <w:tcMar>
              <w:top w:w="0" w:type="dxa"/>
              <w:left w:w="20" w:type="dxa"/>
              <w:bottom w:w="0" w:type="dxa"/>
              <w:right w:w="20" w:type="dxa"/>
            </w:tcMar>
            <w:vAlign w:val="bottom"/>
          </w:tcPr>
          <w:p w14:paraId="0B2FACE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ACE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ACE8" w14:textId="77777777" w:rsidR="007F1775" w:rsidRDefault="007F1775">
            <w:pPr>
              <w:rPr>
                <w:rFonts w:ascii="宋体"/>
              </w:rPr>
            </w:pPr>
          </w:p>
        </w:tc>
        <w:tc>
          <w:tcPr>
            <w:tcW w:w="0" w:type="auto"/>
            <w:gridSpan w:val="15"/>
            <w:shd w:val="clear" w:color="auto" w:fill="auto"/>
            <w:tcMar>
              <w:top w:w="40" w:type="dxa"/>
              <w:left w:w="20" w:type="dxa"/>
              <w:bottom w:w="40" w:type="dxa"/>
              <w:right w:w="20" w:type="dxa"/>
            </w:tcMar>
            <w:vAlign w:val="bottom"/>
          </w:tcPr>
          <w:p w14:paraId="0B2FACE9" w14:textId="77777777" w:rsidR="007F1775" w:rsidRDefault="000F083E">
            <w:pPr>
              <w:jc w:val="center"/>
              <w:textAlignment w:val="bottom"/>
            </w:pPr>
            <w:r>
              <w:rPr>
                <w:rFonts w:ascii="Times New Roman" w:eastAsia="宋体" w:hAnsi="Times New Roman"/>
                <w:b/>
                <w:bCs/>
                <w:color w:val="000000"/>
                <w:sz w:val="16"/>
                <w:szCs w:val="16"/>
              </w:rPr>
              <w:t>March 31, 2022</w:t>
            </w:r>
          </w:p>
        </w:tc>
        <w:tc>
          <w:tcPr>
            <w:tcW w:w="0" w:type="auto"/>
            <w:gridSpan w:val="3"/>
            <w:shd w:val="clear" w:color="auto" w:fill="auto"/>
            <w:tcMar>
              <w:top w:w="0" w:type="dxa"/>
              <w:left w:w="20" w:type="dxa"/>
              <w:bottom w:w="0" w:type="dxa"/>
              <w:right w:w="20" w:type="dxa"/>
            </w:tcMar>
            <w:vAlign w:val="bottom"/>
          </w:tcPr>
          <w:p w14:paraId="0B2FACEA" w14:textId="77777777" w:rsidR="007F1775" w:rsidRDefault="007F1775">
            <w:pPr>
              <w:rPr>
                <w:rFonts w:ascii="宋体"/>
              </w:rPr>
            </w:pPr>
          </w:p>
        </w:tc>
        <w:tc>
          <w:tcPr>
            <w:tcW w:w="0" w:type="auto"/>
            <w:gridSpan w:val="15"/>
            <w:shd w:val="clear" w:color="auto" w:fill="auto"/>
            <w:tcMar>
              <w:top w:w="40" w:type="dxa"/>
              <w:left w:w="20" w:type="dxa"/>
              <w:bottom w:w="40" w:type="dxa"/>
              <w:right w:w="20" w:type="dxa"/>
            </w:tcMar>
            <w:vAlign w:val="bottom"/>
          </w:tcPr>
          <w:p w14:paraId="0B2FACEB" w14:textId="77777777" w:rsidR="007F1775" w:rsidRDefault="000F083E">
            <w:pPr>
              <w:jc w:val="center"/>
              <w:textAlignment w:val="bottom"/>
            </w:pPr>
            <w:r>
              <w:rPr>
                <w:rFonts w:ascii="Times New Roman" w:eastAsia="宋体" w:hAnsi="Times New Roman"/>
                <w:b/>
                <w:bCs/>
                <w:color w:val="000000"/>
                <w:sz w:val="16"/>
                <w:szCs w:val="16"/>
              </w:rPr>
              <w:t>December 31, 2021</w:t>
            </w:r>
          </w:p>
        </w:tc>
      </w:tr>
      <w:tr w:rsidR="007F1775" w14:paraId="0B2FACFB" w14:textId="77777777">
        <w:tc>
          <w:tcPr>
            <w:tcW w:w="0" w:type="auto"/>
            <w:gridSpan w:val="3"/>
            <w:shd w:val="clear" w:color="auto" w:fill="auto"/>
            <w:tcMar>
              <w:top w:w="0" w:type="dxa"/>
              <w:left w:w="20" w:type="dxa"/>
              <w:bottom w:w="0" w:type="dxa"/>
              <w:right w:w="20" w:type="dxa"/>
            </w:tcMar>
            <w:vAlign w:val="bottom"/>
          </w:tcPr>
          <w:p w14:paraId="0B2FACED"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CEE" w14:textId="77777777" w:rsidR="007F1775" w:rsidRDefault="000F083E">
            <w:pPr>
              <w:jc w:val="center"/>
              <w:textAlignment w:val="bottom"/>
            </w:pPr>
            <w:r>
              <w:rPr>
                <w:rFonts w:ascii="Times New Roman" w:eastAsia="宋体" w:hAnsi="Times New Roman"/>
                <w:b/>
                <w:bCs/>
                <w:color w:val="000000"/>
                <w:sz w:val="16"/>
                <w:szCs w:val="16"/>
              </w:rPr>
              <w:t xml:space="preserve">Weighted-Average Remaining Useful Lives </w:t>
            </w:r>
            <w:r>
              <w:rPr>
                <w:rFonts w:ascii="Times New Roman" w:eastAsia="宋体" w:hAnsi="Times New Roman"/>
                <w:b/>
                <w:bCs/>
                <w:color w:val="000000"/>
                <w:sz w:val="16"/>
                <w:szCs w:val="16"/>
              </w:rPr>
              <w:br/>
              <w:t>(in years)</w:t>
            </w:r>
          </w:p>
        </w:tc>
        <w:tc>
          <w:tcPr>
            <w:tcW w:w="0" w:type="auto"/>
            <w:gridSpan w:val="3"/>
            <w:shd w:val="clear" w:color="auto" w:fill="auto"/>
            <w:tcMar>
              <w:top w:w="0" w:type="dxa"/>
              <w:left w:w="20" w:type="dxa"/>
              <w:bottom w:w="0" w:type="dxa"/>
              <w:right w:w="20" w:type="dxa"/>
            </w:tcMar>
            <w:vAlign w:val="bottom"/>
          </w:tcPr>
          <w:p w14:paraId="0B2FACEF"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CF0" w14:textId="77777777" w:rsidR="007F1775" w:rsidRDefault="000F083E">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CF1"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CF2" w14:textId="77777777" w:rsidR="007F1775" w:rsidRDefault="000F083E">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CF3"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CF4" w14:textId="77777777" w:rsidR="007F1775" w:rsidRDefault="000F083E">
            <w:pPr>
              <w:jc w:val="center"/>
              <w:textAlignment w:val="bottom"/>
            </w:pPr>
            <w:r>
              <w:rPr>
                <w:rFonts w:ascii="Times New Roman" w:eastAsia="宋体" w:hAnsi="Times New Roman"/>
                <w:b/>
                <w:bCs/>
                <w:color w:val="000000"/>
                <w:sz w:val="16"/>
                <w:szCs w:val="16"/>
              </w:rPr>
              <w:t>Net Carrying Amount</w:t>
            </w:r>
          </w:p>
        </w:tc>
        <w:tc>
          <w:tcPr>
            <w:tcW w:w="0" w:type="auto"/>
            <w:gridSpan w:val="3"/>
            <w:shd w:val="clear" w:color="auto" w:fill="auto"/>
            <w:tcMar>
              <w:top w:w="0" w:type="dxa"/>
              <w:left w:w="20" w:type="dxa"/>
              <w:bottom w:w="0" w:type="dxa"/>
              <w:right w:w="20" w:type="dxa"/>
            </w:tcMar>
            <w:vAlign w:val="bottom"/>
          </w:tcPr>
          <w:p w14:paraId="0B2FACF5"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CF6" w14:textId="77777777" w:rsidR="007F1775" w:rsidRDefault="000F083E">
            <w:pPr>
              <w:jc w:val="center"/>
              <w:textAlignment w:val="bottom"/>
            </w:pPr>
            <w:r>
              <w:rPr>
                <w:rFonts w:ascii="Times New Roman" w:eastAsia="宋体" w:hAnsi="Times New Roman"/>
                <w:b/>
                <w:bCs/>
                <w:color w:val="000000"/>
                <w:sz w:val="16"/>
                <w:szCs w:val="16"/>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CF7"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CF8" w14:textId="77777777" w:rsidR="007F1775" w:rsidRDefault="000F083E">
            <w:pPr>
              <w:jc w:val="center"/>
              <w:textAlignment w:val="bottom"/>
            </w:pPr>
            <w:r>
              <w:rPr>
                <w:rFonts w:ascii="Times New Roman" w:eastAsia="宋体" w:hAnsi="Times New Roman"/>
                <w:b/>
                <w:bCs/>
                <w:color w:val="000000"/>
                <w:sz w:val="16"/>
                <w:szCs w:val="16"/>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CF9"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CFA" w14:textId="77777777" w:rsidR="007F1775" w:rsidRDefault="000F083E">
            <w:pPr>
              <w:jc w:val="center"/>
              <w:textAlignment w:val="bottom"/>
            </w:pPr>
            <w:r>
              <w:rPr>
                <w:rFonts w:ascii="Times New Roman" w:eastAsia="宋体" w:hAnsi="Times New Roman"/>
                <w:b/>
                <w:bCs/>
                <w:color w:val="000000"/>
                <w:sz w:val="16"/>
                <w:szCs w:val="16"/>
              </w:rPr>
              <w:t>Net Carrying Amount</w:t>
            </w:r>
          </w:p>
        </w:tc>
      </w:tr>
      <w:tr w:rsidR="007F1775" w14:paraId="0B2FAD16" w14:textId="77777777">
        <w:tc>
          <w:tcPr>
            <w:tcW w:w="0" w:type="auto"/>
            <w:gridSpan w:val="3"/>
            <w:shd w:val="clear" w:color="auto" w:fill="CCEEFF"/>
            <w:tcMar>
              <w:top w:w="40" w:type="dxa"/>
              <w:left w:w="20" w:type="dxa"/>
              <w:bottom w:w="40" w:type="dxa"/>
              <w:right w:w="20" w:type="dxa"/>
            </w:tcMar>
            <w:vAlign w:val="bottom"/>
          </w:tcPr>
          <w:p w14:paraId="0B2FACFC" w14:textId="77777777" w:rsidR="007F1775" w:rsidRDefault="000F083E">
            <w:pPr>
              <w:ind w:firstLine="180"/>
              <w:textAlignment w:val="bottom"/>
            </w:pPr>
            <w:r>
              <w:rPr>
                <w:rFonts w:ascii="Times New Roman" w:eastAsia="宋体" w:hAnsi="Times New Roman"/>
                <w:color w:val="000000"/>
                <w:sz w:val="20"/>
                <w:szCs w:val="20"/>
              </w:rPr>
              <w:t>Acquired technology</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B2FACFD" w14:textId="77777777" w:rsidR="007F1775" w:rsidRDefault="000F083E">
            <w:pPr>
              <w:jc w:val="center"/>
              <w:textAlignment w:val="bottom"/>
            </w:pPr>
            <w:r>
              <w:rPr>
                <w:rFonts w:ascii="Times New Roman" w:eastAsia="宋体" w:hAnsi="Times New Roman"/>
                <w:color w:val="000000"/>
                <w:sz w:val="20"/>
                <w:szCs w:val="20"/>
              </w:rPr>
              <w:t>4.2</w:t>
            </w:r>
          </w:p>
        </w:tc>
        <w:tc>
          <w:tcPr>
            <w:tcW w:w="0" w:type="auto"/>
            <w:gridSpan w:val="3"/>
            <w:shd w:val="clear" w:color="auto" w:fill="CCEEFF"/>
            <w:tcMar>
              <w:top w:w="0" w:type="dxa"/>
              <w:left w:w="20" w:type="dxa"/>
              <w:bottom w:w="0" w:type="dxa"/>
              <w:right w:w="20" w:type="dxa"/>
            </w:tcMar>
            <w:vAlign w:val="bottom"/>
          </w:tcPr>
          <w:p w14:paraId="0B2FACFE"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CFF"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D00" w14:textId="77777777" w:rsidR="007F1775" w:rsidRDefault="000F083E">
            <w:pPr>
              <w:jc w:val="right"/>
              <w:textAlignment w:val="bottom"/>
            </w:pPr>
            <w:r>
              <w:rPr>
                <w:rFonts w:ascii="Times New Roman" w:eastAsia="宋体" w:hAnsi="Times New Roman"/>
                <w:color w:val="000000"/>
                <w:sz w:val="20"/>
                <w:szCs w:val="20"/>
              </w:rPr>
              <w:t>1,534 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0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02"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D0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D04" w14:textId="77777777" w:rsidR="007F1775" w:rsidRDefault="000F083E">
            <w:pPr>
              <w:jc w:val="right"/>
              <w:textAlignment w:val="bottom"/>
            </w:pPr>
            <w:r>
              <w:rPr>
                <w:rFonts w:ascii="Times New Roman" w:eastAsia="宋体" w:hAnsi="Times New Roman"/>
                <w:color w:val="000000"/>
                <w:sz w:val="20"/>
                <w:szCs w:val="20"/>
              </w:rPr>
              <w:t>(1,194)</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0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06"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D0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D08" w14:textId="77777777" w:rsidR="007F1775" w:rsidRDefault="000F083E">
            <w:pPr>
              <w:jc w:val="right"/>
              <w:textAlignment w:val="bottom"/>
            </w:pPr>
            <w:r>
              <w:rPr>
                <w:rFonts w:ascii="Times New Roman" w:eastAsia="宋体" w:hAnsi="Times New Roman"/>
                <w:color w:val="000000"/>
                <w:sz w:val="20"/>
                <w:szCs w:val="20"/>
              </w:rPr>
              <w:t>340 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0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0A"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D0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D0C" w14:textId="77777777" w:rsidR="007F1775" w:rsidRDefault="000F083E">
            <w:pPr>
              <w:jc w:val="right"/>
              <w:textAlignment w:val="bottom"/>
            </w:pPr>
            <w:r>
              <w:rPr>
                <w:rFonts w:ascii="Times New Roman" w:eastAsia="宋体" w:hAnsi="Times New Roman"/>
                <w:color w:val="000000"/>
                <w:sz w:val="20"/>
                <w:szCs w:val="20"/>
              </w:rPr>
              <w:t>1,412 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0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0E"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D0F"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D10" w14:textId="77777777" w:rsidR="007F1775" w:rsidRDefault="000F083E">
            <w:pPr>
              <w:jc w:val="right"/>
              <w:textAlignment w:val="bottom"/>
            </w:pPr>
            <w:r>
              <w:rPr>
                <w:rFonts w:ascii="Times New Roman" w:eastAsia="宋体" w:hAnsi="Times New Roman"/>
                <w:color w:val="000000"/>
                <w:sz w:val="20"/>
                <w:szCs w:val="20"/>
              </w:rPr>
              <w:t>(1,169)</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1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12"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D1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D14" w14:textId="77777777" w:rsidR="007F1775" w:rsidRDefault="000F083E">
            <w:pPr>
              <w:jc w:val="right"/>
              <w:textAlignment w:val="bottom"/>
            </w:pPr>
            <w:r>
              <w:rPr>
                <w:rFonts w:ascii="Times New Roman" w:eastAsia="宋体" w:hAnsi="Times New Roman"/>
                <w:color w:val="000000"/>
                <w:sz w:val="20"/>
                <w:szCs w:val="20"/>
              </w:rPr>
              <w:t>243 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15" w14:textId="77777777" w:rsidR="007F1775" w:rsidRDefault="007F1775">
            <w:pPr>
              <w:jc w:val="right"/>
              <w:rPr>
                <w:rFonts w:ascii="宋体"/>
              </w:rPr>
            </w:pPr>
          </w:p>
        </w:tc>
      </w:tr>
      <w:tr w:rsidR="007F1775" w14:paraId="0B2FAD2B" w14:textId="77777777">
        <w:tc>
          <w:tcPr>
            <w:tcW w:w="0" w:type="auto"/>
            <w:gridSpan w:val="3"/>
            <w:shd w:val="clear" w:color="auto" w:fill="FFFFFF"/>
            <w:tcMar>
              <w:top w:w="40" w:type="dxa"/>
              <w:left w:w="20" w:type="dxa"/>
              <w:bottom w:w="40" w:type="dxa"/>
              <w:right w:w="20" w:type="dxa"/>
            </w:tcMar>
            <w:vAlign w:val="bottom"/>
          </w:tcPr>
          <w:p w14:paraId="0B2FAD17" w14:textId="77777777" w:rsidR="007F1775" w:rsidRDefault="000F083E">
            <w:pPr>
              <w:ind w:firstLine="180"/>
              <w:textAlignment w:val="bottom"/>
            </w:pPr>
            <w:r>
              <w:rPr>
                <w:rFonts w:ascii="Times New Roman" w:eastAsia="宋体" w:hAnsi="Times New Roman"/>
                <w:color w:val="000000"/>
                <w:sz w:val="20"/>
                <w:szCs w:val="20"/>
              </w:rPr>
              <w:t>Acquired patents</w:t>
            </w:r>
          </w:p>
        </w:tc>
        <w:tc>
          <w:tcPr>
            <w:tcW w:w="0" w:type="auto"/>
            <w:gridSpan w:val="3"/>
            <w:shd w:val="clear" w:color="auto" w:fill="FFFFFF"/>
            <w:tcMar>
              <w:top w:w="40" w:type="dxa"/>
              <w:left w:w="20" w:type="dxa"/>
              <w:bottom w:w="40" w:type="dxa"/>
              <w:right w:w="20" w:type="dxa"/>
            </w:tcMar>
            <w:vAlign w:val="bottom"/>
          </w:tcPr>
          <w:p w14:paraId="0B2FAD18" w14:textId="77777777" w:rsidR="007F1775" w:rsidRDefault="000F083E">
            <w:pPr>
              <w:jc w:val="center"/>
              <w:textAlignment w:val="bottom"/>
            </w:pPr>
            <w:r>
              <w:rPr>
                <w:rFonts w:ascii="Times New Roman" w:eastAsia="宋体" w:hAnsi="Times New Roman"/>
                <w:color w:val="000000"/>
                <w:sz w:val="20"/>
                <w:szCs w:val="20"/>
              </w:rPr>
              <w:t>3.2</w:t>
            </w:r>
          </w:p>
        </w:tc>
        <w:tc>
          <w:tcPr>
            <w:tcW w:w="0" w:type="auto"/>
            <w:gridSpan w:val="3"/>
            <w:shd w:val="clear" w:color="auto" w:fill="FFFFFF"/>
            <w:tcMar>
              <w:top w:w="0" w:type="dxa"/>
              <w:left w:w="20" w:type="dxa"/>
              <w:bottom w:w="0" w:type="dxa"/>
              <w:right w:w="20" w:type="dxa"/>
            </w:tcMar>
            <w:vAlign w:val="bottom"/>
          </w:tcPr>
          <w:p w14:paraId="0B2FAD19"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1A" w14:textId="77777777" w:rsidR="007F1775" w:rsidRDefault="000F083E">
            <w:pPr>
              <w:jc w:val="right"/>
              <w:textAlignment w:val="bottom"/>
            </w:pPr>
            <w:r>
              <w:rPr>
                <w:rFonts w:ascii="Times New Roman" w:eastAsia="宋体" w:hAnsi="Times New Roman"/>
                <w:color w:val="000000"/>
                <w:sz w:val="20"/>
                <w:szCs w:val="20"/>
              </w:rPr>
              <w:t>827 </w:t>
            </w:r>
          </w:p>
        </w:tc>
        <w:tc>
          <w:tcPr>
            <w:tcW w:w="0" w:type="auto"/>
            <w:shd w:val="clear" w:color="auto" w:fill="FFFFFF"/>
            <w:tcMar>
              <w:top w:w="40" w:type="dxa"/>
              <w:left w:w="0" w:type="dxa"/>
              <w:bottom w:w="40" w:type="dxa"/>
              <w:right w:w="20" w:type="dxa"/>
            </w:tcMar>
            <w:vAlign w:val="bottom"/>
          </w:tcPr>
          <w:p w14:paraId="0B2FAD1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1C"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1D" w14:textId="77777777" w:rsidR="007F1775" w:rsidRDefault="000F083E">
            <w:pPr>
              <w:jc w:val="right"/>
              <w:textAlignment w:val="bottom"/>
            </w:pPr>
            <w:r>
              <w:rPr>
                <w:rFonts w:ascii="Times New Roman" w:eastAsia="宋体" w:hAnsi="Times New Roman"/>
                <w:color w:val="000000"/>
                <w:sz w:val="20"/>
                <w:szCs w:val="20"/>
              </w:rPr>
              <w:t>(731)</w:t>
            </w:r>
          </w:p>
        </w:tc>
        <w:tc>
          <w:tcPr>
            <w:tcW w:w="0" w:type="auto"/>
            <w:shd w:val="clear" w:color="auto" w:fill="FFFFFF"/>
            <w:tcMar>
              <w:top w:w="40" w:type="dxa"/>
              <w:left w:w="0" w:type="dxa"/>
              <w:bottom w:w="40" w:type="dxa"/>
              <w:right w:w="20" w:type="dxa"/>
            </w:tcMar>
            <w:vAlign w:val="bottom"/>
          </w:tcPr>
          <w:p w14:paraId="0B2FAD1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1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20" w14:textId="77777777" w:rsidR="007F1775" w:rsidRDefault="000F083E">
            <w:pPr>
              <w:jc w:val="right"/>
              <w:textAlignment w:val="bottom"/>
            </w:pPr>
            <w:r>
              <w:rPr>
                <w:rFonts w:ascii="Times New Roman" w:eastAsia="宋体" w:hAnsi="Times New Roman"/>
                <w:color w:val="000000"/>
                <w:sz w:val="20"/>
                <w:szCs w:val="20"/>
              </w:rPr>
              <w:t>96 </w:t>
            </w:r>
          </w:p>
        </w:tc>
        <w:tc>
          <w:tcPr>
            <w:tcW w:w="0" w:type="auto"/>
            <w:shd w:val="clear" w:color="auto" w:fill="FFFFFF"/>
            <w:tcMar>
              <w:top w:w="40" w:type="dxa"/>
              <w:left w:w="0" w:type="dxa"/>
              <w:bottom w:w="40" w:type="dxa"/>
              <w:right w:w="20" w:type="dxa"/>
            </w:tcMar>
            <w:vAlign w:val="bottom"/>
          </w:tcPr>
          <w:p w14:paraId="0B2FAD2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22"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23" w14:textId="77777777" w:rsidR="007F1775" w:rsidRDefault="000F083E">
            <w:pPr>
              <w:jc w:val="right"/>
              <w:textAlignment w:val="bottom"/>
            </w:pPr>
            <w:r>
              <w:rPr>
                <w:rFonts w:ascii="Times New Roman" w:eastAsia="宋体" w:hAnsi="Times New Roman"/>
                <w:color w:val="000000"/>
                <w:sz w:val="20"/>
                <w:szCs w:val="20"/>
              </w:rPr>
              <w:t>827 </w:t>
            </w:r>
          </w:p>
        </w:tc>
        <w:tc>
          <w:tcPr>
            <w:tcW w:w="0" w:type="auto"/>
            <w:shd w:val="clear" w:color="auto" w:fill="FFFFFF"/>
            <w:tcMar>
              <w:top w:w="40" w:type="dxa"/>
              <w:left w:w="0" w:type="dxa"/>
              <w:bottom w:w="40" w:type="dxa"/>
              <w:right w:w="20" w:type="dxa"/>
            </w:tcMar>
            <w:vAlign w:val="bottom"/>
          </w:tcPr>
          <w:p w14:paraId="0B2FAD2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2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26" w14:textId="77777777" w:rsidR="007F1775" w:rsidRDefault="000F083E">
            <w:pPr>
              <w:jc w:val="right"/>
              <w:textAlignment w:val="bottom"/>
            </w:pPr>
            <w:r>
              <w:rPr>
                <w:rFonts w:ascii="Times New Roman" w:eastAsia="宋体" w:hAnsi="Times New Roman"/>
                <w:color w:val="000000"/>
                <w:sz w:val="20"/>
                <w:szCs w:val="20"/>
              </w:rPr>
              <w:t>(722)</w:t>
            </w:r>
          </w:p>
        </w:tc>
        <w:tc>
          <w:tcPr>
            <w:tcW w:w="0" w:type="auto"/>
            <w:shd w:val="clear" w:color="auto" w:fill="FFFFFF"/>
            <w:tcMar>
              <w:top w:w="40" w:type="dxa"/>
              <w:left w:w="0" w:type="dxa"/>
              <w:bottom w:w="40" w:type="dxa"/>
              <w:right w:w="20" w:type="dxa"/>
            </w:tcMar>
            <w:vAlign w:val="bottom"/>
          </w:tcPr>
          <w:p w14:paraId="0B2FAD2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2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29" w14:textId="77777777" w:rsidR="007F1775" w:rsidRDefault="000F083E">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0B2FAD2A" w14:textId="77777777" w:rsidR="007F1775" w:rsidRDefault="007F1775">
            <w:pPr>
              <w:jc w:val="right"/>
              <w:rPr>
                <w:rFonts w:ascii="宋体"/>
              </w:rPr>
            </w:pPr>
          </w:p>
        </w:tc>
      </w:tr>
      <w:tr w:rsidR="007F1775" w14:paraId="0B2FAD40" w14:textId="77777777">
        <w:tc>
          <w:tcPr>
            <w:tcW w:w="0" w:type="auto"/>
            <w:gridSpan w:val="3"/>
            <w:shd w:val="clear" w:color="auto" w:fill="CCEEFF"/>
            <w:tcMar>
              <w:top w:w="40" w:type="dxa"/>
              <w:left w:w="20" w:type="dxa"/>
              <w:bottom w:w="40" w:type="dxa"/>
              <w:right w:w="20" w:type="dxa"/>
            </w:tcMar>
            <w:vAlign w:val="bottom"/>
          </w:tcPr>
          <w:p w14:paraId="0B2FAD2C" w14:textId="77777777" w:rsidR="007F1775" w:rsidRDefault="000F083E">
            <w:pPr>
              <w:ind w:firstLine="180"/>
              <w:textAlignment w:val="bottom"/>
            </w:pPr>
            <w:r>
              <w:rPr>
                <w:rFonts w:ascii="Times New Roman" w:eastAsia="宋体" w:hAnsi="Times New Roman"/>
                <w:color w:val="000000"/>
                <w:sz w:val="20"/>
                <w:szCs w:val="20"/>
              </w:rPr>
              <w:t>Trade names</w:t>
            </w:r>
          </w:p>
        </w:tc>
        <w:tc>
          <w:tcPr>
            <w:tcW w:w="0" w:type="auto"/>
            <w:gridSpan w:val="3"/>
            <w:shd w:val="clear" w:color="auto" w:fill="CCEEFF"/>
            <w:tcMar>
              <w:top w:w="40" w:type="dxa"/>
              <w:left w:w="20" w:type="dxa"/>
              <w:bottom w:w="40" w:type="dxa"/>
              <w:right w:w="20" w:type="dxa"/>
            </w:tcMar>
            <w:vAlign w:val="bottom"/>
          </w:tcPr>
          <w:p w14:paraId="0B2FAD2D" w14:textId="77777777" w:rsidR="007F1775" w:rsidRDefault="000F083E">
            <w:pPr>
              <w:jc w:val="center"/>
              <w:textAlignment w:val="bottom"/>
            </w:pPr>
            <w:r>
              <w:rPr>
                <w:rFonts w:ascii="Times New Roman" w:eastAsia="宋体" w:hAnsi="Times New Roman"/>
                <w:color w:val="000000"/>
                <w:sz w:val="20"/>
                <w:szCs w:val="20"/>
              </w:rPr>
              <w:t>4.1</w:t>
            </w:r>
          </w:p>
        </w:tc>
        <w:tc>
          <w:tcPr>
            <w:tcW w:w="0" w:type="auto"/>
            <w:gridSpan w:val="3"/>
            <w:shd w:val="clear" w:color="auto" w:fill="CCEEFF"/>
            <w:tcMar>
              <w:top w:w="0" w:type="dxa"/>
              <w:left w:w="20" w:type="dxa"/>
              <w:bottom w:w="0" w:type="dxa"/>
              <w:right w:w="20" w:type="dxa"/>
            </w:tcMar>
            <w:vAlign w:val="bottom"/>
          </w:tcPr>
          <w:p w14:paraId="0B2FAD2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D2F" w14:textId="77777777" w:rsidR="007F1775" w:rsidRDefault="000F083E">
            <w:pPr>
              <w:jc w:val="right"/>
              <w:textAlignment w:val="bottom"/>
            </w:pPr>
            <w:r>
              <w:rPr>
                <w:rFonts w:ascii="Times New Roman" w:eastAsia="宋体" w:hAnsi="Times New Roman"/>
                <w:color w:val="000000"/>
                <w:sz w:val="20"/>
                <w:szCs w:val="20"/>
              </w:rPr>
              <w:t>623 </w:t>
            </w:r>
          </w:p>
        </w:tc>
        <w:tc>
          <w:tcPr>
            <w:tcW w:w="0" w:type="auto"/>
            <w:shd w:val="clear" w:color="auto" w:fill="CCEEFF"/>
            <w:tcMar>
              <w:top w:w="40" w:type="dxa"/>
              <w:left w:w="0" w:type="dxa"/>
              <w:bottom w:w="40" w:type="dxa"/>
              <w:right w:w="20" w:type="dxa"/>
            </w:tcMar>
            <w:vAlign w:val="bottom"/>
          </w:tcPr>
          <w:p w14:paraId="0B2FAD3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31"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D32" w14:textId="77777777" w:rsidR="007F1775" w:rsidRDefault="000F083E">
            <w:pPr>
              <w:jc w:val="right"/>
              <w:textAlignment w:val="bottom"/>
            </w:pPr>
            <w:r>
              <w:rPr>
                <w:rFonts w:ascii="Times New Roman" w:eastAsia="宋体" w:hAnsi="Times New Roman"/>
                <w:color w:val="000000"/>
                <w:sz w:val="20"/>
                <w:szCs w:val="20"/>
              </w:rPr>
              <w:t>(602)</w:t>
            </w:r>
          </w:p>
        </w:tc>
        <w:tc>
          <w:tcPr>
            <w:tcW w:w="0" w:type="auto"/>
            <w:shd w:val="clear" w:color="auto" w:fill="CCEEFF"/>
            <w:tcMar>
              <w:top w:w="40" w:type="dxa"/>
              <w:left w:w="0" w:type="dxa"/>
              <w:bottom w:w="40" w:type="dxa"/>
              <w:right w:w="20" w:type="dxa"/>
            </w:tcMar>
            <w:vAlign w:val="bottom"/>
          </w:tcPr>
          <w:p w14:paraId="0B2FAD3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34"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D35" w14:textId="77777777" w:rsidR="007F1775" w:rsidRDefault="000F083E">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0B2FAD3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37"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D38" w14:textId="77777777" w:rsidR="007F1775" w:rsidRDefault="000F083E">
            <w:pPr>
              <w:jc w:val="right"/>
              <w:textAlignment w:val="bottom"/>
            </w:pPr>
            <w:r>
              <w:rPr>
                <w:rFonts w:ascii="Times New Roman" w:eastAsia="宋体" w:hAnsi="Times New Roman"/>
                <w:color w:val="000000"/>
                <w:sz w:val="20"/>
                <w:szCs w:val="20"/>
              </w:rPr>
              <w:t>644 </w:t>
            </w:r>
          </w:p>
        </w:tc>
        <w:tc>
          <w:tcPr>
            <w:tcW w:w="0" w:type="auto"/>
            <w:shd w:val="clear" w:color="auto" w:fill="CCEEFF"/>
            <w:tcMar>
              <w:top w:w="40" w:type="dxa"/>
              <w:left w:w="0" w:type="dxa"/>
              <w:bottom w:w="40" w:type="dxa"/>
              <w:right w:w="20" w:type="dxa"/>
            </w:tcMar>
            <w:vAlign w:val="bottom"/>
          </w:tcPr>
          <w:p w14:paraId="0B2FAD3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3A"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D3B" w14:textId="77777777" w:rsidR="007F1775" w:rsidRDefault="000F083E">
            <w:pPr>
              <w:jc w:val="right"/>
              <w:textAlignment w:val="bottom"/>
            </w:pPr>
            <w:r>
              <w:rPr>
                <w:rFonts w:ascii="Times New Roman" w:eastAsia="宋体" w:hAnsi="Times New Roman"/>
                <w:color w:val="000000"/>
                <w:sz w:val="20"/>
                <w:szCs w:val="20"/>
              </w:rPr>
              <w:t>(633)</w:t>
            </w:r>
          </w:p>
        </w:tc>
        <w:tc>
          <w:tcPr>
            <w:tcW w:w="0" w:type="auto"/>
            <w:shd w:val="clear" w:color="auto" w:fill="CCEEFF"/>
            <w:tcMar>
              <w:top w:w="40" w:type="dxa"/>
              <w:left w:w="0" w:type="dxa"/>
              <w:bottom w:w="40" w:type="dxa"/>
              <w:right w:w="20" w:type="dxa"/>
            </w:tcMar>
            <w:vAlign w:val="bottom"/>
          </w:tcPr>
          <w:p w14:paraId="0B2FAD3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3D"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D3E" w14:textId="77777777" w:rsidR="007F1775" w:rsidRDefault="000F083E">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0B2FAD3F" w14:textId="77777777" w:rsidR="007F1775" w:rsidRDefault="007F1775">
            <w:pPr>
              <w:jc w:val="right"/>
              <w:rPr>
                <w:rFonts w:ascii="宋体"/>
              </w:rPr>
            </w:pPr>
          </w:p>
        </w:tc>
      </w:tr>
      <w:tr w:rsidR="007F1775" w14:paraId="0B2FAD55" w14:textId="77777777">
        <w:tc>
          <w:tcPr>
            <w:tcW w:w="0" w:type="auto"/>
            <w:gridSpan w:val="3"/>
            <w:shd w:val="clear" w:color="auto" w:fill="FFFFFF"/>
            <w:tcMar>
              <w:top w:w="40" w:type="dxa"/>
              <w:left w:w="20" w:type="dxa"/>
              <w:bottom w:w="40" w:type="dxa"/>
              <w:right w:w="20" w:type="dxa"/>
            </w:tcMar>
            <w:vAlign w:val="bottom"/>
          </w:tcPr>
          <w:p w14:paraId="0B2FAD41" w14:textId="77777777" w:rsidR="007F1775" w:rsidRDefault="000F083E">
            <w:pPr>
              <w:ind w:firstLine="180"/>
              <w:textAlignment w:val="bottom"/>
            </w:pPr>
            <w:r>
              <w:rPr>
                <w:rFonts w:ascii="Times New Roman" w:eastAsia="宋体" w:hAnsi="Times New Roman"/>
                <w:color w:val="000000"/>
                <w:sz w:val="20"/>
                <w:szCs w:val="20"/>
              </w:rPr>
              <w:t>Other</w:t>
            </w:r>
          </w:p>
        </w:tc>
        <w:tc>
          <w:tcPr>
            <w:tcW w:w="0" w:type="auto"/>
            <w:gridSpan w:val="3"/>
            <w:shd w:val="clear" w:color="auto" w:fill="FFFFFF"/>
            <w:tcMar>
              <w:top w:w="40" w:type="dxa"/>
              <w:left w:w="20" w:type="dxa"/>
              <w:bottom w:w="40" w:type="dxa"/>
              <w:right w:w="20" w:type="dxa"/>
            </w:tcMar>
            <w:vAlign w:val="bottom"/>
          </w:tcPr>
          <w:p w14:paraId="0B2FAD42" w14:textId="77777777" w:rsidR="007F1775" w:rsidRDefault="000F083E">
            <w:pPr>
              <w:jc w:val="center"/>
              <w:textAlignment w:val="bottom"/>
            </w:pPr>
            <w:r>
              <w:rPr>
                <w:rFonts w:ascii="Times New Roman" w:eastAsia="宋体" w:hAnsi="Times New Roman"/>
                <w:color w:val="000000"/>
                <w:sz w:val="20"/>
                <w:szCs w:val="20"/>
              </w:rPr>
              <w:t>9.6</w:t>
            </w:r>
          </w:p>
        </w:tc>
        <w:tc>
          <w:tcPr>
            <w:tcW w:w="0" w:type="auto"/>
            <w:gridSpan w:val="3"/>
            <w:shd w:val="clear" w:color="auto" w:fill="FFFFFF"/>
            <w:tcMar>
              <w:top w:w="0" w:type="dxa"/>
              <w:left w:w="20" w:type="dxa"/>
              <w:bottom w:w="0" w:type="dxa"/>
              <w:right w:w="20" w:type="dxa"/>
            </w:tcMar>
            <w:vAlign w:val="bottom"/>
          </w:tcPr>
          <w:p w14:paraId="0B2FAD43"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44" w14:textId="77777777" w:rsidR="007F1775" w:rsidRDefault="000F083E">
            <w:pPr>
              <w:jc w:val="right"/>
              <w:textAlignment w:val="bottom"/>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bottom"/>
          </w:tcPr>
          <w:p w14:paraId="0B2FAD4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46"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47" w14:textId="77777777" w:rsidR="007F1775" w:rsidRDefault="000F083E">
            <w:pPr>
              <w:jc w:val="right"/>
              <w:textAlignment w:val="bottom"/>
            </w:pPr>
            <w:r>
              <w:rPr>
                <w:rFonts w:ascii="Times New Roman" w:eastAsia="宋体" w:hAnsi="Times New Roman"/>
                <w:color w:val="000000"/>
                <w:sz w:val="20"/>
                <w:szCs w:val="20"/>
              </w:rPr>
              <w:t>(99)</w:t>
            </w:r>
          </w:p>
        </w:tc>
        <w:tc>
          <w:tcPr>
            <w:tcW w:w="0" w:type="auto"/>
            <w:shd w:val="clear" w:color="auto" w:fill="FFFFFF"/>
            <w:tcMar>
              <w:top w:w="40" w:type="dxa"/>
              <w:left w:w="0" w:type="dxa"/>
              <w:bottom w:w="40" w:type="dxa"/>
              <w:right w:w="20" w:type="dxa"/>
            </w:tcMar>
            <w:vAlign w:val="bottom"/>
          </w:tcPr>
          <w:p w14:paraId="0B2FAD48"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49"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4A" w14:textId="77777777" w:rsidR="007F1775" w:rsidRDefault="000F083E">
            <w:pPr>
              <w:jc w:val="right"/>
              <w:textAlignment w:val="bottom"/>
            </w:pPr>
            <w:r>
              <w:rPr>
                <w:rFonts w:ascii="Times New Roman" w:eastAsia="宋体" w:hAnsi="Times New Roman"/>
                <w:color w:val="000000"/>
                <w:sz w:val="20"/>
                <w:szCs w:val="20"/>
              </w:rPr>
              <w:t>89 </w:t>
            </w:r>
          </w:p>
        </w:tc>
        <w:tc>
          <w:tcPr>
            <w:tcW w:w="0" w:type="auto"/>
            <w:shd w:val="clear" w:color="auto" w:fill="FFFFFF"/>
            <w:tcMar>
              <w:top w:w="40" w:type="dxa"/>
              <w:left w:w="0" w:type="dxa"/>
              <w:bottom w:w="40" w:type="dxa"/>
              <w:right w:w="20" w:type="dxa"/>
            </w:tcMar>
            <w:vAlign w:val="bottom"/>
          </w:tcPr>
          <w:p w14:paraId="0B2FAD4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4C"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4D" w14:textId="77777777" w:rsidR="007F1775" w:rsidRDefault="000F083E">
            <w:pPr>
              <w:jc w:val="right"/>
              <w:textAlignment w:val="bottom"/>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bottom"/>
          </w:tcPr>
          <w:p w14:paraId="0B2FAD4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4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50" w14:textId="77777777" w:rsidR="007F1775" w:rsidRDefault="000F083E">
            <w:pPr>
              <w:jc w:val="right"/>
              <w:textAlignment w:val="bottom"/>
            </w:pPr>
            <w:r>
              <w:rPr>
                <w:rFonts w:ascii="Times New Roman" w:eastAsia="宋体" w:hAnsi="Times New Roman"/>
                <w:color w:val="000000"/>
                <w:sz w:val="20"/>
                <w:szCs w:val="20"/>
              </w:rPr>
              <w:t>(167)</w:t>
            </w:r>
          </w:p>
        </w:tc>
        <w:tc>
          <w:tcPr>
            <w:tcW w:w="0" w:type="auto"/>
            <w:shd w:val="clear" w:color="auto" w:fill="FFFFFF"/>
            <w:tcMar>
              <w:top w:w="40" w:type="dxa"/>
              <w:left w:w="0" w:type="dxa"/>
              <w:bottom w:w="40" w:type="dxa"/>
              <w:right w:w="20" w:type="dxa"/>
            </w:tcMar>
            <w:vAlign w:val="bottom"/>
          </w:tcPr>
          <w:p w14:paraId="0B2FAD5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52"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53" w14:textId="77777777" w:rsidR="007F1775" w:rsidRDefault="000F083E">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0B2FAD54" w14:textId="77777777" w:rsidR="007F1775" w:rsidRDefault="007F1775">
            <w:pPr>
              <w:jc w:val="right"/>
              <w:rPr>
                <w:rFonts w:ascii="宋体"/>
              </w:rPr>
            </w:pPr>
          </w:p>
        </w:tc>
      </w:tr>
      <w:tr w:rsidR="007F1775" w14:paraId="0B2FAD6A" w14:textId="77777777">
        <w:tc>
          <w:tcPr>
            <w:tcW w:w="0" w:type="auto"/>
            <w:gridSpan w:val="3"/>
            <w:shd w:val="clear" w:color="auto" w:fill="CCEEFF"/>
            <w:tcMar>
              <w:top w:w="40" w:type="dxa"/>
              <w:left w:w="20" w:type="dxa"/>
              <w:bottom w:w="40" w:type="dxa"/>
              <w:right w:w="20" w:type="dxa"/>
            </w:tcMar>
            <w:vAlign w:val="bottom"/>
          </w:tcPr>
          <w:p w14:paraId="0B2FAD56" w14:textId="77777777" w:rsidR="007F1775" w:rsidRDefault="000F083E">
            <w:pPr>
              <w:textAlignment w:val="bottom"/>
            </w:pPr>
            <w:r>
              <w:rPr>
                <w:rFonts w:ascii="Times New Roman" w:eastAsia="宋体" w:hAnsi="Times New Roman"/>
                <w:color w:val="000000"/>
                <w:sz w:val="20"/>
                <w:szCs w:val="20"/>
              </w:rPr>
              <w:t>Total finite-lived assets</w:t>
            </w:r>
          </w:p>
        </w:tc>
        <w:tc>
          <w:tcPr>
            <w:tcW w:w="0" w:type="auto"/>
            <w:gridSpan w:val="3"/>
            <w:shd w:val="clear" w:color="auto" w:fill="CCEEFF"/>
            <w:tcMar>
              <w:top w:w="0" w:type="dxa"/>
              <w:left w:w="20" w:type="dxa"/>
              <w:bottom w:w="0" w:type="dxa"/>
              <w:right w:w="20" w:type="dxa"/>
            </w:tcMar>
            <w:vAlign w:val="bottom"/>
          </w:tcPr>
          <w:p w14:paraId="0B2FAD57"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D58"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D59" w14:textId="77777777" w:rsidR="007F1775" w:rsidRDefault="000F083E">
            <w:pPr>
              <w:jc w:val="right"/>
              <w:textAlignment w:val="bottom"/>
            </w:pPr>
            <w:r>
              <w:rPr>
                <w:rFonts w:ascii="Times New Roman" w:eastAsia="宋体" w:hAnsi="Times New Roman"/>
                <w:color w:val="000000"/>
                <w:sz w:val="20"/>
                <w:szCs w:val="20"/>
              </w:rPr>
              <w:t>3,172 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5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5B"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D5C" w14:textId="77777777" w:rsidR="007F1775" w:rsidRDefault="000F083E">
            <w:pPr>
              <w:jc w:val="right"/>
              <w:textAlignment w:val="bottom"/>
            </w:pPr>
            <w:r>
              <w:rPr>
                <w:rFonts w:ascii="Times New Roman" w:eastAsia="宋体" w:hAnsi="Times New Roman"/>
                <w:color w:val="000000"/>
                <w:sz w:val="20"/>
                <w:szCs w:val="20"/>
              </w:rPr>
              <w:t>(2,626)</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5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5E"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D5F" w14:textId="77777777" w:rsidR="007F1775" w:rsidRDefault="000F083E">
            <w:pPr>
              <w:jc w:val="right"/>
              <w:textAlignment w:val="bottom"/>
            </w:pPr>
            <w:r>
              <w:rPr>
                <w:rFonts w:ascii="Times New Roman" w:eastAsia="宋体" w:hAnsi="Times New Roman"/>
                <w:color w:val="000000"/>
                <w:sz w:val="20"/>
                <w:szCs w:val="20"/>
              </w:rPr>
              <w:t>546 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6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61"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D62" w14:textId="77777777" w:rsidR="007F1775" w:rsidRDefault="000F083E">
            <w:pPr>
              <w:jc w:val="right"/>
              <w:textAlignment w:val="bottom"/>
            </w:pPr>
            <w:r>
              <w:rPr>
                <w:rFonts w:ascii="Times New Roman" w:eastAsia="宋体" w:hAnsi="Times New Roman"/>
                <w:color w:val="000000"/>
                <w:sz w:val="20"/>
                <w:szCs w:val="20"/>
              </w:rPr>
              <w:t>3,059 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6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64"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D65" w14:textId="77777777" w:rsidR="007F1775" w:rsidRDefault="000F083E">
            <w:pPr>
              <w:jc w:val="right"/>
              <w:textAlignment w:val="bottom"/>
            </w:pPr>
            <w:r>
              <w:rPr>
                <w:rFonts w:ascii="Times New Roman" w:eastAsia="宋体" w:hAnsi="Times New Roman"/>
                <w:color w:val="000000"/>
                <w:sz w:val="20"/>
                <w:szCs w:val="20"/>
              </w:rPr>
              <w:t>(2,691)</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6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67"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AD68" w14:textId="77777777" w:rsidR="007F1775" w:rsidRDefault="000F083E">
            <w:pPr>
              <w:jc w:val="right"/>
              <w:textAlignment w:val="bottom"/>
            </w:pPr>
            <w:r>
              <w:rPr>
                <w:rFonts w:ascii="Times New Roman" w:eastAsia="宋体" w:hAnsi="Times New Roman"/>
                <w:color w:val="000000"/>
                <w:sz w:val="20"/>
                <w:szCs w:val="20"/>
              </w:rPr>
              <w:t>368 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D69" w14:textId="77777777" w:rsidR="007F1775" w:rsidRDefault="007F1775">
            <w:pPr>
              <w:jc w:val="right"/>
              <w:rPr>
                <w:rFonts w:ascii="宋体"/>
              </w:rPr>
            </w:pPr>
          </w:p>
        </w:tc>
      </w:tr>
      <w:tr w:rsidR="007F1775" w14:paraId="0B2FAD7F" w14:textId="77777777">
        <w:tc>
          <w:tcPr>
            <w:tcW w:w="0" w:type="auto"/>
            <w:gridSpan w:val="3"/>
            <w:shd w:val="clear" w:color="auto" w:fill="FFFFFF"/>
            <w:tcMar>
              <w:top w:w="40" w:type="dxa"/>
              <w:left w:w="20" w:type="dxa"/>
              <w:bottom w:w="40" w:type="dxa"/>
              <w:right w:w="20" w:type="dxa"/>
            </w:tcMar>
            <w:vAlign w:val="bottom"/>
          </w:tcPr>
          <w:p w14:paraId="0B2FAD6B" w14:textId="77777777" w:rsidR="007F1775" w:rsidRDefault="000F083E">
            <w:pPr>
              <w:textAlignment w:val="bottom"/>
            </w:pPr>
            <w:r>
              <w:rPr>
                <w:rFonts w:ascii="Times New Roman" w:eastAsia="宋体" w:hAnsi="Times New Roman"/>
                <w:color w:val="000000"/>
                <w:sz w:val="20"/>
                <w:szCs w:val="20"/>
              </w:rPr>
              <w:t>Total indefinite-lived assets</w:t>
            </w:r>
          </w:p>
        </w:tc>
        <w:tc>
          <w:tcPr>
            <w:tcW w:w="0" w:type="auto"/>
            <w:gridSpan w:val="3"/>
            <w:shd w:val="clear" w:color="auto" w:fill="FFFFFF"/>
            <w:tcMar>
              <w:top w:w="40" w:type="dxa"/>
              <w:left w:w="20" w:type="dxa"/>
              <w:bottom w:w="40" w:type="dxa"/>
              <w:right w:w="20" w:type="dxa"/>
            </w:tcMar>
            <w:vAlign w:val="bottom"/>
          </w:tcPr>
          <w:p w14:paraId="0B2FAD6C" w14:textId="77777777" w:rsidR="007F1775" w:rsidRDefault="000F083E">
            <w:pPr>
              <w:jc w:val="center"/>
              <w:textAlignment w:val="bottom"/>
            </w:pPr>
            <w:r>
              <w:rPr>
                <w:rFonts w:ascii="Times New Roman" w:eastAsia="宋体" w:hAnsi="Times New Roman"/>
                <w:color w:val="000000"/>
                <w:sz w:val="20"/>
                <w:szCs w:val="20"/>
              </w:rPr>
              <w:t>N/A</w:t>
            </w:r>
          </w:p>
        </w:tc>
        <w:tc>
          <w:tcPr>
            <w:tcW w:w="0" w:type="auto"/>
            <w:gridSpan w:val="3"/>
            <w:shd w:val="clear" w:color="auto" w:fill="FFFFFF"/>
            <w:tcMar>
              <w:top w:w="0" w:type="dxa"/>
              <w:left w:w="20" w:type="dxa"/>
              <w:bottom w:w="0" w:type="dxa"/>
              <w:right w:w="20" w:type="dxa"/>
            </w:tcMar>
            <w:vAlign w:val="bottom"/>
          </w:tcPr>
          <w:p w14:paraId="0B2FAD6D"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6E" w14:textId="77777777" w:rsidR="007F1775" w:rsidRDefault="000F083E">
            <w:pPr>
              <w:jc w:val="right"/>
              <w:textAlignment w:val="bottom"/>
            </w:pPr>
            <w:r>
              <w:rPr>
                <w:rFonts w:ascii="Times New Roman" w:eastAsia="宋体" w:hAnsi="Times New Roman"/>
                <w:color w:val="000000"/>
                <w:sz w:val="20"/>
                <w:szCs w:val="20"/>
              </w:rPr>
              <w:t>364 </w:t>
            </w:r>
          </w:p>
        </w:tc>
        <w:tc>
          <w:tcPr>
            <w:tcW w:w="0" w:type="auto"/>
            <w:shd w:val="clear" w:color="auto" w:fill="FFFFFF"/>
            <w:tcMar>
              <w:top w:w="40" w:type="dxa"/>
              <w:left w:w="0" w:type="dxa"/>
              <w:bottom w:w="40" w:type="dxa"/>
              <w:right w:w="20" w:type="dxa"/>
            </w:tcMar>
            <w:vAlign w:val="bottom"/>
          </w:tcPr>
          <w:p w14:paraId="0B2FAD6F"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70"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71"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D72"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73"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74" w14:textId="77777777" w:rsidR="007F1775" w:rsidRDefault="000F083E">
            <w:pPr>
              <w:jc w:val="right"/>
              <w:textAlignment w:val="bottom"/>
            </w:pPr>
            <w:r>
              <w:rPr>
                <w:rFonts w:ascii="Times New Roman" w:eastAsia="宋体" w:hAnsi="Times New Roman"/>
                <w:color w:val="000000"/>
                <w:sz w:val="20"/>
                <w:szCs w:val="20"/>
              </w:rPr>
              <w:t>364 </w:t>
            </w:r>
          </w:p>
        </w:tc>
        <w:tc>
          <w:tcPr>
            <w:tcW w:w="0" w:type="auto"/>
            <w:shd w:val="clear" w:color="auto" w:fill="FFFFFF"/>
            <w:tcMar>
              <w:top w:w="40" w:type="dxa"/>
              <w:left w:w="0" w:type="dxa"/>
              <w:bottom w:w="40" w:type="dxa"/>
              <w:right w:w="20" w:type="dxa"/>
            </w:tcMar>
            <w:vAlign w:val="bottom"/>
          </w:tcPr>
          <w:p w14:paraId="0B2FAD7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76"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77" w14:textId="77777777" w:rsidR="007F1775" w:rsidRDefault="000F083E">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0B2FAD78"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79"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7A"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AD7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D7C"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D7D" w14:textId="77777777" w:rsidR="007F1775" w:rsidRDefault="000F083E">
            <w:pPr>
              <w:jc w:val="right"/>
              <w:textAlignment w:val="bottom"/>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bottom"/>
          </w:tcPr>
          <w:p w14:paraId="0B2FAD7E" w14:textId="77777777" w:rsidR="007F1775" w:rsidRDefault="007F1775">
            <w:pPr>
              <w:jc w:val="right"/>
              <w:rPr>
                <w:rFonts w:ascii="宋体"/>
              </w:rPr>
            </w:pPr>
          </w:p>
        </w:tc>
      </w:tr>
      <w:tr w:rsidR="007F1775" w14:paraId="0B2FAD9A" w14:textId="77777777">
        <w:tc>
          <w:tcPr>
            <w:tcW w:w="0" w:type="auto"/>
            <w:gridSpan w:val="3"/>
            <w:shd w:val="clear" w:color="auto" w:fill="CCEEFF"/>
            <w:tcMar>
              <w:top w:w="40" w:type="dxa"/>
              <w:left w:w="380" w:type="dxa"/>
              <w:bottom w:w="40" w:type="dxa"/>
              <w:right w:w="20" w:type="dxa"/>
            </w:tcMar>
            <w:vAlign w:val="bottom"/>
          </w:tcPr>
          <w:p w14:paraId="0B2FAD80" w14:textId="77777777" w:rsidR="007F1775" w:rsidRDefault="000F083E">
            <w:pPr>
              <w:textAlignment w:val="bottom"/>
            </w:pPr>
            <w:r>
              <w:rPr>
                <w:rFonts w:ascii="Times New Roman" w:eastAsia="宋体" w:hAnsi="Times New Roman"/>
                <w:color w:val="000000"/>
                <w:sz w:val="20"/>
                <w:szCs w:val="20"/>
              </w:rPr>
              <w:t>Total intangible assets</w:t>
            </w:r>
          </w:p>
        </w:tc>
        <w:tc>
          <w:tcPr>
            <w:tcW w:w="0" w:type="auto"/>
            <w:gridSpan w:val="3"/>
            <w:shd w:val="clear" w:color="auto" w:fill="CCEEFF"/>
            <w:tcMar>
              <w:top w:w="0" w:type="dxa"/>
              <w:left w:w="20" w:type="dxa"/>
              <w:bottom w:w="0" w:type="dxa"/>
              <w:right w:w="20" w:type="dxa"/>
            </w:tcMar>
            <w:vAlign w:val="bottom"/>
          </w:tcPr>
          <w:p w14:paraId="0B2FAD81"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D82"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D8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D84" w14:textId="77777777" w:rsidR="007F1775" w:rsidRDefault="000F083E">
            <w:pPr>
              <w:jc w:val="right"/>
              <w:textAlignment w:val="bottom"/>
            </w:pPr>
            <w:r>
              <w:rPr>
                <w:rFonts w:ascii="Times New Roman" w:eastAsia="宋体" w:hAnsi="Times New Roman"/>
                <w:color w:val="000000"/>
                <w:sz w:val="20"/>
                <w:szCs w:val="20"/>
              </w:rPr>
              <w:t>3,536 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D8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86"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D8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D88" w14:textId="77777777" w:rsidR="007F1775" w:rsidRDefault="000F083E">
            <w:pPr>
              <w:jc w:val="right"/>
              <w:textAlignment w:val="bottom"/>
            </w:pPr>
            <w:r>
              <w:rPr>
                <w:rFonts w:ascii="Times New Roman" w:eastAsia="宋体" w:hAnsi="Times New Roman"/>
                <w:color w:val="000000"/>
                <w:sz w:val="20"/>
                <w:szCs w:val="20"/>
              </w:rPr>
              <w:t>(2,626)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D8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8A"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D8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D8C" w14:textId="77777777" w:rsidR="007F1775" w:rsidRDefault="000F083E">
            <w:pPr>
              <w:jc w:val="right"/>
              <w:textAlignment w:val="bottom"/>
            </w:pPr>
            <w:r>
              <w:rPr>
                <w:rFonts w:ascii="Times New Roman" w:eastAsia="宋体" w:hAnsi="Times New Roman"/>
                <w:color w:val="000000"/>
                <w:sz w:val="20"/>
                <w:szCs w:val="20"/>
              </w:rPr>
              <w:t>910 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D8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8E"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D8F"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D90" w14:textId="77777777" w:rsidR="007F1775" w:rsidRDefault="000F083E">
            <w:pPr>
              <w:jc w:val="right"/>
              <w:textAlignment w:val="bottom"/>
            </w:pPr>
            <w:r>
              <w:rPr>
                <w:rFonts w:ascii="Times New Roman" w:eastAsia="宋体" w:hAnsi="Times New Roman"/>
                <w:color w:val="000000"/>
                <w:sz w:val="20"/>
                <w:szCs w:val="20"/>
              </w:rPr>
              <w:t>3,325 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D9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92"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D9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D94" w14:textId="77777777" w:rsidR="007F1775" w:rsidRDefault="000F083E">
            <w:pPr>
              <w:jc w:val="right"/>
              <w:textAlignment w:val="bottom"/>
            </w:pPr>
            <w:r>
              <w:rPr>
                <w:rFonts w:ascii="Times New Roman" w:eastAsia="宋体" w:hAnsi="Times New Roman"/>
                <w:color w:val="000000"/>
                <w:sz w:val="20"/>
                <w:szCs w:val="20"/>
              </w:rPr>
              <w:t>(2,691)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D9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D96"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D9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D98" w14:textId="77777777" w:rsidR="007F1775" w:rsidRDefault="000F083E">
            <w:pPr>
              <w:jc w:val="right"/>
              <w:textAlignment w:val="bottom"/>
            </w:pPr>
            <w:r>
              <w:rPr>
                <w:rFonts w:ascii="Times New Roman" w:eastAsia="宋体" w:hAnsi="Times New Roman"/>
                <w:color w:val="000000"/>
                <w:sz w:val="20"/>
                <w:szCs w:val="20"/>
              </w:rPr>
              <w:t>634 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D99" w14:textId="77777777" w:rsidR="007F1775" w:rsidRDefault="007F1775">
            <w:pPr>
              <w:jc w:val="right"/>
              <w:rPr>
                <w:rFonts w:ascii="宋体"/>
              </w:rPr>
            </w:pPr>
          </w:p>
        </w:tc>
      </w:tr>
    </w:tbl>
    <w:p w14:paraId="0B2FAD9B" w14:textId="77777777" w:rsidR="007F1775" w:rsidRDefault="007F1775"/>
    <w:p w14:paraId="0B2FAD9C" w14:textId="77777777" w:rsidR="007F1775" w:rsidRDefault="000F083E">
      <w:pPr>
        <w:ind w:firstLine="540"/>
        <w:jc w:val="both"/>
      </w:pPr>
      <w:r>
        <w:rPr>
          <w:rFonts w:ascii="Times New Roman" w:eastAsia="宋体" w:hAnsi="Times New Roman"/>
          <w:color w:val="000000"/>
          <w:sz w:val="20"/>
          <w:szCs w:val="20"/>
        </w:rPr>
        <w:t xml:space="preserve">Amortization expense of intangible assets was </w:t>
      </w:r>
      <w:r>
        <w:rPr>
          <w:rFonts w:ascii="Times New Roman" w:eastAsia="宋体" w:hAnsi="Times New Roman"/>
          <w:color w:val="212529"/>
          <w:sz w:val="20"/>
          <w:szCs w:val="20"/>
        </w:rPr>
        <w:t>$40 million</w:t>
      </w:r>
      <w:r>
        <w:rPr>
          <w:rFonts w:ascii="Times New Roman" w:eastAsia="宋体" w:hAnsi="Times New Roman"/>
          <w:color w:val="000000"/>
          <w:sz w:val="20"/>
          <w:szCs w:val="20"/>
        </w:rPr>
        <w:t xml:space="preserve"> and </w:t>
      </w:r>
      <w:r>
        <w:rPr>
          <w:rFonts w:ascii="Times New Roman" w:eastAsia="宋体" w:hAnsi="Times New Roman"/>
          <w:color w:val="212529"/>
          <w:sz w:val="20"/>
          <w:szCs w:val="20"/>
        </w:rPr>
        <w:t>$118 million</w:t>
      </w:r>
      <w:r>
        <w:rPr>
          <w:rFonts w:ascii="Times New Roman" w:eastAsia="宋体" w:hAnsi="Times New Roman"/>
          <w:color w:val="000000"/>
          <w:sz w:val="20"/>
          <w:szCs w:val="20"/>
        </w:rPr>
        <w:t xml:space="preserve"> for the three months ended March 31, 2022 and 2021, respectively.</w:t>
      </w:r>
    </w:p>
    <w:p w14:paraId="0B2FAD9D" w14:textId="77777777" w:rsidR="007F1775" w:rsidRDefault="007F1775">
      <w:pPr>
        <w:ind w:firstLine="540"/>
        <w:jc w:val="both"/>
      </w:pPr>
    </w:p>
    <w:p w14:paraId="0B2FAD9E" w14:textId="77777777" w:rsidR="007F1775" w:rsidRDefault="000F083E">
      <w:pPr>
        <w:ind w:firstLine="540"/>
        <w:jc w:val="both"/>
      </w:pPr>
      <w:r>
        <w:rPr>
          <w:rFonts w:ascii="Times New Roman" w:eastAsia="宋体" w:hAnsi="Times New Roman"/>
          <w:color w:val="000000"/>
          <w:sz w:val="20"/>
          <w:szCs w:val="20"/>
        </w:rPr>
        <w:t>As of March 31, 2022, expected amortization expense for the unamortized finite-lived intangible assets for the next five years and thereafter is as follows (in millions):</w:t>
      </w:r>
    </w:p>
    <w:p w14:paraId="0B2FAD9F" w14:textId="77777777" w:rsidR="007F1775" w:rsidRDefault="007F1775">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52"/>
        <w:gridCol w:w="6887"/>
        <w:gridCol w:w="36"/>
        <w:gridCol w:w="120"/>
        <w:gridCol w:w="1205"/>
        <w:gridCol w:w="36"/>
      </w:tblGrid>
      <w:tr w:rsidR="007F1775" w14:paraId="0B2FADA6" w14:textId="77777777">
        <w:tc>
          <w:tcPr>
            <w:tcW w:w="50" w:type="pct"/>
            <w:shd w:val="clear" w:color="auto" w:fill="auto"/>
            <w:vAlign w:val="bottom"/>
          </w:tcPr>
          <w:p w14:paraId="0B2FADA0" w14:textId="77777777" w:rsidR="007F1775" w:rsidRDefault="007F1775">
            <w:pPr>
              <w:rPr>
                <w:rFonts w:ascii="宋体"/>
              </w:rPr>
            </w:pPr>
          </w:p>
        </w:tc>
        <w:tc>
          <w:tcPr>
            <w:tcW w:w="4148" w:type="pct"/>
            <w:shd w:val="clear" w:color="auto" w:fill="auto"/>
            <w:vAlign w:val="bottom"/>
          </w:tcPr>
          <w:p w14:paraId="0B2FADA1" w14:textId="77777777" w:rsidR="007F1775" w:rsidRDefault="007F1775">
            <w:pPr>
              <w:rPr>
                <w:rFonts w:ascii="宋体"/>
              </w:rPr>
            </w:pPr>
          </w:p>
        </w:tc>
        <w:tc>
          <w:tcPr>
            <w:tcW w:w="5" w:type="pct"/>
            <w:shd w:val="clear" w:color="auto" w:fill="auto"/>
            <w:vAlign w:val="bottom"/>
          </w:tcPr>
          <w:p w14:paraId="0B2FADA2" w14:textId="77777777" w:rsidR="007F1775" w:rsidRDefault="007F1775">
            <w:pPr>
              <w:rPr>
                <w:rFonts w:ascii="宋体"/>
              </w:rPr>
            </w:pPr>
          </w:p>
        </w:tc>
        <w:tc>
          <w:tcPr>
            <w:tcW w:w="50" w:type="pct"/>
            <w:shd w:val="clear" w:color="auto" w:fill="auto"/>
            <w:vAlign w:val="bottom"/>
          </w:tcPr>
          <w:p w14:paraId="0B2FADA3" w14:textId="77777777" w:rsidR="007F1775" w:rsidRDefault="007F1775">
            <w:pPr>
              <w:rPr>
                <w:rFonts w:ascii="宋体"/>
              </w:rPr>
            </w:pPr>
          </w:p>
        </w:tc>
        <w:tc>
          <w:tcPr>
            <w:tcW w:w="741" w:type="pct"/>
            <w:shd w:val="clear" w:color="auto" w:fill="auto"/>
            <w:vAlign w:val="bottom"/>
          </w:tcPr>
          <w:p w14:paraId="0B2FADA4" w14:textId="77777777" w:rsidR="007F1775" w:rsidRDefault="007F1775">
            <w:pPr>
              <w:rPr>
                <w:rFonts w:ascii="宋体"/>
              </w:rPr>
            </w:pPr>
          </w:p>
        </w:tc>
        <w:tc>
          <w:tcPr>
            <w:tcW w:w="5" w:type="pct"/>
            <w:shd w:val="clear" w:color="auto" w:fill="auto"/>
            <w:vAlign w:val="bottom"/>
          </w:tcPr>
          <w:p w14:paraId="0B2FADA5" w14:textId="77777777" w:rsidR="007F1775" w:rsidRDefault="007F1775">
            <w:pPr>
              <w:rPr>
                <w:rFonts w:ascii="宋体"/>
              </w:rPr>
            </w:pPr>
          </w:p>
        </w:tc>
      </w:tr>
      <w:tr w:rsidR="007F1775" w14:paraId="0B2FADAB" w14:textId="77777777">
        <w:tc>
          <w:tcPr>
            <w:tcW w:w="0" w:type="auto"/>
            <w:gridSpan w:val="3"/>
            <w:shd w:val="clear" w:color="auto" w:fill="CCEEFF"/>
            <w:tcMar>
              <w:top w:w="40" w:type="dxa"/>
              <w:left w:w="20" w:type="dxa"/>
              <w:bottom w:w="40" w:type="dxa"/>
              <w:right w:w="20" w:type="dxa"/>
            </w:tcMar>
          </w:tcPr>
          <w:p w14:paraId="0B2FADA7" w14:textId="77777777" w:rsidR="007F1775" w:rsidRDefault="000F083E">
            <w:pPr>
              <w:textAlignment w:val="top"/>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remainder of 2022</w:t>
            </w:r>
          </w:p>
        </w:tc>
        <w:tc>
          <w:tcPr>
            <w:tcW w:w="0" w:type="auto"/>
            <w:shd w:val="clear" w:color="auto" w:fill="CCEEFF"/>
            <w:tcMar>
              <w:top w:w="40" w:type="dxa"/>
              <w:left w:w="20" w:type="dxa"/>
              <w:bottom w:w="40" w:type="dxa"/>
              <w:right w:w="0" w:type="dxa"/>
            </w:tcMar>
            <w:vAlign w:val="bottom"/>
          </w:tcPr>
          <w:p w14:paraId="0B2FADA8"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DA9" w14:textId="77777777" w:rsidR="007F1775" w:rsidRDefault="000F083E">
            <w:pPr>
              <w:jc w:val="right"/>
              <w:textAlignment w:val="bottom"/>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bottom"/>
          </w:tcPr>
          <w:p w14:paraId="0B2FADAA" w14:textId="77777777" w:rsidR="007F1775" w:rsidRDefault="007F1775">
            <w:pPr>
              <w:jc w:val="right"/>
              <w:rPr>
                <w:rFonts w:ascii="宋体"/>
              </w:rPr>
            </w:pPr>
          </w:p>
        </w:tc>
      </w:tr>
      <w:tr w:rsidR="007F1775" w14:paraId="0B2FADAF" w14:textId="77777777">
        <w:tc>
          <w:tcPr>
            <w:tcW w:w="0" w:type="auto"/>
            <w:gridSpan w:val="3"/>
            <w:shd w:val="clear" w:color="auto" w:fill="FFFFFF"/>
            <w:tcMar>
              <w:top w:w="40" w:type="dxa"/>
              <w:left w:w="20" w:type="dxa"/>
              <w:bottom w:w="40" w:type="dxa"/>
              <w:right w:w="20" w:type="dxa"/>
            </w:tcMar>
          </w:tcPr>
          <w:p w14:paraId="0B2FADAC" w14:textId="77777777" w:rsidR="007F1775" w:rsidRDefault="000F083E">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0B2FADAD" w14:textId="77777777" w:rsidR="007F1775" w:rsidRDefault="000F083E">
            <w:pPr>
              <w:jc w:val="right"/>
              <w:textAlignment w:val="bottom"/>
            </w:pPr>
            <w:r>
              <w:rPr>
                <w:rFonts w:ascii="Times New Roman" w:eastAsia="宋体" w:hAnsi="Times New Roman"/>
                <w:color w:val="000000"/>
                <w:sz w:val="20"/>
                <w:szCs w:val="20"/>
              </w:rPr>
              <w:t>133 </w:t>
            </w:r>
          </w:p>
        </w:tc>
        <w:tc>
          <w:tcPr>
            <w:tcW w:w="0" w:type="auto"/>
            <w:shd w:val="clear" w:color="auto" w:fill="FFFFFF"/>
            <w:tcMar>
              <w:top w:w="40" w:type="dxa"/>
              <w:left w:w="0" w:type="dxa"/>
              <w:bottom w:w="40" w:type="dxa"/>
              <w:right w:w="20" w:type="dxa"/>
            </w:tcMar>
            <w:vAlign w:val="bottom"/>
          </w:tcPr>
          <w:p w14:paraId="0B2FADAE" w14:textId="77777777" w:rsidR="007F1775" w:rsidRDefault="007F1775">
            <w:pPr>
              <w:jc w:val="right"/>
              <w:rPr>
                <w:rFonts w:ascii="宋体"/>
              </w:rPr>
            </w:pPr>
          </w:p>
        </w:tc>
      </w:tr>
      <w:tr w:rsidR="007F1775" w14:paraId="0B2FADB3" w14:textId="77777777">
        <w:tc>
          <w:tcPr>
            <w:tcW w:w="0" w:type="auto"/>
            <w:gridSpan w:val="3"/>
            <w:shd w:val="clear" w:color="auto" w:fill="CCEEFF"/>
            <w:tcMar>
              <w:top w:w="40" w:type="dxa"/>
              <w:left w:w="20" w:type="dxa"/>
              <w:bottom w:w="40" w:type="dxa"/>
              <w:right w:w="20" w:type="dxa"/>
            </w:tcMar>
          </w:tcPr>
          <w:p w14:paraId="0B2FADB0" w14:textId="77777777" w:rsidR="007F1775" w:rsidRDefault="000F083E">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0B2FADB1" w14:textId="77777777" w:rsidR="007F1775" w:rsidRDefault="000F083E">
            <w:pPr>
              <w:jc w:val="right"/>
              <w:textAlignment w:val="bottom"/>
            </w:pPr>
            <w:r>
              <w:rPr>
                <w:rFonts w:ascii="Times New Roman" w:eastAsia="宋体" w:hAnsi="Times New Roman"/>
                <w:color w:val="000000"/>
                <w:sz w:val="20"/>
                <w:szCs w:val="20"/>
              </w:rPr>
              <w:t>105 </w:t>
            </w:r>
          </w:p>
        </w:tc>
        <w:tc>
          <w:tcPr>
            <w:tcW w:w="0" w:type="auto"/>
            <w:shd w:val="clear" w:color="auto" w:fill="CCEEFF"/>
            <w:tcMar>
              <w:top w:w="40" w:type="dxa"/>
              <w:left w:w="0" w:type="dxa"/>
              <w:bottom w:w="40" w:type="dxa"/>
              <w:right w:w="20" w:type="dxa"/>
            </w:tcMar>
            <w:vAlign w:val="bottom"/>
          </w:tcPr>
          <w:p w14:paraId="0B2FADB2" w14:textId="77777777" w:rsidR="007F1775" w:rsidRDefault="007F1775">
            <w:pPr>
              <w:jc w:val="right"/>
              <w:rPr>
                <w:rFonts w:ascii="宋体"/>
              </w:rPr>
            </w:pPr>
          </w:p>
        </w:tc>
      </w:tr>
      <w:tr w:rsidR="007F1775" w14:paraId="0B2FADB7" w14:textId="77777777">
        <w:tc>
          <w:tcPr>
            <w:tcW w:w="0" w:type="auto"/>
            <w:gridSpan w:val="3"/>
            <w:shd w:val="clear" w:color="auto" w:fill="FFFFFF"/>
            <w:tcMar>
              <w:top w:w="40" w:type="dxa"/>
              <w:left w:w="20" w:type="dxa"/>
              <w:bottom w:w="40" w:type="dxa"/>
              <w:right w:w="20" w:type="dxa"/>
            </w:tcMar>
          </w:tcPr>
          <w:p w14:paraId="0B2FADB4" w14:textId="77777777" w:rsidR="007F1775" w:rsidRDefault="000F083E">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0B2FADB5" w14:textId="77777777" w:rsidR="007F1775" w:rsidRDefault="000F083E">
            <w:pPr>
              <w:jc w:val="right"/>
              <w:textAlignment w:val="bottom"/>
            </w:pPr>
            <w:r>
              <w:rPr>
                <w:rFonts w:ascii="Times New Roman" w:eastAsia="宋体" w:hAnsi="Times New Roman"/>
                <w:color w:val="000000"/>
                <w:sz w:val="20"/>
                <w:szCs w:val="20"/>
              </w:rPr>
              <w:t>67 </w:t>
            </w:r>
          </w:p>
        </w:tc>
        <w:tc>
          <w:tcPr>
            <w:tcW w:w="0" w:type="auto"/>
            <w:shd w:val="clear" w:color="auto" w:fill="FFFFFF"/>
            <w:tcMar>
              <w:top w:w="40" w:type="dxa"/>
              <w:left w:w="0" w:type="dxa"/>
              <w:bottom w:w="40" w:type="dxa"/>
              <w:right w:w="20" w:type="dxa"/>
            </w:tcMar>
            <w:vAlign w:val="bottom"/>
          </w:tcPr>
          <w:p w14:paraId="0B2FADB6" w14:textId="77777777" w:rsidR="007F1775" w:rsidRDefault="007F1775">
            <w:pPr>
              <w:jc w:val="right"/>
              <w:rPr>
                <w:rFonts w:ascii="宋体"/>
              </w:rPr>
            </w:pPr>
          </w:p>
        </w:tc>
      </w:tr>
      <w:tr w:rsidR="007F1775" w14:paraId="0B2FADBB" w14:textId="77777777">
        <w:tc>
          <w:tcPr>
            <w:tcW w:w="0" w:type="auto"/>
            <w:gridSpan w:val="3"/>
            <w:shd w:val="clear" w:color="auto" w:fill="CCEEFF"/>
            <w:tcMar>
              <w:top w:w="40" w:type="dxa"/>
              <w:left w:w="20" w:type="dxa"/>
              <w:bottom w:w="40" w:type="dxa"/>
              <w:right w:w="20" w:type="dxa"/>
            </w:tcMar>
          </w:tcPr>
          <w:p w14:paraId="0B2FADB8" w14:textId="77777777" w:rsidR="007F1775" w:rsidRDefault="000F083E">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0B2FADB9" w14:textId="77777777" w:rsidR="007F1775" w:rsidRDefault="000F083E">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0B2FADBA" w14:textId="77777777" w:rsidR="007F1775" w:rsidRDefault="007F1775">
            <w:pPr>
              <w:jc w:val="right"/>
              <w:rPr>
                <w:rFonts w:ascii="宋体"/>
              </w:rPr>
            </w:pPr>
          </w:p>
        </w:tc>
      </w:tr>
      <w:tr w:rsidR="007F1775" w14:paraId="0B2FADBF" w14:textId="77777777">
        <w:tc>
          <w:tcPr>
            <w:tcW w:w="0" w:type="auto"/>
            <w:gridSpan w:val="3"/>
            <w:shd w:val="clear" w:color="auto" w:fill="FFFFFF"/>
            <w:tcMar>
              <w:top w:w="40" w:type="dxa"/>
              <w:left w:w="20" w:type="dxa"/>
              <w:bottom w:w="40" w:type="dxa"/>
              <w:right w:w="20" w:type="dxa"/>
            </w:tcMar>
          </w:tcPr>
          <w:p w14:paraId="0B2FADBC" w14:textId="77777777" w:rsidR="007F1775" w:rsidRDefault="000F083E">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B2FADBD" w14:textId="77777777" w:rsidR="007F1775" w:rsidRDefault="000F083E">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left w:w="0" w:type="dxa"/>
              <w:bottom w:w="40" w:type="dxa"/>
              <w:right w:w="20" w:type="dxa"/>
            </w:tcMar>
            <w:vAlign w:val="bottom"/>
          </w:tcPr>
          <w:p w14:paraId="0B2FADBE" w14:textId="77777777" w:rsidR="007F1775" w:rsidRDefault="007F1775">
            <w:pPr>
              <w:jc w:val="right"/>
              <w:rPr>
                <w:rFonts w:ascii="宋体"/>
              </w:rPr>
            </w:pPr>
          </w:p>
        </w:tc>
      </w:tr>
      <w:tr w:rsidR="007F1775" w14:paraId="0B2FADC4" w14:textId="77777777">
        <w:tc>
          <w:tcPr>
            <w:tcW w:w="0" w:type="auto"/>
            <w:gridSpan w:val="3"/>
            <w:shd w:val="clear" w:color="auto" w:fill="CCEEFF"/>
            <w:tcMar>
              <w:top w:w="40" w:type="dxa"/>
              <w:left w:w="380" w:type="dxa"/>
              <w:bottom w:w="40" w:type="dxa"/>
              <w:right w:w="20" w:type="dxa"/>
            </w:tcMar>
          </w:tcPr>
          <w:p w14:paraId="0B2FADC0" w14:textId="77777777" w:rsidR="007F1775" w:rsidRDefault="000F083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DC1"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DC2" w14:textId="77777777" w:rsidR="007F1775" w:rsidRDefault="000F083E">
            <w:pPr>
              <w:jc w:val="right"/>
              <w:textAlignment w:val="bottom"/>
            </w:pPr>
            <w:r>
              <w:rPr>
                <w:rFonts w:ascii="Times New Roman" w:eastAsia="宋体" w:hAnsi="Times New Roman"/>
                <w:color w:val="000000"/>
                <w:sz w:val="20"/>
                <w:szCs w:val="20"/>
              </w:rPr>
              <w:t>546 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DC3" w14:textId="77777777" w:rsidR="007F1775" w:rsidRDefault="007F1775">
            <w:pPr>
              <w:jc w:val="right"/>
              <w:rPr>
                <w:rFonts w:ascii="宋体"/>
              </w:rPr>
            </w:pPr>
          </w:p>
        </w:tc>
      </w:tr>
    </w:tbl>
    <w:p w14:paraId="0B2FADC5" w14:textId="77777777" w:rsidR="007F1775" w:rsidRDefault="007F1775"/>
    <w:p w14:paraId="0B2FADC6" w14:textId="77777777" w:rsidR="007F1775" w:rsidRDefault="000F083E">
      <w:pPr>
        <w:spacing w:before="180"/>
      </w:pPr>
      <w:r>
        <w:rPr>
          <w:rFonts w:ascii="Times New Roman" w:eastAsia="宋体" w:hAnsi="Times New Roman"/>
          <w:b/>
          <w:bCs/>
          <w:color w:val="000000"/>
          <w:sz w:val="20"/>
          <w:szCs w:val="20"/>
        </w:rPr>
        <w:t>Note 10. Commitments and Contingencies</w:t>
      </w:r>
    </w:p>
    <w:p w14:paraId="0B2FADC7" w14:textId="77777777" w:rsidR="007F1775" w:rsidRDefault="007F1775"/>
    <w:p w14:paraId="0B2FADC8" w14:textId="77777777" w:rsidR="007F1775" w:rsidRDefault="000F083E">
      <w:r>
        <w:rPr>
          <w:rFonts w:ascii="Times New Roman" w:eastAsia="宋体" w:hAnsi="Times New Roman"/>
          <w:b/>
          <w:bCs/>
          <w:i/>
          <w:iCs/>
          <w:color w:val="000000"/>
          <w:sz w:val="20"/>
          <w:szCs w:val="20"/>
        </w:rPr>
        <w:t>Guarantee</w:t>
      </w:r>
    </w:p>
    <w:p w14:paraId="0B2FADC9" w14:textId="77777777" w:rsidR="007F1775" w:rsidRDefault="007F1775">
      <w:pPr>
        <w:ind w:firstLine="540"/>
        <w:jc w:val="both"/>
      </w:pPr>
    </w:p>
    <w:p w14:paraId="0B2FADCA" w14:textId="77777777" w:rsidR="007F1775" w:rsidRDefault="000F083E">
      <w:pPr>
        <w:ind w:firstLine="540"/>
        <w:jc w:val="both"/>
      </w:pPr>
      <w:r>
        <w:rPr>
          <w:rFonts w:ascii="Times New Roman" w:eastAsia="宋体" w:hAnsi="Times New Roman"/>
          <w:color w:val="000000"/>
          <w:sz w:val="20"/>
          <w:szCs w:val="20"/>
        </w:rPr>
        <w:t xml:space="preserve">In 2018, we established a multi-currency notional cash pool for certain of our entities with a </w:t>
      </w:r>
      <w:r>
        <w:rPr>
          <w:rFonts w:ascii="Times New Roman" w:eastAsia="宋体" w:hAnsi="Times New Roman"/>
          <w:color w:val="000000"/>
          <w:sz w:val="20"/>
          <w:szCs w:val="20"/>
        </w:rPr>
        <w:t>third-party bank provider. Actual cash balances are not physically converted and are not commingled between participating legal entities. As part of the notional cash pool agreement, the bank extends overdraft credit to our participating entities as needed</w:t>
      </w:r>
      <w:r>
        <w:rPr>
          <w:rFonts w:ascii="Times New Roman" w:eastAsia="宋体" w:hAnsi="Times New Roman"/>
          <w:color w:val="000000"/>
          <w:sz w:val="20"/>
          <w:szCs w:val="20"/>
        </w:rPr>
        <w:t>, provided that the overall notionally pooled balance of all accounts in the pool at the end of each day is at least zero. In the unlikely event of a default by our collective entities participating in the pool, any overdraft balances incurred would be gua</w:t>
      </w:r>
      <w:r>
        <w:rPr>
          <w:rFonts w:ascii="Times New Roman" w:eastAsia="宋体" w:hAnsi="Times New Roman"/>
          <w:color w:val="000000"/>
          <w:sz w:val="20"/>
          <w:szCs w:val="20"/>
        </w:rPr>
        <w:t>ranteed by Meta Platforms, Inc.</w:t>
      </w:r>
    </w:p>
    <w:p w14:paraId="0B2FADCB" w14:textId="77777777" w:rsidR="007F1775" w:rsidRDefault="007F1775">
      <w:pPr>
        <w:jc w:val="both"/>
      </w:pPr>
    </w:p>
    <w:p w14:paraId="0B2FADCC" w14:textId="77777777" w:rsidR="007F1775" w:rsidRDefault="000F083E">
      <w:pPr>
        <w:jc w:val="center"/>
      </w:pPr>
      <w:r>
        <w:rPr>
          <w:rFonts w:ascii="Times New Roman" w:eastAsia="宋体" w:hAnsi="Times New Roman"/>
          <w:color w:val="000000"/>
          <w:sz w:val="20"/>
          <w:szCs w:val="20"/>
        </w:rPr>
        <w:t>21</w:t>
      </w:r>
    </w:p>
    <w:p w14:paraId="0B2FADCD" w14:textId="77777777" w:rsidR="007F1775" w:rsidRDefault="000F083E">
      <w:r>
        <w:pict w14:anchorId="0B2FBF76">
          <v:rect id="_x0000_i1045" style="width:415.3pt;height:1.5pt" o:hralign="center" o:hrstd="t" o:hr="t" fillcolor="#a0a0a0" stroked="f"/>
        </w:pict>
      </w:r>
    </w:p>
    <w:p w14:paraId="0B2FADCE" w14:textId="77777777" w:rsidR="007F1775" w:rsidRDefault="007F1775"/>
    <w:p w14:paraId="0B2FADCF" w14:textId="77777777" w:rsidR="007F1775" w:rsidRDefault="007F1775"/>
    <w:p w14:paraId="0B2FADD0" w14:textId="77777777" w:rsidR="007F1775" w:rsidRDefault="000F083E">
      <w:hyperlink r:id="rId99" w:anchor="iea70e328caa94cefb76a9db6ed6338fc_7" w:history="1">
        <w:r>
          <w:rPr>
            <w:rStyle w:val="a5"/>
            <w:rFonts w:ascii="Times New Roman" w:eastAsia="宋体" w:hAnsi="Times New Roman"/>
            <w:sz w:val="20"/>
            <w:szCs w:val="20"/>
          </w:rPr>
          <w:t>Table of Contents</w:t>
        </w:r>
      </w:hyperlink>
    </w:p>
    <w:p w14:paraId="0B2FADD1" w14:textId="77777777" w:rsidR="007F1775" w:rsidRDefault="000F083E">
      <w:pPr>
        <w:jc w:val="both"/>
      </w:pPr>
      <w:r>
        <w:rPr>
          <w:rFonts w:ascii="Times New Roman" w:eastAsia="宋体" w:hAnsi="Times New Roman"/>
          <w:b/>
          <w:bCs/>
          <w:i/>
          <w:iCs/>
          <w:color w:val="000000"/>
          <w:sz w:val="20"/>
          <w:szCs w:val="20"/>
        </w:rPr>
        <w:t>Contractual Commitments</w:t>
      </w:r>
    </w:p>
    <w:p w14:paraId="0B2FADD2" w14:textId="77777777" w:rsidR="007F1775" w:rsidRDefault="007F1775">
      <w:pPr>
        <w:ind w:firstLine="540"/>
        <w:jc w:val="both"/>
      </w:pPr>
    </w:p>
    <w:p w14:paraId="0B2FADD3" w14:textId="77777777" w:rsidR="007F1775" w:rsidRDefault="000F083E">
      <w:pPr>
        <w:ind w:firstLine="540"/>
        <w:jc w:val="both"/>
      </w:pPr>
      <w:r>
        <w:rPr>
          <w:rFonts w:ascii="Times New Roman" w:eastAsia="宋体" w:hAnsi="Times New Roman"/>
          <w:color w:val="000000"/>
          <w:sz w:val="20"/>
          <w:szCs w:val="20"/>
        </w:rPr>
        <w:t>We have $22.73 billion of non-cancelable contractual commitm</w:t>
      </w:r>
      <w:r>
        <w:rPr>
          <w:rFonts w:ascii="Times New Roman" w:eastAsia="宋体" w:hAnsi="Times New Roman"/>
          <w:color w:val="000000"/>
          <w:sz w:val="20"/>
          <w:szCs w:val="20"/>
        </w:rPr>
        <w:t>ents as of March 31, 2022, which are primarily related to our investments in servers, network infrastructure, and Reality Labs. The following is a schedule, by years, of non-cancelable contractual commitments as of March 31, 2022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6887"/>
        <w:gridCol w:w="36"/>
        <w:gridCol w:w="120"/>
        <w:gridCol w:w="1205"/>
        <w:gridCol w:w="36"/>
      </w:tblGrid>
      <w:tr w:rsidR="007F1775" w14:paraId="0B2FADDA" w14:textId="77777777">
        <w:tc>
          <w:tcPr>
            <w:tcW w:w="50" w:type="pct"/>
            <w:shd w:val="clear" w:color="auto" w:fill="auto"/>
            <w:vAlign w:val="bottom"/>
          </w:tcPr>
          <w:p w14:paraId="0B2FADD4" w14:textId="77777777" w:rsidR="007F1775" w:rsidRDefault="007F1775">
            <w:pPr>
              <w:rPr>
                <w:rFonts w:ascii="宋体"/>
              </w:rPr>
            </w:pPr>
          </w:p>
        </w:tc>
        <w:tc>
          <w:tcPr>
            <w:tcW w:w="4148" w:type="pct"/>
            <w:shd w:val="clear" w:color="auto" w:fill="auto"/>
            <w:vAlign w:val="bottom"/>
          </w:tcPr>
          <w:p w14:paraId="0B2FADD5" w14:textId="77777777" w:rsidR="007F1775" w:rsidRDefault="007F1775">
            <w:pPr>
              <w:rPr>
                <w:rFonts w:ascii="宋体"/>
              </w:rPr>
            </w:pPr>
          </w:p>
        </w:tc>
        <w:tc>
          <w:tcPr>
            <w:tcW w:w="5" w:type="pct"/>
            <w:shd w:val="clear" w:color="auto" w:fill="auto"/>
            <w:vAlign w:val="bottom"/>
          </w:tcPr>
          <w:p w14:paraId="0B2FADD6" w14:textId="77777777" w:rsidR="007F1775" w:rsidRDefault="007F1775">
            <w:pPr>
              <w:rPr>
                <w:rFonts w:ascii="宋体"/>
              </w:rPr>
            </w:pPr>
          </w:p>
        </w:tc>
        <w:tc>
          <w:tcPr>
            <w:tcW w:w="50" w:type="pct"/>
            <w:shd w:val="clear" w:color="auto" w:fill="auto"/>
            <w:vAlign w:val="bottom"/>
          </w:tcPr>
          <w:p w14:paraId="0B2FADD7" w14:textId="77777777" w:rsidR="007F1775" w:rsidRDefault="007F1775">
            <w:pPr>
              <w:rPr>
                <w:rFonts w:ascii="宋体"/>
              </w:rPr>
            </w:pPr>
          </w:p>
        </w:tc>
        <w:tc>
          <w:tcPr>
            <w:tcW w:w="741" w:type="pct"/>
            <w:shd w:val="clear" w:color="auto" w:fill="auto"/>
            <w:vAlign w:val="bottom"/>
          </w:tcPr>
          <w:p w14:paraId="0B2FADD8" w14:textId="77777777" w:rsidR="007F1775" w:rsidRDefault="007F1775">
            <w:pPr>
              <w:rPr>
                <w:rFonts w:ascii="宋体"/>
              </w:rPr>
            </w:pPr>
          </w:p>
        </w:tc>
        <w:tc>
          <w:tcPr>
            <w:tcW w:w="5" w:type="pct"/>
            <w:shd w:val="clear" w:color="auto" w:fill="auto"/>
            <w:vAlign w:val="bottom"/>
          </w:tcPr>
          <w:p w14:paraId="0B2FADD9" w14:textId="77777777" w:rsidR="007F1775" w:rsidRDefault="007F1775">
            <w:pPr>
              <w:rPr>
                <w:rFonts w:ascii="宋体"/>
              </w:rPr>
            </w:pPr>
          </w:p>
        </w:tc>
      </w:tr>
      <w:tr w:rsidR="007F1775" w14:paraId="0B2FADDF" w14:textId="77777777">
        <w:tc>
          <w:tcPr>
            <w:tcW w:w="0" w:type="auto"/>
            <w:gridSpan w:val="3"/>
            <w:shd w:val="clear" w:color="auto" w:fill="CCEEFF"/>
            <w:tcMar>
              <w:top w:w="40" w:type="dxa"/>
              <w:left w:w="20" w:type="dxa"/>
              <w:bottom w:w="40" w:type="dxa"/>
              <w:right w:w="20" w:type="dxa"/>
            </w:tcMar>
          </w:tcPr>
          <w:p w14:paraId="0B2FADDB" w14:textId="77777777" w:rsidR="007F1775" w:rsidRDefault="000F083E">
            <w:pPr>
              <w:textAlignment w:val="top"/>
            </w:pPr>
            <w:r>
              <w:rPr>
                <w:rFonts w:ascii="Times New Roman" w:eastAsia="宋体" w:hAnsi="Times New Roman"/>
                <w:color w:val="000000"/>
                <w:sz w:val="20"/>
                <w:szCs w:val="20"/>
              </w:rPr>
              <w:t>The remainder of 2022</w:t>
            </w:r>
          </w:p>
        </w:tc>
        <w:tc>
          <w:tcPr>
            <w:tcW w:w="0" w:type="auto"/>
            <w:shd w:val="clear" w:color="auto" w:fill="CCEEFF"/>
            <w:tcMar>
              <w:top w:w="40" w:type="dxa"/>
              <w:left w:w="20" w:type="dxa"/>
              <w:bottom w:w="40" w:type="dxa"/>
              <w:right w:w="0" w:type="dxa"/>
            </w:tcMar>
            <w:vAlign w:val="bottom"/>
          </w:tcPr>
          <w:p w14:paraId="0B2FADDC"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DDD" w14:textId="77777777" w:rsidR="007F1775" w:rsidRDefault="000F083E">
            <w:pPr>
              <w:jc w:val="right"/>
              <w:textAlignment w:val="bottom"/>
            </w:pPr>
            <w:r>
              <w:rPr>
                <w:rFonts w:ascii="Times New Roman" w:eastAsia="宋体" w:hAnsi="Times New Roman"/>
                <w:color w:val="000000"/>
                <w:sz w:val="20"/>
                <w:szCs w:val="20"/>
              </w:rPr>
              <w:t>13,940 </w:t>
            </w:r>
          </w:p>
        </w:tc>
        <w:tc>
          <w:tcPr>
            <w:tcW w:w="0" w:type="auto"/>
            <w:shd w:val="clear" w:color="auto" w:fill="CCEEFF"/>
            <w:tcMar>
              <w:top w:w="40" w:type="dxa"/>
              <w:left w:w="0" w:type="dxa"/>
              <w:bottom w:w="40" w:type="dxa"/>
              <w:right w:w="20" w:type="dxa"/>
            </w:tcMar>
            <w:vAlign w:val="bottom"/>
          </w:tcPr>
          <w:p w14:paraId="0B2FADDE" w14:textId="77777777" w:rsidR="007F1775" w:rsidRDefault="007F1775">
            <w:pPr>
              <w:jc w:val="right"/>
              <w:rPr>
                <w:rFonts w:ascii="宋体"/>
              </w:rPr>
            </w:pPr>
          </w:p>
        </w:tc>
      </w:tr>
      <w:tr w:rsidR="007F1775" w14:paraId="0B2FADE3" w14:textId="77777777">
        <w:tc>
          <w:tcPr>
            <w:tcW w:w="0" w:type="auto"/>
            <w:gridSpan w:val="3"/>
            <w:shd w:val="clear" w:color="auto" w:fill="FFFFFF"/>
            <w:tcMar>
              <w:top w:w="40" w:type="dxa"/>
              <w:left w:w="20" w:type="dxa"/>
              <w:bottom w:w="40" w:type="dxa"/>
              <w:right w:w="20" w:type="dxa"/>
            </w:tcMar>
          </w:tcPr>
          <w:p w14:paraId="0B2FADE0" w14:textId="77777777" w:rsidR="007F1775" w:rsidRDefault="000F083E">
            <w:pPr>
              <w:textAlignment w:val="top"/>
            </w:pPr>
            <w:r>
              <w:rPr>
                <w:rFonts w:ascii="Times New Roman" w:eastAsia="宋体" w:hAnsi="Times New Roman"/>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0B2FADE1" w14:textId="77777777" w:rsidR="007F1775" w:rsidRDefault="000F083E">
            <w:pPr>
              <w:jc w:val="right"/>
              <w:textAlignment w:val="bottom"/>
            </w:pPr>
            <w:r>
              <w:rPr>
                <w:rFonts w:ascii="Times New Roman" w:eastAsia="宋体" w:hAnsi="Times New Roman"/>
                <w:color w:val="000000"/>
                <w:sz w:val="20"/>
                <w:szCs w:val="20"/>
              </w:rPr>
              <w:t>3,851 </w:t>
            </w:r>
          </w:p>
        </w:tc>
        <w:tc>
          <w:tcPr>
            <w:tcW w:w="0" w:type="auto"/>
            <w:shd w:val="clear" w:color="auto" w:fill="FFFFFF"/>
            <w:tcMar>
              <w:top w:w="40" w:type="dxa"/>
              <w:left w:w="0" w:type="dxa"/>
              <w:bottom w:w="40" w:type="dxa"/>
              <w:right w:w="20" w:type="dxa"/>
            </w:tcMar>
            <w:vAlign w:val="bottom"/>
          </w:tcPr>
          <w:p w14:paraId="0B2FADE2" w14:textId="77777777" w:rsidR="007F1775" w:rsidRDefault="007F1775">
            <w:pPr>
              <w:jc w:val="right"/>
              <w:rPr>
                <w:rFonts w:ascii="宋体"/>
              </w:rPr>
            </w:pPr>
          </w:p>
        </w:tc>
      </w:tr>
      <w:tr w:rsidR="007F1775" w14:paraId="0B2FADE7" w14:textId="77777777">
        <w:tc>
          <w:tcPr>
            <w:tcW w:w="0" w:type="auto"/>
            <w:gridSpan w:val="3"/>
            <w:shd w:val="clear" w:color="auto" w:fill="CCEEFF"/>
            <w:tcMar>
              <w:top w:w="40" w:type="dxa"/>
              <w:left w:w="20" w:type="dxa"/>
              <w:bottom w:w="40" w:type="dxa"/>
              <w:right w:w="20" w:type="dxa"/>
            </w:tcMar>
          </w:tcPr>
          <w:p w14:paraId="0B2FADE4" w14:textId="77777777" w:rsidR="007F1775" w:rsidRDefault="000F083E">
            <w:pPr>
              <w:textAlignment w:val="top"/>
            </w:pPr>
            <w:r>
              <w:rPr>
                <w:rFonts w:ascii="Times New Roman" w:eastAsia="宋体" w:hAnsi="Times New Roman"/>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0B2FADE5" w14:textId="77777777" w:rsidR="007F1775" w:rsidRDefault="000F083E">
            <w:pPr>
              <w:jc w:val="right"/>
              <w:textAlignment w:val="bottom"/>
            </w:pPr>
            <w:r>
              <w:rPr>
                <w:rFonts w:ascii="Times New Roman" w:eastAsia="宋体" w:hAnsi="Times New Roman"/>
                <w:color w:val="000000"/>
                <w:sz w:val="20"/>
                <w:szCs w:val="20"/>
              </w:rPr>
              <w:t>1,804 </w:t>
            </w:r>
          </w:p>
        </w:tc>
        <w:tc>
          <w:tcPr>
            <w:tcW w:w="0" w:type="auto"/>
            <w:shd w:val="clear" w:color="auto" w:fill="CCEEFF"/>
            <w:tcMar>
              <w:top w:w="40" w:type="dxa"/>
              <w:left w:w="0" w:type="dxa"/>
              <w:bottom w:w="40" w:type="dxa"/>
              <w:right w:w="20" w:type="dxa"/>
            </w:tcMar>
            <w:vAlign w:val="bottom"/>
          </w:tcPr>
          <w:p w14:paraId="0B2FADE6" w14:textId="77777777" w:rsidR="007F1775" w:rsidRDefault="007F1775">
            <w:pPr>
              <w:jc w:val="right"/>
              <w:rPr>
                <w:rFonts w:ascii="宋体"/>
              </w:rPr>
            </w:pPr>
          </w:p>
        </w:tc>
      </w:tr>
      <w:tr w:rsidR="007F1775" w14:paraId="0B2FADEB" w14:textId="77777777">
        <w:tc>
          <w:tcPr>
            <w:tcW w:w="0" w:type="auto"/>
            <w:gridSpan w:val="3"/>
            <w:shd w:val="clear" w:color="auto" w:fill="FFFFFF"/>
            <w:tcMar>
              <w:top w:w="40" w:type="dxa"/>
              <w:left w:w="20" w:type="dxa"/>
              <w:bottom w:w="40" w:type="dxa"/>
              <w:right w:w="20" w:type="dxa"/>
            </w:tcMar>
          </w:tcPr>
          <w:p w14:paraId="0B2FADE8" w14:textId="77777777" w:rsidR="007F1775" w:rsidRDefault="000F083E">
            <w:pPr>
              <w:textAlignment w:val="top"/>
            </w:pPr>
            <w:r>
              <w:rPr>
                <w:rFonts w:ascii="Times New Roman" w:eastAsia="宋体" w:hAnsi="Times New Roman"/>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0B2FADE9" w14:textId="77777777" w:rsidR="007F1775" w:rsidRDefault="000F083E">
            <w:pPr>
              <w:jc w:val="right"/>
              <w:textAlignment w:val="bottom"/>
            </w:pPr>
            <w:r>
              <w:rPr>
                <w:rFonts w:ascii="Times New Roman" w:eastAsia="宋体" w:hAnsi="Times New Roman"/>
                <w:color w:val="000000"/>
                <w:sz w:val="20"/>
                <w:szCs w:val="20"/>
              </w:rPr>
              <w:t>386 </w:t>
            </w:r>
          </w:p>
        </w:tc>
        <w:tc>
          <w:tcPr>
            <w:tcW w:w="0" w:type="auto"/>
            <w:shd w:val="clear" w:color="auto" w:fill="FFFFFF"/>
            <w:tcMar>
              <w:top w:w="40" w:type="dxa"/>
              <w:left w:w="0" w:type="dxa"/>
              <w:bottom w:w="40" w:type="dxa"/>
              <w:right w:w="20" w:type="dxa"/>
            </w:tcMar>
            <w:vAlign w:val="bottom"/>
          </w:tcPr>
          <w:p w14:paraId="0B2FADEA" w14:textId="77777777" w:rsidR="007F1775" w:rsidRDefault="007F1775">
            <w:pPr>
              <w:jc w:val="right"/>
              <w:rPr>
                <w:rFonts w:ascii="宋体"/>
              </w:rPr>
            </w:pPr>
          </w:p>
        </w:tc>
      </w:tr>
      <w:tr w:rsidR="007F1775" w14:paraId="0B2FADEF" w14:textId="77777777">
        <w:tc>
          <w:tcPr>
            <w:tcW w:w="0" w:type="auto"/>
            <w:gridSpan w:val="3"/>
            <w:shd w:val="clear" w:color="auto" w:fill="CCEEFF"/>
            <w:tcMar>
              <w:top w:w="40" w:type="dxa"/>
              <w:left w:w="20" w:type="dxa"/>
              <w:bottom w:w="40" w:type="dxa"/>
              <w:right w:w="20" w:type="dxa"/>
            </w:tcMar>
          </w:tcPr>
          <w:p w14:paraId="0B2FADEC" w14:textId="77777777" w:rsidR="007F1775" w:rsidRDefault="000F083E">
            <w:pPr>
              <w:textAlignment w:val="top"/>
            </w:pPr>
            <w:r>
              <w:rPr>
                <w:rFonts w:ascii="Times New Roman" w:eastAsia="宋体" w:hAnsi="Times New Roman"/>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0B2FADED" w14:textId="77777777" w:rsidR="007F1775" w:rsidRDefault="000F083E">
            <w:pPr>
              <w:jc w:val="right"/>
              <w:textAlignment w:val="bottom"/>
            </w:pPr>
            <w:r>
              <w:rPr>
                <w:rFonts w:ascii="Times New Roman" w:eastAsia="宋体" w:hAnsi="Times New Roman"/>
                <w:color w:val="000000"/>
                <w:sz w:val="20"/>
                <w:szCs w:val="20"/>
              </w:rPr>
              <w:t>205 </w:t>
            </w:r>
          </w:p>
        </w:tc>
        <w:tc>
          <w:tcPr>
            <w:tcW w:w="0" w:type="auto"/>
            <w:shd w:val="clear" w:color="auto" w:fill="CCEEFF"/>
            <w:tcMar>
              <w:top w:w="40" w:type="dxa"/>
              <w:left w:w="0" w:type="dxa"/>
              <w:bottom w:w="40" w:type="dxa"/>
              <w:right w:w="20" w:type="dxa"/>
            </w:tcMar>
            <w:vAlign w:val="bottom"/>
          </w:tcPr>
          <w:p w14:paraId="0B2FADEE" w14:textId="77777777" w:rsidR="007F1775" w:rsidRDefault="007F1775">
            <w:pPr>
              <w:jc w:val="right"/>
              <w:rPr>
                <w:rFonts w:ascii="宋体"/>
              </w:rPr>
            </w:pPr>
          </w:p>
        </w:tc>
      </w:tr>
      <w:tr w:rsidR="007F1775" w14:paraId="0B2FADF3" w14:textId="77777777">
        <w:tc>
          <w:tcPr>
            <w:tcW w:w="0" w:type="auto"/>
            <w:gridSpan w:val="3"/>
            <w:shd w:val="clear" w:color="auto" w:fill="auto"/>
            <w:tcMar>
              <w:top w:w="40" w:type="dxa"/>
              <w:left w:w="20" w:type="dxa"/>
              <w:bottom w:w="40" w:type="dxa"/>
              <w:right w:w="20" w:type="dxa"/>
            </w:tcMar>
          </w:tcPr>
          <w:p w14:paraId="0B2FADF0" w14:textId="77777777" w:rsidR="007F1775" w:rsidRDefault="000F083E">
            <w:pPr>
              <w:textAlignment w:val="top"/>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B2FADF1" w14:textId="77777777" w:rsidR="007F1775" w:rsidRDefault="000F083E">
            <w:pPr>
              <w:jc w:val="right"/>
              <w:textAlignment w:val="bottom"/>
            </w:pPr>
            <w:r>
              <w:rPr>
                <w:rFonts w:ascii="Times New Roman" w:eastAsia="宋体" w:hAnsi="Times New Roman"/>
                <w:color w:val="000000"/>
                <w:sz w:val="20"/>
                <w:szCs w:val="20"/>
              </w:rPr>
              <w:t>2,542 </w:t>
            </w:r>
          </w:p>
        </w:tc>
        <w:tc>
          <w:tcPr>
            <w:tcW w:w="0" w:type="auto"/>
            <w:shd w:val="clear" w:color="auto" w:fill="FFFFFF"/>
            <w:tcMar>
              <w:top w:w="40" w:type="dxa"/>
              <w:left w:w="0" w:type="dxa"/>
              <w:bottom w:w="40" w:type="dxa"/>
              <w:right w:w="20" w:type="dxa"/>
            </w:tcMar>
            <w:vAlign w:val="bottom"/>
          </w:tcPr>
          <w:p w14:paraId="0B2FADF2" w14:textId="77777777" w:rsidR="007F1775" w:rsidRDefault="007F1775">
            <w:pPr>
              <w:jc w:val="right"/>
              <w:rPr>
                <w:rFonts w:ascii="宋体"/>
              </w:rPr>
            </w:pPr>
          </w:p>
        </w:tc>
      </w:tr>
      <w:tr w:rsidR="007F1775" w14:paraId="0B2FADF8" w14:textId="77777777">
        <w:tc>
          <w:tcPr>
            <w:tcW w:w="0" w:type="auto"/>
            <w:gridSpan w:val="3"/>
            <w:shd w:val="clear" w:color="auto" w:fill="CCEEFF"/>
            <w:tcMar>
              <w:top w:w="40" w:type="dxa"/>
              <w:left w:w="380" w:type="dxa"/>
              <w:bottom w:w="40" w:type="dxa"/>
              <w:right w:w="20" w:type="dxa"/>
            </w:tcMar>
          </w:tcPr>
          <w:p w14:paraId="0B2FADF4" w14:textId="77777777" w:rsidR="007F1775" w:rsidRDefault="000F083E">
            <w:pPr>
              <w:textAlignment w:val="top"/>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DF5"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DF6" w14:textId="77777777" w:rsidR="007F1775" w:rsidRDefault="000F083E">
            <w:pPr>
              <w:jc w:val="right"/>
              <w:textAlignment w:val="bottom"/>
            </w:pPr>
            <w:r>
              <w:rPr>
                <w:rFonts w:ascii="Times New Roman" w:eastAsia="宋体" w:hAnsi="Times New Roman"/>
                <w:color w:val="000000"/>
                <w:sz w:val="20"/>
                <w:szCs w:val="20"/>
              </w:rPr>
              <w:t>22,728 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DF7" w14:textId="77777777" w:rsidR="007F1775" w:rsidRDefault="007F1775">
            <w:pPr>
              <w:jc w:val="right"/>
              <w:rPr>
                <w:rFonts w:ascii="宋体"/>
              </w:rPr>
            </w:pPr>
          </w:p>
        </w:tc>
      </w:tr>
    </w:tbl>
    <w:p w14:paraId="0B2FADF9" w14:textId="77777777" w:rsidR="007F1775" w:rsidRDefault="007F1775">
      <w:pPr>
        <w:ind w:firstLine="540"/>
        <w:jc w:val="both"/>
      </w:pPr>
    </w:p>
    <w:p w14:paraId="0B2FADFA" w14:textId="77777777" w:rsidR="007F1775" w:rsidRDefault="000F083E">
      <w:pPr>
        <w:ind w:firstLine="540"/>
        <w:jc w:val="both"/>
      </w:pPr>
      <w:r>
        <w:rPr>
          <w:rFonts w:ascii="Times New Roman" w:eastAsia="宋体" w:hAnsi="Times New Roman"/>
          <w:color w:val="000000"/>
          <w:sz w:val="20"/>
          <w:szCs w:val="20"/>
        </w:rPr>
        <w:t xml:space="preserve">Additionally, as part of the normal course of business, we have entered into multi-year agreements to purchase renewable </w:t>
      </w:r>
      <w:r>
        <w:rPr>
          <w:rFonts w:ascii="Times New Roman" w:eastAsia="宋体" w:hAnsi="Times New Roman"/>
          <w:color w:val="000000"/>
          <w:sz w:val="20"/>
          <w:szCs w:val="20"/>
        </w:rPr>
        <w:t xml:space="preserve">energy that do not specify a fixed or minimum volume commitment or to purchase certain server components that do not specify a fixed or minimum price commitment. We enter into these agreements in order to secure either volume or price. Using the projected </w:t>
      </w:r>
      <w:r>
        <w:rPr>
          <w:rFonts w:ascii="Times New Roman" w:eastAsia="宋体" w:hAnsi="Times New Roman"/>
          <w:color w:val="000000"/>
          <w:sz w:val="20"/>
          <w:szCs w:val="20"/>
        </w:rPr>
        <w:t xml:space="preserve">market prices or expected volume consumption, the total estimated spend as of March 31, 2022 is approximately $8.75 billion, the majority of which is due beyond five years. The ultimate spend under these agreements may vary and will be based on prevailing </w:t>
      </w:r>
      <w:r>
        <w:rPr>
          <w:rFonts w:ascii="Times New Roman" w:eastAsia="宋体" w:hAnsi="Times New Roman"/>
          <w:color w:val="000000"/>
          <w:sz w:val="20"/>
          <w:szCs w:val="20"/>
        </w:rPr>
        <w:t>market prices or actual volume purchased.</w:t>
      </w:r>
    </w:p>
    <w:p w14:paraId="0B2FADFB" w14:textId="77777777" w:rsidR="007F1775" w:rsidRDefault="007F1775">
      <w:pPr>
        <w:ind w:firstLine="540"/>
        <w:jc w:val="both"/>
      </w:pPr>
    </w:p>
    <w:p w14:paraId="0B2FADFC" w14:textId="77777777" w:rsidR="007F1775" w:rsidRDefault="000F083E">
      <w:pPr>
        <w:jc w:val="both"/>
      </w:pPr>
      <w:r>
        <w:rPr>
          <w:rFonts w:ascii="Times New Roman" w:eastAsia="宋体" w:hAnsi="Times New Roman"/>
          <w:b/>
          <w:bCs/>
          <w:i/>
          <w:iCs/>
          <w:color w:val="000000"/>
          <w:sz w:val="20"/>
          <w:szCs w:val="20"/>
        </w:rPr>
        <w:t>Legal and Related Matters</w:t>
      </w:r>
    </w:p>
    <w:p w14:paraId="0B2FADFD" w14:textId="77777777" w:rsidR="007F1775" w:rsidRDefault="007F1775">
      <w:pPr>
        <w:ind w:firstLine="540"/>
        <w:jc w:val="both"/>
      </w:pPr>
    </w:p>
    <w:p w14:paraId="0B2FADFE" w14:textId="77777777" w:rsidR="007F1775" w:rsidRDefault="000F083E">
      <w:pPr>
        <w:ind w:firstLine="540"/>
        <w:jc w:val="both"/>
      </w:pPr>
      <w:r>
        <w:rPr>
          <w:rFonts w:ascii="Times New Roman" w:eastAsia="宋体" w:hAnsi="Times New Roman"/>
          <w:color w:val="000000"/>
          <w:sz w:val="20"/>
          <w:szCs w:val="20"/>
        </w:rPr>
        <w:t>Beginning on March 20, 2018, multiple putative class actions and derivative actions were filed in state and federal courts in the United States and elsewhere against us and certain of our directors and officers alleging violations of securities laws, breac</w:t>
      </w:r>
      <w:r>
        <w:rPr>
          <w:rFonts w:ascii="Times New Roman" w:eastAsia="宋体" w:hAnsi="Times New Roman"/>
          <w:color w:val="000000"/>
          <w:sz w:val="20"/>
          <w:szCs w:val="20"/>
        </w:rPr>
        <w:t>h of fiduciary duties, and other causes of action in connection with our platform and user data practices as well as the misuse of certain data by a developer that shared such data with third parties in violation of our terms and policies, and seeking unsp</w:t>
      </w:r>
      <w:r>
        <w:rPr>
          <w:rFonts w:ascii="Times New Roman" w:eastAsia="宋体" w:hAnsi="Times New Roman"/>
          <w:color w:val="000000"/>
          <w:sz w:val="20"/>
          <w:szCs w:val="20"/>
        </w:rPr>
        <w:t>ecified damages and injunctive relief. Beginning on July 27, 2018, two putative class actions were filed in federal court in the United States against us and certain of our directors and officers alleging violations of securities laws in connection with th</w:t>
      </w:r>
      <w:r>
        <w:rPr>
          <w:rFonts w:ascii="Times New Roman" w:eastAsia="宋体" w:hAnsi="Times New Roman"/>
          <w:color w:val="000000"/>
          <w:sz w:val="20"/>
          <w:szCs w:val="20"/>
        </w:rPr>
        <w:t>e disclosure of our earnings results for the second quarter of 2018 and seeking unspecified damages. These two actions subsequently were transferred and consolidated in the U.S. District Court for the Northern District of California with the putative secur</w:t>
      </w:r>
      <w:r>
        <w:rPr>
          <w:rFonts w:ascii="Times New Roman" w:eastAsia="宋体" w:hAnsi="Times New Roman"/>
          <w:color w:val="000000"/>
          <w:sz w:val="20"/>
          <w:szCs w:val="20"/>
        </w:rPr>
        <w:t>ities class action described above relating to our platform and user data practices. On September 25, 2019, the district court granted our motion to dismiss the consolidated putative securities class action, with leave to amend. On November 15, 2019, a sec</w:t>
      </w:r>
      <w:r>
        <w:rPr>
          <w:rFonts w:ascii="Times New Roman" w:eastAsia="宋体" w:hAnsi="Times New Roman"/>
          <w:color w:val="000000"/>
          <w:sz w:val="20"/>
          <w:szCs w:val="20"/>
        </w:rPr>
        <w:t xml:space="preserve">ond amended complaint was filed in the consolidated putative securities class action. On August 7, 2020, the district court granted our motion to dismiss the second amended complaint, with leave to amend. On October 16, 2020, a third amended complaint was </w:t>
      </w:r>
      <w:r>
        <w:rPr>
          <w:rFonts w:ascii="Times New Roman" w:eastAsia="宋体" w:hAnsi="Times New Roman"/>
          <w:color w:val="000000"/>
          <w:sz w:val="20"/>
          <w:szCs w:val="20"/>
        </w:rPr>
        <w:t>filed in the consolidated putative securities class action. On December 20, 2021, the district court granted our motion to dismiss the third amended complaint, with prejudice. On January 17, 2022, the plaintiffs filed a notice of appeal of the order dismis</w:t>
      </w:r>
      <w:r>
        <w:rPr>
          <w:rFonts w:ascii="Times New Roman" w:eastAsia="宋体" w:hAnsi="Times New Roman"/>
          <w:color w:val="000000"/>
          <w:sz w:val="20"/>
          <w:szCs w:val="20"/>
        </w:rPr>
        <w:t>sing their case, and the appeal is now pending before the U.S. Court of Appeals for the Ninth Circuit. With respect to the multiple putative class actions filed against us beginning on March 20, 2018 alleging fraud and violations of consumer protection, pr</w:t>
      </w:r>
      <w:r>
        <w:rPr>
          <w:rFonts w:ascii="Times New Roman" w:eastAsia="宋体" w:hAnsi="Times New Roman"/>
          <w:color w:val="000000"/>
          <w:sz w:val="20"/>
          <w:szCs w:val="20"/>
        </w:rPr>
        <w:t>ivacy, and other laws in connection with the same matters, several of the cases brought on behalf of consumers in the United States were consolidated in the U.S. District Court for the Northern District of California. On September 9, 2019, the court grante</w:t>
      </w:r>
      <w:r>
        <w:rPr>
          <w:rFonts w:ascii="Times New Roman" w:eastAsia="宋体" w:hAnsi="Times New Roman"/>
          <w:color w:val="000000"/>
          <w:sz w:val="20"/>
          <w:szCs w:val="20"/>
        </w:rPr>
        <w:t>d, in part, and denied, in part, our motion to dismiss the consolidated putative consumer class action. In addition, our platform and user data practices, as well as the events surrounding the misuse of certain data by a developer, became the subject of U.</w:t>
      </w:r>
      <w:r>
        <w:rPr>
          <w:rFonts w:ascii="Times New Roman" w:eastAsia="宋体" w:hAnsi="Times New Roman"/>
          <w:color w:val="000000"/>
          <w:sz w:val="20"/>
          <w:szCs w:val="20"/>
        </w:rPr>
        <w:t>S. Federal Trade Commission (FTC), state attorneys general, and other government inquiries in the United States, Europe, and other jurisdictions. We entered into a settlement and modified consent order to resolve the FTC inquiry, which took effect in April</w:t>
      </w:r>
      <w:r>
        <w:rPr>
          <w:rFonts w:ascii="Times New Roman" w:eastAsia="宋体" w:hAnsi="Times New Roman"/>
          <w:color w:val="000000"/>
          <w:sz w:val="20"/>
          <w:szCs w:val="20"/>
        </w:rPr>
        <w:t xml:space="preserve"> 2020. Among other matters, our settlement with the FTC required us to pay a penalty of $5.0 billion which was paid in April 2020 upon the effectiveness of the modified consent order. The state attorneys general inquiry and certain government inquiries in </w:t>
      </w:r>
      <w:r>
        <w:rPr>
          <w:rFonts w:ascii="Times New Roman" w:eastAsia="宋体" w:hAnsi="Times New Roman"/>
          <w:color w:val="000000"/>
          <w:sz w:val="20"/>
          <w:szCs w:val="20"/>
        </w:rPr>
        <w:t>other jurisdictions remain ongoing. On July 16, 2021, a stockholder derivative action was filed in Delaware Chancery Court against certain of our directors and officers asserting breach of fiduciary duty and related claims relating to our historical platfo</w:t>
      </w:r>
      <w:r>
        <w:rPr>
          <w:rFonts w:ascii="Times New Roman" w:eastAsia="宋体" w:hAnsi="Times New Roman"/>
          <w:color w:val="000000"/>
          <w:sz w:val="20"/>
          <w:szCs w:val="20"/>
        </w:rPr>
        <w:t>rm and user data practices, as well as our settlement with the FTC. On July 20, 2021, other stockholders filed an amended derivative complaint in a related Delaware Chancery Court action, asserting breach of fiduciary duty and related claims against certai</w:t>
      </w:r>
      <w:r>
        <w:rPr>
          <w:rFonts w:ascii="Times New Roman" w:eastAsia="宋体" w:hAnsi="Times New Roman"/>
          <w:color w:val="000000"/>
          <w:sz w:val="20"/>
          <w:szCs w:val="20"/>
        </w:rPr>
        <w:t xml:space="preserve">n of our current and former directors and officers in connection with our historical platform and user data practices. On </w:t>
      </w:r>
    </w:p>
    <w:p w14:paraId="0B2FADFF" w14:textId="77777777" w:rsidR="007F1775" w:rsidRDefault="000F083E">
      <w:pPr>
        <w:jc w:val="center"/>
      </w:pPr>
      <w:r>
        <w:rPr>
          <w:rFonts w:ascii="Times New Roman" w:eastAsia="宋体" w:hAnsi="Times New Roman"/>
          <w:color w:val="000000"/>
          <w:sz w:val="20"/>
          <w:szCs w:val="20"/>
        </w:rPr>
        <w:t>22</w:t>
      </w:r>
    </w:p>
    <w:p w14:paraId="0B2FAE00" w14:textId="77777777" w:rsidR="007F1775" w:rsidRDefault="000F083E">
      <w:r>
        <w:pict w14:anchorId="0B2FBF77">
          <v:rect id="_x0000_i1046" style="width:415.3pt;height:1.5pt" o:hralign="center" o:hrstd="t" o:hr="t" fillcolor="#a0a0a0" stroked="f"/>
        </w:pict>
      </w:r>
    </w:p>
    <w:p w14:paraId="0B2FAE01" w14:textId="77777777" w:rsidR="007F1775" w:rsidRDefault="007F1775"/>
    <w:p w14:paraId="0B2FAE02" w14:textId="77777777" w:rsidR="007F1775" w:rsidRDefault="007F1775"/>
    <w:p w14:paraId="0B2FAE03" w14:textId="77777777" w:rsidR="007F1775" w:rsidRDefault="000F083E">
      <w:hyperlink r:id="rId100" w:anchor="iea70e328caa94cefb76a9db6ed6338fc_7" w:history="1">
        <w:r>
          <w:rPr>
            <w:rStyle w:val="a5"/>
            <w:rFonts w:ascii="Times New Roman" w:eastAsia="宋体" w:hAnsi="Times New Roman"/>
            <w:sz w:val="20"/>
            <w:szCs w:val="20"/>
          </w:rPr>
          <w:t>Table of Contents</w:t>
        </w:r>
      </w:hyperlink>
    </w:p>
    <w:p w14:paraId="0B2FAE04" w14:textId="77777777" w:rsidR="007F1775" w:rsidRDefault="000F083E">
      <w:pPr>
        <w:jc w:val="both"/>
      </w:pPr>
      <w:r>
        <w:rPr>
          <w:rFonts w:ascii="Times New Roman" w:eastAsia="宋体" w:hAnsi="Times New Roman"/>
          <w:color w:val="000000"/>
          <w:sz w:val="20"/>
          <w:szCs w:val="20"/>
        </w:rPr>
        <w:t>November 4, 2021, the lead plaintiffs filed a second amended and consolidated complai</w:t>
      </w:r>
      <w:r>
        <w:rPr>
          <w:rFonts w:ascii="Times New Roman" w:eastAsia="宋体" w:hAnsi="Times New Roman"/>
          <w:color w:val="000000"/>
          <w:sz w:val="20"/>
          <w:szCs w:val="20"/>
        </w:rPr>
        <w:t>nt in the stockholder derivative action. We believe the lawsuits described above are without merit, and we are vigorously defending them.</w:t>
      </w:r>
    </w:p>
    <w:p w14:paraId="0B2FAE05" w14:textId="77777777" w:rsidR="007F1775" w:rsidRDefault="007F1775">
      <w:pPr>
        <w:ind w:firstLine="540"/>
        <w:jc w:val="both"/>
      </w:pPr>
    </w:p>
    <w:p w14:paraId="0B2FAE06" w14:textId="77777777" w:rsidR="007F1775" w:rsidRDefault="000F083E">
      <w:pPr>
        <w:ind w:firstLine="540"/>
        <w:jc w:val="both"/>
      </w:pPr>
      <w:r>
        <w:rPr>
          <w:rFonts w:ascii="Times New Roman" w:eastAsia="宋体" w:hAnsi="Times New Roman"/>
          <w:color w:val="000000"/>
          <w:sz w:val="20"/>
          <w:szCs w:val="20"/>
        </w:rPr>
        <w:t>We also notify the Irish Data Protection Commission (IDPC), our lead European Union privacy regulator under the Gener</w:t>
      </w:r>
      <w:r>
        <w:rPr>
          <w:rFonts w:ascii="Times New Roman" w:eastAsia="宋体" w:hAnsi="Times New Roman"/>
          <w:color w:val="000000"/>
          <w:sz w:val="20"/>
          <w:szCs w:val="20"/>
        </w:rPr>
        <w:t xml:space="preserve">al Data Protection Regulation (GDPR), of certain other personal data breaches and privacy issues, and are subject to inquiries and investigations by the IDPC and other European regulators regarding various aspects of our regulatory compliance. The GDPR is </w:t>
      </w:r>
      <w:r>
        <w:rPr>
          <w:rFonts w:ascii="Times New Roman" w:eastAsia="宋体" w:hAnsi="Times New Roman"/>
          <w:color w:val="000000"/>
          <w:sz w:val="20"/>
          <w:szCs w:val="20"/>
        </w:rPr>
        <w:t>still a relatively new law and draft decisions in investigations by the IDPC are subject to review by other European privacy regulators as part of the GDPR's consistency mechanism, which may lead to significant changes in the final outcome of such investig</w:t>
      </w:r>
      <w:r>
        <w:rPr>
          <w:rFonts w:ascii="Times New Roman" w:eastAsia="宋体" w:hAnsi="Times New Roman"/>
          <w:color w:val="000000"/>
          <w:sz w:val="20"/>
          <w:szCs w:val="20"/>
        </w:rPr>
        <w:t>ations. As a result, the interpretation and enforcement of the GDPR, as well as the imposition and amount of penalties for non-compliance, are subject to significant uncertainty. Although we are vigorously defending our regulatory compliance, we have accru</w:t>
      </w:r>
      <w:r>
        <w:rPr>
          <w:rFonts w:ascii="Times New Roman" w:eastAsia="宋体" w:hAnsi="Times New Roman"/>
          <w:color w:val="000000"/>
          <w:sz w:val="20"/>
          <w:szCs w:val="20"/>
        </w:rPr>
        <w:t>ed significant amounts for loss contingencies related to these inquiries and investigations in Europe, and we believe there is a reasonable possibility that additional accruals for losses related to these matters could be material in the aggregate.</w:t>
      </w:r>
    </w:p>
    <w:p w14:paraId="0B2FAE07" w14:textId="77777777" w:rsidR="007F1775" w:rsidRDefault="007F1775">
      <w:pPr>
        <w:ind w:firstLine="540"/>
        <w:jc w:val="both"/>
      </w:pPr>
    </w:p>
    <w:p w14:paraId="0B2FAE08" w14:textId="77777777" w:rsidR="007F1775" w:rsidRDefault="000F083E">
      <w:pPr>
        <w:ind w:firstLine="540"/>
        <w:jc w:val="both"/>
      </w:pPr>
      <w:r>
        <w:rPr>
          <w:rFonts w:ascii="Times New Roman" w:eastAsia="宋体" w:hAnsi="Times New Roman"/>
          <w:color w:val="000000"/>
          <w:sz w:val="20"/>
          <w:szCs w:val="20"/>
        </w:rPr>
        <w:t>We are</w:t>
      </w:r>
      <w:r>
        <w:rPr>
          <w:rFonts w:ascii="Times New Roman" w:eastAsia="宋体" w:hAnsi="Times New Roman"/>
          <w:color w:val="000000"/>
          <w:sz w:val="20"/>
          <w:szCs w:val="20"/>
        </w:rPr>
        <w:t xml:space="preserve"> also subject to other government inquiries and investigations relating to our business activities and disclosure practices. For example, beginning in September 2021, we became subject to government investigations and requests relating to a former employee</w:t>
      </w:r>
      <w:r>
        <w:rPr>
          <w:rFonts w:ascii="Times New Roman" w:eastAsia="宋体" w:hAnsi="Times New Roman"/>
          <w:color w:val="000000"/>
          <w:sz w:val="20"/>
          <w:szCs w:val="20"/>
        </w:rPr>
        <w:t>'s allegations and release of internal company documents concerning, among other things, our algorithms, advertising and user metrics, and content enforcement practices, as well as misinformation and other undesirable activity on our platform, and user wel</w:t>
      </w:r>
      <w:r>
        <w:rPr>
          <w:rFonts w:ascii="Times New Roman" w:eastAsia="宋体" w:hAnsi="Times New Roman"/>
          <w:color w:val="000000"/>
          <w:sz w:val="20"/>
          <w:szCs w:val="20"/>
        </w:rPr>
        <w:t>l-being. Beginning on October 27, 2021, multiple putative class actions and derivative actions were filed in the U.S. District Court for the Northern District of California against us and certain of our directors and officers alleging violations of securit</w:t>
      </w:r>
      <w:r>
        <w:rPr>
          <w:rFonts w:ascii="Times New Roman" w:eastAsia="宋体" w:hAnsi="Times New Roman"/>
          <w:color w:val="000000"/>
          <w:sz w:val="20"/>
          <w:szCs w:val="20"/>
        </w:rPr>
        <w:t>ies laws, breach of fiduciary duties, and other causes of action in connection with the same matters. We believe these lawsuits are without merit, and we are vigorously defending them.</w:t>
      </w:r>
    </w:p>
    <w:p w14:paraId="0B2FAE09" w14:textId="77777777" w:rsidR="007F1775" w:rsidRDefault="007F1775">
      <w:pPr>
        <w:ind w:firstLine="540"/>
        <w:jc w:val="both"/>
      </w:pPr>
    </w:p>
    <w:p w14:paraId="0B2FAE0A" w14:textId="77777777" w:rsidR="007F1775" w:rsidRDefault="000F083E">
      <w:pPr>
        <w:ind w:firstLine="540"/>
        <w:jc w:val="both"/>
      </w:pPr>
      <w:r>
        <w:rPr>
          <w:rFonts w:ascii="Times New Roman" w:eastAsia="宋体" w:hAnsi="Times New Roman"/>
          <w:color w:val="000000"/>
          <w:sz w:val="20"/>
          <w:szCs w:val="20"/>
        </w:rPr>
        <w:t>On March 8, 2022, a putative class action was filed in the U.S. Distri</w:t>
      </w:r>
      <w:r>
        <w:rPr>
          <w:rFonts w:ascii="Times New Roman" w:eastAsia="宋体" w:hAnsi="Times New Roman"/>
          <w:color w:val="000000"/>
          <w:sz w:val="20"/>
          <w:szCs w:val="20"/>
        </w:rPr>
        <w:t>ct Court for the Northern District of California against us and certain of our directors and officers alleging violations of securities laws in connection with the disclosure of our earnings results for the fourth quarter of 2021 and seeking unspecified da</w:t>
      </w:r>
      <w:r>
        <w:rPr>
          <w:rFonts w:ascii="Times New Roman" w:eastAsia="宋体" w:hAnsi="Times New Roman"/>
          <w:color w:val="000000"/>
          <w:sz w:val="20"/>
          <w:szCs w:val="20"/>
        </w:rPr>
        <w:t>mages. We believe this lawsuit is without merit, and we are vigorously defending it.</w:t>
      </w:r>
    </w:p>
    <w:p w14:paraId="0B2FAE0B" w14:textId="77777777" w:rsidR="007F1775" w:rsidRDefault="007F1775">
      <w:pPr>
        <w:ind w:firstLine="540"/>
        <w:jc w:val="both"/>
      </w:pPr>
    </w:p>
    <w:p w14:paraId="0B2FAE0C" w14:textId="77777777" w:rsidR="007F1775" w:rsidRDefault="000F083E">
      <w:pPr>
        <w:ind w:firstLine="540"/>
        <w:jc w:val="both"/>
      </w:pPr>
      <w:r>
        <w:rPr>
          <w:rFonts w:ascii="Times New Roman" w:eastAsia="宋体" w:hAnsi="Times New Roman"/>
          <w:color w:val="000000"/>
          <w:sz w:val="20"/>
          <w:szCs w:val="20"/>
        </w:rPr>
        <w:t>Beginning on August 15, 2018, multiple putative class actions were filed against us alleging that we inflated our estimates of the potential audience size for advertiseme</w:t>
      </w:r>
      <w:r>
        <w:rPr>
          <w:rFonts w:ascii="Times New Roman" w:eastAsia="宋体" w:hAnsi="Times New Roman"/>
          <w:color w:val="000000"/>
          <w:sz w:val="20"/>
          <w:szCs w:val="20"/>
        </w:rPr>
        <w:t xml:space="preserve">nts, resulting in artificially increased demand and higher prices. The cases were consolidated in the U.S. District Court for the Northern District of California and seek unspecified damages and injunctive relief. In a series of rulings in 2019, 2021, and </w:t>
      </w:r>
      <w:r>
        <w:rPr>
          <w:rFonts w:ascii="Times New Roman" w:eastAsia="宋体" w:hAnsi="Times New Roman"/>
          <w:color w:val="000000"/>
          <w:sz w:val="20"/>
          <w:szCs w:val="20"/>
        </w:rPr>
        <w:t>2022, the court dismissed certain of the plaintiffs' claims, but permitted its fraud and unfair competition claims to proceed. On March 29, 2022, the court granted the plaintiffs' motion for class certification. We believe this lawsuit is without merit, an</w:t>
      </w:r>
      <w:r>
        <w:rPr>
          <w:rFonts w:ascii="Times New Roman" w:eastAsia="宋体" w:hAnsi="Times New Roman"/>
          <w:color w:val="000000"/>
          <w:sz w:val="20"/>
          <w:szCs w:val="20"/>
        </w:rPr>
        <w:t xml:space="preserve">d we are vigorously defending it. </w:t>
      </w:r>
    </w:p>
    <w:p w14:paraId="0B2FAE0D" w14:textId="77777777" w:rsidR="007F1775" w:rsidRDefault="007F1775">
      <w:pPr>
        <w:ind w:firstLine="540"/>
        <w:jc w:val="both"/>
      </w:pPr>
    </w:p>
    <w:p w14:paraId="0B2FAE0E" w14:textId="77777777" w:rsidR="007F1775" w:rsidRDefault="000F083E">
      <w:pPr>
        <w:ind w:firstLine="540"/>
        <w:jc w:val="both"/>
      </w:pPr>
      <w:r>
        <w:rPr>
          <w:rFonts w:ascii="Times New Roman" w:eastAsia="宋体" w:hAnsi="Times New Roman"/>
          <w:color w:val="000000"/>
          <w:sz w:val="20"/>
          <w:szCs w:val="20"/>
        </w:rPr>
        <w:t>In addition, we are subject to litigation and other proceedings involving law enforcement and other regulatory agencies, including in particular in Brazil, Russia, and other countries in Europe, in order to ascertain the</w:t>
      </w:r>
      <w:r>
        <w:rPr>
          <w:rFonts w:ascii="Times New Roman" w:eastAsia="宋体" w:hAnsi="Times New Roman"/>
          <w:color w:val="000000"/>
          <w:sz w:val="20"/>
          <w:szCs w:val="20"/>
        </w:rPr>
        <w:t xml:space="preserve"> precise scope of our legal obligations to comply with the requests of those agencies, including our obligation to disclose user information in particular circumstances. A number of such instances have resulted in the assessment of fines and penalties agai</w:t>
      </w:r>
      <w:r>
        <w:rPr>
          <w:rFonts w:ascii="Times New Roman" w:eastAsia="宋体" w:hAnsi="Times New Roman"/>
          <w:color w:val="000000"/>
          <w:sz w:val="20"/>
          <w:szCs w:val="20"/>
        </w:rPr>
        <w:t xml:space="preserve">nst us. We believe we have multiple legal grounds to satisfy these requests or prevail against associated fines and penalties, and we intend to vigorously defend such fines and penalties. </w:t>
      </w:r>
    </w:p>
    <w:p w14:paraId="0B2FAE0F" w14:textId="77777777" w:rsidR="007F1775" w:rsidRDefault="007F1775">
      <w:pPr>
        <w:ind w:firstLine="540"/>
        <w:jc w:val="both"/>
      </w:pPr>
    </w:p>
    <w:p w14:paraId="0B2FAE10" w14:textId="77777777" w:rsidR="007F1775" w:rsidRDefault="000F083E">
      <w:pPr>
        <w:ind w:firstLine="540"/>
        <w:jc w:val="both"/>
      </w:pPr>
      <w:r>
        <w:rPr>
          <w:rFonts w:ascii="Times New Roman" w:eastAsia="宋体" w:hAnsi="Times New Roman"/>
          <w:color w:val="000000"/>
          <w:sz w:val="20"/>
          <w:szCs w:val="20"/>
        </w:rPr>
        <w:t>With respect to the cases, actions, and inquiries described above,</w:t>
      </w:r>
      <w:r>
        <w:rPr>
          <w:rFonts w:ascii="Times New Roman" w:eastAsia="宋体" w:hAnsi="Times New Roman"/>
          <w:color w:val="000000"/>
          <w:sz w:val="20"/>
          <w:szCs w:val="20"/>
        </w:rPr>
        <w:t xml:space="preserve"> we evaluate the associated developments on a regular basis and accrue a liability when we believe a loss is probable and the amount can be reasonably estimated. In addition, we believe there is a reasonable possibility that we may incur a loss in some of </w:t>
      </w:r>
      <w:r>
        <w:rPr>
          <w:rFonts w:ascii="Times New Roman" w:eastAsia="宋体" w:hAnsi="Times New Roman"/>
          <w:color w:val="000000"/>
          <w:sz w:val="20"/>
          <w:szCs w:val="20"/>
        </w:rPr>
        <w:t xml:space="preserve">these matters. With respect to the matters described above that do not include an estimate of the amount of loss or range of possible loss, such losses or range of possible losses either cannot be estimated or are not individually material, but we believe </w:t>
      </w:r>
      <w:r>
        <w:rPr>
          <w:rFonts w:ascii="Times New Roman" w:eastAsia="宋体" w:hAnsi="Times New Roman"/>
          <w:color w:val="000000"/>
          <w:sz w:val="20"/>
          <w:szCs w:val="20"/>
        </w:rPr>
        <w:t>there is a reasonable possibility that they may be material in the aggregate.</w:t>
      </w:r>
    </w:p>
    <w:p w14:paraId="0B2FAE11" w14:textId="77777777" w:rsidR="007F1775" w:rsidRDefault="007F1775">
      <w:pPr>
        <w:ind w:firstLine="540"/>
        <w:jc w:val="both"/>
      </w:pPr>
    </w:p>
    <w:p w14:paraId="0B2FAE12" w14:textId="77777777" w:rsidR="007F1775" w:rsidRDefault="000F083E">
      <w:pPr>
        <w:ind w:firstLine="540"/>
        <w:jc w:val="both"/>
      </w:pPr>
      <w:r>
        <w:rPr>
          <w:rFonts w:ascii="Times New Roman" w:eastAsia="宋体" w:hAnsi="Times New Roman"/>
          <w:color w:val="000000"/>
          <w:sz w:val="20"/>
          <w:szCs w:val="20"/>
        </w:rPr>
        <w:t>We are also party to various other legal proceedings, claims, and regulatory, tax or government inquiries and investigations that arise in the ordinary course of business. For e</w:t>
      </w:r>
      <w:r>
        <w:rPr>
          <w:rFonts w:ascii="Times New Roman" w:eastAsia="宋体" w:hAnsi="Times New Roman"/>
          <w:color w:val="000000"/>
          <w:sz w:val="20"/>
          <w:szCs w:val="20"/>
        </w:rPr>
        <w:t>xample, we are subject to various litigation and government inquiries and investigations, formal or informal, by competition authorities in the United States, Europe, and other jurisdictions. Such investigations, inquiries, and lawsuits concern, among othe</w:t>
      </w:r>
      <w:r>
        <w:rPr>
          <w:rFonts w:ascii="Times New Roman" w:eastAsia="宋体" w:hAnsi="Times New Roman"/>
          <w:color w:val="000000"/>
          <w:sz w:val="20"/>
          <w:szCs w:val="20"/>
        </w:rPr>
        <w:t>r things, our business practices in the areas of social networking or social media services, digital advertising, and/or mobile or online applications, as well as our acquisitions. For example, in June 2019 we were informed by the FTC that it had opened an</w:t>
      </w:r>
      <w:r>
        <w:rPr>
          <w:rFonts w:ascii="Times New Roman" w:eastAsia="宋体" w:hAnsi="Times New Roman"/>
          <w:color w:val="000000"/>
          <w:sz w:val="20"/>
          <w:szCs w:val="20"/>
        </w:rPr>
        <w:t xml:space="preserve"> antitrust investigation of our </w:t>
      </w:r>
    </w:p>
    <w:p w14:paraId="0B2FAE13" w14:textId="77777777" w:rsidR="007F1775" w:rsidRDefault="000F083E">
      <w:pPr>
        <w:jc w:val="center"/>
      </w:pPr>
      <w:r>
        <w:rPr>
          <w:rFonts w:ascii="Times New Roman" w:eastAsia="宋体" w:hAnsi="Times New Roman"/>
          <w:color w:val="000000"/>
          <w:sz w:val="20"/>
          <w:szCs w:val="20"/>
        </w:rPr>
        <w:t>23</w:t>
      </w:r>
    </w:p>
    <w:p w14:paraId="0B2FAE14" w14:textId="77777777" w:rsidR="007F1775" w:rsidRDefault="000F083E">
      <w:r>
        <w:pict w14:anchorId="0B2FBF78">
          <v:rect id="_x0000_i1047" style="width:415.3pt;height:1.5pt" o:hralign="center" o:hrstd="t" o:hr="t" fillcolor="#a0a0a0" stroked="f"/>
        </w:pict>
      </w:r>
    </w:p>
    <w:p w14:paraId="0B2FAE15" w14:textId="77777777" w:rsidR="007F1775" w:rsidRDefault="007F1775"/>
    <w:p w14:paraId="0B2FAE16" w14:textId="77777777" w:rsidR="007F1775" w:rsidRDefault="007F1775"/>
    <w:p w14:paraId="0B2FAE17" w14:textId="77777777" w:rsidR="007F1775" w:rsidRDefault="000F083E">
      <w:hyperlink r:id="rId101" w:anchor="iea70e328caa94cefb76a9db6ed6338fc_7" w:history="1">
        <w:r>
          <w:rPr>
            <w:rStyle w:val="a5"/>
            <w:rFonts w:ascii="Times New Roman" w:eastAsia="宋体" w:hAnsi="Times New Roman"/>
            <w:sz w:val="20"/>
            <w:szCs w:val="20"/>
          </w:rPr>
          <w:t>Table of Contents</w:t>
        </w:r>
      </w:hyperlink>
    </w:p>
    <w:p w14:paraId="0B2FAE18" w14:textId="77777777" w:rsidR="007F1775" w:rsidRDefault="000F083E">
      <w:pPr>
        <w:jc w:val="both"/>
      </w:pPr>
      <w:r>
        <w:rPr>
          <w:rFonts w:ascii="Times New Roman" w:eastAsia="宋体" w:hAnsi="Times New Roman"/>
          <w:color w:val="000000"/>
          <w:sz w:val="20"/>
          <w:szCs w:val="20"/>
        </w:rPr>
        <w:t>company. On December 9, 2020, the FTC filed a</w:t>
      </w:r>
      <w:r>
        <w:rPr>
          <w:rFonts w:ascii="Times New Roman" w:eastAsia="宋体" w:hAnsi="Times New Roman"/>
          <w:color w:val="000000"/>
          <w:sz w:val="20"/>
          <w:szCs w:val="20"/>
        </w:rPr>
        <w:t xml:space="preserve"> complaint against us in the U.S. District Court for the District of Columbia alleging that we engaged in anticompetitive conduct and unfair methods of competition in violation of Section 5 of the Federal Trade Commission Act and Section 2 of the Sherman A</w:t>
      </w:r>
      <w:r>
        <w:rPr>
          <w:rFonts w:ascii="Times New Roman" w:eastAsia="宋体" w:hAnsi="Times New Roman"/>
          <w:color w:val="000000"/>
          <w:sz w:val="20"/>
          <w:szCs w:val="20"/>
        </w:rPr>
        <w:t>ct, including by acquiring Instagram in 2012 and WhatsApp in 2014 and by maintaining conditions on access to our platform. In addition, beginning in the third quarter of 2019, we became the subject of antitrust investigations by the U.S. Department of Just</w:t>
      </w:r>
      <w:r>
        <w:rPr>
          <w:rFonts w:ascii="Times New Roman" w:eastAsia="宋体" w:hAnsi="Times New Roman"/>
          <w:color w:val="000000"/>
          <w:sz w:val="20"/>
          <w:szCs w:val="20"/>
        </w:rPr>
        <w:t>ice and state attorneys general. On December 9, 2020, the attorneys general from 46 states, the territory of Guam, and the District of Columbia filed a complaint against us in the U.S. District Court for the District of Columbia alleging that we engaged in</w:t>
      </w:r>
      <w:r>
        <w:rPr>
          <w:rFonts w:ascii="Times New Roman" w:eastAsia="宋体" w:hAnsi="Times New Roman"/>
          <w:color w:val="000000"/>
          <w:sz w:val="20"/>
          <w:szCs w:val="20"/>
        </w:rPr>
        <w:t xml:space="preserve"> anticompetitive conduct in violation of Section 2 of the Sherman Act, including by acquiring Instagram in 2012 and WhatsApp in 2014 and by maintaining conditions on access to our platform. The complaint also alleged that we violated Section 7 of the Clayt</w:t>
      </w:r>
      <w:r>
        <w:rPr>
          <w:rFonts w:ascii="Times New Roman" w:eastAsia="宋体" w:hAnsi="Times New Roman"/>
          <w:color w:val="000000"/>
          <w:sz w:val="20"/>
          <w:szCs w:val="20"/>
        </w:rPr>
        <w:t>on Act by acquiring Instagram and WhatsApp. The complaints of the FTC and attorneys general both sought a permanent injunction against our company's alleged violations of the antitrust laws, and other equitable relief, including divestiture or reconstructi</w:t>
      </w:r>
      <w:r>
        <w:rPr>
          <w:rFonts w:ascii="Times New Roman" w:eastAsia="宋体" w:hAnsi="Times New Roman"/>
          <w:color w:val="000000"/>
          <w:sz w:val="20"/>
          <w:szCs w:val="20"/>
        </w:rPr>
        <w:t>on of Instagram and WhatsApp. On June 28, 2021, the court granted our motions to dismiss the complaints filed by the FTC and attorneys general, dismissing the FTC's complaint with leave to amend and dismissing the attorneys general's case without prejudice</w:t>
      </w:r>
      <w:r>
        <w:rPr>
          <w:rFonts w:ascii="Times New Roman" w:eastAsia="宋体" w:hAnsi="Times New Roman"/>
          <w:color w:val="000000"/>
          <w:sz w:val="20"/>
          <w:szCs w:val="20"/>
        </w:rPr>
        <w:t>. On July 28, 2021, the attorneys general filed a notice of appeal of the order dismissing their case and that appeal is now pending before the U.S. Court of Appeals for the District of Columbia Circuit. On August 19, 2021, the FTC filed an amended complai</w:t>
      </w:r>
      <w:r>
        <w:rPr>
          <w:rFonts w:ascii="Times New Roman" w:eastAsia="宋体" w:hAnsi="Times New Roman"/>
          <w:color w:val="000000"/>
          <w:sz w:val="20"/>
          <w:szCs w:val="20"/>
        </w:rPr>
        <w:t>nt, and on October 4, 2021, we filed a motion to dismiss this amended complaint. On January 11, 2022, the court denied our motion to dismiss the FTC's amended complaint. Multiple putative class actions have also been filed in state and federal courts in th</w:t>
      </w:r>
      <w:r>
        <w:rPr>
          <w:rFonts w:ascii="Times New Roman" w:eastAsia="宋体" w:hAnsi="Times New Roman"/>
          <w:color w:val="000000"/>
          <w:sz w:val="20"/>
          <w:szCs w:val="20"/>
        </w:rPr>
        <w:t xml:space="preserve">e United States and in the United Kingdom against us alleging violations of antitrust laws and other causes of action in connection with these acquisitions and/or other alleged anticompetitive conduct, and seeking damages and injunctive relief. Several of </w:t>
      </w:r>
      <w:r>
        <w:rPr>
          <w:rFonts w:ascii="Times New Roman" w:eastAsia="宋体" w:hAnsi="Times New Roman"/>
          <w:color w:val="000000"/>
          <w:sz w:val="20"/>
          <w:szCs w:val="20"/>
        </w:rPr>
        <w:t>the cases brought on behalf of certain advertisers and users in the United States were consolidated in the U.S. District Court for the Northern District of California. On January 14, 2022, the court granted, in part, and denied, in part, our motion to dism</w:t>
      </w:r>
      <w:r>
        <w:rPr>
          <w:rFonts w:ascii="Times New Roman" w:eastAsia="宋体" w:hAnsi="Times New Roman"/>
          <w:color w:val="000000"/>
          <w:sz w:val="20"/>
          <w:szCs w:val="20"/>
        </w:rPr>
        <w:t>iss the consolidated actions. We believe these lawsuits are without merit, and we are vigorously defending them.</w:t>
      </w:r>
    </w:p>
    <w:p w14:paraId="0B2FAE19" w14:textId="77777777" w:rsidR="007F1775" w:rsidRDefault="007F1775">
      <w:pPr>
        <w:ind w:firstLine="540"/>
        <w:jc w:val="both"/>
      </w:pPr>
    </w:p>
    <w:p w14:paraId="0B2FAE1A" w14:textId="77777777" w:rsidR="007F1775" w:rsidRDefault="000F083E">
      <w:pPr>
        <w:ind w:firstLine="540"/>
        <w:jc w:val="both"/>
      </w:pPr>
      <w:r>
        <w:rPr>
          <w:rFonts w:ascii="Times New Roman" w:eastAsia="宋体" w:hAnsi="Times New Roman"/>
          <w:color w:val="000000"/>
          <w:sz w:val="20"/>
          <w:szCs w:val="20"/>
        </w:rPr>
        <w:t>Additionally, we are required to comply with various legal and regulatory obligations around the world. The requirements for complying with th</w:t>
      </w:r>
      <w:r>
        <w:rPr>
          <w:rFonts w:ascii="Times New Roman" w:eastAsia="宋体" w:hAnsi="Times New Roman"/>
          <w:color w:val="000000"/>
          <w:sz w:val="20"/>
          <w:szCs w:val="20"/>
        </w:rPr>
        <w:t>ese obligations may be uncertain and subject to interpretation and enforcement by regulatory and other authorities, and any failure to comply with such obligations could eventually lead to asserted legal or regulatory action. With respect to these other le</w:t>
      </w:r>
      <w:r>
        <w:rPr>
          <w:rFonts w:ascii="Times New Roman" w:eastAsia="宋体" w:hAnsi="Times New Roman"/>
          <w:color w:val="000000"/>
          <w:sz w:val="20"/>
          <w:szCs w:val="20"/>
        </w:rPr>
        <w:t>gal proceedings, claims, regulatory, tax, or government inquiries and investigations, and other matters, asserted and unasserted, we evaluate the associated developments on a regular basis and accrue a liability when we believe a loss is probable and the a</w:t>
      </w:r>
      <w:r>
        <w:rPr>
          <w:rFonts w:ascii="Times New Roman" w:eastAsia="宋体" w:hAnsi="Times New Roman"/>
          <w:color w:val="000000"/>
          <w:sz w:val="20"/>
          <w:szCs w:val="20"/>
        </w:rPr>
        <w:t>mount can be reasonably estimated. In addition, we believe there is a reasonable possibility that we may incur a loss in some of these other matters. We believe that the amount of losses or any estimable range of possible losses with respect to these other</w:t>
      </w:r>
      <w:r>
        <w:rPr>
          <w:rFonts w:ascii="Times New Roman" w:eastAsia="宋体" w:hAnsi="Times New Roman"/>
          <w:color w:val="000000"/>
          <w:sz w:val="20"/>
          <w:szCs w:val="20"/>
        </w:rPr>
        <w:t xml:space="preserve"> matters will not, either individually or in the aggregate, have a material adverse effect on our business and condensed consolidated financial statements. </w:t>
      </w:r>
    </w:p>
    <w:p w14:paraId="0B2FAE1B" w14:textId="77777777" w:rsidR="007F1775" w:rsidRDefault="007F1775">
      <w:pPr>
        <w:ind w:firstLine="540"/>
        <w:jc w:val="both"/>
      </w:pPr>
    </w:p>
    <w:p w14:paraId="0B2FAE1C" w14:textId="77777777" w:rsidR="007F1775" w:rsidRDefault="000F083E">
      <w:pPr>
        <w:ind w:firstLine="540"/>
        <w:jc w:val="both"/>
      </w:pPr>
      <w:r>
        <w:rPr>
          <w:rFonts w:ascii="Times New Roman" w:eastAsia="宋体" w:hAnsi="Times New Roman"/>
          <w:color w:val="000000"/>
          <w:sz w:val="20"/>
          <w:szCs w:val="20"/>
        </w:rPr>
        <w:t>The ultimate outcome of the legal and related matters described in this section, such as whether t</w:t>
      </w:r>
      <w:r>
        <w:rPr>
          <w:rFonts w:ascii="Times New Roman" w:eastAsia="宋体" w:hAnsi="Times New Roman"/>
          <w:color w:val="000000"/>
          <w:sz w:val="20"/>
          <w:szCs w:val="20"/>
        </w:rPr>
        <w:t>he likelihood of loss is remote, reasonably possible, or probable, or if and when the reasonably possible range of loss is estimable, is inherently uncertain. Therefore, if one or more of these matters were resolved against us for amounts in excess of mana</w:t>
      </w:r>
      <w:r>
        <w:rPr>
          <w:rFonts w:ascii="Times New Roman" w:eastAsia="宋体" w:hAnsi="Times New Roman"/>
          <w:color w:val="000000"/>
          <w:sz w:val="20"/>
          <w:szCs w:val="20"/>
        </w:rPr>
        <w:t>gement's estimates of loss, our results of operations and financial condition, including in a particular reporting period in which any such outcome becomes probable and estimable, could be materially adversely affected.</w:t>
      </w:r>
    </w:p>
    <w:p w14:paraId="0B2FAE1D" w14:textId="77777777" w:rsidR="007F1775" w:rsidRDefault="007F1775">
      <w:pPr>
        <w:ind w:firstLine="540"/>
      </w:pPr>
    </w:p>
    <w:p w14:paraId="0B2FAE1E" w14:textId="77777777" w:rsidR="007F1775" w:rsidRDefault="000F083E">
      <w:pPr>
        <w:ind w:firstLine="540"/>
      </w:pPr>
      <w:r>
        <w:rPr>
          <w:rFonts w:ascii="Times New Roman" w:eastAsia="宋体" w:hAnsi="Times New Roman"/>
          <w:color w:val="000000"/>
          <w:sz w:val="20"/>
          <w:szCs w:val="20"/>
        </w:rPr>
        <w:t xml:space="preserve">For information regarding </w:t>
      </w:r>
      <w:r>
        <w:rPr>
          <w:rFonts w:ascii="Times New Roman" w:eastAsia="宋体" w:hAnsi="Times New Roman"/>
          <w:color w:val="000000"/>
          <w:sz w:val="20"/>
          <w:szCs w:val="20"/>
        </w:rPr>
        <w:t>income tax contingencies, see Note 12 — Income Taxes.</w:t>
      </w:r>
    </w:p>
    <w:p w14:paraId="0B2FAE1F" w14:textId="77777777" w:rsidR="007F1775" w:rsidRDefault="007F1775">
      <w:pPr>
        <w:ind w:firstLine="540"/>
      </w:pPr>
    </w:p>
    <w:p w14:paraId="0B2FAE20" w14:textId="77777777" w:rsidR="007F1775" w:rsidRDefault="000F083E">
      <w:r>
        <w:rPr>
          <w:rFonts w:ascii="Times New Roman" w:eastAsia="宋体" w:hAnsi="Times New Roman"/>
          <w:b/>
          <w:bCs/>
          <w:i/>
          <w:iCs/>
          <w:color w:val="000000"/>
          <w:sz w:val="20"/>
          <w:szCs w:val="20"/>
        </w:rPr>
        <w:t>Indemnifications</w:t>
      </w:r>
    </w:p>
    <w:p w14:paraId="0B2FAE21" w14:textId="77777777" w:rsidR="007F1775" w:rsidRDefault="007F1775">
      <w:pPr>
        <w:ind w:firstLine="540"/>
        <w:jc w:val="both"/>
      </w:pPr>
    </w:p>
    <w:p w14:paraId="0B2FAE22" w14:textId="77777777" w:rsidR="007F1775" w:rsidRDefault="000F083E">
      <w:pPr>
        <w:ind w:firstLine="540"/>
        <w:jc w:val="both"/>
      </w:pPr>
      <w:r>
        <w:rPr>
          <w:rFonts w:ascii="Times New Roman" w:eastAsia="宋体" w:hAnsi="Times New Roman"/>
          <w:color w:val="000000"/>
          <w:sz w:val="20"/>
          <w:szCs w:val="20"/>
        </w:rPr>
        <w:t>In the normal course of business, to facilitate transactions of services and products, we have agreed to indemnify certain parties with respect to certain matters. We have agreed to h</w:t>
      </w:r>
      <w:r>
        <w:rPr>
          <w:rFonts w:ascii="Times New Roman" w:eastAsia="宋体" w:hAnsi="Times New Roman"/>
          <w:color w:val="000000"/>
          <w:sz w:val="20"/>
          <w:szCs w:val="20"/>
        </w:rPr>
        <w:t>old certain parties harmless against losses arising from a breach of representations or covenants, or out of intellectual property infringement or other claims made by third parties. These agreements may limit the time within which an indemnification claim</w:t>
      </w:r>
      <w:r>
        <w:rPr>
          <w:rFonts w:ascii="Times New Roman" w:eastAsia="宋体" w:hAnsi="Times New Roman"/>
          <w:color w:val="000000"/>
          <w:sz w:val="20"/>
          <w:szCs w:val="20"/>
        </w:rPr>
        <w:t xml:space="preserve"> can be made and the amount of the claim. In addition, we have entered into indemnification agreements with our officers, directors, and certain employees, and our certificate of incorporation and bylaws contain similar indemnification obligations.</w:t>
      </w:r>
    </w:p>
    <w:p w14:paraId="0B2FAE23" w14:textId="77777777" w:rsidR="007F1775" w:rsidRDefault="007F1775">
      <w:pPr>
        <w:ind w:firstLine="540"/>
        <w:jc w:val="both"/>
      </w:pPr>
    </w:p>
    <w:p w14:paraId="0B2FAE24" w14:textId="77777777" w:rsidR="007F1775" w:rsidRDefault="000F083E">
      <w:pPr>
        <w:jc w:val="center"/>
      </w:pPr>
      <w:r>
        <w:rPr>
          <w:rFonts w:ascii="Times New Roman" w:eastAsia="宋体" w:hAnsi="Times New Roman"/>
          <w:color w:val="000000"/>
          <w:sz w:val="20"/>
          <w:szCs w:val="20"/>
        </w:rPr>
        <w:t>24</w:t>
      </w:r>
    </w:p>
    <w:p w14:paraId="0B2FAE25" w14:textId="77777777" w:rsidR="007F1775" w:rsidRDefault="000F083E">
      <w:r>
        <w:pict w14:anchorId="0B2FBF79">
          <v:rect id="_x0000_i1048" style="width:415.3pt;height:1.5pt" o:hralign="center" o:hrstd="t" o:hr="t" fillcolor="#a0a0a0" stroked="f"/>
        </w:pict>
      </w:r>
    </w:p>
    <w:p w14:paraId="0B2FAE26" w14:textId="77777777" w:rsidR="007F1775" w:rsidRDefault="007F1775"/>
    <w:p w14:paraId="0B2FAE27" w14:textId="77777777" w:rsidR="007F1775" w:rsidRDefault="007F1775"/>
    <w:p w14:paraId="0B2FAE28" w14:textId="77777777" w:rsidR="007F1775" w:rsidRDefault="000F083E">
      <w:hyperlink r:id="rId102" w:anchor="iea70e328caa94cefb76a9db6ed6338fc_7" w:history="1">
        <w:r>
          <w:rPr>
            <w:rStyle w:val="a5"/>
            <w:rFonts w:ascii="Times New Roman" w:eastAsia="宋体" w:hAnsi="Times New Roman"/>
            <w:sz w:val="20"/>
            <w:szCs w:val="20"/>
          </w:rPr>
          <w:t>Table of Contents</w:t>
        </w:r>
      </w:hyperlink>
    </w:p>
    <w:p w14:paraId="0B2FAE29" w14:textId="77777777" w:rsidR="007F1775" w:rsidRDefault="000F083E">
      <w:pPr>
        <w:ind w:firstLine="540"/>
        <w:jc w:val="both"/>
      </w:pPr>
      <w:r>
        <w:rPr>
          <w:rFonts w:ascii="Times New Roman" w:eastAsia="宋体" w:hAnsi="Times New Roman"/>
          <w:color w:val="000000"/>
          <w:sz w:val="20"/>
          <w:szCs w:val="20"/>
        </w:rPr>
        <w:t>It is not possible to determine the maximum potential amount under these indemnific</w:t>
      </w:r>
      <w:r>
        <w:rPr>
          <w:rFonts w:ascii="Times New Roman" w:eastAsia="宋体" w:hAnsi="Times New Roman"/>
          <w:color w:val="000000"/>
          <w:sz w:val="20"/>
          <w:szCs w:val="20"/>
        </w:rPr>
        <w:t>ation agreements due to the limited history of prior indemnification claims and the unique facts and circumstances involved in each particular agreement. Historically, payments made by us under these agreements have not had a material impact on our condens</w:t>
      </w:r>
      <w:r>
        <w:rPr>
          <w:rFonts w:ascii="Times New Roman" w:eastAsia="宋体" w:hAnsi="Times New Roman"/>
          <w:color w:val="000000"/>
          <w:sz w:val="20"/>
          <w:szCs w:val="20"/>
        </w:rPr>
        <w:t>ed consolidated financial statements. In our opinion, as of March 31, 2022, there was not a reasonable possibility we had incurred a material loss with respect to indemnification of such parties. We have not recorded any liability for costs related to inde</w:t>
      </w:r>
      <w:r>
        <w:rPr>
          <w:rFonts w:ascii="Times New Roman" w:eastAsia="宋体" w:hAnsi="Times New Roman"/>
          <w:color w:val="000000"/>
          <w:sz w:val="20"/>
          <w:szCs w:val="20"/>
        </w:rPr>
        <w:t>mnification through March 31, 2022.</w:t>
      </w:r>
    </w:p>
    <w:p w14:paraId="0B2FAE2A" w14:textId="77777777" w:rsidR="007F1775" w:rsidRDefault="007F1775">
      <w:pPr>
        <w:ind w:firstLine="540"/>
      </w:pPr>
    </w:p>
    <w:p w14:paraId="0B2FAE2B" w14:textId="77777777" w:rsidR="007F1775" w:rsidRDefault="000F083E">
      <w:pPr>
        <w:spacing w:before="180"/>
      </w:pPr>
      <w:r>
        <w:rPr>
          <w:rFonts w:ascii="Times New Roman" w:eastAsia="宋体" w:hAnsi="Times New Roman"/>
          <w:b/>
          <w:bCs/>
          <w:color w:val="000000"/>
          <w:sz w:val="20"/>
          <w:szCs w:val="20"/>
        </w:rPr>
        <w:t>Note 11. Stockholders' Equity</w:t>
      </w:r>
    </w:p>
    <w:p w14:paraId="0B2FAE2C" w14:textId="77777777" w:rsidR="007F1775" w:rsidRDefault="007F1775"/>
    <w:p w14:paraId="0B2FAE2D" w14:textId="77777777" w:rsidR="007F1775" w:rsidRDefault="000F083E">
      <w:r>
        <w:rPr>
          <w:rFonts w:ascii="Times New Roman" w:eastAsia="宋体" w:hAnsi="Times New Roman"/>
          <w:b/>
          <w:bCs/>
          <w:i/>
          <w:iCs/>
          <w:color w:val="000000"/>
          <w:sz w:val="20"/>
          <w:szCs w:val="20"/>
        </w:rPr>
        <w:t>Share Repurchase Program</w:t>
      </w:r>
    </w:p>
    <w:p w14:paraId="0B2FAE2E" w14:textId="77777777" w:rsidR="007F1775" w:rsidRDefault="007F1775">
      <w:pPr>
        <w:ind w:firstLine="540"/>
        <w:jc w:val="both"/>
      </w:pPr>
    </w:p>
    <w:p w14:paraId="0B2FAE2F" w14:textId="77777777" w:rsidR="007F1775" w:rsidRDefault="000F083E">
      <w:pPr>
        <w:ind w:firstLine="540"/>
        <w:jc w:val="both"/>
      </w:pPr>
      <w:r>
        <w:rPr>
          <w:rFonts w:ascii="Times New Roman" w:eastAsia="宋体" w:hAnsi="Times New Roman"/>
          <w:color w:val="000000"/>
          <w:sz w:val="20"/>
          <w:szCs w:val="20"/>
        </w:rPr>
        <w:t>Our board of directors has authorized a share repurchase program of our Class A common stock, which commenced in January 2017 and does not have an expiration date</w:t>
      </w:r>
      <w:r>
        <w:rPr>
          <w:rFonts w:ascii="Times New Roman" w:eastAsia="宋体" w:hAnsi="Times New Roman"/>
          <w:color w:val="000000"/>
          <w:sz w:val="20"/>
          <w:szCs w:val="20"/>
        </w:rPr>
        <w:t>. As of December 31, 2021, $38.79 billion remained available and authorized for repurchases under this program. During the three months ended March 31, 2022, we repurchased and subsequently retired 34 million shares of our Class A common stock for an aggre</w:t>
      </w:r>
      <w:r>
        <w:rPr>
          <w:rFonts w:ascii="Times New Roman" w:eastAsia="宋体" w:hAnsi="Times New Roman"/>
          <w:color w:val="000000"/>
          <w:sz w:val="20"/>
          <w:szCs w:val="20"/>
        </w:rPr>
        <w:t>gate amount of $9.39 billion. As of March 31, 2022, $29.41 billion remained available and authorized for repurchases.</w:t>
      </w:r>
    </w:p>
    <w:p w14:paraId="0B2FAE30" w14:textId="77777777" w:rsidR="007F1775" w:rsidRDefault="007F1775">
      <w:pPr>
        <w:ind w:firstLine="540"/>
        <w:jc w:val="both"/>
      </w:pPr>
    </w:p>
    <w:p w14:paraId="0B2FAE31" w14:textId="77777777" w:rsidR="007F1775" w:rsidRDefault="000F083E">
      <w:pPr>
        <w:ind w:firstLine="540"/>
        <w:jc w:val="both"/>
      </w:pPr>
      <w:r>
        <w:rPr>
          <w:rFonts w:ascii="Times New Roman" w:eastAsia="宋体" w:hAnsi="Times New Roman"/>
          <w:color w:val="000000"/>
          <w:sz w:val="20"/>
          <w:szCs w:val="20"/>
        </w:rPr>
        <w:t xml:space="preserve">The timing and actual number of shares repurchased under the repurchase program depend on a variety of factors, including price, general </w:t>
      </w:r>
      <w:r>
        <w:rPr>
          <w:rFonts w:ascii="Times New Roman" w:eastAsia="宋体" w:hAnsi="Times New Roman"/>
          <w:color w:val="000000"/>
          <w:sz w:val="20"/>
          <w:szCs w:val="20"/>
        </w:rPr>
        <w:t>business and market conditions, and other investment opportunities, and shares may be repurchased through open market purchases or privately negotiated transactions, including through the use of trading plans intended to qualify under Rule 10b5-1 under the</w:t>
      </w:r>
      <w:r>
        <w:rPr>
          <w:rFonts w:ascii="Times New Roman" w:eastAsia="宋体" w:hAnsi="Times New Roman"/>
          <w:color w:val="000000"/>
          <w:sz w:val="20"/>
          <w:szCs w:val="20"/>
        </w:rPr>
        <w:t xml:space="preserve"> Securities Exchange Act of 1934, as amended. </w:t>
      </w:r>
    </w:p>
    <w:p w14:paraId="0B2FAE32" w14:textId="77777777" w:rsidR="007F1775" w:rsidRDefault="007F1775"/>
    <w:p w14:paraId="0B2FAE33" w14:textId="77777777" w:rsidR="007F1775" w:rsidRDefault="000F083E">
      <w:r>
        <w:rPr>
          <w:rFonts w:ascii="Times New Roman" w:eastAsia="宋体" w:hAnsi="Times New Roman"/>
          <w:b/>
          <w:bCs/>
          <w:i/>
          <w:iCs/>
          <w:color w:val="000000"/>
          <w:sz w:val="20"/>
          <w:szCs w:val="20"/>
        </w:rPr>
        <w:t>Share-based Compensation Plans</w:t>
      </w:r>
    </w:p>
    <w:p w14:paraId="0B2FAE34" w14:textId="77777777" w:rsidR="007F1775" w:rsidRDefault="007F1775">
      <w:pPr>
        <w:ind w:firstLine="540"/>
        <w:jc w:val="both"/>
      </w:pPr>
    </w:p>
    <w:p w14:paraId="0B2FAE35" w14:textId="77777777" w:rsidR="007F1775" w:rsidRDefault="000F083E">
      <w:pPr>
        <w:ind w:firstLine="540"/>
        <w:jc w:val="both"/>
      </w:pPr>
      <w:r>
        <w:rPr>
          <w:rFonts w:ascii="Times New Roman" w:eastAsia="宋体" w:hAnsi="Times New Roman"/>
          <w:color w:val="000000"/>
          <w:sz w:val="20"/>
          <w:szCs w:val="20"/>
        </w:rPr>
        <w:t>We have one active share-based employee compensation plan, the 2012 Equity Incentive Plan, which was amended in each of June 2016 and February 2018 (Amended 2012 Plan). Our Ame</w:t>
      </w:r>
      <w:r>
        <w:rPr>
          <w:rFonts w:ascii="Times New Roman" w:eastAsia="宋体" w:hAnsi="Times New Roman"/>
          <w:color w:val="000000"/>
          <w:sz w:val="20"/>
          <w:szCs w:val="20"/>
        </w:rPr>
        <w:t>nded 2012 Plan provides for the issuance of incentive and nonqualified stock options, restricted stock awards, stock appreciation rights, RSUs, performance shares, and stock bonuses to qualified employees, directors, and consultants. Shares that are withhe</w:t>
      </w:r>
      <w:r>
        <w:rPr>
          <w:rFonts w:ascii="Times New Roman" w:eastAsia="宋体" w:hAnsi="Times New Roman"/>
          <w:color w:val="000000"/>
          <w:sz w:val="20"/>
          <w:szCs w:val="20"/>
        </w:rPr>
        <w:t>ld in connection with the net settlement of RSUs or forfeited under our stock plan are added to the reserves of the Amended 2012 Plan.</w:t>
      </w:r>
    </w:p>
    <w:p w14:paraId="0B2FAE36" w14:textId="77777777" w:rsidR="007F1775" w:rsidRDefault="007F1775">
      <w:pPr>
        <w:ind w:firstLine="540"/>
        <w:jc w:val="both"/>
      </w:pPr>
    </w:p>
    <w:p w14:paraId="0B2FAE37" w14:textId="77777777" w:rsidR="007F1775" w:rsidRDefault="000F083E">
      <w:pPr>
        <w:ind w:firstLine="540"/>
        <w:jc w:val="both"/>
      </w:pPr>
      <w:r>
        <w:rPr>
          <w:rFonts w:ascii="Times New Roman" w:eastAsia="宋体" w:hAnsi="Times New Roman"/>
          <w:color w:val="000000"/>
          <w:sz w:val="20"/>
          <w:szCs w:val="20"/>
        </w:rPr>
        <w:t>Effective January 1, 2022, there were 136 million shares of our Class A common stock reserved for future issuance under our Amended 2012 Plan. Pursuant to the automatic increase provision under our Amended 2012 Plan, the number of shares reserved for issua</w:t>
      </w:r>
      <w:r>
        <w:rPr>
          <w:rFonts w:ascii="Times New Roman" w:eastAsia="宋体" w:hAnsi="Times New Roman"/>
          <w:color w:val="000000"/>
          <w:sz w:val="20"/>
          <w:szCs w:val="20"/>
        </w:rPr>
        <w:t>nce increases automatically on January 1 of each of the calendar years during the term of the Amended 2012 Plan, which will continue through April 2026, by a number of shares of Class A common stock equal to the lesser of (i) 2.5% of the total issued and o</w:t>
      </w:r>
      <w:r>
        <w:rPr>
          <w:rFonts w:ascii="Times New Roman" w:eastAsia="宋体" w:hAnsi="Times New Roman"/>
          <w:color w:val="000000"/>
          <w:sz w:val="20"/>
          <w:szCs w:val="20"/>
        </w:rPr>
        <w:t xml:space="preserve">utstanding shares of our Class A common stock as of the immediately preceding December 31st or (ii) a number of shares determined by our board of directors. </w:t>
      </w:r>
    </w:p>
    <w:p w14:paraId="0B2FAE38" w14:textId="77777777" w:rsidR="007F1775" w:rsidRDefault="007F1775">
      <w:pPr>
        <w:ind w:firstLine="540"/>
        <w:jc w:val="both"/>
      </w:pPr>
    </w:p>
    <w:p w14:paraId="0B2FAE39" w14:textId="77777777" w:rsidR="007F1775" w:rsidRDefault="000F083E">
      <w:pPr>
        <w:ind w:firstLine="540"/>
        <w:jc w:val="both"/>
      </w:pPr>
      <w:r>
        <w:rPr>
          <w:rFonts w:ascii="Times New Roman" w:eastAsia="宋体" w:hAnsi="Times New Roman"/>
          <w:color w:val="000000"/>
          <w:sz w:val="20"/>
          <w:szCs w:val="20"/>
        </w:rPr>
        <w:t>The following table summarizes the activities for our unvested RSUs for the three months ended Ma</w:t>
      </w:r>
      <w:r>
        <w:rPr>
          <w:rFonts w:ascii="Times New Roman" w:eastAsia="宋体" w:hAnsi="Times New Roman"/>
          <w:color w:val="000000"/>
          <w:sz w:val="20"/>
          <w:szCs w:val="20"/>
        </w:rPr>
        <w:t>rch 31, 2022:</w:t>
      </w:r>
    </w:p>
    <w:tbl>
      <w:tblPr>
        <w:tblW w:w="5000" w:type="pct"/>
        <w:tblCellMar>
          <w:top w:w="15" w:type="dxa"/>
          <w:left w:w="15" w:type="dxa"/>
          <w:bottom w:w="15" w:type="dxa"/>
          <w:right w:w="15" w:type="dxa"/>
        </w:tblCellMar>
        <w:tblLook w:val="04A0" w:firstRow="1" w:lastRow="0" w:firstColumn="1" w:lastColumn="0" w:noHBand="0" w:noVBand="1"/>
      </w:tblPr>
      <w:tblGrid>
        <w:gridCol w:w="42"/>
        <w:gridCol w:w="5487"/>
        <w:gridCol w:w="37"/>
        <w:gridCol w:w="50"/>
        <w:gridCol w:w="1189"/>
        <w:gridCol w:w="37"/>
        <w:gridCol w:w="36"/>
        <w:gridCol w:w="36"/>
        <w:gridCol w:w="36"/>
        <w:gridCol w:w="121"/>
        <w:gridCol w:w="1229"/>
        <w:gridCol w:w="36"/>
      </w:tblGrid>
      <w:tr w:rsidR="007F1775" w14:paraId="0B2FAE46" w14:textId="77777777">
        <w:tc>
          <w:tcPr>
            <w:tcW w:w="50" w:type="pct"/>
            <w:shd w:val="clear" w:color="auto" w:fill="auto"/>
            <w:vAlign w:val="bottom"/>
          </w:tcPr>
          <w:p w14:paraId="0B2FAE3A" w14:textId="77777777" w:rsidR="007F1775" w:rsidRDefault="007F1775">
            <w:pPr>
              <w:rPr>
                <w:rFonts w:ascii="宋体"/>
              </w:rPr>
            </w:pPr>
          </w:p>
        </w:tc>
        <w:tc>
          <w:tcPr>
            <w:tcW w:w="3315" w:type="pct"/>
            <w:shd w:val="clear" w:color="auto" w:fill="auto"/>
            <w:vAlign w:val="bottom"/>
          </w:tcPr>
          <w:p w14:paraId="0B2FAE3B" w14:textId="77777777" w:rsidR="007F1775" w:rsidRDefault="007F1775">
            <w:pPr>
              <w:rPr>
                <w:rFonts w:ascii="宋体"/>
              </w:rPr>
            </w:pPr>
          </w:p>
        </w:tc>
        <w:tc>
          <w:tcPr>
            <w:tcW w:w="5" w:type="pct"/>
            <w:shd w:val="clear" w:color="auto" w:fill="auto"/>
            <w:vAlign w:val="bottom"/>
          </w:tcPr>
          <w:p w14:paraId="0B2FAE3C" w14:textId="77777777" w:rsidR="007F1775" w:rsidRDefault="007F1775">
            <w:pPr>
              <w:rPr>
                <w:rFonts w:ascii="宋体"/>
              </w:rPr>
            </w:pPr>
          </w:p>
        </w:tc>
        <w:tc>
          <w:tcPr>
            <w:tcW w:w="50" w:type="pct"/>
            <w:shd w:val="clear" w:color="auto" w:fill="auto"/>
            <w:vAlign w:val="bottom"/>
          </w:tcPr>
          <w:p w14:paraId="0B2FAE3D" w14:textId="77777777" w:rsidR="007F1775" w:rsidRDefault="007F1775">
            <w:pPr>
              <w:rPr>
                <w:rFonts w:ascii="宋体"/>
              </w:rPr>
            </w:pPr>
          </w:p>
        </w:tc>
        <w:tc>
          <w:tcPr>
            <w:tcW w:w="741" w:type="pct"/>
            <w:shd w:val="clear" w:color="auto" w:fill="auto"/>
            <w:vAlign w:val="bottom"/>
          </w:tcPr>
          <w:p w14:paraId="0B2FAE3E" w14:textId="77777777" w:rsidR="007F1775" w:rsidRDefault="007F1775">
            <w:pPr>
              <w:rPr>
                <w:rFonts w:ascii="宋体"/>
              </w:rPr>
            </w:pPr>
          </w:p>
        </w:tc>
        <w:tc>
          <w:tcPr>
            <w:tcW w:w="5" w:type="pct"/>
            <w:shd w:val="clear" w:color="auto" w:fill="auto"/>
            <w:vAlign w:val="bottom"/>
          </w:tcPr>
          <w:p w14:paraId="0B2FAE3F" w14:textId="77777777" w:rsidR="007F1775" w:rsidRDefault="007F1775">
            <w:pPr>
              <w:rPr>
                <w:rFonts w:ascii="宋体"/>
              </w:rPr>
            </w:pPr>
          </w:p>
        </w:tc>
        <w:tc>
          <w:tcPr>
            <w:tcW w:w="5" w:type="pct"/>
            <w:shd w:val="clear" w:color="auto" w:fill="auto"/>
            <w:vAlign w:val="bottom"/>
          </w:tcPr>
          <w:p w14:paraId="0B2FAE40" w14:textId="77777777" w:rsidR="007F1775" w:rsidRDefault="007F1775">
            <w:pPr>
              <w:rPr>
                <w:rFonts w:ascii="宋体"/>
              </w:rPr>
            </w:pPr>
          </w:p>
        </w:tc>
        <w:tc>
          <w:tcPr>
            <w:tcW w:w="27" w:type="pct"/>
            <w:shd w:val="clear" w:color="auto" w:fill="auto"/>
            <w:vAlign w:val="bottom"/>
          </w:tcPr>
          <w:p w14:paraId="0B2FAE41" w14:textId="77777777" w:rsidR="007F1775" w:rsidRDefault="007F1775">
            <w:pPr>
              <w:rPr>
                <w:rFonts w:ascii="宋体"/>
              </w:rPr>
            </w:pPr>
          </w:p>
        </w:tc>
        <w:tc>
          <w:tcPr>
            <w:tcW w:w="5" w:type="pct"/>
            <w:shd w:val="clear" w:color="auto" w:fill="auto"/>
            <w:vAlign w:val="bottom"/>
          </w:tcPr>
          <w:p w14:paraId="0B2FAE42" w14:textId="77777777" w:rsidR="007F1775" w:rsidRDefault="007F1775">
            <w:pPr>
              <w:rPr>
                <w:rFonts w:ascii="宋体"/>
              </w:rPr>
            </w:pPr>
          </w:p>
        </w:tc>
        <w:tc>
          <w:tcPr>
            <w:tcW w:w="50" w:type="pct"/>
            <w:shd w:val="clear" w:color="auto" w:fill="auto"/>
            <w:vAlign w:val="bottom"/>
          </w:tcPr>
          <w:p w14:paraId="0B2FAE43" w14:textId="77777777" w:rsidR="007F1775" w:rsidRDefault="007F1775">
            <w:pPr>
              <w:rPr>
                <w:rFonts w:ascii="宋体"/>
              </w:rPr>
            </w:pPr>
          </w:p>
        </w:tc>
        <w:tc>
          <w:tcPr>
            <w:tcW w:w="741" w:type="pct"/>
            <w:shd w:val="clear" w:color="auto" w:fill="auto"/>
            <w:vAlign w:val="bottom"/>
          </w:tcPr>
          <w:p w14:paraId="0B2FAE44" w14:textId="77777777" w:rsidR="007F1775" w:rsidRDefault="007F1775">
            <w:pPr>
              <w:rPr>
                <w:rFonts w:ascii="宋体"/>
              </w:rPr>
            </w:pPr>
          </w:p>
        </w:tc>
        <w:tc>
          <w:tcPr>
            <w:tcW w:w="5" w:type="pct"/>
            <w:shd w:val="clear" w:color="auto" w:fill="auto"/>
            <w:vAlign w:val="bottom"/>
          </w:tcPr>
          <w:p w14:paraId="0B2FAE45" w14:textId="77777777" w:rsidR="007F1775" w:rsidRDefault="007F1775">
            <w:pPr>
              <w:rPr>
                <w:rFonts w:ascii="宋体"/>
              </w:rPr>
            </w:pPr>
          </w:p>
        </w:tc>
      </w:tr>
      <w:tr w:rsidR="007F1775" w14:paraId="0B2FAE4B" w14:textId="77777777">
        <w:tc>
          <w:tcPr>
            <w:tcW w:w="0" w:type="auto"/>
            <w:gridSpan w:val="3"/>
            <w:shd w:val="clear" w:color="auto" w:fill="auto"/>
            <w:tcMar>
              <w:top w:w="0" w:type="dxa"/>
              <w:left w:w="20" w:type="dxa"/>
              <w:bottom w:w="0" w:type="dxa"/>
              <w:right w:w="20" w:type="dxa"/>
            </w:tcMar>
            <w:vAlign w:val="bottom"/>
          </w:tcPr>
          <w:p w14:paraId="0B2FAE47"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E48" w14:textId="77777777" w:rsidR="007F1775" w:rsidRDefault="000F083E">
            <w:pPr>
              <w:jc w:val="center"/>
              <w:textAlignment w:val="bottom"/>
            </w:pPr>
            <w:r>
              <w:rPr>
                <w:rFonts w:ascii="Times New Roman" w:eastAsia="宋体" w:hAnsi="Times New Roman"/>
                <w:b/>
                <w:bCs/>
                <w:color w:val="000000"/>
                <w:sz w:val="16"/>
                <w:szCs w:val="16"/>
              </w:rPr>
              <w:t>Number of Shares</w:t>
            </w:r>
          </w:p>
        </w:tc>
        <w:tc>
          <w:tcPr>
            <w:tcW w:w="0" w:type="auto"/>
            <w:gridSpan w:val="3"/>
            <w:shd w:val="clear" w:color="auto" w:fill="auto"/>
            <w:tcMar>
              <w:top w:w="0" w:type="dxa"/>
              <w:left w:w="20" w:type="dxa"/>
              <w:bottom w:w="0" w:type="dxa"/>
              <w:right w:w="20" w:type="dxa"/>
            </w:tcMar>
            <w:vAlign w:val="bottom"/>
          </w:tcPr>
          <w:p w14:paraId="0B2FAE49"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E4A" w14:textId="77777777" w:rsidR="007F1775" w:rsidRDefault="000F083E">
            <w:pPr>
              <w:jc w:val="center"/>
              <w:textAlignment w:val="bottom"/>
            </w:pPr>
            <w:r>
              <w:rPr>
                <w:rFonts w:ascii="Times New Roman" w:eastAsia="宋体" w:hAnsi="Times New Roman"/>
                <w:b/>
                <w:bCs/>
                <w:color w:val="000000"/>
                <w:sz w:val="16"/>
                <w:szCs w:val="16"/>
              </w:rPr>
              <w:t>Weighted-Average Grant Date Fair Value Per Share</w:t>
            </w:r>
          </w:p>
        </w:tc>
      </w:tr>
      <w:tr w:rsidR="007F1775" w14:paraId="0B2FAE50" w14:textId="77777777">
        <w:tc>
          <w:tcPr>
            <w:tcW w:w="0" w:type="auto"/>
            <w:gridSpan w:val="3"/>
            <w:shd w:val="clear" w:color="auto" w:fill="auto"/>
            <w:tcMar>
              <w:top w:w="0" w:type="dxa"/>
              <w:left w:w="20" w:type="dxa"/>
              <w:bottom w:w="0" w:type="dxa"/>
              <w:right w:w="20" w:type="dxa"/>
            </w:tcMar>
            <w:vAlign w:val="bottom"/>
          </w:tcPr>
          <w:p w14:paraId="0B2FAE4C"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AE4D" w14:textId="77777777" w:rsidR="007F1775" w:rsidRDefault="000F083E">
            <w:pPr>
              <w:jc w:val="center"/>
              <w:textAlignment w:val="bottom"/>
            </w:pPr>
            <w:r>
              <w:rPr>
                <w:rFonts w:ascii="Times New Roman" w:eastAsia="宋体" w:hAnsi="Times New Roman"/>
                <w:b/>
                <w:bCs/>
                <w:color w:val="000000"/>
                <w:sz w:val="16"/>
                <w:szCs w:val="16"/>
              </w:rPr>
              <w:t>(in thousands)</w:t>
            </w:r>
          </w:p>
        </w:tc>
        <w:tc>
          <w:tcPr>
            <w:tcW w:w="0" w:type="auto"/>
            <w:gridSpan w:val="3"/>
            <w:shd w:val="clear" w:color="auto" w:fill="auto"/>
            <w:tcMar>
              <w:top w:w="0" w:type="dxa"/>
              <w:left w:w="20" w:type="dxa"/>
              <w:bottom w:w="0" w:type="dxa"/>
              <w:right w:w="20" w:type="dxa"/>
            </w:tcMar>
            <w:vAlign w:val="bottom"/>
          </w:tcPr>
          <w:p w14:paraId="0B2FAE4E"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E4F" w14:textId="77777777" w:rsidR="007F1775" w:rsidRDefault="007F1775">
            <w:pPr>
              <w:rPr>
                <w:rFonts w:ascii="宋体"/>
              </w:rPr>
            </w:pPr>
          </w:p>
        </w:tc>
      </w:tr>
      <w:tr w:rsidR="007F1775" w14:paraId="0B2FAE58" w14:textId="77777777">
        <w:tc>
          <w:tcPr>
            <w:tcW w:w="0" w:type="auto"/>
            <w:gridSpan w:val="3"/>
            <w:shd w:val="clear" w:color="auto" w:fill="CCEEFF"/>
            <w:tcMar>
              <w:top w:w="40" w:type="dxa"/>
              <w:left w:w="20" w:type="dxa"/>
              <w:bottom w:w="40" w:type="dxa"/>
              <w:right w:w="20" w:type="dxa"/>
            </w:tcMar>
            <w:vAlign w:val="bottom"/>
          </w:tcPr>
          <w:p w14:paraId="0B2FAE51" w14:textId="77777777" w:rsidR="007F1775" w:rsidRDefault="000F083E">
            <w:pPr>
              <w:textAlignment w:val="bottom"/>
            </w:pPr>
            <w:r>
              <w:rPr>
                <w:rFonts w:ascii="Times New Roman" w:eastAsia="宋体" w:hAnsi="Times New Roman"/>
                <w:color w:val="000000"/>
                <w:sz w:val="20"/>
                <w:szCs w:val="20"/>
              </w:rPr>
              <w:t>Unvested at December 31, 2021</w:t>
            </w:r>
          </w:p>
        </w:tc>
        <w:tc>
          <w:tcPr>
            <w:tcW w:w="0" w:type="auto"/>
            <w:gridSpan w:val="2"/>
            <w:shd w:val="clear" w:color="auto" w:fill="CCEEFF"/>
            <w:tcMar>
              <w:top w:w="40" w:type="dxa"/>
              <w:left w:w="20" w:type="dxa"/>
              <w:bottom w:w="40" w:type="dxa"/>
              <w:right w:w="0" w:type="dxa"/>
            </w:tcMar>
            <w:vAlign w:val="bottom"/>
          </w:tcPr>
          <w:p w14:paraId="0B2FAE52" w14:textId="77777777" w:rsidR="007F1775" w:rsidRDefault="000F083E">
            <w:pPr>
              <w:jc w:val="right"/>
              <w:textAlignment w:val="bottom"/>
            </w:pPr>
            <w:r>
              <w:rPr>
                <w:rFonts w:ascii="Times New Roman" w:eastAsia="宋体" w:hAnsi="Times New Roman"/>
                <w:color w:val="000000"/>
                <w:sz w:val="20"/>
                <w:szCs w:val="20"/>
              </w:rPr>
              <w:t>98,848 </w:t>
            </w:r>
          </w:p>
        </w:tc>
        <w:tc>
          <w:tcPr>
            <w:tcW w:w="0" w:type="auto"/>
            <w:shd w:val="clear" w:color="auto" w:fill="CCEEFF"/>
            <w:tcMar>
              <w:top w:w="40" w:type="dxa"/>
              <w:left w:w="0" w:type="dxa"/>
              <w:bottom w:w="40" w:type="dxa"/>
              <w:right w:w="20" w:type="dxa"/>
            </w:tcMar>
            <w:vAlign w:val="bottom"/>
          </w:tcPr>
          <w:p w14:paraId="0B2FAE5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E54"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E55"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E56" w14:textId="77777777" w:rsidR="007F1775" w:rsidRDefault="000F083E">
            <w:pPr>
              <w:jc w:val="right"/>
              <w:textAlignment w:val="bottom"/>
            </w:pPr>
            <w:r>
              <w:rPr>
                <w:rFonts w:ascii="Times New Roman" w:eastAsia="宋体" w:hAnsi="Times New Roman"/>
                <w:color w:val="000000"/>
                <w:sz w:val="20"/>
                <w:szCs w:val="20"/>
              </w:rPr>
              <w:t>244.32 </w:t>
            </w:r>
          </w:p>
        </w:tc>
        <w:tc>
          <w:tcPr>
            <w:tcW w:w="0" w:type="auto"/>
            <w:shd w:val="clear" w:color="auto" w:fill="CCEEFF"/>
            <w:tcMar>
              <w:top w:w="40" w:type="dxa"/>
              <w:left w:w="0" w:type="dxa"/>
              <w:bottom w:w="40" w:type="dxa"/>
              <w:right w:w="20" w:type="dxa"/>
            </w:tcMar>
            <w:vAlign w:val="bottom"/>
          </w:tcPr>
          <w:p w14:paraId="0B2FAE57" w14:textId="77777777" w:rsidR="007F1775" w:rsidRDefault="007F1775">
            <w:pPr>
              <w:jc w:val="right"/>
              <w:rPr>
                <w:rFonts w:ascii="宋体"/>
              </w:rPr>
            </w:pPr>
          </w:p>
        </w:tc>
      </w:tr>
      <w:tr w:rsidR="007F1775" w14:paraId="0B2FAE60" w14:textId="77777777">
        <w:tc>
          <w:tcPr>
            <w:tcW w:w="0" w:type="auto"/>
            <w:gridSpan w:val="3"/>
            <w:shd w:val="clear" w:color="auto" w:fill="FFFFFF"/>
            <w:tcMar>
              <w:top w:w="40" w:type="dxa"/>
              <w:left w:w="200" w:type="dxa"/>
              <w:bottom w:w="40" w:type="dxa"/>
              <w:right w:w="20" w:type="dxa"/>
            </w:tcMar>
            <w:vAlign w:val="bottom"/>
          </w:tcPr>
          <w:p w14:paraId="0B2FAE59" w14:textId="77777777" w:rsidR="007F1775" w:rsidRDefault="000F083E">
            <w:pPr>
              <w:textAlignment w:val="bottom"/>
            </w:pPr>
            <w:r>
              <w:rPr>
                <w:rFonts w:ascii="Times New Roman" w:eastAsia="宋体" w:hAnsi="Times New Roman"/>
                <w:color w:val="000000"/>
                <w:sz w:val="20"/>
                <w:szCs w:val="20"/>
              </w:rPr>
              <w:t>Granted</w:t>
            </w:r>
          </w:p>
        </w:tc>
        <w:tc>
          <w:tcPr>
            <w:tcW w:w="0" w:type="auto"/>
            <w:gridSpan w:val="2"/>
            <w:shd w:val="clear" w:color="auto" w:fill="FFFFFF"/>
            <w:tcMar>
              <w:top w:w="40" w:type="dxa"/>
              <w:left w:w="20" w:type="dxa"/>
              <w:bottom w:w="40" w:type="dxa"/>
              <w:right w:w="0" w:type="dxa"/>
            </w:tcMar>
            <w:vAlign w:val="bottom"/>
          </w:tcPr>
          <w:p w14:paraId="0B2FAE5A" w14:textId="77777777" w:rsidR="007F1775" w:rsidRDefault="000F083E">
            <w:pPr>
              <w:jc w:val="right"/>
              <w:textAlignment w:val="bottom"/>
            </w:pPr>
            <w:r>
              <w:rPr>
                <w:rFonts w:ascii="Times New Roman" w:eastAsia="宋体" w:hAnsi="Times New Roman"/>
                <w:color w:val="000000"/>
                <w:sz w:val="20"/>
                <w:szCs w:val="20"/>
              </w:rPr>
              <w:t>66,724 </w:t>
            </w:r>
          </w:p>
        </w:tc>
        <w:tc>
          <w:tcPr>
            <w:tcW w:w="0" w:type="auto"/>
            <w:shd w:val="clear" w:color="auto" w:fill="FFFFFF"/>
            <w:tcMar>
              <w:top w:w="40" w:type="dxa"/>
              <w:left w:w="0" w:type="dxa"/>
              <w:bottom w:w="40" w:type="dxa"/>
              <w:right w:w="20" w:type="dxa"/>
            </w:tcMar>
            <w:vAlign w:val="bottom"/>
          </w:tcPr>
          <w:p w14:paraId="0B2FAE5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E5C"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E5D"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E5E" w14:textId="77777777" w:rsidR="007F1775" w:rsidRDefault="000F083E">
            <w:pPr>
              <w:jc w:val="right"/>
              <w:textAlignment w:val="bottom"/>
            </w:pPr>
            <w:r>
              <w:rPr>
                <w:rFonts w:ascii="Times New Roman" w:eastAsia="宋体" w:hAnsi="Times New Roman"/>
                <w:color w:val="000000"/>
                <w:sz w:val="20"/>
                <w:szCs w:val="20"/>
              </w:rPr>
              <w:t>214.17 </w:t>
            </w:r>
          </w:p>
        </w:tc>
        <w:tc>
          <w:tcPr>
            <w:tcW w:w="0" w:type="auto"/>
            <w:shd w:val="clear" w:color="auto" w:fill="FFFFFF"/>
            <w:tcMar>
              <w:top w:w="40" w:type="dxa"/>
              <w:left w:w="0" w:type="dxa"/>
              <w:bottom w:w="40" w:type="dxa"/>
              <w:right w:w="20" w:type="dxa"/>
            </w:tcMar>
            <w:vAlign w:val="bottom"/>
          </w:tcPr>
          <w:p w14:paraId="0B2FAE5F" w14:textId="77777777" w:rsidR="007F1775" w:rsidRDefault="007F1775">
            <w:pPr>
              <w:jc w:val="right"/>
              <w:rPr>
                <w:rFonts w:ascii="宋体"/>
              </w:rPr>
            </w:pPr>
          </w:p>
        </w:tc>
      </w:tr>
      <w:tr w:rsidR="007F1775" w14:paraId="0B2FAE68" w14:textId="77777777">
        <w:tc>
          <w:tcPr>
            <w:tcW w:w="0" w:type="auto"/>
            <w:gridSpan w:val="3"/>
            <w:shd w:val="clear" w:color="auto" w:fill="CCEEFF"/>
            <w:tcMar>
              <w:top w:w="40" w:type="dxa"/>
              <w:left w:w="200" w:type="dxa"/>
              <w:bottom w:w="40" w:type="dxa"/>
              <w:right w:w="20" w:type="dxa"/>
            </w:tcMar>
            <w:vAlign w:val="bottom"/>
          </w:tcPr>
          <w:p w14:paraId="0B2FAE61" w14:textId="77777777" w:rsidR="007F1775" w:rsidRDefault="000F083E">
            <w:pPr>
              <w:textAlignment w:val="bottom"/>
            </w:pPr>
            <w:r>
              <w:rPr>
                <w:rFonts w:ascii="Times New Roman" w:eastAsia="宋体" w:hAnsi="Times New Roman"/>
                <w:color w:val="000000"/>
                <w:sz w:val="20"/>
                <w:szCs w:val="20"/>
              </w:rPr>
              <w:t>Vested</w:t>
            </w:r>
          </w:p>
        </w:tc>
        <w:tc>
          <w:tcPr>
            <w:tcW w:w="0" w:type="auto"/>
            <w:gridSpan w:val="2"/>
            <w:shd w:val="clear" w:color="auto" w:fill="CCEEFF"/>
            <w:tcMar>
              <w:top w:w="40" w:type="dxa"/>
              <w:left w:w="20" w:type="dxa"/>
              <w:bottom w:w="40" w:type="dxa"/>
              <w:right w:w="0" w:type="dxa"/>
            </w:tcMar>
            <w:vAlign w:val="bottom"/>
          </w:tcPr>
          <w:p w14:paraId="0B2FAE62" w14:textId="77777777" w:rsidR="007F1775" w:rsidRDefault="000F083E">
            <w:pPr>
              <w:jc w:val="right"/>
              <w:textAlignment w:val="bottom"/>
            </w:pPr>
            <w:r>
              <w:rPr>
                <w:rFonts w:ascii="Times New Roman" w:eastAsia="宋体" w:hAnsi="Times New Roman"/>
                <w:color w:val="000000"/>
                <w:sz w:val="20"/>
                <w:szCs w:val="20"/>
              </w:rPr>
              <w:t>(11,156)</w:t>
            </w:r>
          </w:p>
        </w:tc>
        <w:tc>
          <w:tcPr>
            <w:tcW w:w="0" w:type="auto"/>
            <w:shd w:val="clear" w:color="auto" w:fill="CCEEFF"/>
            <w:tcMar>
              <w:top w:w="40" w:type="dxa"/>
              <w:left w:w="0" w:type="dxa"/>
              <w:bottom w:w="40" w:type="dxa"/>
              <w:right w:w="20" w:type="dxa"/>
            </w:tcMar>
            <w:vAlign w:val="bottom"/>
          </w:tcPr>
          <w:p w14:paraId="0B2FAE6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E64"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E65"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E66" w14:textId="77777777" w:rsidR="007F1775" w:rsidRDefault="000F083E">
            <w:pPr>
              <w:jc w:val="right"/>
              <w:textAlignment w:val="bottom"/>
            </w:pPr>
            <w:r>
              <w:rPr>
                <w:rFonts w:ascii="Times New Roman" w:eastAsia="宋体" w:hAnsi="Times New Roman"/>
                <w:color w:val="000000"/>
                <w:sz w:val="20"/>
                <w:szCs w:val="20"/>
              </w:rPr>
              <w:t>219.55 </w:t>
            </w:r>
          </w:p>
        </w:tc>
        <w:tc>
          <w:tcPr>
            <w:tcW w:w="0" w:type="auto"/>
            <w:shd w:val="clear" w:color="auto" w:fill="CCEEFF"/>
            <w:tcMar>
              <w:top w:w="40" w:type="dxa"/>
              <w:left w:w="0" w:type="dxa"/>
              <w:bottom w:w="40" w:type="dxa"/>
              <w:right w:w="20" w:type="dxa"/>
            </w:tcMar>
            <w:vAlign w:val="bottom"/>
          </w:tcPr>
          <w:p w14:paraId="0B2FAE67" w14:textId="77777777" w:rsidR="007F1775" w:rsidRDefault="007F1775">
            <w:pPr>
              <w:jc w:val="right"/>
              <w:rPr>
                <w:rFonts w:ascii="宋体"/>
              </w:rPr>
            </w:pPr>
          </w:p>
        </w:tc>
      </w:tr>
      <w:tr w:rsidR="007F1775" w14:paraId="0B2FAE70" w14:textId="77777777">
        <w:tc>
          <w:tcPr>
            <w:tcW w:w="0" w:type="auto"/>
            <w:gridSpan w:val="3"/>
            <w:shd w:val="clear" w:color="auto" w:fill="FFFFFF"/>
            <w:tcMar>
              <w:top w:w="40" w:type="dxa"/>
              <w:left w:w="200" w:type="dxa"/>
              <w:bottom w:w="40" w:type="dxa"/>
              <w:right w:w="20" w:type="dxa"/>
            </w:tcMar>
            <w:vAlign w:val="bottom"/>
          </w:tcPr>
          <w:p w14:paraId="0B2FAE69" w14:textId="77777777" w:rsidR="007F1775" w:rsidRDefault="000F083E">
            <w:pPr>
              <w:textAlignment w:val="bottom"/>
            </w:pPr>
            <w:r>
              <w:rPr>
                <w:rFonts w:ascii="Times New Roman" w:eastAsia="宋体" w:hAnsi="Times New Roman"/>
                <w:color w:val="000000"/>
                <w:sz w:val="20"/>
                <w:szCs w:val="20"/>
              </w:rPr>
              <w:t>Forfeited</w:t>
            </w:r>
          </w:p>
        </w:tc>
        <w:tc>
          <w:tcPr>
            <w:tcW w:w="0" w:type="auto"/>
            <w:gridSpan w:val="2"/>
            <w:shd w:val="clear" w:color="auto" w:fill="FFFFFF"/>
            <w:tcMar>
              <w:top w:w="40" w:type="dxa"/>
              <w:left w:w="20" w:type="dxa"/>
              <w:bottom w:w="40" w:type="dxa"/>
              <w:right w:w="0" w:type="dxa"/>
            </w:tcMar>
            <w:vAlign w:val="bottom"/>
          </w:tcPr>
          <w:p w14:paraId="0B2FAE6A" w14:textId="77777777" w:rsidR="007F1775" w:rsidRDefault="000F083E">
            <w:pPr>
              <w:jc w:val="right"/>
              <w:textAlignment w:val="bottom"/>
            </w:pPr>
            <w:r>
              <w:rPr>
                <w:rFonts w:ascii="Times New Roman" w:eastAsia="宋体" w:hAnsi="Times New Roman"/>
                <w:color w:val="000000"/>
                <w:sz w:val="20"/>
                <w:szCs w:val="20"/>
              </w:rPr>
              <w:t>(3,259)</w:t>
            </w:r>
          </w:p>
        </w:tc>
        <w:tc>
          <w:tcPr>
            <w:tcW w:w="0" w:type="auto"/>
            <w:shd w:val="clear" w:color="auto" w:fill="FFFFFF"/>
            <w:tcMar>
              <w:top w:w="40" w:type="dxa"/>
              <w:left w:w="0" w:type="dxa"/>
              <w:bottom w:w="40" w:type="dxa"/>
              <w:right w:w="20" w:type="dxa"/>
            </w:tcMar>
            <w:vAlign w:val="bottom"/>
          </w:tcPr>
          <w:p w14:paraId="0B2FAE6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E6C"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E6D"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E6E" w14:textId="77777777" w:rsidR="007F1775" w:rsidRDefault="000F083E">
            <w:pPr>
              <w:jc w:val="right"/>
              <w:textAlignment w:val="bottom"/>
            </w:pPr>
            <w:r>
              <w:rPr>
                <w:rFonts w:ascii="Times New Roman" w:eastAsia="宋体" w:hAnsi="Times New Roman"/>
                <w:color w:val="000000"/>
                <w:sz w:val="20"/>
                <w:szCs w:val="20"/>
              </w:rPr>
              <w:t>230.73 </w:t>
            </w:r>
          </w:p>
        </w:tc>
        <w:tc>
          <w:tcPr>
            <w:tcW w:w="0" w:type="auto"/>
            <w:shd w:val="clear" w:color="auto" w:fill="FFFFFF"/>
            <w:tcMar>
              <w:top w:w="40" w:type="dxa"/>
              <w:left w:w="0" w:type="dxa"/>
              <w:bottom w:w="40" w:type="dxa"/>
              <w:right w:w="20" w:type="dxa"/>
            </w:tcMar>
            <w:vAlign w:val="bottom"/>
          </w:tcPr>
          <w:p w14:paraId="0B2FAE6F" w14:textId="77777777" w:rsidR="007F1775" w:rsidRDefault="007F1775">
            <w:pPr>
              <w:jc w:val="right"/>
              <w:rPr>
                <w:rFonts w:ascii="宋体"/>
              </w:rPr>
            </w:pPr>
          </w:p>
        </w:tc>
      </w:tr>
      <w:tr w:rsidR="007F1775" w14:paraId="0B2FAE78" w14:textId="77777777">
        <w:tc>
          <w:tcPr>
            <w:tcW w:w="0" w:type="auto"/>
            <w:gridSpan w:val="3"/>
            <w:shd w:val="clear" w:color="auto" w:fill="CCEEFF"/>
            <w:tcMar>
              <w:top w:w="40" w:type="dxa"/>
              <w:left w:w="20" w:type="dxa"/>
              <w:bottom w:w="40" w:type="dxa"/>
              <w:right w:w="20" w:type="dxa"/>
            </w:tcMar>
            <w:vAlign w:val="bottom"/>
          </w:tcPr>
          <w:p w14:paraId="0B2FAE71" w14:textId="77777777" w:rsidR="007F1775" w:rsidRDefault="000F083E">
            <w:pPr>
              <w:textAlignment w:val="bottom"/>
            </w:pPr>
            <w:r>
              <w:rPr>
                <w:rFonts w:ascii="Times New Roman" w:eastAsia="宋体" w:hAnsi="Times New Roman"/>
                <w:color w:val="000000"/>
                <w:sz w:val="20"/>
                <w:szCs w:val="20"/>
              </w:rPr>
              <w:t>Unvested at March 31,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E72" w14:textId="77777777" w:rsidR="007F1775" w:rsidRDefault="000F083E">
            <w:pPr>
              <w:jc w:val="right"/>
              <w:textAlignment w:val="bottom"/>
            </w:pPr>
            <w:r>
              <w:rPr>
                <w:rFonts w:ascii="Times New Roman" w:eastAsia="宋体" w:hAnsi="Times New Roman"/>
                <w:color w:val="000000"/>
                <w:sz w:val="20"/>
                <w:szCs w:val="20"/>
              </w:rPr>
              <w:t>151,157 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E7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E74"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E75"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E76" w14:textId="77777777" w:rsidR="007F1775" w:rsidRDefault="000F083E">
            <w:pPr>
              <w:jc w:val="right"/>
              <w:textAlignment w:val="bottom"/>
            </w:pPr>
            <w:r>
              <w:rPr>
                <w:rFonts w:ascii="Times New Roman" w:eastAsia="宋体" w:hAnsi="Times New Roman"/>
                <w:color w:val="000000"/>
                <w:sz w:val="20"/>
                <w:szCs w:val="20"/>
              </w:rPr>
              <w:t>233.13 </w:t>
            </w:r>
          </w:p>
        </w:tc>
        <w:tc>
          <w:tcPr>
            <w:tcW w:w="0" w:type="auto"/>
            <w:shd w:val="clear" w:color="auto" w:fill="CCEEFF"/>
            <w:tcMar>
              <w:top w:w="40" w:type="dxa"/>
              <w:left w:w="0" w:type="dxa"/>
              <w:bottom w:w="40" w:type="dxa"/>
              <w:right w:w="20" w:type="dxa"/>
            </w:tcMar>
            <w:vAlign w:val="bottom"/>
          </w:tcPr>
          <w:p w14:paraId="0B2FAE77" w14:textId="77777777" w:rsidR="007F1775" w:rsidRDefault="007F1775">
            <w:pPr>
              <w:jc w:val="right"/>
              <w:rPr>
                <w:rFonts w:ascii="宋体"/>
              </w:rPr>
            </w:pPr>
          </w:p>
        </w:tc>
      </w:tr>
    </w:tbl>
    <w:p w14:paraId="0B2FAE79" w14:textId="77777777" w:rsidR="007F1775" w:rsidRDefault="007F1775">
      <w:pPr>
        <w:ind w:firstLine="540"/>
        <w:jc w:val="both"/>
      </w:pPr>
    </w:p>
    <w:p w14:paraId="0B2FAE7A" w14:textId="77777777" w:rsidR="007F1775" w:rsidRDefault="000F083E">
      <w:pPr>
        <w:ind w:firstLine="540"/>
        <w:jc w:val="both"/>
      </w:pPr>
      <w:r>
        <w:rPr>
          <w:rFonts w:ascii="Times New Roman" w:eastAsia="宋体" w:hAnsi="Times New Roman"/>
          <w:color w:val="000000"/>
          <w:sz w:val="20"/>
          <w:szCs w:val="20"/>
        </w:rPr>
        <w:t xml:space="preserve">The fair value as of the respective vesting dates of RSUs that vested during the three months ended March 31, 2022 and 2021 was $2.43 billion and $2.83 billion, respectively. The income tax </w:t>
      </w:r>
      <w:r>
        <w:rPr>
          <w:rFonts w:ascii="Times New Roman" w:eastAsia="宋体" w:hAnsi="Times New Roman"/>
          <w:color w:val="000000"/>
          <w:sz w:val="20"/>
          <w:szCs w:val="20"/>
        </w:rPr>
        <w:t>benefit recognized related to awards vested during the three months ended March 31, 2022 and 2021 was $514 million and $605 million, respectively.</w:t>
      </w:r>
    </w:p>
    <w:p w14:paraId="0B2FAE7B" w14:textId="77777777" w:rsidR="007F1775" w:rsidRDefault="007F1775">
      <w:pPr>
        <w:ind w:firstLine="540"/>
        <w:jc w:val="both"/>
      </w:pPr>
    </w:p>
    <w:p w14:paraId="0B2FAE7C" w14:textId="77777777" w:rsidR="007F1775" w:rsidRDefault="000F083E">
      <w:pPr>
        <w:jc w:val="center"/>
      </w:pPr>
      <w:r>
        <w:rPr>
          <w:rFonts w:ascii="Times New Roman" w:eastAsia="宋体" w:hAnsi="Times New Roman"/>
          <w:color w:val="000000"/>
          <w:sz w:val="20"/>
          <w:szCs w:val="20"/>
        </w:rPr>
        <w:t>25</w:t>
      </w:r>
    </w:p>
    <w:p w14:paraId="0B2FAE7D" w14:textId="77777777" w:rsidR="007F1775" w:rsidRDefault="000F083E">
      <w:r>
        <w:pict w14:anchorId="0B2FBF7A">
          <v:rect id="_x0000_i1049" style="width:415.3pt;height:1.5pt" o:hralign="center" o:hrstd="t" o:hr="t" fillcolor="#a0a0a0" stroked="f"/>
        </w:pict>
      </w:r>
    </w:p>
    <w:p w14:paraId="0B2FAE7E" w14:textId="77777777" w:rsidR="007F1775" w:rsidRDefault="007F1775"/>
    <w:p w14:paraId="0B2FAE7F" w14:textId="77777777" w:rsidR="007F1775" w:rsidRDefault="007F1775"/>
    <w:p w14:paraId="0B2FAE80" w14:textId="77777777" w:rsidR="007F1775" w:rsidRDefault="000F083E">
      <w:hyperlink r:id="rId103" w:anchor="iea70e328caa94cefb76a9db6ed6338fc_7" w:history="1">
        <w:r>
          <w:rPr>
            <w:rStyle w:val="a5"/>
            <w:rFonts w:ascii="Times New Roman" w:eastAsia="宋体" w:hAnsi="Times New Roman"/>
            <w:sz w:val="20"/>
            <w:szCs w:val="20"/>
          </w:rPr>
          <w:t>Table of Contents</w:t>
        </w:r>
      </w:hyperlink>
    </w:p>
    <w:p w14:paraId="0B2FAE81" w14:textId="77777777" w:rsidR="007F1775" w:rsidRDefault="000F083E">
      <w:pPr>
        <w:ind w:firstLine="540"/>
        <w:jc w:val="both"/>
      </w:pPr>
      <w:r>
        <w:rPr>
          <w:rFonts w:ascii="Times New Roman" w:eastAsia="宋体" w:hAnsi="Times New Roman"/>
          <w:color w:val="000000"/>
          <w:sz w:val="20"/>
          <w:szCs w:val="20"/>
        </w:rPr>
        <w:t xml:space="preserve">As of March 31, 2022, there was </w:t>
      </w:r>
      <w:r>
        <w:rPr>
          <w:rFonts w:ascii="Times New Roman" w:eastAsia="宋体" w:hAnsi="Times New Roman"/>
          <w:color w:val="212529"/>
          <w:sz w:val="20"/>
          <w:szCs w:val="20"/>
        </w:rPr>
        <w:t>$33.83 billion</w:t>
      </w:r>
      <w:r>
        <w:rPr>
          <w:rFonts w:ascii="Times New Roman" w:eastAsia="宋体" w:hAnsi="Times New Roman"/>
          <w:color w:val="000000"/>
          <w:sz w:val="20"/>
          <w:szCs w:val="20"/>
        </w:rPr>
        <w:t xml:space="preserve"> of unrecognized share-based compensation expense related to RSU awards. This unrecognized compensation expense is expected to be recognized over a weighted-average period of approximately three years based on vesting under the award service conditions.</w:t>
      </w:r>
    </w:p>
    <w:p w14:paraId="0B2FAE82" w14:textId="77777777" w:rsidR="007F1775" w:rsidRDefault="007F1775">
      <w:pPr>
        <w:ind w:firstLine="540"/>
        <w:jc w:val="both"/>
      </w:pPr>
    </w:p>
    <w:p w14:paraId="0B2FAE83" w14:textId="77777777" w:rsidR="007F1775" w:rsidRDefault="000F083E">
      <w:pPr>
        <w:spacing w:before="180"/>
      </w:pPr>
      <w:r>
        <w:rPr>
          <w:rFonts w:ascii="Times New Roman" w:eastAsia="宋体" w:hAnsi="Times New Roman"/>
          <w:b/>
          <w:bCs/>
          <w:color w:val="000000"/>
          <w:sz w:val="20"/>
          <w:szCs w:val="20"/>
        </w:rPr>
        <w:t>N</w:t>
      </w:r>
      <w:r>
        <w:rPr>
          <w:rFonts w:ascii="Times New Roman" w:eastAsia="宋体" w:hAnsi="Times New Roman"/>
          <w:b/>
          <w:bCs/>
          <w:color w:val="000000"/>
          <w:sz w:val="20"/>
          <w:szCs w:val="20"/>
        </w:rPr>
        <w:t>ote 12. Income Taxes</w:t>
      </w:r>
    </w:p>
    <w:p w14:paraId="0B2FAE84" w14:textId="77777777" w:rsidR="007F1775" w:rsidRDefault="007F1775">
      <w:pPr>
        <w:ind w:firstLine="540"/>
        <w:jc w:val="both"/>
      </w:pPr>
    </w:p>
    <w:p w14:paraId="0B2FAE85" w14:textId="77777777" w:rsidR="007F1775" w:rsidRDefault="000F083E">
      <w:pPr>
        <w:ind w:firstLine="540"/>
        <w:jc w:val="both"/>
      </w:pPr>
      <w:r>
        <w:rPr>
          <w:rFonts w:ascii="Times New Roman" w:eastAsia="宋体" w:hAnsi="Times New Roman"/>
          <w:color w:val="000000"/>
          <w:sz w:val="20"/>
          <w:szCs w:val="20"/>
        </w:rPr>
        <w:t>Our tax provision for interim periods is determined using an estimated annual effective tax rate, adjusted for discrete items arising in that quarter. In each quarter, we update the estimated annual effective tax rate and make a year-</w:t>
      </w:r>
      <w:r>
        <w:rPr>
          <w:rFonts w:ascii="Times New Roman" w:eastAsia="宋体" w:hAnsi="Times New Roman"/>
          <w:color w:val="000000"/>
          <w:sz w:val="20"/>
          <w:szCs w:val="20"/>
        </w:rPr>
        <w:t>to-date adjustment to the provision. The estimated annual effective tax rate is subject to significant volatility due to several factors, including our ability to accurately predict the proportion of our income (loss) before provision for income taxes in m</w:t>
      </w:r>
      <w:r>
        <w:rPr>
          <w:rFonts w:ascii="Times New Roman" w:eastAsia="宋体" w:hAnsi="Times New Roman"/>
          <w:color w:val="000000"/>
          <w:sz w:val="20"/>
          <w:szCs w:val="20"/>
        </w:rPr>
        <w:t>ultiple jurisdictions, the U.S. tax benefits from foreign derived intangible income, the effects of tax law changes, the effects of acquisitions, and the integration of those acquisitions.</w:t>
      </w:r>
    </w:p>
    <w:p w14:paraId="0B2FAE86" w14:textId="77777777" w:rsidR="007F1775" w:rsidRDefault="007F1775">
      <w:pPr>
        <w:ind w:firstLine="540"/>
        <w:jc w:val="both"/>
      </w:pPr>
    </w:p>
    <w:p w14:paraId="0B2FAE87" w14:textId="77777777" w:rsidR="007F1775" w:rsidRDefault="000F083E">
      <w:pPr>
        <w:ind w:firstLine="540"/>
        <w:jc w:val="both"/>
      </w:pPr>
      <w:r>
        <w:rPr>
          <w:rFonts w:ascii="Times New Roman" w:eastAsia="宋体" w:hAnsi="Times New Roman"/>
          <w:color w:val="000000"/>
          <w:sz w:val="20"/>
          <w:szCs w:val="20"/>
        </w:rPr>
        <w:t>Our gross unrecognized tax benefits were $9.77 billion and $9.81 b</w:t>
      </w:r>
      <w:r>
        <w:rPr>
          <w:rFonts w:ascii="Times New Roman" w:eastAsia="宋体" w:hAnsi="Times New Roman"/>
          <w:color w:val="000000"/>
          <w:sz w:val="20"/>
          <w:szCs w:val="20"/>
        </w:rPr>
        <w:t>illion on March 31, 2022 and December 31, 2021, respectively. These unrecognized tax benefits were primarily accrued for the uncertainties related to transfer pricing with our foreign subsidiaries, which include licensing of intellectual property, providin</w:t>
      </w:r>
      <w:r>
        <w:rPr>
          <w:rFonts w:ascii="Times New Roman" w:eastAsia="宋体" w:hAnsi="Times New Roman"/>
          <w:color w:val="000000"/>
          <w:sz w:val="20"/>
          <w:szCs w:val="20"/>
        </w:rPr>
        <w:t>g services and other transactions, as well as for uncertainties with our research tax credits. If the gross unrecognized tax benefits as of March 31, 2022 were realized in a future period, this would result in a tax benefit of $5.81 billion within our prov</w:t>
      </w:r>
      <w:r>
        <w:rPr>
          <w:rFonts w:ascii="Times New Roman" w:eastAsia="宋体" w:hAnsi="Times New Roman"/>
          <w:color w:val="000000"/>
          <w:sz w:val="20"/>
          <w:szCs w:val="20"/>
        </w:rPr>
        <w:t>ision of income taxes at such time. The amount of interest and penalties accrued was $889 million and $960 million as of March 31, 2022 and December 31, 2021, respectively. We expect to continue to accrue unrecognized tax benefits for certain recurring tax</w:t>
      </w:r>
      <w:r>
        <w:rPr>
          <w:rFonts w:ascii="Times New Roman" w:eastAsia="宋体" w:hAnsi="Times New Roman"/>
          <w:color w:val="000000"/>
          <w:sz w:val="20"/>
          <w:szCs w:val="20"/>
        </w:rPr>
        <w:t xml:space="preserve"> positions.</w:t>
      </w:r>
    </w:p>
    <w:p w14:paraId="0B2FAE88" w14:textId="77777777" w:rsidR="007F1775" w:rsidRDefault="007F1775"/>
    <w:p w14:paraId="0B2FAE89" w14:textId="77777777" w:rsidR="007F1775" w:rsidRDefault="000F083E">
      <w:pPr>
        <w:ind w:firstLine="540"/>
        <w:jc w:val="both"/>
      </w:pPr>
      <w:r>
        <w:rPr>
          <w:rFonts w:ascii="Times New Roman" w:eastAsia="宋体" w:hAnsi="Times New Roman"/>
          <w:color w:val="000000"/>
          <w:sz w:val="20"/>
          <w:szCs w:val="20"/>
        </w:rPr>
        <w:t>We are subject to taxation in the United States and various other state and foreign jurisdictions. The material jurisdictions in which we are subject to potential examination include the United States and Ireland. We are under examination by t</w:t>
      </w:r>
      <w:r>
        <w:rPr>
          <w:rFonts w:ascii="Times New Roman" w:eastAsia="宋体" w:hAnsi="Times New Roman"/>
          <w:color w:val="000000"/>
          <w:sz w:val="20"/>
          <w:szCs w:val="20"/>
        </w:rPr>
        <w:t>he Internal Revenue Service (IRS) for our 2014 through 2019 tax years. Our 2020 and subsequent tax years remain open to examination by the IRS and the Irish Revenue Commissioners.</w:t>
      </w:r>
    </w:p>
    <w:p w14:paraId="0B2FAE8A" w14:textId="77777777" w:rsidR="007F1775" w:rsidRDefault="007F1775">
      <w:pPr>
        <w:ind w:firstLine="540"/>
        <w:jc w:val="both"/>
      </w:pPr>
    </w:p>
    <w:p w14:paraId="0B2FAE8B" w14:textId="77777777" w:rsidR="007F1775" w:rsidRDefault="000F083E">
      <w:pPr>
        <w:ind w:firstLine="540"/>
        <w:jc w:val="both"/>
      </w:pPr>
      <w:r>
        <w:rPr>
          <w:rFonts w:ascii="Times New Roman" w:eastAsia="宋体" w:hAnsi="Times New Roman"/>
          <w:color w:val="000000"/>
          <w:sz w:val="20"/>
          <w:szCs w:val="20"/>
        </w:rPr>
        <w:t>In July 2016, we received a Statutory Notice of Deficiency (Notice) from th</w:t>
      </w:r>
      <w:r>
        <w:rPr>
          <w:rFonts w:ascii="Times New Roman" w:eastAsia="宋体" w:hAnsi="Times New Roman"/>
          <w:color w:val="000000"/>
          <w:sz w:val="20"/>
          <w:szCs w:val="20"/>
        </w:rPr>
        <w:t>e IRS related to transfer pricing with our foreign subsidiaries in conjunction with the examination of the 2010 tax year. While the Notice applies only to the 2010 tax year, the IRS stated that it will also apply its position for tax years subsequent to 20</w:t>
      </w:r>
      <w:r>
        <w:rPr>
          <w:rFonts w:ascii="Times New Roman" w:eastAsia="宋体" w:hAnsi="Times New Roman"/>
          <w:color w:val="000000"/>
          <w:sz w:val="20"/>
          <w:szCs w:val="20"/>
        </w:rPr>
        <w:t>10 and has done so in years covered by the second Notice described below. We do not agree with the position of the IRS and have filed a petition in the Tax Court challenging the Notice. On January 15, 2020, the IRS's amendment to answer was filed stating t</w:t>
      </w:r>
      <w:r>
        <w:rPr>
          <w:rFonts w:ascii="Times New Roman" w:eastAsia="宋体" w:hAnsi="Times New Roman"/>
          <w:color w:val="000000"/>
          <w:sz w:val="20"/>
          <w:szCs w:val="20"/>
        </w:rPr>
        <w:t>hat it planned to assert at trial an adjustment that is higher than the adjustment stated in the Notice. The first session of the trial was completed in March 2020 and a second session commenced in October 2021. Based on the information provided, we believ</w:t>
      </w:r>
      <w:r>
        <w:rPr>
          <w:rFonts w:ascii="Times New Roman" w:eastAsia="宋体" w:hAnsi="Times New Roman"/>
          <w:color w:val="000000"/>
          <w:sz w:val="20"/>
          <w:szCs w:val="20"/>
        </w:rPr>
        <w:t xml:space="preserve">e that, if the IRS prevails in its updated position, this could result in an additional federal tax liability of an estimated, aggregate amount of up to approximately $9.0 billion in excess of the amounts in our originally filed U.S. return, plus interest </w:t>
      </w:r>
      <w:r>
        <w:rPr>
          <w:rFonts w:ascii="Times New Roman" w:eastAsia="宋体" w:hAnsi="Times New Roman"/>
          <w:color w:val="000000"/>
          <w:sz w:val="20"/>
          <w:szCs w:val="20"/>
        </w:rPr>
        <w:t xml:space="preserve">and any penalties asserted. </w:t>
      </w:r>
    </w:p>
    <w:p w14:paraId="0B2FAE8C" w14:textId="77777777" w:rsidR="007F1775" w:rsidRDefault="007F1775">
      <w:pPr>
        <w:ind w:firstLine="540"/>
        <w:jc w:val="both"/>
      </w:pPr>
    </w:p>
    <w:p w14:paraId="0B2FAE8D" w14:textId="77777777" w:rsidR="007F1775" w:rsidRDefault="000F083E">
      <w:pPr>
        <w:ind w:firstLine="540"/>
        <w:jc w:val="both"/>
      </w:pPr>
      <w:r>
        <w:rPr>
          <w:rFonts w:ascii="Times New Roman" w:eastAsia="宋体" w:hAnsi="Times New Roman"/>
          <w:color w:val="000000"/>
          <w:sz w:val="20"/>
          <w:szCs w:val="20"/>
        </w:rPr>
        <w:t>In March 2018, we received a second Notice from the IRS in conjunction with the examination of our 2011 through 2013 tax years. The IRS applied its position from the 2010 tax year to each of these years and also proposed new a</w:t>
      </w:r>
      <w:r>
        <w:rPr>
          <w:rFonts w:ascii="Times New Roman" w:eastAsia="宋体" w:hAnsi="Times New Roman"/>
          <w:color w:val="000000"/>
          <w:sz w:val="20"/>
          <w:szCs w:val="20"/>
        </w:rPr>
        <w:t>djustments related to other transfer pricing with our foreign subsidiaries and certain tax credits that we claimed. If the IRS prevails in its position for these new adjustments, this could result in an additional federal tax liability of up to approximate</w:t>
      </w:r>
      <w:r>
        <w:rPr>
          <w:rFonts w:ascii="Times New Roman" w:eastAsia="宋体" w:hAnsi="Times New Roman"/>
          <w:color w:val="000000"/>
          <w:sz w:val="20"/>
          <w:szCs w:val="20"/>
        </w:rPr>
        <w:t>ly $680 million in excess of the amounts in our originally filed U.S. returns, plus interest and any penalties asserted. We do not agree with the positions of the IRS in the second Notice and have filed a petition in the Tax Court challenging the second No</w:t>
      </w:r>
      <w:r>
        <w:rPr>
          <w:rFonts w:ascii="Times New Roman" w:eastAsia="宋体" w:hAnsi="Times New Roman"/>
          <w:color w:val="000000"/>
          <w:sz w:val="20"/>
          <w:szCs w:val="20"/>
        </w:rPr>
        <w:t xml:space="preserve">tice. </w:t>
      </w:r>
    </w:p>
    <w:p w14:paraId="0B2FAE8E" w14:textId="77777777" w:rsidR="007F1775" w:rsidRDefault="007F1775">
      <w:pPr>
        <w:ind w:firstLine="540"/>
        <w:jc w:val="both"/>
      </w:pPr>
    </w:p>
    <w:p w14:paraId="0B2FAE8F" w14:textId="77777777" w:rsidR="007F1775" w:rsidRDefault="000F083E">
      <w:pPr>
        <w:ind w:firstLine="540"/>
        <w:jc w:val="both"/>
      </w:pPr>
      <w:r>
        <w:rPr>
          <w:rFonts w:ascii="Times New Roman" w:eastAsia="宋体" w:hAnsi="Times New Roman"/>
          <w:color w:val="000000"/>
          <w:sz w:val="20"/>
          <w:szCs w:val="20"/>
        </w:rPr>
        <w:t>We have previously accrued an estimated unrecognized tax benefit consistent with the guidance in ASC 740,</w:t>
      </w:r>
      <w:r>
        <w:rPr>
          <w:rFonts w:ascii="Times New Roman" w:eastAsia="宋体" w:hAnsi="Times New Roman"/>
          <w:i/>
          <w:iCs/>
          <w:color w:val="000000"/>
          <w:sz w:val="20"/>
          <w:szCs w:val="20"/>
        </w:rPr>
        <w:t xml:space="preserve"> Income Taxes </w:t>
      </w:r>
      <w:r>
        <w:rPr>
          <w:rFonts w:ascii="Times New Roman" w:eastAsia="宋体" w:hAnsi="Times New Roman"/>
          <w:color w:val="000000"/>
          <w:sz w:val="20"/>
          <w:szCs w:val="20"/>
        </w:rPr>
        <w:t>(ASC 740), that is lower than the potential additional federal tax liability from the positions taken by the IRS in the two Notic</w:t>
      </w:r>
      <w:r>
        <w:rPr>
          <w:rFonts w:ascii="Times New Roman" w:eastAsia="宋体" w:hAnsi="Times New Roman"/>
          <w:color w:val="000000"/>
          <w:sz w:val="20"/>
          <w:szCs w:val="20"/>
        </w:rPr>
        <w:t xml:space="preserve">es and its </w:t>
      </w:r>
      <w:r>
        <w:rPr>
          <w:rFonts w:ascii="Times New Roman" w:eastAsia="宋体" w:hAnsi="Times New Roman"/>
          <w:color w:val="212529"/>
          <w:sz w:val="20"/>
          <w:szCs w:val="20"/>
        </w:rPr>
        <w:t>Pretrial Memorandum</w:t>
      </w:r>
      <w:r>
        <w:rPr>
          <w:rFonts w:ascii="Times New Roman" w:eastAsia="宋体" w:hAnsi="Times New Roman"/>
          <w:color w:val="000000"/>
          <w:sz w:val="20"/>
          <w:szCs w:val="20"/>
        </w:rPr>
        <w:t>. In addition, if the IRS prevails in its positions related to transfer pricing with our foreign subsidiaries, the additional tax that we would owe would be partially offset by a reduction in the tax that we owe under the mand</w:t>
      </w:r>
      <w:r>
        <w:rPr>
          <w:rFonts w:ascii="Times New Roman" w:eastAsia="宋体" w:hAnsi="Times New Roman"/>
          <w:color w:val="000000"/>
          <w:sz w:val="20"/>
          <w:szCs w:val="20"/>
        </w:rPr>
        <w:t>atory transition tax on accumulated foreign earnings from the 2017 Tax Cuts and Jobs Act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As of March 31, 2022, we have not resolved these matters and proceedings continue in the Tax Court.</w:t>
      </w:r>
    </w:p>
    <w:p w14:paraId="0B2FAE90" w14:textId="77777777" w:rsidR="007F1775" w:rsidRDefault="007F1775">
      <w:pPr>
        <w:ind w:firstLine="540"/>
        <w:jc w:val="both"/>
      </w:pPr>
    </w:p>
    <w:p w14:paraId="0B2FAE91" w14:textId="77777777" w:rsidR="007F1775" w:rsidRDefault="000F083E">
      <w:pPr>
        <w:ind w:firstLine="540"/>
        <w:jc w:val="both"/>
      </w:pPr>
      <w:r>
        <w:rPr>
          <w:rFonts w:ascii="Times New Roman" w:eastAsia="宋体" w:hAnsi="Times New Roman"/>
          <w:color w:val="000000"/>
          <w:sz w:val="20"/>
          <w:szCs w:val="20"/>
        </w:rPr>
        <w:t>We believe that adequate amounts have been reserved in accordance</w:t>
      </w:r>
      <w:r>
        <w:rPr>
          <w:rFonts w:ascii="Times New Roman" w:eastAsia="宋体" w:hAnsi="Times New Roman"/>
          <w:color w:val="000000"/>
          <w:sz w:val="20"/>
          <w:szCs w:val="20"/>
        </w:rPr>
        <w:t xml:space="preserve"> with ASC 740 for any adjustments to the provision for income taxes or other tax items that may ultimately result from these examinations. The timing of the resolution, settlement, and closure of any audits is highly uncertain, and it is reasonably possibl</w:t>
      </w:r>
      <w:r>
        <w:rPr>
          <w:rFonts w:ascii="Times New Roman" w:eastAsia="宋体" w:hAnsi="Times New Roman"/>
          <w:color w:val="000000"/>
          <w:sz w:val="20"/>
          <w:szCs w:val="20"/>
        </w:rPr>
        <w:t xml:space="preserve">e that the balance of gross </w:t>
      </w:r>
    </w:p>
    <w:p w14:paraId="0B2FAE92" w14:textId="77777777" w:rsidR="007F1775" w:rsidRDefault="000F083E">
      <w:pPr>
        <w:jc w:val="center"/>
      </w:pPr>
      <w:r>
        <w:rPr>
          <w:rFonts w:ascii="Times New Roman" w:eastAsia="宋体" w:hAnsi="Times New Roman"/>
          <w:color w:val="000000"/>
          <w:sz w:val="20"/>
          <w:szCs w:val="20"/>
        </w:rPr>
        <w:t>26</w:t>
      </w:r>
    </w:p>
    <w:p w14:paraId="0B2FAE93" w14:textId="77777777" w:rsidR="007F1775" w:rsidRDefault="000F083E">
      <w:r>
        <w:pict w14:anchorId="0B2FBF7B">
          <v:rect id="_x0000_i1050" style="width:415.3pt;height:1.5pt" o:hralign="center" o:hrstd="t" o:hr="t" fillcolor="#a0a0a0" stroked="f"/>
        </w:pict>
      </w:r>
    </w:p>
    <w:p w14:paraId="0B2FAE94" w14:textId="77777777" w:rsidR="007F1775" w:rsidRDefault="007F1775"/>
    <w:p w14:paraId="0B2FAE95" w14:textId="77777777" w:rsidR="007F1775" w:rsidRDefault="007F1775"/>
    <w:p w14:paraId="0B2FAE96" w14:textId="77777777" w:rsidR="007F1775" w:rsidRDefault="000F083E">
      <w:hyperlink r:id="rId104" w:anchor="iea70e328caa94cefb76a9db6ed6338fc_7" w:history="1">
        <w:r>
          <w:rPr>
            <w:rStyle w:val="a5"/>
            <w:rFonts w:ascii="Times New Roman" w:eastAsia="宋体" w:hAnsi="Times New Roman"/>
            <w:sz w:val="20"/>
            <w:szCs w:val="20"/>
          </w:rPr>
          <w:t>Table of Contents</w:t>
        </w:r>
      </w:hyperlink>
    </w:p>
    <w:p w14:paraId="0B2FAE97" w14:textId="77777777" w:rsidR="007F1775" w:rsidRDefault="000F083E">
      <w:pPr>
        <w:jc w:val="both"/>
      </w:pPr>
      <w:r>
        <w:rPr>
          <w:rFonts w:ascii="Times New Roman" w:eastAsia="宋体" w:hAnsi="Times New Roman"/>
          <w:color w:val="000000"/>
          <w:sz w:val="20"/>
          <w:szCs w:val="20"/>
        </w:rPr>
        <w:t xml:space="preserve">unrecognized tax benefits could </w:t>
      </w:r>
      <w:r>
        <w:rPr>
          <w:rFonts w:ascii="Times New Roman" w:eastAsia="宋体" w:hAnsi="Times New Roman"/>
          <w:color w:val="000000"/>
          <w:sz w:val="20"/>
          <w:szCs w:val="20"/>
        </w:rPr>
        <w:t>significantly change in the next 12 months. Given the number of years remaining that are subject to examination, we are unable to estimate the full range of possible adjustments to the balance of gross unrecognized tax benefits. If the taxing authorities p</w:t>
      </w:r>
      <w:r>
        <w:rPr>
          <w:rFonts w:ascii="Times New Roman" w:eastAsia="宋体" w:hAnsi="Times New Roman"/>
          <w:color w:val="000000"/>
          <w:sz w:val="20"/>
          <w:szCs w:val="20"/>
        </w:rPr>
        <w:t>revail in the assessment of additional tax due, the assessed tax, interest, and penalties, if any, could have a material adverse impact on our financial position, results of operations, and cash flows.</w:t>
      </w:r>
    </w:p>
    <w:p w14:paraId="0B2FAE98" w14:textId="77777777" w:rsidR="007F1775" w:rsidRDefault="007F1775">
      <w:pPr>
        <w:ind w:firstLine="540"/>
        <w:jc w:val="both"/>
      </w:pPr>
    </w:p>
    <w:p w14:paraId="0B2FAE99" w14:textId="77777777" w:rsidR="007F1775" w:rsidRDefault="000F083E">
      <w:pPr>
        <w:spacing w:before="180"/>
      </w:pPr>
      <w:r>
        <w:rPr>
          <w:rFonts w:ascii="Times New Roman" w:eastAsia="宋体" w:hAnsi="Times New Roman"/>
          <w:b/>
          <w:bCs/>
          <w:color w:val="000000"/>
          <w:sz w:val="20"/>
          <w:szCs w:val="20"/>
        </w:rPr>
        <w:t xml:space="preserve">Note 13. Segment and Geographical </w:t>
      </w:r>
      <w:r>
        <w:rPr>
          <w:rFonts w:ascii="Times New Roman" w:eastAsia="宋体" w:hAnsi="Times New Roman"/>
          <w:b/>
          <w:bCs/>
          <w:color w:val="000000"/>
          <w:sz w:val="20"/>
          <w:szCs w:val="20"/>
        </w:rPr>
        <w:t>Information</w:t>
      </w:r>
    </w:p>
    <w:p w14:paraId="0B2FAE9A" w14:textId="77777777" w:rsidR="007F1775" w:rsidRDefault="007F1775">
      <w:pPr>
        <w:ind w:firstLine="540"/>
        <w:jc w:val="both"/>
      </w:pPr>
    </w:p>
    <w:p w14:paraId="0B2FAE9B" w14:textId="77777777" w:rsidR="007F1775" w:rsidRDefault="000F083E">
      <w:pPr>
        <w:ind w:firstLine="540"/>
        <w:jc w:val="both"/>
      </w:pPr>
      <w:r>
        <w:rPr>
          <w:rFonts w:ascii="Times New Roman" w:eastAsia="宋体" w:hAnsi="Times New Roman"/>
          <w:color w:val="000000"/>
          <w:sz w:val="20"/>
          <w:szCs w:val="20"/>
          <w:shd w:val="clear" w:color="auto" w:fill="FFFFFF"/>
        </w:rPr>
        <w:t xml:space="preserve">We report our financial results for our two reportable segments: Family of Apps (FoA) and Reality Labs (RL). FoA includes Facebook, Instagram, Messenger, WhatsApp, and other services. RL includes augmented and virtual reality related consumer </w:t>
      </w:r>
      <w:r>
        <w:rPr>
          <w:rFonts w:ascii="Times New Roman" w:eastAsia="宋体" w:hAnsi="Times New Roman"/>
          <w:color w:val="000000"/>
          <w:sz w:val="20"/>
          <w:szCs w:val="20"/>
          <w:shd w:val="clear" w:color="auto" w:fill="FFFFFF"/>
        </w:rPr>
        <w:t>hardware, software, and content. Our operating segments are the same as our reportable segments.</w:t>
      </w:r>
    </w:p>
    <w:p w14:paraId="0B2FAE9C" w14:textId="77777777" w:rsidR="007F1775" w:rsidRDefault="007F1775">
      <w:pPr>
        <w:ind w:firstLine="540"/>
        <w:jc w:val="both"/>
      </w:pPr>
    </w:p>
    <w:p w14:paraId="0B2FAE9D" w14:textId="77777777" w:rsidR="007F1775" w:rsidRDefault="000F083E">
      <w:pPr>
        <w:ind w:firstLine="540"/>
        <w:jc w:val="both"/>
      </w:pPr>
      <w:r>
        <w:rPr>
          <w:rFonts w:ascii="Times New Roman" w:eastAsia="宋体" w:hAnsi="Times New Roman"/>
          <w:color w:val="000000"/>
          <w:sz w:val="20"/>
          <w:szCs w:val="20"/>
          <w:shd w:val="clear" w:color="auto" w:fill="FFFFFF"/>
        </w:rPr>
        <w:t>Our Chief Executive Officer is our chief operating decision maker (CODM), who allocates resources to and assesses the performance of each operating segment us</w:t>
      </w:r>
      <w:r>
        <w:rPr>
          <w:rFonts w:ascii="Times New Roman" w:eastAsia="宋体" w:hAnsi="Times New Roman"/>
          <w:color w:val="000000"/>
          <w:sz w:val="20"/>
          <w:szCs w:val="20"/>
          <w:shd w:val="clear" w:color="auto" w:fill="FFFFFF"/>
        </w:rPr>
        <w:t>ing information about the operating segment's revenue and income (loss) from operations. Our CODM does not evaluate operating segments using asset or liability information.</w:t>
      </w:r>
    </w:p>
    <w:p w14:paraId="0B2FAE9E" w14:textId="77777777" w:rsidR="007F1775" w:rsidRDefault="007F1775">
      <w:pPr>
        <w:ind w:firstLine="540"/>
        <w:jc w:val="both"/>
      </w:pPr>
    </w:p>
    <w:p w14:paraId="0B2FAE9F" w14:textId="77777777" w:rsidR="007F1775" w:rsidRDefault="000F083E">
      <w:pPr>
        <w:ind w:firstLine="540"/>
        <w:jc w:val="both"/>
      </w:pPr>
      <w:r>
        <w:rPr>
          <w:rFonts w:ascii="Times New Roman" w:eastAsia="宋体" w:hAnsi="Times New Roman"/>
          <w:color w:val="000000"/>
          <w:sz w:val="20"/>
          <w:szCs w:val="20"/>
          <w:shd w:val="clear" w:color="auto" w:fill="FFFFFF"/>
        </w:rPr>
        <w:t xml:space="preserve">Revenue and costs and expenses are generally directly attributed to our segments. </w:t>
      </w:r>
      <w:r>
        <w:rPr>
          <w:rFonts w:ascii="Times New Roman" w:eastAsia="宋体" w:hAnsi="Times New Roman"/>
          <w:color w:val="000000"/>
          <w:sz w:val="20"/>
          <w:szCs w:val="20"/>
          <w:shd w:val="clear" w:color="auto" w:fill="FFFFFF"/>
        </w:rPr>
        <w:t>These costs and expenses include certain product development related operating expenses</w:t>
      </w:r>
      <w:r>
        <w:rPr>
          <w:rFonts w:ascii="Times New Roman" w:eastAsia="宋体" w:hAnsi="Times New Roman"/>
          <w:color w:val="000000"/>
          <w:sz w:val="20"/>
          <w:szCs w:val="20"/>
        </w:rPr>
        <w:t>, costs associated with partnership arrangements, consumer hardware product costs, content costs, and legal-related costs. Indirect costs are allocated to segments based</w:t>
      </w:r>
      <w:r>
        <w:rPr>
          <w:rFonts w:ascii="Times New Roman" w:eastAsia="宋体" w:hAnsi="Times New Roman"/>
          <w:color w:val="000000"/>
          <w:sz w:val="20"/>
          <w:szCs w:val="20"/>
        </w:rPr>
        <w:t xml:space="preserve"> on a reasonable allocation methodology, when such costs are significant to the performance measures of the operating segments. Indirect cost of revenue is allocated to our segments based on usage, such as costs related to the operation of our data centers</w:t>
      </w:r>
      <w:r>
        <w:rPr>
          <w:rFonts w:ascii="Times New Roman" w:eastAsia="宋体" w:hAnsi="Times New Roman"/>
          <w:color w:val="000000"/>
          <w:sz w:val="20"/>
          <w:szCs w:val="20"/>
        </w:rPr>
        <w:t xml:space="preserve"> and technical infrastructure. Indirect operating expenses, such as facilities, information technology, certain shared research and development activities, recruiting, and physical security expenses, are mostly allocated based on headcount.</w:t>
      </w:r>
    </w:p>
    <w:p w14:paraId="0B2FAEA0" w14:textId="77777777" w:rsidR="007F1775" w:rsidRDefault="007F1775">
      <w:pPr>
        <w:ind w:firstLine="540"/>
        <w:jc w:val="both"/>
      </w:pPr>
    </w:p>
    <w:p w14:paraId="0B2FAEA1" w14:textId="77777777" w:rsidR="007F1775" w:rsidRDefault="000F083E">
      <w:pPr>
        <w:ind w:firstLine="540"/>
        <w:jc w:val="both"/>
      </w:pPr>
      <w:r>
        <w:rPr>
          <w:rFonts w:ascii="Times New Roman" w:eastAsia="宋体" w:hAnsi="Times New Roman"/>
          <w:color w:val="000000"/>
          <w:sz w:val="20"/>
          <w:szCs w:val="20"/>
          <w:shd w:val="clear" w:color="auto" w:fill="FFFFFF"/>
        </w:rPr>
        <w:t xml:space="preserve">The following </w:t>
      </w:r>
      <w:r>
        <w:rPr>
          <w:rFonts w:ascii="Times New Roman" w:eastAsia="宋体" w:hAnsi="Times New Roman"/>
          <w:color w:val="000000"/>
          <w:sz w:val="20"/>
          <w:szCs w:val="20"/>
          <w:shd w:val="clear" w:color="auto" w:fill="FFFFFF"/>
        </w:rPr>
        <w:t xml:space="preserve">table sets forth our segment information of revenue and income (loss) from operations (in millions). </w:t>
      </w:r>
      <w:r>
        <w:rPr>
          <w:rFonts w:ascii="Times New Roman" w:eastAsia="宋体" w:hAnsi="Times New Roman"/>
          <w:color w:val="000000"/>
          <w:sz w:val="20"/>
          <w:szCs w:val="20"/>
        </w:rPr>
        <w:t>For comparative purposes, amounts in the prior period have been recast:</w:t>
      </w:r>
    </w:p>
    <w:tbl>
      <w:tblPr>
        <w:tblW w:w="4993" w:type="pct"/>
        <w:tblCellMar>
          <w:top w:w="15" w:type="dxa"/>
          <w:left w:w="15" w:type="dxa"/>
          <w:bottom w:w="15" w:type="dxa"/>
          <w:right w:w="15" w:type="dxa"/>
        </w:tblCellMar>
        <w:tblLook w:val="04A0" w:firstRow="1" w:lastRow="0" w:firstColumn="1" w:lastColumn="0" w:noHBand="0" w:noVBand="1"/>
      </w:tblPr>
      <w:tblGrid>
        <w:gridCol w:w="39"/>
        <w:gridCol w:w="5415"/>
        <w:gridCol w:w="38"/>
        <w:gridCol w:w="120"/>
        <w:gridCol w:w="1170"/>
        <w:gridCol w:w="36"/>
        <w:gridCol w:w="36"/>
        <w:gridCol w:w="36"/>
        <w:gridCol w:w="36"/>
        <w:gridCol w:w="120"/>
        <w:gridCol w:w="1170"/>
        <w:gridCol w:w="36"/>
        <w:gridCol w:w="36"/>
        <w:gridCol w:w="36"/>
      </w:tblGrid>
      <w:tr w:rsidR="007F1775" w14:paraId="0B2FAEB0" w14:textId="77777777">
        <w:tc>
          <w:tcPr>
            <w:tcW w:w="50" w:type="pct"/>
            <w:shd w:val="clear" w:color="auto" w:fill="auto"/>
            <w:vAlign w:val="bottom"/>
          </w:tcPr>
          <w:p w14:paraId="0B2FAEA2" w14:textId="77777777" w:rsidR="007F1775" w:rsidRDefault="007F1775">
            <w:pPr>
              <w:rPr>
                <w:rFonts w:ascii="宋体"/>
              </w:rPr>
            </w:pPr>
          </w:p>
        </w:tc>
        <w:tc>
          <w:tcPr>
            <w:tcW w:w="3320" w:type="pct"/>
            <w:shd w:val="clear" w:color="auto" w:fill="auto"/>
            <w:vAlign w:val="bottom"/>
          </w:tcPr>
          <w:p w14:paraId="0B2FAEA3" w14:textId="77777777" w:rsidR="007F1775" w:rsidRDefault="007F1775">
            <w:pPr>
              <w:rPr>
                <w:rFonts w:ascii="宋体"/>
              </w:rPr>
            </w:pPr>
          </w:p>
        </w:tc>
        <w:tc>
          <w:tcPr>
            <w:tcW w:w="5" w:type="pct"/>
            <w:shd w:val="clear" w:color="auto" w:fill="auto"/>
            <w:vAlign w:val="bottom"/>
          </w:tcPr>
          <w:p w14:paraId="0B2FAEA4" w14:textId="77777777" w:rsidR="007F1775" w:rsidRDefault="007F1775">
            <w:pPr>
              <w:rPr>
                <w:rFonts w:ascii="宋体"/>
              </w:rPr>
            </w:pPr>
          </w:p>
        </w:tc>
        <w:tc>
          <w:tcPr>
            <w:tcW w:w="50" w:type="pct"/>
            <w:shd w:val="clear" w:color="auto" w:fill="auto"/>
            <w:vAlign w:val="bottom"/>
          </w:tcPr>
          <w:p w14:paraId="0B2FAEA5" w14:textId="77777777" w:rsidR="007F1775" w:rsidRDefault="007F1775">
            <w:pPr>
              <w:rPr>
                <w:rFonts w:ascii="宋体"/>
              </w:rPr>
            </w:pPr>
          </w:p>
        </w:tc>
        <w:tc>
          <w:tcPr>
            <w:tcW w:w="742" w:type="pct"/>
            <w:shd w:val="clear" w:color="auto" w:fill="auto"/>
            <w:vAlign w:val="bottom"/>
          </w:tcPr>
          <w:p w14:paraId="0B2FAEA6" w14:textId="77777777" w:rsidR="007F1775" w:rsidRDefault="007F1775">
            <w:pPr>
              <w:rPr>
                <w:rFonts w:ascii="宋体"/>
              </w:rPr>
            </w:pPr>
          </w:p>
        </w:tc>
        <w:tc>
          <w:tcPr>
            <w:tcW w:w="5" w:type="pct"/>
            <w:shd w:val="clear" w:color="auto" w:fill="auto"/>
            <w:vAlign w:val="bottom"/>
          </w:tcPr>
          <w:p w14:paraId="0B2FAEA7" w14:textId="77777777" w:rsidR="007F1775" w:rsidRDefault="007F1775">
            <w:pPr>
              <w:rPr>
                <w:rFonts w:ascii="宋体"/>
              </w:rPr>
            </w:pPr>
          </w:p>
        </w:tc>
        <w:tc>
          <w:tcPr>
            <w:tcW w:w="5" w:type="pct"/>
            <w:shd w:val="clear" w:color="auto" w:fill="auto"/>
            <w:vAlign w:val="bottom"/>
          </w:tcPr>
          <w:p w14:paraId="0B2FAEA8" w14:textId="77777777" w:rsidR="007F1775" w:rsidRDefault="007F1775">
            <w:pPr>
              <w:rPr>
                <w:rFonts w:ascii="宋体"/>
              </w:rPr>
            </w:pPr>
          </w:p>
        </w:tc>
        <w:tc>
          <w:tcPr>
            <w:tcW w:w="19" w:type="pct"/>
            <w:shd w:val="clear" w:color="auto" w:fill="auto"/>
            <w:vAlign w:val="bottom"/>
          </w:tcPr>
          <w:p w14:paraId="0B2FAEA9" w14:textId="77777777" w:rsidR="007F1775" w:rsidRDefault="007F1775">
            <w:pPr>
              <w:rPr>
                <w:rFonts w:ascii="宋体"/>
              </w:rPr>
            </w:pPr>
          </w:p>
        </w:tc>
        <w:tc>
          <w:tcPr>
            <w:tcW w:w="5" w:type="pct"/>
            <w:shd w:val="clear" w:color="auto" w:fill="auto"/>
            <w:vAlign w:val="bottom"/>
          </w:tcPr>
          <w:p w14:paraId="0B2FAEAA" w14:textId="77777777" w:rsidR="007F1775" w:rsidRDefault="007F1775">
            <w:pPr>
              <w:rPr>
                <w:rFonts w:ascii="宋体"/>
              </w:rPr>
            </w:pPr>
          </w:p>
        </w:tc>
        <w:tc>
          <w:tcPr>
            <w:tcW w:w="50" w:type="pct"/>
            <w:shd w:val="clear" w:color="auto" w:fill="auto"/>
            <w:vAlign w:val="bottom"/>
          </w:tcPr>
          <w:p w14:paraId="0B2FAEAB" w14:textId="77777777" w:rsidR="007F1775" w:rsidRDefault="007F1775">
            <w:pPr>
              <w:rPr>
                <w:rFonts w:ascii="宋体"/>
              </w:rPr>
            </w:pPr>
          </w:p>
        </w:tc>
        <w:tc>
          <w:tcPr>
            <w:tcW w:w="742" w:type="pct"/>
            <w:shd w:val="clear" w:color="auto" w:fill="auto"/>
            <w:vAlign w:val="bottom"/>
          </w:tcPr>
          <w:p w14:paraId="0B2FAEAC" w14:textId="77777777" w:rsidR="007F1775" w:rsidRDefault="007F1775">
            <w:pPr>
              <w:rPr>
                <w:rFonts w:ascii="宋体"/>
              </w:rPr>
            </w:pPr>
          </w:p>
        </w:tc>
        <w:tc>
          <w:tcPr>
            <w:tcW w:w="5" w:type="pct"/>
            <w:shd w:val="clear" w:color="auto" w:fill="auto"/>
            <w:vAlign w:val="bottom"/>
          </w:tcPr>
          <w:p w14:paraId="0B2FAEAD" w14:textId="77777777" w:rsidR="007F1775" w:rsidRDefault="007F1775">
            <w:pPr>
              <w:rPr>
                <w:rFonts w:ascii="宋体"/>
              </w:rPr>
            </w:pPr>
          </w:p>
        </w:tc>
        <w:tc>
          <w:tcPr>
            <w:tcW w:w="0" w:type="auto"/>
            <w:shd w:val="clear" w:color="auto" w:fill="auto"/>
            <w:vAlign w:val="bottom"/>
          </w:tcPr>
          <w:p w14:paraId="0B2FAEAE" w14:textId="77777777" w:rsidR="007F1775" w:rsidRDefault="007F1775">
            <w:pPr>
              <w:rPr>
                <w:rFonts w:ascii="宋体"/>
                <w:vanish/>
              </w:rPr>
            </w:pPr>
          </w:p>
        </w:tc>
        <w:tc>
          <w:tcPr>
            <w:tcW w:w="0" w:type="auto"/>
            <w:shd w:val="clear" w:color="auto" w:fill="auto"/>
            <w:vAlign w:val="bottom"/>
          </w:tcPr>
          <w:p w14:paraId="0B2FAEAF" w14:textId="77777777" w:rsidR="007F1775" w:rsidRDefault="007F1775">
            <w:pPr>
              <w:rPr>
                <w:rFonts w:ascii="宋体"/>
                <w:vanish/>
              </w:rPr>
            </w:pPr>
          </w:p>
        </w:tc>
      </w:tr>
      <w:tr w:rsidR="007F1775" w14:paraId="0B2FAEB5" w14:textId="77777777">
        <w:tc>
          <w:tcPr>
            <w:tcW w:w="0" w:type="auto"/>
            <w:gridSpan w:val="3"/>
            <w:shd w:val="clear" w:color="auto" w:fill="auto"/>
            <w:tcMar>
              <w:top w:w="40" w:type="dxa"/>
              <w:left w:w="20" w:type="dxa"/>
              <w:bottom w:w="40" w:type="dxa"/>
              <w:right w:w="20" w:type="dxa"/>
            </w:tcMar>
            <w:vAlign w:val="bottom"/>
          </w:tcPr>
          <w:p w14:paraId="0B2FAEB1"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center"/>
          </w:tcPr>
          <w:p w14:paraId="0B2FAEB2" w14:textId="77777777" w:rsidR="007F1775" w:rsidRDefault="000F083E">
            <w:pPr>
              <w:jc w:val="center"/>
              <w:textAlignment w:val="center"/>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AEB3" w14:textId="77777777" w:rsidR="007F1775" w:rsidRDefault="007F1775">
            <w:pPr>
              <w:rPr>
                <w:rFonts w:ascii="宋体"/>
                <w:vanish/>
              </w:rPr>
            </w:pPr>
          </w:p>
        </w:tc>
        <w:tc>
          <w:tcPr>
            <w:tcW w:w="0" w:type="auto"/>
            <w:shd w:val="clear" w:color="auto" w:fill="auto"/>
            <w:vAlign w:val="bottom"/>
          </w:tcPr>
          <w:p w14:paraId="0B2FAEB4" w14:textId="77777777" w:rsidR="007F1775" w:rsidRDefault="007F1775">
            <w:pPr>
              <w:rPr>
                <w:rFonts w:ascii="宋体"/>
                <w:vanish/>
              </w:rPr>
            </w:pPr>
          </w:p>
        </w:tc>
      </w:tr>
      <w:tr w:rsidR="007F1775" w14:paraId="0B2FAEBC" w14:textId="77777777">
        <w:tc>
          <w:tcPr>
            <w:tcW w:w="0" w:type="auto"/>
            <w:gridSpan w:val="3"/>
            <w:shd w:val="clear" w:color="auto" w:fill="auto"/>
            <w:tcMar>
              <w:top w:w="40" w:type="dxa"/>
              <w:left w:w="20" w:type="dxa"/>
              <w:bottom w:w="40" w:type="dxa"/>
              <w:right w:w="20" w:type="dxa"/>
            </w:tcMar>
            <w:vAlign w:val="bottom"/>
          </w:tcPr>
          <w:p w14:paraId="0B2FAEB6"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EB7" w14:textId="77777777" w:rsidR="007F1775" w:rsidRDefault="000F083E">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EB8"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EB9" w14:textId="77777777" w:rsidR="007F1775" w:rsidRDefault="000F083E">
            <w:pPr>
              <w:jc w:val="center"/>
              <w:textAlignment w:val="center"/>
            </w:pPr>
            <w:r>
              <w:rPr>
                <w:rFonts w:ascii="Times New Roman" w:eastAsia="宋体" w:hAnsi="Times New Roman"/>
                <w:b/>
                <w:bCs/>
                <w:color w:val="000000"/>
                <w:sz w:val="16"/>
                <w:szCs w:val="16"/>
              </w:rPr>
              <w:t>2021</w:t>
            </w:r>
          </w:p>
        </w:tc>
        <w:tc>
          <w:tcPr>
            <w:tcW w:w="0" w:type="auto"/>
            <w:shd w:val="clear" w:color="auto" w:fill="auto"/>
            <w:vAlign w:val="bottom"/>
          </w:tcPr>
          <w:p w14:paraId="0B2FAEBA" w14:textId="77777777" w:rsidR="007F1775" w:rsidRDefault="007F1775">
            <w:pPr>
              <w:rPr>
                <w:rFonts w:ascii="宋体"/>
                <w:vanish/>
              </w:rPr>
            </w:pPr>
          </w:p>
        </w:tc>
        <w:tc>
          <w:tcPr>
            <w:tcW w:w="0" w:type="auto"/>
            <w:shd w:val="clear" w:color="auto" w:fill="auto"/>
            <w:vAlign w:val="bottom"/>
          </w:tcPr>
          <w:p w14:paraId="0B2FAEBB" w14:textId="77777777" w:rsidR="007F1775" w:rsidRDefault="007F1775">
            <w:pPr>
              <w:rPr>
                <w:rFonts w:ascii="宋体"/>
                <w:vanish/>
              </w:rPr>
            </w:pPr>
          </w:p>
        </w:tc>
      </w:tr>
      <w:tr w:rsidR="007F1775" w14:paraId="0B2FAEC3" w14:textId="77777777">
        <w:tc>
          <w:tcPr>
            <w:tcW w:w="0" w:type="auto"/>
            <w:gridSpan w:val="3"/>
            <w:shd w:val="clear" w:color="auto" w:fill="CCEEFF"/>
            <w:tcMar>
              <w:top w:w="40" w:type="dxa"/>
              <w:left w:w="20" w:type="dxa"/>
              <w:bottom w:w="40" w:type="dxa"/>
              <w:right w:w="20" w:type="dxa"/>
            </w:tcMar>
            <w:vAlign w:val="bottom"/>
          </w:tcPr>
          <w:p w14:paraId="0B2FAEBD" w14:textId="77777777" w:rsidR="007F1775" w:rsidRDefault="000F083E">
            <w:pPr>
              <w:textAlignment w:val="bottom"/>
            </w:pPr>
            <w:r>
              <w:rPr>
                <w:rFonts w:ascii="Times New Roman" w:eastAsia="宋体" w:hAnsi="Times New Roman"/>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EBE"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EBF" w14:textId="77777777" w:rsidR="007F1775" w:rsidRDefault="007F1775">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B2FAEC0" w14:textId="77777777" w:rsidR="007F1775" w:rsidRDefault="007F1775">
            <w:pPr>
              <w:rPr>
                <w:rFonts w:ascii="宋体"/>
              </w:rPr>
            </w:pPr>
          </w:p>
        </w:tc>
        <w:tc>
          <w:tcPr>
            <w:tcW w:w="0" w:type="auto"/>
            <w:shd w:val="clear" w:color="auto" w:fill="auto"/>
            <w:vAlign w:val="bottom"/>
          </w:tcPr>
          <w:p w14:paraId="0B2FAEC1" w14:textId="77777777" w:rsidR="007F1775" w:rsidRDefault="007F1775">
            <w:pPr>
              <w:rPr>
                <w:rFonts w:ascii="宋体"/>
                <w:vanish/>
              </w:rPr>
            </w:pPr>
          </w:p>
        </w:tc>
        <w:tc>
          <w:tcPr>
            <w:tcW w:w="0" w:type="auto"/>
            <w:shd w:val="clear" w:color="auto" w:fill="auto"/>
            <w:vAlign w:val="bottom"/>
          </w:tcPr>
          <w:p w14:paraId="0B2FAEC2" w14:textId="77777777" w:rsidR="007F1775" w:rsidRDefault="007F1775">
            <w:pPr>
              <w:rPr>
                <w:rFonts w:ascii="宋体"/>
                <w:vanish/>
              </w:rPr>
            </w:pPr>
          </w:p>
        </w:tc>
      </w:tr>
      <w:tr w:rsidR="007F1775" w14:paraId="0B2FAECE" w14:textId="77777777">
        <w:tc>
          <w:tcPr>
            <w:tcW w:w="0" w:type="auto"/>
            <w:gridSpan w:val="3"/>
            <w:shd w:val="clear" w:color="auto" w:fill="FFFFFF"/>
            <w:tcMar>
              <w:top w:w="40" w:type="dxa"/>
              <w:left w:w="200" w:type="dxa"/>
              <w:bottom w:w="40" w:type="dxa"/>
              <w:right w:w="20" w:type="dxa"/>
            </w:tcMar>
            <w:vAlign w:val="bottom"/>
          </w:tcPr>
          <w:p w14:paraId="0B2FAEC4" w14:textId="77777777" w:rsidR="007F1775" w:rsidRDefault="000F083E">
            <w:pPr>
              <w:textAlignment w:val="bottom"/>
            </w:pPr>
            <w:r>
              <w:rPr>
                <w:rFonts w:ascii="Times New Roman" w:eastAsia="宋体" w:hAnsi="Times New Roman"/>
                <w:color w:val="000000"/>
                <w:sz w:val="20"/>
                <w:szCs w:val="20"/>
              </w:rPr>
              <w:t xml:space="preserve">Family of Apps </w:t>
            </w:r>
          </w:p>
        </w:tc>
        <w:tc>
          <w:tcPr>
            <w:tcW w:w="0" w:type="auto"/>
            <w:shd w:val="clear" w:color="auto" w:fill="FFFFFF"/>
            <w:tcMar>
              <w:top w:w="40" w:type="dxa"/>
              <w:left w:w="20" w:type="dxa"/>
              <w:bottom w:w="40" w:type="dxa"/>
              <w:right w:w="0" w:type="dxa"/>
            </w:tcMar>
            <w:vAlign w:val="bottom"/>
          </w:tcPr>
          <w:p w14:paraId="0B2FAEC5"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EC6" w14:textId="77777777" w:rsidR="007F1775" w:rsidRDefault="000F083E">
            <w:pPr>
              <w:jc w:val="right"/>
              <w:textAlignment w:val="bottom"/>
            </w:pPr>
            <w:r>
              <w:rPr>
                <w:rFonts w:ascii="Times New Roman" w:eastAsia="宋体" w:hAnsi="Times New Roman"/>
                <w:color w:val="000000"/>
                <w:sz w:val="20"/>
                <w:szCs w:val="20"/>
              </w:rPr>
              <w:t>27,213 </w:t>
            </w:r>
          </w:p>
        </w:tc>
        <w:tc>
          <w:tcPr>
            <w:tcW w:w="0" w:type="auto"/>
            <w:shd w:val="clear" w:color="auto" w:fill="FFFFFF"/>
            <w:tcMar>
              <w:top w:w="40" w:type="dxa"/>
              <w:left w:w="0" w:type="dxa"/>
              <w:bottom w:w="40" w:type="dxa"/>
              <w:right w:w="20" w:type="dxa"/>
            </w:tcMar>
            <w:vAlign w:val="bottom"/>
          </w:tcPr>
          <w:p w14:paraId="0B2FAEC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EC8"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AEC9"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AECA" w14:textId="77777777" w:rsidR="007F1775" w:rsidRDefault="000F083E">
            <w:pPr>
              <w:jc w:val="right"/>
              <w:textAlignment w:val="bottom"/>
            </w:pPr>
            <w:r>
              <w:rPr>
                <w:rFonts w:ascii="Times New Roman" w:eastAsia="宋体" w:hAnsi="Times New Roman"/>
                <w:color w:val="000000"/>
                <w:sz w:val="20"/>
                <w:szCs w:val="20"/>
              </w:rPr>
              <w:t>25,637 </w:t>
            </w:r>
          </w:p>
        </w:tc>
        <w:tc>
          <w:tcPr>
            <w:tcW w:w="0" w:type="auto"/>
            <w:shd w:val="clear" w:color="auto" w:fill="FFFFFF"/>
            <w:tcMar>
              <w:top w:w="40" w:type="dxa"/>
              <w:left w:w="0" w:type="dxa"/>
              <w:bottom w:w="40" w:type="dxa"/>
              <w:right w:w="20" w:type="dxa"/>
            </w:tcMar>
            <w:vAlign w:val="bottom"/>
          </w:tcPr>
          <w:p w14:paraId="0B2FAECB" w14:textId="77777777" w:rsidR="007F1775" w:rsidRDefault="007F1775">
            <w:pPr>
              <w:jc w:val="right"/>
              <w:rPr>
                <w:rFonts w:ascii="宋体"/>
              </w:rPr>
            </w:pPr>
          </w:p>
        </w:tc>
        <w:tc>
          <w:tcPr>
            <w:tcW w:w="0" w:type="auto"/>
            <w:shd w:val="clear" w:color="auto" w:fill="auto"/>
            <w:vAlign w:val="bottom"/>
          </w:tcPr>
          <w:p w14:paraId="0B2FAECC" w14:textId="77777777" w:rsidR="007F1775" w:rsidRDefault="007F1775">
            <w:pPr>
              <w:rPr>
                <w:rFonts w:ascii="宋体"/>
                <w:vanish/>
              </w:rPr>
            </w:pPr>
          </w:p>
        </w:tc>
        <w:tc>
          <w:tcPr>
            <w:tcW w:w="0" w:type="auto"/>
            <w:shd w:val="clear" w:color="auto" w:fill="auto"/>
            <w:vAlign w:val="bottom"/>
          </w:tcPr>
          <w:p w14:paraId="0B2FAECD" w14:textId="77777777" w:rsidR="007F1775" w:rsidRDefault="007F1775">
            <w:pPr>
              <w:rPr>
                <w:rFonts w:ascii="宋体"/>
                <w:vanish/>
              </w:rPr>
            </w:pPr>
          </w:p>
        </w:tc>
      </w:tr>
      <w:tr w:rsidR="007F1775" w14:paraId="0B2FAED7" w14:textId="77777777">
        <w:tc>
          <w:tcPr>
            <w:tcW w:w="0" w:type="auto"/>
            <w:gridSpan w:val="3"/>
            <w:shd w:val="clear" w:color="auto" w:fill="CCEEFF"/>
            <w:tcMar>
              <w:top w:w="40" w:type="dxa"/>
              <w:left w:w="200" w:type="dxa"/>
              <w:bottom w:w="40" w:type="dxa"/>
              <w:right w:w="20" w:type="dxa"/>
            </w:tcMar>
            <w:vAlign w:val="bottom"/>
          </w:tcPr>
          <w:p w14:paraId="0B2FAECF" w14:textId="77777777" w:rsidR="007F1775" w:rsidRDefault="000F083E">
            <w:pPr>
              <w:textAlignment w:val="bottom"/>
            </w:pPr>
            <w:r>
              <w:rPr>
                <w:rFonts w:ascii="Times New Roman" w:eastAsia="宋体" w:hAnsi="Times New Roman"/>
                <w:color w:val="000000"/>
                <w:sz w:val="20"/>
                <w:szCs w:val="20"/>
              </w:rPr>
              <w:t>Reality Labs</w:t>
            </w:r>
          </w:p>
        </w:tc>
        <w:tc>
          <w:tcPr>
            <w:tcW w:w="0" w:type="auto"/>
            <w:gridSpan w:val="2"/>
            <w:shd w:val="clear" w:color="auto" w:fill="CCEEFF"/>
            <w:tcMar>
              <w:top w:w="40" w:type="dxa"/>
              <w:left w:w="20" w:type="dxa"/>
              <w:bottom w:w="40" w:type="dxa"/>
              <w:right w:w="0" w:type="dxa"/>
            </w:tcMar>
            <w:vAlign w:val="bottom"/>
          </w:tcPr>
          <w:p w14:paraId="0B2FAED0" w14:textId="77777777" w:rsidR="007F1775" w:rsidRDefault="000F083E">
            <w:pPr>
              <w:jc w:val="right"/>
              <w:textAlignment w:val="bottom"/>
            </w:pPr>
            <w:r>
              <w:rPr>
                <w:rFonts w:ascii="Times New Roman" w:eastAsia="宋体" w:hAnsi="Times New Roman"/>
                <w:color w:val="000000"/>
                <w:sz w:val="20"/>
                <w:szCs w:val="20"/>
              </w:rPr>
              <w:t>695 </w:t>
            </w:r>
          </w:p>
        </w:tc>
        <w:tc>
          <w:tcPr>
            <w:tcW w:w="0" w:type="auto"/>
            <w:shd w:val="clear" w:color="auto" w:fill="CCEEFF"/>
            <w:tcMar>
              <w:top w:w="40" w:type="dxa"/>
              <w:left w:w="0" w:type="dxa"/>
              <w:bottom w:w="40" w:type="dxa"/>
              <w:right w:w="20" w:type="dxa"/>
            </w:tcMar>
            <w:vAlign w:val="bottom"/>
          </w:tcPr>
          <w:p w14:paraId="0B2FAED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ED2"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AED3" w14:textId="77777777" w:rsidR="007F1775" w:rsidRDefault="000F083E">
            <w:pPr>
              <w:jc w:val="right"/>
              <w:textAlignment w:val="bottom"/>
            </w:pPr>
            <w:r>
              <w:rPr>
                <w:rFonts w:ascii="Times New Roman" w:eastAsia="宋体" w:hAnsi="Times New Roman"/>
                <w:color w:val="000000"/>
                <w:sz w:val="20"/>
                <w:szCs w:val="20"/>
              </w:rPr>
              <w:t>534 </w:t>
            </w:r>
          </w:p>
        </w:tc>
        <w:tc>
          <w:tcPr>
            <w:tcW w:w="0" w:type="auto"/>
            <w:shd w:val="clear" w:color="auto" w:fill="CCEEFF"/>
            <w:tcMar>
              <w:top w:w="40" w:type="dxa"/>
              <w:left w:w="0" w:type="dxa"/>
              <w:bottom w:w="40" w:type="dxa"/>
              <w:right w:w="20" w:type="dxa"/>
            </w:tcMar>
            <w:vAlign w:val="bottom"/>
          </w:tcPr>
          <w:p w14:paraId="0B2FAED4" w14:textId="77777777" w:rsidR="007F1775" w:rsidRDefault="007F1775">
            <w:pPr>
              <w:jc w:val="right"/>
              <w:rPr>
                <w:rFonts w:ascii="宋体"/>
              </w:rPr>
            </w:pPr>
          </w:p>
        </w:tc>
        <w:tc>
          <w:tcPr>
            <w:tcW w:w="0" w:type="auto"/>
            <w:shd w:val="clear" w:color="auto" w:fill="auto"/>
            <w:vAlign w:val="bottom"/>
          </w:tcPr>
          <w:p w14:paraId="0B2FAED5" w14:textId="77777777" w:rsidR="007F1775" w:rsidRDefault="007F1775">
            <w:pPr>
              <w:rPr>
                <w:rFonts w:ascii="宋体"/>
                <w:vanish/>
              </w:rPr>
            </w:pPr>
          </w:p>
        </w:tc>
        <w:tc>
          <w:tcPr>
            <w:tcW w:w="0" w:type="auto"/>
            <w:shd w:val="clear" w:color="auto" w:fill="auto"/>
            <w:vAlign w:val="bottom"/>
          </w:tcPr>
          <w:p w14:paraId="0B2FAED6" w14:textId="77777777" w:rsidR="007F1775" w:rsidRDefault="007F1775">
            <w:pPr>
              <w:rPr>
                <w:rFonts w:ascii="宋体"/>
                <w:vanish/>
              </w:rPr>
            </w:pPr>
          </w:p>
        </w:tc>
      </w:tr>
      <w:tr w:rsidR="007F1775" w14:paraId="0B2FAEE2" w14:textId="77777777">
        <w:tc>
          <w:tcPr>
            <w:tcW w:w="0" w:type="auto"/>
            <w:gridSpan w:val="3"/>
            <w:shd w:val="clear" w:color="auto" w:fill="FFFFFF"/>
            <w:tcMar>
              <w:top w:w="40" w:type="dxa"/>
              <w:left w:w="380" w:type="dxa"/>
              <w:bottom w:w="40" w:type="dxa"/>
              <w:right w:w="20" w:type="dxa"/>
            </w:tcMar>
            <w:vAlign w:val="bottom"/>
          </w:tcPr>
          <w:p w14:paraId="0B2FAED8" w14:textId="77777777" w:rsidR="007F1775" w:rsidRDefault="000F083E">
            <w:pPr>
              <w:textAlignment w:val="bottom"/>
            </w:pPr>
            <w:r>
              <w:rPr>
                <w:rFonts w:ascii="Times New Roman" w:eastAsia="宋体" w:hAnsi="Times New Roman"/>
                <w:color w:val="000000"/>
                <w:sz w:val="20"/>
                <w:szCs w:val="20"/>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B2FAED9"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AEDA" w14:textId="77777777" w:rsidR="007F1775" w:rsidRDefault="000F083E">
            <w:pPr>
              <w:jc w:val="right"/>
              <w:textAlignment w:val="bottom"/>
            </w:pPr>
            <w:r>
              <w:rPr>
                <w:rFonts w:ascii="Times New Roman" w:eastAsia="宋体" w:hAnsi="Times New Roman"/>
                <w:color w:val="000000"/>
                <w:sz w:val="20"/>
                <w:szCs w:val="20"/>
              </w:rPr>
              <w:t>27,908 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ED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EDC" w14:textId="77777777" w:rsidR="007F1775" w:rsidRDefault="007F177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B2FAEDD"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B2FAEDE" w14:textId="77777777" w:rsidR="007F1775" w:rsidRDefault="000F083E">
            <w:pPr>
              <w:jc w:val="right"/>
              <w:textAlignment w:val="bottom"/>
            </w:pPr>
            <w:r>
              <w:rPr>
                <w:rFonts w:ascii="Times New Roman" w:eastAsia="宋体" w:hAnsi="Times New Roman"/>
                <w:color w:val="000000"/>
                <w:sz w:val="20"/>
                <w:szCs w:val="20"/>
              </w:rPr>
              <w:t>26,171 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AEDF" w14:textId="77777777" w:rsidR="007F1775" w:rsidRDefault="007F1775">
            <w:pPr>
              <w:jc w:val="right"/>
              <w:rPr>
                <w:rFonts w:ascii="宋体"/>
              </w:rPr>
            </w:pPr>
          </w:p>
        </w:tc>
        <w:tc>
          <w:tcPr>
            <w:tcW w:w="0" w:type="auto"/>
            <w:shd w:val="clear" w:color="auto" w:fill="auto"/>
            <w:vAlign w:val="bottom"/>
          </w:tcPr>
          <w:p w14:paraId="0B2FAEE0" w14:textId="77777777" w:rsidR="007F1775" w:rsidRDefault="007F1775">
            <w:pPr>
              <w:rPr>
                <w:rFonts w:ascii="宋体"/>
                <w:vanish/>
              </w:rPr>
            </w:pPr>
          </w:p>
        </w:tc>
        <w:tc>
          <w:tcPr>
            <w:tcW w:w="0" w:type="auto"/>
            <w:shd w:val="clear" w:color="auto" w:fill="auto"/>
            <w:vAlign w:val="bottom"/>
          </w:tcPr>
          <w:p w14:paraId="0B2FAEE1" w14:textId="77777777" w:rsidR="007F1775" w:rsidRDefault="007F1775">
            <w:pPr>
              <w:rPr>
                <w:rFonts w:ascii="宋体"/>
                <w:vanish/>
              </w:rPr>
            </w:pPr>
          </w:p>
        </w:tc>
      </w:tr>
      <w:tr w:rsidR="007F1775" w14:paraId="0B2FAEE9" w14:textId="77777777">
        <w:trPr>
          <w:trHeight w:val="300"/>
        </w:trPr>
        <w:tc>
          <w:tcPr>
            <w:tcW w:w="0" w:type="auto"/>
            <w:gridSpan w:val="3"/>
            <w:shd w:val="clear" w:color="auto" w:fill="CCEEFF"/>
            <w:tcMar>
              <w:top w:w="0" w:type="dxa"/>
              <w:left w:w="20" w:type="dxa"/>
              <w:bottom w:w="0" w:type="dxa"/>
              <w:right w:w="20" w:type="dxa"/>
            </w:tcMar>
            <w:vAlign w:val="bottom"/>
          </w:tcPr>
          <w:p w14:paraId="0B2FAEE3" w14:textId="77777777" w:rsidR="007F1775" w:rsidRDefault="007F177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B2FAEE4" w14:textId="77777777" w:rsidR="007F1775" w:rsidRDefault="007F1775">
            <w:pPr>
              <w:rPr>
                <w:rFonts w:ascii="宋体"/>
              </w:rPr>
            </w:pPr>
          </w:p>
        </w:tc>
        <w:tc>
          <w:tcPr>
            <w:tcW w:w="0" w:type="auto"/>
            <w:gridSpan w:val="3"/>
            <w:shd w:val="clear" w:color="auto" w:fill="CCEEFF"/>
            <w:tcMar>
              <w:top w:w="0" w:type="dxa"/>
              <w:left w:w="20" w:type="dxa"/>
              <w:bottom w:w="0" w:type="dxa"/>
              <w:right w:w="20" w:type="dxa"/>
            </w:tcMar>
            <w:vAlign w:val="bottom"/>
          </w:tcPr>
          <w:p w14:paraId="0B2FAEE5" w14:textId="77777777" w:rsidR="007F1775" w:rsidRDefault="007F1775">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B2FAEE6" w14:textId="77777777" w:rsidR="007F1775" w:rsidRDefault="007F1775">
            <w:pPr>
              <w:rPr>
                <w:rFonts w:ascii="宋体"/>
              </w:rPr>
            </w:pPr>
          </w:p>
        </w:tc>
        <w:tc>
          <w:tcPr>
            <w:tcW w:w="0" w:type="auto"/>
            <w:shd w:val="clear" w:color="auto" w:fill="auto"/>
            <w:vAlign w:val="bottom"/>
          </w:tcPr>
          <w:p w14:paraId="0B2FAEE7" w14:textId="77777777" w:rsidR="007F1775" w:rsidRDefault="007F1775">
            <w:pPr>
              <w:rPr>
                <w:rFonts w:ascii="宋体"/>
                <w:vanish/>
              </w:rPr>
            </w:pPr>
          </w:p>
        </w:tc>
        <w:tc>
          <w:tcPr>
            <w:tcW w:w="0" w:type="auto"/>
            <w:shd w:val="clear" w:color="auto" w:fill="auto"/>
            <w:vAlign w:val="bottom"/>
          </w:tcPr>
          <w:p w14:paraId="0B2FAEE8" w14:textId="77777777" w:rsidR="007F1775" w:rsidRDefault="007F1775">
            <w:pPr>
              <w:rPr>
                <w:rFonts w:ascii="宋体"/>
                <w:vanish/>
              </w:rPr>
            </w:pPr>
          </w:p>
        </w:tc>
      </w:tr>
      <w:tr w:rsidR="007F1775" w14:paraId="0B2FAEF0" w14:textId="77777777">
        <w:tc>
          <w:tcPr>
            <w:tcW w:w="0" w:type="auto"/>
            <w:gridSpan w:val="3"/>
            <w:shd w:val="clear" w:color="auto" w:fill="FFFFFF"/>
            <w:tcMar>
              <w:top w:w="40" w:type="dxa"/>
              <w:left w:w="20" w:type="dxa"/>
              <w:bottom w:w="40" w:type="dxa"/>
              <w:right w:w="20" w:type="dxa"/>
            </w:tcMar>
            <w:vAlign w:val="bottom"/>
          </w:tcPr>
          <w:p w14:paraId="0B2FAEEA" w14:textId="77777777" w:rsidR="007F1775" w:rsidRDefault="000F083E">
            <w:pPr>
              <w:textAlignment w:val="bottom"/>
            </w:pPr>
            <w:r>
              <w:rPr>
                <w:rFonts w:ascii="Times New Roman" w:eastAsia="宋体" w:hAnsi="Times New Roman"/>
                <w:color w:val="000000"/>
                <w:sz w:val="20"/>
                <w:szCs w:val="20"/>
              </w:rPr>
              <w:t>Income (loss) from operations:</w:t>
            </w:r>
          </w:p>
        </w:tc>
        <w:tc>
          <w:tcPr>
            <w:tcW w:w="0" w:type="auto"/>
            <w:gridSpan w:val="3"/>
            <w:shd w:val="clear" w:color="auto" w:fill="FFFFFF"/>
            <w:tcMar>
              <w:top w:w="0" w:type="dxa"/>
              <w:left w:w="20" w:type="dxa"/>
              <w:bottom w:w="0" w:type="dxa"/>
              <w:right w:w="20" w:type="dxa"/>
            </w:tcMar>
            <w:vAlign w:val="bottom"/>
          </w:tcPr>
          <w:p w14:paraId="0B2FAEEB"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EEC"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AEED" w14:textId="77777777" w:rsidR="007F1775" w:rsidRDefault="007F1775">
            <w:pPr>
              <w:rPr>
                <w:rFonts w:ascii="宋体"/>
              </w:rPr>
            </w:pPr>
          </w:p>
        </w:tc>
        <w:tc>
          <w:tcPr>
            <w:tcW w:w="0" w:type="auto"/>
            <w:shd w:val="clear" w:color="auto" w:fill="auto"/>
            <w:vAlign w:val="bottom"/>
          </w:tcPr>
          <w:p w14:paraId="0B2FAEEE" w14:textId="77777777" w:rsidR="007F1775" w:rsidRDefault="007F1775">
            <w:pPr>
              <w:rPr>
                <w:rFonts w:ascii="宋体"/>
                <w:vanish/>
              </w:rPr>
            </w:pPr>
          </w:p>
        </w:tc>
        <w:tc>
          <w:tcPr>
            <w:tcW w:w="0" w:type="auto"/>
            <w:shd w:val="clear" w:color="auto" w:fill="auto"/>
            <w:vAlign w:val="bottom"/>
          </w:tcPr>
          <w:p w14:paraId="0B2FAEEF" w14:textId="77777777" w:rsidR="007F1775" w:rsidRDefault="007F1775">
            <w:pPr>
              <w:rPr>
                <w:rFonts w:ascii="宋体"/>
                <w:vanish/>
              </w:rPr>
            </w:pPr>
          </w:p>
        </w:tc>
      </w:tr>
      <w:tr w:rsidR="007F1775" w14:paraId="0B2FAEFB" w14:textId="77777777">
        <w:tc>
          <w:tcPr>
            <w:tcW w:w="0" w:type="auto"/>
            <w:gridSpan w:val="3"/>
            <w:shd w:val="clear" w:color="auto" w:fill="CCEEFF"/>
            <w:tcMar>
              <w:top w:w="40" w:type="dxa"/>
              <w:left w:w="200" w:type="dxa"/>
              <w:bottom w:w="40" w:type="dxa"/>
              <w:right w:w="20" w:type="dxa"/>
            </w:tcMar>
            <w:vAlign w:val="bottom"/>
          </w:tcPr>
          <w:p w14:paraId="0B2FAEF1" w14:textId="77777777" w:rsidR="007F1775" w:rsidRDefault="000F083E">
            <w:pPr>
              <w:textAlignment w:val="bottom"/>
            </w:pPr>
            <w:r>
              <w:rPr>
                <w:rFonts w:ascii="Times New Roman" w:eastAsia="宋体" w:hAnsi="Times New Roman"/>
                <w:color w:val="000000"/>
                <w:sz w:val="20"/>
                <w:szCs w:val="20"/>
              </w:rPr>
              <w:t>Family of Apps</w:t>
            </w:r>
          </w:p>
        </w:tc>
        <w:tc>
          <w:tcPr>
            <w:tcW w:w="0" w:type="auto"/>
            <w:shd w:val="clear" w:color="auto" w:fill="CCEEFF"/>
            <w:tcMar>
              <w:top w:w="40" w:type="dxa"/>
              <w:left w:w="20" w:type="dxa"/>
              <w:bottom w:w="40" w:type="dxa"/>
              <w:right w:w="0" w:type="dxa"/>
            </w:tcMar>
            <w:vAlign w:val="bottom"/>
          </w:tcPr>
          <w:p w14:paraId="0B2FAEF2"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EF3" w14:textId="77777777" w:rsidR="007F1775" w:rsidRDefault="000F083E">
            <w:pPr>
              <w:jc w:val="right"/>
              <w:textAlignment w:val="bottom"/>
            </w:pPr>
            <w:r>
              <w:rPr>
                <w:rFonts w:ascii="Times New Roman" w:eastAsia="宋体" w:hAnsi="Times New Roman"/>
                <w:color w:val="000000"/>
                <w:sz w:val="20"/>
                <w:szCs w:val="20"/>
              </w:rPr>
              <w:t>11,484 </w:t>
            </w:r>
          </w:p>
        </w:tc>
        <w:tc>
          <w:tcPr>
            <w:tcW w:w="0" w:type="auto"/>
            <w:shd w:val="clear" w:color="auto" w:fill="CCEEFF"/>
            <w:tcMar>
              <w:top w:w="40" w:type="dxa"/>
              <w:left w:w="0" w:type="dxa"/>
              <w:bottom w:w="40" w:type="dxa"/>
              <w:right w:w="20" w:type="dxa"/>
            </w:tcMar>
            <w:vAlign w:val="bottom"/>
          </w:tcPr>
          <w:p w14:paraId="0B2FAEF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EF5"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EF6"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AEF7" w14:textId="77777777" w:rsidR="007F1775" w:rsidRDefault="000F083E">
            <w:pPr>
              <w:jc w:val="right"/>
              <w:textAlignment w:val="bottom"/>
            </w:pPr>
            <w:r>
              <w:rPr>
                <w:rFonts w:ascii="Times New Roman" w:eastAsia="宋体" w:hAnsi="Times New Roman"/>
                <w:color w:val="000000"/>
                <w:sz w:val="20"/>
                <w:szCs w:val="20"/>
              </w:rPr>
              <w:t>13,205 </w:t>
            </w:r>
          </w:p>
        </w:tc>
        <w:tc>
          <w:tcPr>
            <w:tcW w:w="0" w:type="auto"/>
            <w:shd w:val="clear" w:color="auto" w:fill="CCEEFF"/>
            <w:tcMar>
              <w:top w:w="40" w:type="dxa"/>
              <w:left w:w="0" w:type="dxa"/>
              <w:bottom w:w="40" w:type="dxa"/>
              <w:right w:w="20" w:type="dxa"/>
            </w:tcMar>
            <w:vAlign w:val="bottom"/>
          </w:tcPr>
          <w:p w14:paraId="0B2FAEF8" w14:textId="77777777" w:rsidR="007F1775" w:rsidRDefault="007F1775">
            <w:pPr>
              <w:jc w:val="right"/>
              <w:rPr>
                <w:rFonts w:ascii="宋体"/>
              </w:rPr>
            </w:pPr>
          </w:p>
        </w:tc>
        <w:tc>
          <w:tcPr>
            <w:tcW w:w="0" w:type="auto"/>
            <w:shd w:val="clear" w:color="auto" w:fill="auto"/>
            <w:vAlign w:val="bottom"/>
          </w:tcPr>
          <w:p w14:paraId="0B2FAEF9" w14:textId="77777777" w:rsidR="007F1775" w:rsidRDefault="007F1775">
            <w:pPr>
              <w:rPr>
                <w:rFonts w:ascii="宋体"/>
                <w:vanish/>
              </w:rPr>
            </w:pPr>
          </w:p>
        </w:tc>
        <w:tc>
          <w:tcPr>
            <w:tcW w:w="0" w:type="auto"/>
            <w:shd w:val="clear" w:color="auto" w:fill="auto"/>
            <w:vAlign w:val="bottom"/>
          </w:tcPr>
          <w:p w14:paraId="0B2FAEFA" w14:textId="77777777" w:rsidR="007F1775" w:rsidRDefault="007F1775">
            <w:pPr>
              <w:rPr>
                <w:rFonts w:ascii="宋体"/>
                <w:vanish/>
              </w:rPr>
            </w:pPr>
          </w:p>
        </w:tc>
      </w:tr>
      <w:tr w:rsidR="007F1775" w14:paraId="0B2FAF04" w14:textId="77777777">
        <w:tc>
          <w:tcPr>
            <w:tcW w:w="0" w:type="auto"/>
            <w:gridSpan w:val="3"/>
            <w:shd w:val="clear" w:color="auto" w:fill="FFFFFF"/>
            <w:tcMar>
              <w:top w:w="40" w:type="dxa"/>
              <w:left w:w="200" w:type="dxa"/>
              <w:bottom w:w="40" w:type="dxa"/>
              <w:right w:w="20" w:type="dxa"/>
            </w:tcMar>
            <w:vAlign w:val="bottom"/>
          </w:tcPr>
          <w:p w14:paraId="0B2FAEFC" w14:textId="77777777" w:rsidR="007F1775" w:rsidRDefault="000F083E">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0B2FAEFD" w14:textId="77777777" w:rsidR="007F1775" w:rsidRDefault="000F083E">
            <w:pPr>
              <w:jc w:val="right"/>
              <w:textAlignment w:val="bottom"/>
            </w:pPr>
            <w:r>
              <w:rPr>
                <w:rFonts w:ascii="Times New Roman" w:eastAsia="宋体" w:hAnsi="Times New Roman"/>
                <w:color w:val="000000"/>
                <w:sz w:val="20"/>
                <w:szCs w:val="20"/>
              </w:rPr>
              <w:t>(2,960)</w:t>
            </w:r>
          </w:p>
        </w:tc>
        <w:tc>
          <w:tcPr>
            <w:tcW w:w="0" w:type="auto"/>
            <w:shd w:val="clear" w:color="auto" w:fill="FFFFFF"/>
            <w:tcMar>
              <w:top w:w="40" w:type="dxa"/>
              <w:left w:w="0" w:type="dxa"/>
              <w:bottom w:w="40" w:type="dxa"/>
              <w:right w:w="20" w:type="dxa"/>
            </w:tcMar>
            <w:vAlign w:val="bottom"/>
          </w:tcPr>
          <w:p w14:paraId="0B2FAEF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AEF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AF00" w14:textId="77777777" w:rsidR="007F1775" w:rsidRDefault="000F083E">
            <w:pPr>
              <w:jc w:val="right"/>
              <w:textAlignment w:val="bottom"/>
            </w:pPr>
            <w:r>
              <w:rPr>
                <w:rFonts w:ascii="Times New Roman" w:eastAsia="宋体" w:hAnsi="Times New Roman"/>
                <w:color w:val="000000"/>
                <w:sz w:val="20"/>
                <w:szCs w:val="20"/>
              </w:rPr>
              <w:t>(1,827)</w:t>
            </w:r>
          </w:p>
        </w:tc>
        <w:tc>
          <w:tcPr>
            <w:tcW w:w="0" w:type="auto"/>
            <w:shd w:val="clear" w:color="auto" w:fill="FFFFFF"/>
            <w:tcMar>
              <w:top w:w="40" w:type="dxa"/>
              <w:left w:w="0" w:type="dxa"/>
              <w:bottom w:w="40" w:type="dxa"/>
              <w:right w:w="20" w:type="dxa"/>
            </w:tcMar>
            <w:vAlign w:val="bottom"/>
          </w:tcPr>
          <w:p w14:paraId="0B2FAF01" w14:textId="77777777" w:rsidR="007F1775" w:rsidRDefault="007F1775">
            <w:pPr>
              <w:jc w:val="right"/>
              <w:rPr>
                <w:rFonts w:ascii="宋体"/>
              </w:rPr>
            </w:pPr>
          </w:p>
        </w:tc>
        <w:tc>
          <w:tcPr>
            <w:tcW w:w="0" w:type="auto"/>
            <w:shd w:val="clear" w:color="auto" w:fill="auto"/>
            <w:vAlign w:val="bottom"/>
          </w:tcPr>
          <w:p w14:paraId="0B2FAF02" w14:textId="77777777" w:rsidR="007F1775" w:rsidRDefault="007F1775">
            <w:pPr>
              <w:rPr>
                <w:rFonts w:ascii="宋体"/>
                <w:vanish/>
              </w:rPr>
            </w:pPr>
          </w:p>
        </w:tc>
        <w:tc>
          <w:tcPr>
            <w:tcW w:w="0" w:type="auto"/>
            <w:shd w:val="clear" w:color="auto" w:fill="auto"/>
            <w:vAlign w:val="bottom"/>
          </w:tcPr>
          <w:p w14:paraId="0B2FAF03" w14:textId="77777777" w:rsidR="007F1775" w:rsidRDefault="007F1775">
            <w:pPr>
              <w:rPr>
                <w:rFonts w:ascii="宋体"/>
                <w:vanish/>
              </w:rPr>
            </w:pPr>
          </w:p>
        </w:tc>
      </w:tr>
      <w:tr w:rsidR="007F1775" w14:paraId="0B2FAF0F" w14:textId="77777777">
        <w:tc>
          <w:tcPr>
            <w:tcW w:w="0" w:type="auto"/>
            <w:gridSpan w:val="3"/>
            <w:shd w:val="clear" w:color="auto" w:fill="CCEEFF"/>
            <w:tcMar>
              <w:top w:w="40" w:type="dxa"/>
              <w:left w:w="380" w:type="dxa"/>
              <w:bottom w:w="40" w:type="dxa"/>
              <w:right w:w="20" w:type="dxa"/>
            </w:tcMar>
            <w:vAlign w:val="bottom"/>
          </w:tcPr>
          <w:p w14:paraId="0B2FAF05" w14:textId="77777777" w:rsidR="007F1775" w:rsidRDefault="000F083E">
            <w:pPr>
              <w:textAlignment w:val="bottom"/>
            </w:pPr>
            <w:r>
              <w:rPr>
                <w:rFonts w:ascii="Times New Roman" w:eastAsia="宋体" w:hAnsi="Times New Roman"/>
                <w:color w:val="000000"/>
                <w:sz w:val="20"/>
                <w:szCs w:val="20"/>
              </w:rPr>
              <w:t xml:space="preserve">Total income from </w:t>
            </w:r>
            <w:r>
              <w:rPr>
                <w:rFonts w:ascii="Times New Roman" w:eastAsia="宋体" w:hAnsi="Times New Roman"/>
                <w:color w:val="000000"/>
                <w:sz w:val="20"/>
                <w:szCs w:val="20"/>
              </w:rPr>
              <w:t>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F06"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F07" w14:textId="77777777" w:rsidR="007F1775" w:rsidRDefault="000F083E">
            <w:pPr>
              <w:jc w:val="right"/>
              <w:textAlignment w:val="bottom"/>
            </w:pPr>
            <w:r>
              <w:rPr>
                <w:rFonts w:ascii="Times New Roman" w:eastAsia="宋体" w:hAnsi="Times New Roman"/>
                <w:color w:val="000000"/>
                <w:sz w:val="20"/>
                <w:szCs w:val="20"/>
              </w:rPr>
              <w:t>8,524 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F0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F09"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F0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F0B" w14:textId="77777777" w:rsidR="007F1775" w:rsidRDefault="000F083E">
            <w:pPr>
              <w:jc w:val="right"/>
              <w:textAlignment w:val="bottom"/>
            </w:pPr>
            <w:r>
              <w:rPr>
                <w:rFonts w:ascii="Times New Roman" w:eastAsia="宋体" w:hAnsi="Times New Roman"/>
                <w:color w:val="000000"/>
                <w:sz w:val="20"/>
                <w:szCs w:val="20"/>
              </w:rPr>
              <w:t>11,378 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F0C" w14:textId="77777777" w:rsidR="007F1775" w:rsidRDefault="007F1775">
            <w:pPr>
              <w:jc w:val="right"/>
              <w:rPr>
                <w:rFonts w:ascii="宋体"/>
              </w:rPr>
            </w:pPr>
          </w:p>
        </w:tc>
        <w:tc>
          <w:tcPr>
            <w:tcW w:w="0" w:type="auto"/>
            <w:shd w:val="clear" w:color="auto" w:fill="auto"/>
            <w:vAlign w:val="bottom"/>
          </w:tcPr>
          <w:p w14:paraId="0B2FAF0D" w14:textId="77777777" w:rsidR="007F1775" w:rsidRDefault="007F1775">
            <w:pPr>
              <w:rPr>
                <w:rFonts w:ascii="宋体"/>
                <w:vanish/>
              </w:rPr>
            </w:pPr>
          </w:p>
        </w:tc>
        <w:tc>
          <w:tcPr>
            <w:tcW w:w="0" w:type="auto"/>
            <w:shd w:val="clear" w:color="auto" w:fill="auto"/>
            <w:vAlign w:val="bottom"/>
          </w:tcPr>
          <w:p w14:paraId="0B2FAF0E" w14:textId="77777777" w:rsidR="007F1775" w:rsidRDefault="007F1775">
            <w:pPr>
              <w:rPr>
                <w:rFonts w:ascii="宋体"/>
                <w:vanish/>
              </w:rPr>
            </w:pPr>
          </w:p>
        </w:tc>
      </w:tr>
    </w:tbl>
    <w:p w14:paraId="0B2FAF10" w14:textId="77777777" w:rsidR="007F1775" w:rsidRDefault="007F1775">
      <w:pPr>
        <w:ind w:firstLine="540"/>
        <w:jc w:val="both"/>
      </w:pPr>
    </w:p>
    <w:p w14:paraId="0B2FAF11" w14:textId="77777777" w:rsidR="007F1775" w:rsidRDefault="000F083E">
      <w:pPr>
        <w:ind w:firstLine="540"/>
        <w:jc w:val="both"/>
      </w:pPr>
      <w:r>
        <w:rPr>
          <w:rFonts w:ascii="Times New Roman" w:eastAsia="宋体" w:hAnsi="Times New Roman"/>
          <w:color w:val="000000"/>
          <w:sz w:val="20"/>
          <w:szCs w:val="20"/>
          <w:shd w:val="clear" w:color="auto" w:fill="FFFFFF"/>
        </w:rPr>
        <w:t>For information regarding revenue disaggregated by geography, see Note 2 — Revenue.</w:t>
      </w:r>
    </w:p>
    <w:p w14:paraId="0B2FAF12" w14:textId="77777777" w:rsidR="007F1775" w:rsidRDefault="007F1775">
      <w:pPr>
        <w:ind w:firstLine="540"/>
        <w:jc w:val="both"/>
      </w:pPr>
    </w:p>
    <w:p w14:paraId="0B2FAF13" w14:textId="77777777" w:rsidR="007F1775" w:rsidRDefault="000F083E">
      <w:pPr>
        <w:ind w:firstLine="540"/>
        <w:jc w:val="both"/>
      </w:pPr>
      <w:r>
        <w:rPr>
          <w:rFonts w:ascii="Times New Roman" w:eastAsia="宋体" w:hAnsi="Times New Roman"/>
          <w:color w:val="000000"/>
          <w:sz w:val="20"/>
          <w:szCs w:val="20"/>
        </w:rPr>
        <w:t xml:space="preserve">The following table sets forth our long-lived assets by geographic area, which consist of property and equipment, net and </w:t>
      </w:r>
      <w:r>
        <w:rPr>
          <w:rFonts w:ascii="Times New Roman" w:eastAsia="宋体" w:hAnsi="Times New Roman"/>
          <w:color w:val="000000"/>
          <w:sz w:val="20"/>
          <w:szCs w:val="20"/>
        </w:rPr>
        <w:t>operating lease right-of-use assets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485"/>
        <w:gridCol w:w="38"/>
        <w:gridCol w:w="120"/>
        <w:gridCol w:w="1193"/>
        <w:gridCol w:w="36"/>
        <w:gridCol w:w="36"/>
        <w:gridCol w:w="36"/>
        <w:gridCol w:w="36"/>
        <w:gridCol w:w="120"/>
        <w:gridCol w:w="1160"/>
        <w:gridCol w:w="36"/>
      </w:tblGrid>
      <w:tr w:rsidR="007F1775" w14:paraId="0B2FAF20" w14:textId="77777777">
        <w:tc>
          <w:tcPr>
            <w:tcW w:w="50" w:type="pct"/>
            <w:shd w:val="clear" w:color="auto" w:fill="auto"/>
            <w:vAlign w:val="bottom"/>
          </w:tcPr>
          <w:p w14:paraId="0B2FAF14" w14:textId="77777777" w:rsidR="007F1775" w:rsidRDefault="007F1775">
            <w:pPr>
              <w:rPr>
                <w:rFonts w:ascii="宋体"/>
              </w:rPr>
            </w:pPr>
          </w:p>
        </w:tc>
        <w:tc>
          <w:tcPr>
            <w:tcW w:w="3315" w:type="pct"/>
            <w:shd w:val="clear" w:color="auto" w:fill="auto"/>
            <w:vAlign w:val="bottom"/>
          </w:tcPr>
          <w:p w14:paraId="0B2FAF15" w14:textId="77777777" w:rsidR="007F1775" w:rsidRDefault="007F1775">
            <w:pPr>
              <w:rPr>
                <w:rFonts w:ascii="宋体"/>
              </w:rPr>
            </w:pPr>
          </w:p>
        </w:tc>
        <w:tc>
          <w:tcPr>
            <w:tcW w:w="5" w:type="pct"/>
            <w:shd w:val="clear" w:color="auto" w:fill="auto"/>
            <w:vAlign w:val="bottom"/>
          </w:tcPr>
          <w:p w14:paraId="0B2FAF16" w14:textId="77777777" w:rsidR="007F1775" w:rsidRDefault="007F1775">
            <w:pPr>
              <w:rPr>
                <w:rFonts w:ascii="宋体"/>
              </w:rPr>
            </w:pPr>
          </w:p>
        </w:tc>
        <w:tc>
          <w:tcPr>
            <w:tcW w:w="50" w:type="pct"/>
            <w:shd w:val="clear" w:color="auto" w:fill="auto"/>
            <w:vAlign w:val="bottom"/>
          </w:tcPr>
          <w:p w14:paraId="0B2FAF17" w14:textId="77777777" w:rsidR="007F1775" w:rsidRDefault="007F1775">
            <w:pPr>
              <w:rPr>
                <w:rFonts w:ascii="宋体"/>
              </w:rPr>
            </w:pPr>
          </w:p>
        </w:tc>
        <w:tc>
          <w:tcPr>
            <w:tcW w:w="741" w:type="pct"/>
            <w:shd w:val="clear" w:color="auto" w:fill="auto"/>
            <w:vAlign w:val="bottom"/>
          </w:tcPr>
          <w:p w14:paraId="0B2FAF18" w14:textId="77777777" w:rsidR="007F1775" w:rsidRDefault="007F1775">
            <w:pPr>
              <w:rPr>
                <w:rFonts w:ascii="宋体"/>
              </w:rPr>
            </w:pPr>
          </w:p>
        </w:tc>
        <w:tc>
          <w:tcPr>
            <w:tcW w:w="5" w:type="pct"/>
            <w:shd w:val="clear" w:color="auto" w:fill="auto"/>
            <w:vAlign w:val="bottom"/>
          </w:tcPr>
          <w:p w14:paraId="0B2FAF19" w14:textId="77777777" w:rsidR="007F1775" w:rsidRDefault="007F1775">
            <w:pPr>
              <w:rPr>
                <w:rFonts w:ascii="宋体"/>
              </w:rPr>
            </w:pPr>
          </w:p>
        </w:tc>
        <w:tc>
          <w:tcPr>
            <w:tcW w:w="5" w:type="pct"/>
            <w:shd w:val="clear" w:color="auto" w:fill="auto"/>
            <w:vAlign w:val="bottom"/>
          </w:tcPr>
          <w:p w14:paraId="0B2FAF1A" w14:textId="77777777" w:rsidR="007F1775" w:rsidRDefault="007F1775">
            <w:pPr>
              <w:rPr>
                <w:rFonts w:ascii="宋体"/>
              </w:rPr>
            </w:pPr>
          </w:p>
        </w:tc>
        <w:tc>
          <w:tcPr>
            <w:tcW w:w="27" w:type="pct"/>
            <w:shd w:val="clear" w:color="auto" w:fill="auto"/>
            <w:vAlign w:val="bottom"/>
          </w:tcPr>
          <w:p w14:paraId="0B2FAF1B" w14:textId="77777777" w:rsidR="007F1775" w:rsidRDefault="007F1775">
            <w:pPr>
              <w:rPr>
                <w:rFonts w:ascii="宋体"/>
              </w:rPr>
            </w:pPr>
          </w:p>
        </w:tc>
        <w:tc>
          <w:tcPr>
            <w:tcW w:w="5" w:type="pct"/>
            <w:shd w:val="clear" w:color="auto" w:fill="auto"/>
            <w:vAlign w:val="bottom"/>
          </w:tcPr>
          <w:p w14:paraId="0B2FAF1C" w14:textId="77777777" w:rsidR="007F1775" w:rsidRDefault="007F1775">
            <w:pPr>
              <w:rPr>
                <w:rFonts w:ascii="宋体"/>
              </w:rPr>
            </w:pPr>
          </w:p>
        </w:tc>
        <w:tc>
          <w:tcPr>
            <w:tcW w:w="50" w:type="pct"/>
            <w:shd w:val="clear" w:color="auto" w:fill="auto"/>
            <w:vAlign w:val="bottom"/>
          </w:tcPr>
          <w:p w14:paraId="0B2FAF1D" w14:textId="77777777" w:rsidR="007F1775" w:rsidRDefault="007F1775">
            <w:pPr>
              <w:rPr>
                <w:rFonts w:ascii="宋体"/>
              </w:rPr>
            </w:pPr>
          </w:p>
        </w:tc>
        <w:tc>
          <w:tcPr>
            <w:tcW w:w="741" w:type="pct"/>
            <w:shd w:val="clear" w:color="auto" w:fill="auto"/>
            <w:vAlign w:val="bottom"/>
          </w:tcPr>
          <w:p w14:paraId="0B2FAF1E" w14:textId="77777777" w:rsidR="007F1775" w:rsidRDefault="007F1775">
            <w:pPr>
              <w:rPr>
                <w:rFonts w:ascii="宋体"/>
              </w:rPr>
            </w:pPr>
          </w:p>
        </w:tc>
        <w:tc>
          <w:tcPr>
            <w:tcW w:w="5" w:type="pct"/>
            <w:shd w:val="clear" w:color="auto" w:fill="auto"/>
            <w:vAlign w:val="bottom"/>
          </w:tcPr>
          <w:p w14:paraId="0B2FAF1F" w14:textId="77777777" w:rsidR="007F1775" w:rsidRDefault="007F1775">
            <w:pPr>
              <w:rPr>
                <w:rFonts w:ascii="宋体"/>
              </w:rPr>
            </w:pPr>
          </w:p>
        </w:tc>
      </w:tr>
      <w:tr w:rsidR="007F1775" w14:paraId="0B2FAF25" w14:textId="77777777">
        <w:tc>
          <w:tcPr>
            <w:tcW w:w="0" w:type="auto"/>
            <w:gridSpan w:val="3"/>
            <w:shd w:val="clear" w:color="auto" w:fill="auto"/>
            <w:tcMar>
              <w:top w:w="0" w:type="dxa"/>
              <w:left w:w="20" w:type="dxa"/>
              <w:bottom w:w="0" w:type="dxa"/>
              <w:right w:w="20" w:type="dxa"/>
            </w:tcMar>
            <w:vAlign w:val="bottom"/>
          </w:tcPr>
          <w:p w14:paraId="0B2FAF21"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F22" w14:textId="77777777" w:rsidR="007F1775" w:rsidRDefault="000F083E">
            <w:pPr>
              <w:jc w:val="center"/>
              <w:textAlignment w:val="bottom"/>
            </w:pPr>
            <w:r>
              <w:rPr>
                <w:rFonts w:ascii="Times New Roman" w:eastAsia="宋体" w:hAnsi="Times New Roman"/>
                <w:b/>
                <w:bCs/>
                <w:color w:val="000000"/>
                <w:sz w:val="16"/>
                <w:szCs w:val="16"/>
              </w:rPr>
              <w:t>March 31, 2022</w:t>
            </w:r>
          </w:p>
        </w:tc>
        <w:tc>
          <w:tcPr>
            <w:tcW w:w="0" w:type="auto"/>
            <w:gridSpan w:val="3"/>
            <w:shd w:val="clear" w:color="auto" w:fill="auto"/>
            <w:tcMar>
              <w:top w:w="0" w:type="dxa"/>
              <w:left w:w="20" w:type="dxa"/>
              <w:bottom w:w="0" w:type="dxa"/>
              <w:right w:w="20" w:type="dxa"/>
            </w:tcMar>
            <w:vAlign w:val="bottom"/>
          </w:tcPr>
          <w:p w14:paraId="0B2FAF23"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AF24" w14:textId="77777777" w:rsidR="007F1775" w:rsidRDefault="000F083E">
            <w:pPr>
              <w:jc w:val="center"/>
              <w:textAlignment w:val="bottom"/>
            </w:pPr>
            <w:r>
              <w:rPr>
                <w:rFonts w:ascii="Times New Roman" w:eastAsia="宋体" w:hAnsi="Times New Roman"/>
                <w:b/>
                <w:bCs/>
                <w:color w:val="000000"/>
                <w:sz w:val="16"/>
                <w:szCs w:val="16"/>
              </w:rPr>
              <w:t>December 31, 2021</w:t>
            </w:r>
          </w:p>
        </w:tc>
      </w:tr>
      <w:tr w:rsidR="007F1775" w14:paraId="0B2FAF2E" w14:textId="77777777">
        <w:tc>
          <w:tcPr>
            <w:tcW w:w="0" w:type="auto"/>
            <w:gridSpan w:val="3"/>
            <w:shd w:val="clear" w:color="auto" w:fill="CCEEFF"/>
            <w:tcMar>
              <w:top w:w="40" w:type="dxa"/>
              <w:left w:w="20" w:type="dxa"/>
              <w:bottom w:w="40" w:type="dxa"/>
              <w:right w:w="20" w:type="dxa"/>
            </w:tcMar>
          </w:tcPr>
          <w:p w14:paraId="0B2FAF26" w14:textId="77777777" w:rsidR="007F1775" w:rsidRDefault="000F083E">
            <w:pPr>
              <w:textAlignment w:val="top"/>
            </w:pPr>
            <w:r>
              <w:rPr>
                <w:rFonts w:ascii="Times New Roman" w:eastAsia="宋体" w:hAnsi="Times New Roman"/>
                <w:color w:val="000000"/>
                <w:sz w:val="20"/>
                <w:szCs w:val="20"/>
              </w:rPr>
              <w:t>United States</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AF2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F28" w14:textId="77777777" w:rsidR="007F1775" w:rsidRDefault="000F083E">
            <w:pPr>
              <w:jc w:val="right"/>
              <w:textAlignment w:val="bottom"/>
            </w:pPr>
            <w:r>
              <w:rPr>
                <w:rFonts w:ascii="Times New Roman" w:eastAsia="宋体" w:hAnsi="Times New Roman"/>
                <w:color w:val="000000"/>
                <w:sz w:val="20"/>
                <w:szCs w:val="20"/>
              </w:rPr>
              <w:t>59,080 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F2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F2A"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AF2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AF2C" w14:textId="77777777" w:rsidR="007F1775" w:rsidRDefault="000F083E">
            <w:pPr>
              <w:jc w:val="right"/>
              <w:textAlignment w:val="bottom"/>
            </w:pPr>
            <w:r>
              <w:rPr>
                <w:rFonts w:ascii="Times New Roman" w:eastAsia="宋体" w:hAnsi="Times New Roman"/>
                <w:color w:val="000000"/>
                <w:sz w:val="20"/>
                <w:szCs w:val="20"/>
              </w:rPr>
              <w:t>55,497 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AF2D" w14:textId="77777777" w:rsidR="007F1775" w:rsidRDefault="007F1775">
            <w:pPr>
              <w:jc w:val="right"/>
              <w:rPr>
                <w:rFonts w:ascii="宋体"/>
              </w:rPr>
            </w:pPr>
          </w:p>
        </w:tc>
      </w:tr>
      <w:tr w:rsidR="007F1775" w14:paraId="0B2FAF35" w14:textId="77777777">
        <w:tc>
          <w:tcPr>
            <w:tcW w:w="0" w:type="auto"/>
            <w:gridSpan w:val="3"/>
            <w:shd w:val="clear" w:color="auto" w:fill="FFFFFF"/>
            <w:tcMar>
              <w:top w:w="40" w:type="dxa"/>
              <w:left w:w="20" w:type="dxa"/>
              <w:bottom w:w="40" w:type="dxa"/>
              <w:right w:w="20" w:type="dxa"/>
            </w:tcMar>
          </w:tcPr>
          <w:p w14:paraId="0B2FAF2F" w14:textId="77777777" w:rsidR="007F1775" w:rsidRDefault="000F083E">
            <w:pPr>
              <w:pBdr>
                <w:top w:val="none" w:sz="0" w:space="0" w:color="auto"/>
                <w:left w:val="none" w:sz="0" w:space="0" w:color="auto"/>
                <w:bottom w:val="none" w:sz="0" w:space="0" w:color="auto"/>
                <w:right w:val="none" w:sz="0" w:space="0" w:color="auto"/>
              </w:pBdr>
              <w:textAlignment w:val="top"/>
            </w:pPr>
            <w:r>
              <w:rPr>
                <w:rFonts w:ascii="Times New Roman" w:eastAsia="宋体" w:hAnsi="Times New Roman"/>
                <w:color w:val="000000"/>
                <w:sz w:val="20"/>
                <w:szCs w:val="20"/>
              </w:rPr>
              <w:t>Rest of the world</w:t>
            </w:r>
            <w:r>
              <w:rPr>
                <w:rFonts w:ascii="Times New Roman" w:eastAsia="宋体" w:hAnsi="Times New Roman"/>
                <w:color w:val="000000"/>
                <w:sz w:val="13"/>
                <w:szCs w:val="13"/>
              </w:rPr>
              <w:t>(1)</w:t>
            </w:r>
          </w:p>
        </w:tc>
        <w:tc>
          <w:tcPr>
            <w:tcW w:w="0" w:type="auto"/>
            <w:gridSpan w:val="2"/>
            <w:shd w:val="clear" w:color="auto" w:fill="auto"/>
            <w:tcMar>
              <w:top w:w="40" w:type="dxa"/>
              <w:left w:w="20" w:type="dxa"/>
              <w:bottom w:w="40" w:type="dxa"/>
              <w:right w:w="0" w:type="dxa"/>
            </w:tcMar>
            <w:vAlign w:val="bottom"/>
          </w:tcPr>
          <w:p w14:paraId="0B2FAF30" w14:textId="77777777" w:rsidR="007F1775" w:rsidRDefault="000F083E">
            <w:pPr>
              <w:jc w:val="right"/>
              <w:textAlignment w:val="bottom"/>
            </w:pPr>
            <w:r>
              <w:rPr>
                <w:rFonts w:ascii="Times New Roman" w:eastAsia="宋体" w:hAnsi="Times New Roman"/>
                <w:color w:val="000000"/>
                <w:sz w:val="20"/>
                <w:szCs w:val="20"/>
              </w:rPr>
              <w:t>14,743 </w:t>
            </w:r>
          </w:p>
        </w:tc>
        <w:tc>
          <w:tcPr>
            <w:tcW w:w="0" w:type="auto"/>
            <w:shd w:val="clear" w:color="auto" w:fill="auto"/>
            <w:tcMar>
              <w:top w:w="40" w:type="dxa"/>
              <w:left w:w="0" w:type="dxa"/>
              <w:bottom w:w="40" w:type="dxa"/>
              <w:right w:w="20" w:type="dxa"/>
            </w:tcMar>
            <w:vAlign w:val="bottom"/>
          </w:tcPr>
          <w:p w14:paraId="0B2FAF31" w14:textId="77777777" w:rsidR="007F1775" w:rsidRDefault="007F1775">
            <w:pPr>
              <w:jc w:val="right"/>
              <w:rPr>
                <w:rFonts w:ascii="宋体"/>
              </w:rPr>
            </w:pPr>
          </w:p>
        </w:tc>
        <w:tc>
          <w:tcPr>
            <w:tcW w:w="0" w:type="auto"/>
            <w:gridSpan w:val="3"/>
            <w:shd w:val="clear" w:color="auto" w:fill="auto"/>
            <w:tcMar>
              <w:top w:w="0" w:type="dxa"/>
              <w:left w:w="20" w:type="dxa"/>
              <w:bottom w:w="0" w:type="dxa"/>
              <w:right w:w="20" w:type="dxa"/>
            </w:tcMar>
            <w:vAlign w:val="bottom"/>
          </w:tcPr>
          <w:p w14:paraId="0B2FAF32" w14:textId="77777777" w:rsidR="007F1775" w:rsidRDefault="007F1775">
            <w:pPr>
              <w:rPr>
                <w:rFonts w:ascii="宋体"/>
              </w:rPr>
            </w:pPr>
          </w:p>
        </w:tc>
        <w:tc>
          <w:tcPr>
            <w:tcW w:w="0" w:type="auto"/>
            <w:gridSpan w:val="2"/>
            <w:shd w:val="clear" w:color="auto" w:fill="auto"/>
            <w:tcMar>
              <w:top w:w="40" w:type="dxa"/>
              <w:left w:w="20" w:type="dxa"/>
              <w:bottom w:w="40" w:type="dxa"/>
              <w:right w:w="0" w:type="dxa"/>
            </w:tcMar>
            <w:vAlign w:val="bottom"/>
          </w:tcPr>
          <w:p w14:paraId="0B2FAF33" w14:textId="77777777" w:rsidR="007F1775" w:rsidRDefault="000F083E">
            <w:pPr>
              <w:jc w:val="right"/>
              <w:textAlignment w:val="bottom"/>
            </w:pPr>
            <w:r>
              <w:rPr>
                <w:rFonts w:ascii="Times New Roman" w:eastAsia="宋体" w:hAnsi="Times New Roman"/>
                <w:color w:val="000000"/>
                <w:sz w:val="20"/>
                <w:szCs w:val="20"/>
              </w:rPr>
              <w:t>14,467 </w:t>
            </w:r>
          </w:p>
        </w:tc>
        <w:tc>
          <w:tcPr>
            <w:tcW w:w="0" w:type="auto"/>
            <w:shd w:val="clear" w:color="auto" w:fill="auto"/>
            <w:tcMar>
              <w:top w:w="40" w:type="dxa"/>
              <w:left w:w="0" w:type="dxa"/>
              <w:bottom w:w="40" w:type="dxa"/>
              <w:right w:w="20" w:type="dxa"/>
            </w:tcMar>
            <w:vAlign w:val="bottom"/>
          </w:tcPr>
          <w:p w14:paraId="0B2FAF34" w14:textId="77777777" w:rsidR="007F1775" w:rsidRDefault="007F1775">
            <w:pPr>
              <w:jc w:val="right"/>
              <w:rPr>
                <w:rFonts w:ascii="宋体"/>
              </w:rPr>
            </w:pPr>
          </w:p>
        </w:tc>
      </w:tr>
      <w:tr w:rsidR="007F1775" w14:paraId="0B2FAF3E" w14:textId="77777777">
        <w:tc>
          <w:tcPr>
            <w:tcW w:w="0" w:type="auto"/>
            <w:gridSpan w:val="3"/>
            <w:shd w:val="clear" w:color="auto" w:fill="CCEEFF"/>
            <w:tcMar>
              <w:top w:w="40" w:type="dxa"/>
              <w:left w:w="380" w:type="dxa"/>
              <w:bottom w:w="40" w:type="dxa"/>
              <w:right w:w="20" w:type="dxa"/>
            </w:tcMar>
          </w:tcPr>
          <w:p w14:paraId="0B2FAF36" w14:textId="77777777" w:rsidR="007F1775" w:rsidRDefault="000F083E">
            <w:pPr>
              <w:textAlignment w:val="top"/>
            </w:pPr>
            <w:r>
              <w:rPr>
                <w:rFonts w:ascii="Times New Roman" w:eastAsia="宋体" w:hAnsi="Times New Roman"/>
                <w:color w:val="000000"/>
                <w:sz w:val="20"/>
                <w:szCs w:val="20"/>
              </w:rPr>
              <w:t>Total long-lived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F3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F38" w14:textId="77777777" w:rsidR="007F1775" w:rsidRDefault="000F083E">
            <w:pPr>
              <w:jc w:val="right"/>
              <w:textAlignment w:val="bottom"/>
            </w:pPr>
            <w:r>
              <w:rPr>
                <w:rFonts w:ascii="Times New Roman" w:eastAsia="宋体" w:hAnsi="Times New Roman"/>
                <w:color w:val="000000"/>
                <w:sz w:val="20"/>
                <w:szCs w:val="20"/>
              </w:rPr>
              <w:t>73,823 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F3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F3A"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AF3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AF3C" w14:textId="77777777" w:rsidR="007F1775" w:rsidRDefault="000F083E">
            <w:pPr>
              <w:jc w:val="right"/>
              <w:textAlignment w:val="bottom"/>
            </w:pPr>
            <w:r>
              <w:rPr>
                <w:rFonts w:ascii="Times New Roman" w:eastAsia="宋体" w:hAnsi="Times New Roman"/>
                <w:color w:val="000000"/>
                <w:sz w:val="20"/>
                <w:szCs w:val="20"/>
              </w:rPr>
              <w:t>69,964 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AF3D" w14:textId="77777777" w:rsidR="007F1775" w:rsidRDefault="007F1775">
            <w:pPr>
              <w:jc w:val="right"/>
              <w:rPr>
                <w:rFonts w:ascii="宋体"/>
              </w:rPr>
            </w:pPr>
          </w:p>
        </w:tc>
      </w:tr>
    </w:tbl>
    <w:p w14:paraId="0B2FAF3F" w14:textId="77777777" w:rsidR="007F1775" w:rsidRDefault="000F083E">
      <w:pPr>
        <w:spacing w:before="120"/>
      </w:pPr>
      <w:r>
        <w:rPr>
          <w:rFonts w:ascii="Times New Roman" w:eastAsia="宋体" w:hAnsi="Times New Roman"/>
          <w:color w:val="000000"/>
          <w:sz w:val="12"/>
          <w:szCs w:val="12"/>
        </w:rPr>
        <w:t>____________________________________</w:t>
      </w:r>
    </w:p>
    <w:p w14:paraId="0B2FAF40" w14:textId="77777777" w:rsidR="007F1775" w:rsidRDefault="000F083E">
      <w:pPr>
        <w:pBdr>
          <w:left w:val="none" w:sz="0" w:space="0" w:color="auto"/>
        </w:pBdr>
        <w:spacing w:before="60"/>
        <w:ind w:hanging="360"/>
        <w:jc w:val="both"/>
      </w:pPr>
      <w:r>
        <w:rPr>
          <w:rFonts w:ascii="Times New Roman" w:eastAsia="宋体" w:hAnsi="Times New Roman"/>
          <w:color w:val="000000"/>
          <w:sz w:val="18"/>
          <w:szCs w:val="18"/>
        </w:rPr>
        <w:t>(1)    No individual country, other than disclosed above, exceeded 10% of our total long-lived assets for any period presented.</w:t>
      </w:r>
    </w:p>
    <w:p w14:paraId="0B2FAF41" w14:textId="77777777" w:rsidR="007F1775" w:rsidRDefault="007F1775">
      <w:pPr>
        <w:spacing w:before="60"/>
        <w:ind w:firstLine="540"/>
      </w:pPr>
    </w:p>
    <w:p w14:paraId="0B2FAF42" w14:textId="77777777" w:rsidR="007F1775" w:rsidRDefault="007F1775">
      <w:pPr>
        <w:ind w:firstLine="540"/>
        <w:jc w:val="both"/>
      </w:pPr>
    </w:p>
    <w:p w14:paraId="0B2FAF43" w14:textId="77777777" w:rsidR="007F1775" w:rsidRDefault="000F083E">
      <w:pPr>
        <w:jc w:val="center"/>
      </w:pPr>
      <w:r>
        <w:rPr>
          <w:rFonts w:ascii="Times New Roman" w:eastAsia="宋体" w:hAnsi="Times New Roman"/>
          <w:color w:val="000000"/>
          <w:sz w:val="20"/>
          <w:szCs w:val="20"/>
        </w:rPr>
        <w:t>27</w:t>
      </w:r>
    </w:p>
    <w:p w14:paraId="0B2FAF44" w14:textId="77777777" w:rsidR="007F1775" w:rsidRDefault="000F083E">
      <w:r>
        <w:pict w14:anchorId="0B2FBF7C">
          <v:rect id="_x0000_i1051" style="width:415.3pt;height:1.5pt" o:hralign="center" o:hrstd="t" o:hr="t" fillcolor="#a0a0a0" stroked="f"/>
        </w:pict>
      </w:r>
    </w:p>
    <w:p w14:paraId="0B2FAF45" w14:textId="77777777" w:rsidR="007F1775" w:rsidRDefault="007F1775"/>
    <w:p w14:paraId="0B2FAF46" w14:textId="77777777" w:rsidR="007F1775" w:rsidRDefault="007F1775"/>
    <w:p w14:paraId="0B2FAF47" w14:textId="77777777" w:rsidR="007F1775" w:rsidRDefault="000F083E">
      <w:hyperlink r:id="rId105" w:anchor="iea70e328caa94cefb76a9db6ed6338fc_7" w:history="1">
        <w:r>
          <w:rPr>
            <w:rStyle w:val="a5"/>
            <w:rFonts w:ascii="Times New Roman" w:eastAsia="宋体" w:hAnsi="Times New Roman"/>
            <w:sz w:val="20"/>
            <w:szCs w:val="20"/>
          </w:rPr>
          <w:t>Table of Contents</w:t>
        </w:r>
      </w:hyperlink>
    </w:p>
    <w:p w14:paraId="0B2FAF48" w14:textId="77777777" w:rsidR="007F1775" w:rsidRDefault="000F083E">
      <w:pPr>
        <w:pBdr>
          <w:left w:val="none" w:sz="0" w:space="0" w:color="auto"/>
        </w:pBdr>
        <w:ind w:hanging="360"/>
      </w:pPr>
      <w:r>
        <w:rPr>
          <w:rFonts w:ascii="Times New Roman" w:eastAsia="宋体" w:hAnsi="Times New Roman"/>
          <w:b/>
          <w:bCs/>
          <w:color w:val="000000"/>
          <w:sz w:val="20"/>
          <w:szCs w:val="20"/>
        </w:rPr>
        <w:t xml:space="preserve">Item 2.Management's Discussion and Analysis of Financial Condition and Results of </w:t>
      </w:r>
      <w:r>
        <w:rPr>
          <w:rFonts w:ascii="Times New Roman" w:eastAsia="宋体" w:hAnsi="Times New Roman"/>
          <w:b/>
          <w:bCs/>
          <w:color w:val="000000"/>
          <w:sz w:val="20"/>
          <w:szCs w:val="20"/>
        </w:rPr>
        <w:t>Operations</w:t>
      </w:r>
    </w:p>
    <w:p w14:paraId="0B2FAF49" w14:textId="77777777" w:rsidR="007F1775" w:rsidRDefault="000F083E">
      <w:pPr>
        <w:spacing w:before="180"/>
        <w:jc w:val="both"/>
      </w:pPr>
      <w:r>
        <w:rPr>
          <w:rFonts w:ascii="Times New Roman" w:eastAsia="宋体" w:hAnsi="Times New Roman"/>
          <w:i/>
          <w:iCs/>
          <w:color w:val="000000"/>
          <w:sz w:val="20"/>
          <w:szCs w:val="20"/>
        </w:rPr>
        <w:t xml:space="preserve">You should read the following discussion of our financial condition and results of operations in conjunction with our condensed consolidated financial statements and the related notes included elsewhere in this Quarterly Report on Form 10-Q and </w:t>
      </w:r>
      <w:r>
        <w:rPr>
          <w:rFonts w:ascii="Times New Roman" w:eastAsia="宋体" w:hAnsi="Times New Roman"/>
          <w:i/>
          <w:iCs/>
          <w:color w:val="000000"/>
          <w:sz w:val="20"/>
          <w:szCs w:val="20"/>
        </w:rPr>
        <w:t>with our audited consolidated financial statements included in our Annual Report on Form 10-K for the year ended December 31, 2021, as filed with the Securities and Exchange Commission. In addition to our historical condensed consolidated financial informa</w:t>
      </w:r>
      <w:r>
        <w:rPr>
          <w:rFonts w:ascii="Times New Roman" w:eastAsia="宋体" w:hAnsi="Times New Roman"/>
          <w:i/>
          <w:iCs/>
          <w:color w:val="000000"/>
          <w:sz w:val="20"/>
          <w:szCs w:val="20"/>
        </w:rPr>
        <w:t xml:space="preserve">tion, the following discussion contains forward-looking statements that reflect our plans, estimates, and beliefs. Our actual results could differ materially from those discussed in the forward-looking statements. Factors that could cause or contribute to </w:t>
      </w:r>
      <w:r>
        <w:rPr>
          <w:rFonts w:ascii="Times New Roman" w:eastAsia="宋体" w:hAnsi="Times New Roman"/>
          <w:i/>
          <w:iCs/>
          <w:color w:val="000000"/>
          <w:sz w:val="20"/>
          <w:szCs w:val="20"/>
        </w:rPr>
        <w:t>these differences include those discussed below and elsewhere in this Quarterly Report on Form 10-Q, particularly in Part II, Item 1A, "Risk Factors." For a discussion of limitations in the measurement of certain of our community metrics, see the section e</w:t>
      </w:r>
      <w:r>
        <w:rPr>
          <w:rFonts w:ascii="Times New Roman" w:eastAsia="宋体" w:hAnsi="Times New Roman"/>
          <w:i/>
          <w:iCs/>
          <w:color w:val="000000"/>
          <w:sz w:val="20"/>
          <w:szCs w:val="20"/>
        </w:rPr>
        <w:t>ntitled "Limitations of Key Metrics and Other Data" in this Quarterly Report on Form 10-Q.</w:t>
      </w:r>
    </w:p>
    <w:p w14:paraId="0B2FAF4A" w14:textId="77777777" w:rsidR="007F1775" w:rsidRDefault="000F083E">
      <w:pPr>
        <w:spacing w:before="180"/>
        <w:jc w:val="both"/>
      </w:pPr>
      <w:r>
        <w:rPr>
          <w:rFonts w:ascii="Times New Roman" w:eastAsia="宋体" w:hAnsi="Times New Roman"/>
          <w:i/>
          <w:iCs/>
          <w:color w:val="000000"/>
          <w:sz w:val="20"/>
          <w:szCs w:val="20"/>
        </w:rPr>
        <w:t>To supplement our condensed consolidated financial statements, which are prepared and presented in accordance with generally accepted accounting principles in the Un</w:t>
      </w:r>
      <w:r>
        <w:rPr>
          <w:rFonts w:ascii="Times New Roman" w:eastAsia="宋体" w:hAnsi="Times New Roman"/>
          <w:i/>
          <w:iCs/>
          <w:color w:val="000000"/>
          <w:sz w:val="20"/>
          <w:szCs w:val="20"/>
        </w:rPr>
        <w:t>ited States (GAAP), we present revenue on a constant currency basis, which is a non-GAAP financial measure. Revenue on a constant currency basis is presented in the section entitled "—Revenue</w:t>
      </w:r>
      <w:r>
        <w:rPr>
          <w:rFonts w:ascii="Times New Roman" w:eastAsia="宋体" w:hAnsi="Times New Roman"/>
          <w:color w:val="000000"/>
          <w:sz w:val="20"/>
          <w:szCs w:val="20"/>
        </w:rPr>
        <w:t>—</w:t>
      </w:r>
      <w:r>
        <w:rPr>
          <w:rFonts w:ascii="Times New Roman" w:eastAsia="宋体" w:hAnsi="Times New Roman"/>
          <w:i/>
          <w:iCs/>
          <w:color w:val="000000"/>
          <w:sz w:val="20"/>
          <w:szCs w:val="20"/>
        </w:rPr>
        <w:t>Foreign Exchange Impact on Revenue." To calculate revenue on a c</w:t>
      </w:r>
      <w:r>
        <w:rPr>
          <w:rFonts w:ascii="Times New Roman" w:eastAsia="宋体" w:hAnsi="Times New Roman"/>
          <w:i/>
          <w:iCs/>
          <w:color w:val="000000"/>
          <w:sz w:val="20"/>
          <w:szCs w:val="20"/>
        </w:rPr>
        <w:t xml:space="preserve">onstant currency basis, we translated revenue for the three months ended March 31, 2022 using the prior year's monthly exchange rates for our settlement or billing currencies other than the U.S. dollar. </w:t>
      </w:r>
    </w:p>
    <w:p w14:paraId="0B2FAF4B" w14:textId="77777777" w:rsidR="007F1775" w:rsidRDefault="000F083E">
      <w:pPr>
        <w:spacing w:before="180"/>
        <w:jc w:val="both"/>
      </w:pPr>
      <w:r>
        <w:rPr>
          <w:rFonts w:ascii="Times New Roman" w:eastAsia="宋体" w:hAnsi="Times New Roman"/>
          <w:i/>
          <w:iCs/>
          <w:color w:val="000000"/>
          <w:sz w:val="20"/>
          <w:szCs w:val="20"/>
        </w:rPr>
        <w:t>This non-GAAP financial measure is not intended to b</w:t>
      </w:r>
      <w:r>
        <w:rPr>
          <w:rFonts w:ascii="Times New Roman" w:eastAsia="宋体" w:hAnsi="Times New Roman"/>
          <w:i/>
          <w:iCs/>
          <w:color w:val="000000"/>
          <w:sz w:val="20"/>
          <w:szCs w:val="20"/>
        </w:rPr>
        <w:t>e considered in isolation or as a substitute for, or superior to, financial information prepared and presented in accordance with GAAP. This measure may be different from non-GAAP financial measures used by other companies, limiting its usefulness for comp</w:t>
      </w:r>
      <w:r>
        <w:rPr>
          <w:rFonts w:ascii="Times New Roman" w:eastAsia="宋体" w:hAnsi="Times New Roman"/>
          <w:i/>
          <w:iCs/>
          <w:color w:val="000000"/>
          <w:sz w:val="20"/>
          <w:szCs w:val="20"/>
        </w:rPr>
        <w:t>arison purposes. Moreover, presentation of revenue on a constant currency basis is provided for year-over-year comparison purposes, and investors should be cautioned that the effect of changing foreign currency exchange rates has an actual effect on our op</w:t>
      </w:r>
      <w:r>
        <w:rPr>
          <w:rFonts w:ascii="Times New Roman" w:eastAsia="宋体" w:hAnsi="Times New Roman"/>
          <w:i/>
          <w:iCs/>
          <w:color w:val="000000"/>
          <w:sz w:val="20"/>
          <w:szCs w:val="20"/>
        </w:rPr>
        <w:t>erating results. We believe this non-GAAP financial measure provides investors with useful supplemental information about the financial performance of our business, enables comparison of financial results between periods where certain items may vary indepe</w:t>
      </w:r>
      <w:r>
        <w:rPr>
          <w:rFonts w:ascii="Times New Roman" w:eastAsia="宋体" w:hAnsi="Times New Roman"/>
          <w:i/>
          <w:iCs/>
          <w:color w:val="000000"/>
          <w:sz w:val="20"/>
          <w:szCs w:val="20"/>
        </w:rPr>
        <w:t>ndent of business performance, and allows for greater transparency with respect to key metrics used by management in operating our business.</w:t>
      </w:r>
    </w:p>
    <w:p w14:paraId="0B2FAF4C" w14:textId="77777777" w:rsidR="007F1775" w:rsidRDefault="000F083E">
      <w:pPr>
        <w:spacing w:before="180"/>
      </w:pPr>
      <w:r>
        <w:rPr>
          <w:rFonts w:ascii="Times New Roman" w:eastAsia="宋体" w:hAnsi="Times New Roman"/>
          <w:b/>
          <w:bCs/>
          <w:color w:val="000000"/>
          <w:sz w:val="20"/>
          <w:szCs w:val="20"/>
        </w:rPr>
        <w:t>Executive Overview of First Quarter Results</w:t>
      </w:r>
    </w:p>
    <w:p w14:paraId="0B2FAF4D" w14:textId="77777777" w:rsidR="007F1775" w:rsidRDefault="007F1775">
      <w:pPr>
        <w:ind w:firstLine="540"/>
      </w:pPr>
    </w:p>
    <w:p w14:paraId="0B2FAF4E" w14:textId="77777777" w:rsidR="007F1775" w:rsidRDefault="000F083E">
      <w:pPr>
        <w:ind w:firstLine="540"/>
        <w:jc w:val="both"/>
      </w:pPr>
      <w:r>
        <w:rPr>
          <w:rFonts w:ascii="Times New Roman" w:eastAsia="宋体" w:hAnsi="Times New Roman"/>
          <w:color w:val="000000"/>
          <w:sz w:val="20"/>
          <w:szCs w:val="20"/>
        </w:rPr>
        <w:t xml:space="preserve">Our financial results and key community metrics for the first quarter </w:t>
      </w:r>
      <w:r>
        <w:rPr>
          <w:rFonts w:ascii="Times New Roman" w:eastAsia="宋体" w:hAnsi="Times New Roman"/>
          <w:color w:val="000000"/>
          <w:sz w:val="20"/>
          <w:szCs w:val="20"/>
        </w:rPr>
        <w:t>of 2022 are as follows:</w:t>
      </w:r>
    </w:p>
    <w:p w14:paraId="0B2FAF4F" w14:textId="77777777" w:rsidR="007F1775" w:rsidRDefault="000F083E">
      <w:pPr>
        <w:spacing w:before="180"/>
        <w:jc w:val="both"/>
      </w:pPr>
      <w:r>
        <w:rPr>
          <w:rFonts w:ascii="Times New Roman" w:eastAsia="宋体" w:hAnsi="Times New Roman"/>
          <w:b/>
          <w:bCs/>
          <w:i/>
          <w:iCs/>
          <w:color w:val="000000"/>
          <w:sz w:val="20"/>
          <w:szCs w:val="20"/>
        </w:rPr>
        <w:t>Consolidated and segment results:</w:t>
      </w:r>
    </w:p>
    <w:p w14:paraId="0B2FAF50" w14:textId="77777777" w:rsidR="007F1775" w:rsidRDefault="007F1775">
      <w:pPr>
        <w:ind w:firstLine="540"/>
        <w:jc w:val="both"/>
      </w:pPr>
    </w:p>
    <w:p w14:paraId="0B2FAF51" w14:textId="77777777" w:rsidR="007F1775" w:rsidRDefault="000F083E">
      <w:pPr>
        <w:ind w:firstLine="540"/>
        <w:jc w:val="both"/>
      </w:pPr>
      <w:r>
        <w:rPr>
          <w:rFonts w:ascii="Times New Roman" w:eastAsia="宋体" w:hAnsi="Times New Roman"/>
          <w:color w:val="000000"/>
          <w:sz w:val="20"/>
          <w:szCs w:val="20"/>
          <w:shd w:val="clear" w:color="auto" w:fill="FFFFFF"/>
        </w:rPr>
        <w:t>We report our financial results for our two reportable segments: Family of Apps (FoA) and Reality Labs (RL). FoA includes Facebook, Instagram, Messenger, WhatsApp, and other services. RL includes o</w:t>
      </w:r>
      <w:r>
        <w:rPr>
          <w:rFonts w:ascii="Times New Roman" w:eastAsia="宋体" w:hAnsi="Times New Roman"/>
          <w:color w:val="000000"/>
          <w:sz w:val="20"/>
          <w:szCs w:val="20"/>
          <w:shd w:val="clear" w:color="auto" w:fill="FFFFFF"/>
        </w:rPr>
        <w:t xml:space="preserve">ur augmented and virtual reality related consumer hardware, software, and content. </w:t>
      </w:r>
      <w:r>
        <w:rPr>
          <w:rFonts w:ascii="Times New Roman" w:eastAsia="宋体" w:hAnsi="Times New Roman"/>
          <w:color w:val="000000"/>
          <w:sz w:val="20"/>
          <w:szCs w:val="20"/>
        </w:rPr>
        <w:t>For comparative purposes, amounts in the prior period have been recast:</w:t>
      </w:r>
    </w:p>
    <w:p w14:paraId="0B2FAF52" w14:textId="77777777" w:rsidR="007F1775" w:rsidRDefault="007F1775">
      <w:pPr>
        <w:ind w:firstLine="540"/>
        <w:jc w:val="both"/>
      </w:pPr>
    </w:p>
    <w:tbl>
      <w:tblPr>
        <w:tblW w:w="5000" w:type="pct"/>
        <w:tblCellMar>
          <w:top w:w="15" w:type="dxa"/>
          <w:left w:w="15" w:type="dxa"/>
          <w:bottom w:w="15" w:type="dxa"/>
          <w:right w:w="15" w:type="dxa"/>
        </w:tblCellMar>
        <w:tblLook w:val="04A0" w:firstRow="1" w:lastRow="0" w:firstColumn="1" w:lastColumn="0" w:noHBand="0" w:noVBand="1"/>
      </w:tblPr>
      <w:tblGrid>
        <w:gridCol w:w="44"/>
        <w:gridCol w:w="660"/>
        <w:gridCol w:w="35"/>
        <w:gridCol w:w="91"/>
        <w:gridCol w:w="411"/>
        <w:gridCol w:w="134"/>
        <w:gridCol w:w="37"/>
        <w:gridCol w:w="34"/>
        <w:gridCol w:w="34"/>
        <w:gridCol w:w="91"/>
        <w:gridCol w:w="412"/>
        <w:gridCol w:w="135"/>
        <w:gridCol w:w="37"/>
        <w:gridCol w:w="35"/>
        <w:gridCol w:w="35"/>
        <w:gridCol w:w="116"/>
        <w:gridCol w:w="781"/>
        <w:gridCol w:w="35"/>
        <w:gridCol w:w="37"/>
        <w:gridCol w:w="35"/>
        <w:gridCol w:w="35"/>
        <w:gridCol w:w="92"/>
        <w:gridCol w:w="400"/>
        <w:gridCol w:w="135"/>
        <w:gridCol w:w="37"/>
        <w:gridCol w:w="35"/>
        <w:gridCol w:w="35"/>
        <w:gridCol w:w="92"/>
        <w:gridCol w:w="400"/>
        <w:gridCol w:w="135"/>
        <w:gridCol w:w="37"/>
        <w:gridCol w:w="35"/>
        <w:gridCol w:w="35"/>
        <w:gridCol w:w="116"/>
        <w:gridCol w:w="781"/>
        <w:gridCol w:w="35"/>
        <w:gridCol w:w="37"/>
        <w:gridCol w:w="35"/>
        <w:gridCol w:w="35"/>
        <w:gridCol w:w="92"/>
        <w:gridCol w:w="412"/>
        <w:gridCol w:w="135"/>
        <w:gridCol w:w="37"/>
        <w:gridCol w:w="35"/>
        <w:gridCol w:w="35"/>
        <w:gridCol w:w="92"/>
        <w:gridCol w:w="412"/>
        <w:gridCol w:w="135"/>
        <w:gridCol w:w="37"/>
        <w:gridCol w:w="35"/>
        <w:gridCol w:w="35"/>
        <w:gridCol w:w="116"/>
        <w:gridCol w:w="782"/>
        <w:gridCol w:w="35"/>
        <w:gridCol w:w="35"/>
        <w:gridCol w:w="35"/>
        <w:gridCol w:w="35"/>
        <w:gridCol w:w="35"/>
      </w:tblGrid>
      <w:tr w:rsidR="007F1775" w14:paraId="0B2FAF8D" w14:textId="77777777">
        <w:tc>
          <w:tcPr>
            <w:tcW w:w="50" w:type="pct"/>
            <w:shd w:val="clear" w:color="auto" w:fill="auto"/>
            <w:vAlign w:val="bottom"/>
          </w:tcPr>
          <w:p w14:paraId="0B2FAF53" w14:textId="77777777" w:rsidR="007F1775" w:rsidRDefault="007F1775">
            <w:pPr>
              <w:rPr>
                <w:rFonts w:ascii="宋体"/>
              </w:rPr>
            </w:pPr>
          </w:p>
        </w:tc>
        <w:tc>
          <w:tcPr>
            <w:tcW w:w="897" w:type="pct"/>
            <w:shd w:val="clear" w:color="auto" w:fill="auto"/>
            <w:vAlign w:val="bottom"/>
          </w:tcPr>
          <w:p w14:paraId="0B2FAF54" w14:textId="77777777" w:rsidR="007F1775" w:rsidRDefault="007F1775">
            <w:pPr>
              <w:rPr>
                <w:rFonts w:ascii="宋体"/>
              </w:rPr>
            </w:pPr>
          </w:p>
        </w:tc>
        <w:tc>
          <w:tcPr>
            <w:tcW w:w="5" w:type="pct"/>
            <w:shd w:val="clear" w:color="auto" w:fill="auto"/>
            <w:vAlign w:val="bottom"/>
          </w:tcPr>
          <w:p w14:paraId="0B2FAF55" w14:textId="77777777" w:rsidR="007F1775" w:rsidRDefault="007F1775">
            <w:pPr>
              <w:rPr>
                <w:rFonts w:ascii="宋体"/>
              </w:rPr>
            </w:pPr>
          </w:p>
        </w:tc>
        <w:tc>
          <w:tcPr>
            <w:tcW w:w="50" w:type="pct"/>
            <w:shd w:val="clear" w:color="auto" w:fill="auto"/>
            <w:vAlign w:val="bottom"/>
          </w:tcPr>
          <w:p w14:paraId="0B2FAF56" w14:textId="77777777" w:rsidR="007F1775" w:rsidRDefault="007F1775">
            <w:pPr>
              <w:rPr>
                <w:rFonts w:ascii="宋体"/>
              </w:rPr>
            </w:pPr>
          </w:p>
        </w:tc>
        <w:tc>
          <w:tcPr>
            <w:tcW w:w="398" w:type="pct"/>
            <w:shd w:val="clear" w:color="auto" w:fill="auto"/>
            <w:vAlign w:val="bottom"/>
          </w:tcPr>
          <w:p w14:paraId="0B2FAF57" w14:textId="77777777" w:rsidR="007F1775" w:rsidRDefault="007F1775">
            <w:pPr>
              <w:rPr>
                <w:rFonts w:ascii="宋体"/>
              </w:rPr>
            </w:pPr>
          </w:p>
        </w:tc>
        <w:tc>
          <w:tcPr>
            <w:tcW w:w="5" w:type="pct"/>
            <w:shd w:val="clear" w:color="auto" w:fill="auto"/>
            <w:vAlign w:val="bottom"/>
          </w:tcPr>
          <w:p w14:paraId="0B2FAF58" w14:textId="77777777" w:rsidR="007F1775" w:rsidRDefault="007F1775">
            <w:pPr>
              <w:rPr>
                <w:rFonts w:ascii="宋体"/>
              </w:rPr>
            </w:pPr>
          </w:p>
        </w:tc>
        <w:tc>
          <w:tcPr>
            <w:tcW w:w="5" w:type="pct"/>
            <w:shd w:val="clear" w:color="auto" w:fill="auto"/>
            <w:vAlign w:val="bottom"/>
          </w:tcPr>
          <w:p w14:paraId="0B2FAF59" w14:textId="77777777" w:rsidR="007F1775" w:rsidRDefault="007F1775">
            <w:pPr>
              <w:rPr>
                <w:rFonts w:ascii="宋体"/>
              </w:rPr>
            </w:pPr>
          </w:p>
        </w:tc>
        <w:tc>
          <w:tcPr>
            <w:tcW w:w="19" w:type="pct"/>
            <w:shd w:val="clear" w:color="auto" w:fill="auto"/>
            <w:vAlign w:val="bottom"/>
          </w:tcPr>
          <w:p w14:paraId="0B2FAF5A" w14:textId="77777777" w:rsidR="007F1775" w:rsidRDefault="007F1775">
            <w:pPr>
              <w:rPr>
                <w:rFonts w:ascii="宋体"/>
              </w:rPr>
            </w:pPr>
          </w:p>
        </w:tc>
        <w:tc>
          <w:tcPr>
            <w:tcW w:w="5" w:type="pct"/>
            <w:shd w:val="clear" w:color="auto" w:fill="auto"/>
            <w:vAlign w:val="bottom"/>
          </w:tcPr>
          <w:p w14:paraId="0B2FAF5B" w14:textId="77777777" w:rsidR="007F1775" w:rsidRDefault="007F1775">
            <w:pPr>
              <w:rPr>
                <w:rFonts w:ascii="宋体"/>
              </w:rPr>
            </w:pPr>
          </w:p>
        </w:tc>
        <w:tc>
          <w:tcPr>
            <w:tcW w:w="50" w:type="pct"/>
            <w:shd w:val="clear" w:color="auto" w:fill="auto"/>
            <w:vAlign w:val="bottom"/>
          </w:tcPr>
          <w:p w14:paraId="0B2FAF5C" w14:textId="77777777" w:rsidR="007F1775" w:rsidRDefault="007F1775">
            <w:pPr>
              <w:rPr>
                <w:rFonts w:ascii="宋体"/>
              </w:rPr>
            </w:pPr>
          </w:p>
        </w:tc>
        <w:tc>
          <w:tcPr>
            <w:tcW w:w="361" w:type="pct"/>
            <w:shd w:val="clear" w:color="auto" w:fill="auto"/>
            <w:vAlign w:val="bottom"/>
          </w:tcPr>
          <w:p w14:paraId="0B2FAF5D" w14:textId="77777777" w:rsidR="007F1775" w:rsidRDefault="007F1775">
            <w:pPr>
              <w:rPr>
                <w:rFonts w:ascii="宋体"/>
              </w:rPr>
            </w:pPr>
          </w:p>
        </w:tc>
        <w:tc>
          <w:tcPr>
            <w:tcW w:w="5" w:type="pct"/>
            <w:shd w:val="clear" w:color="auto" w:fill="auto"/>
            <w:vAlign w:val="bottom"/>
          </w:tcPr>
          <w:p w14:paraId="0B2FAF5E" w14:textId="77777777" w:rsidR="007F1775" w:rsidRDefault="007F1775">
            <w:pPr>
              <w:rPr>
                <w:rFonts w:ascii="宋体"/>
              </w:rPr>
            </w:pPr>
          </w:p>
        </w:tc>
        <w:tc>
          <w:tcPr>
            <w:tcW w:w="5" w:type="pct"/>
            <w:shd w:val="clear" w:color="auto" w:fill="auto"/>
            <w:vAlign w:val="bottom"/>
          </w:tcPr>
          <w:p w14:paraId="0B2FAF5F" w14:textId="77777777" w:rsidR="007F1775" w:rsidRDefault="007F1775">
            <w:pPr>
              <w:rPr>
                <w:rFonts w:ascii="宋体"/>
              </w:rPr>
            </w:pPr>
          </w:p>
        </w:tc>
        <w:tc>
          <w:tcPr>
            <w:tcW w:w="19" w:type="pct"/>
            <w:shd w:val="clear" w:color="auto" w:fill="auto"/>
            <w:vAlign w:val="bottom"/>
          </w:tcPr>
          <w:p w14:paraId="0B2FAF60" w14:textId="77777777" w:rsidR="007F1775" w:rsidRDefault="007F1775">
            <w:pPr>
              <w:rPr>
                <w:rFonts w:ascii="宋体"/>
              </w:rPr>
            </w:pPr>
          </w:p>
        </w:tc>
        <w:tc>
          <w:tcPr>
            <w:tcW w:w="5" w:type="pct"/>
            <w:shd w:val="clear" w:color="auto" w:fill="auto"/>
            <w:vAlign w:val="bottom"/>
          </w:tcPr>
          <w:p w14:paraId="0B2FAF61" w14:textId="77777777" w:rsidR="007F1775" w:rsidRDefault="007F1775">
            <w:pPr>
              <w:rPr>
                <w:rFonts w:ascii="宋体"/>
              </w:rPr>
            </w:pPr>
          </w:p>
        </w:tc>
        <w:tc>
          <w:tcPr>
            <w:tcW w:w="50" w:type="pct"/>
            <w:shd w:val="clear" w:color="auto" w:fill="auto"/>
            <w:vAlign w:val="bottom"/>
          </w:tcPr>
          <w:p w14:paraId="0B2FAF62" w14:textId="77777777" w:rsidR="007F1775" w:rsidRDefault="007F1775">
            <w:pPr>
              <w:rPr>
                <w:rFonts w:ascii="宋体"/>
              </w:rPr>
            </w:pPr>
          </w:p>
        </w:tc>
        <w:tc>
          <w:tcPr>
            <w:tcW w:w="361" w:type="pct"/>
            <w:shd w:val="clear" w:color="auto" w:fill="auto"/>
            <w:vAlign w:val="bottom"/>
          </w:tcPr>
          <w:p w14:paraId="0B2FAF63" w14:textId="77777777" w:rsidR="007F1775" w:rsidRDefault="007F1775">
            <w:pPr>
              <w:rPr>
                <w:rFonts w:ascii="宋体"/>
              </w:rPr>
            </w:pPr>
          </w:p>
        </w:tc>
        <w:tc>
          <w:tcPr>
            <w:tcW w:w="5" w:type="pct"/>
            <w:shd w:val="clear" w:color="auto" w:fill="auto"/>
            <w:vAlign w:val="bottom"/>
          </w:tcPr>
          <w:p w14:paraId="0B2FAF64" w14:textId="77777777" w:rsidR="007F1775" w:rsidRDefault="007F1775">
            <w:pPr>
              <w:rPr>
                <w:rFonts w:ascii="宋体"/>
              </w:rPr>
            </w:pPr>
          </w:p>
        </w:tc>
        <w:tc>
          <w:tcPr>
            <w:tcW w:w="5" w:type="pct"/>
            <w:shd w:val="clear" w:color="auto" w:fill="auto"/>
            <w:vAlign w:val="bottom"/>
          </w:tcPr>
          <w:p w14:paraId="0B2FAF65" w14:textId="77777777" w:rsidR="007F1775" w:rsidRDefault="007F1775">
            <w:pPr>
              <w:rPr>
                <w:rFonts w:ascii="宋体"/>
              </w:rPr>
            </w:pPr>
          </w:p>
        </w:tc>
        <w:tc>
          <w:tcPr>
            <w:tcW w:w="19" w:type="pct"/>
            <w:shd w:val="clear" w:color="auto" w:fill="auto"/>
            <w:vAlign w:val="bottom"/>
          </w:tcPr>
          <w:p w14:paraId="0B2FAF66" w14:textId="77777777" w:rsidR="007F1775" w:rsidRDefault="007F1775">
            <w:pPr>
              <w:rPr>
                <w:rFonts w:ascii="宋体"/>
              </w:rPr>
            </w:pPr>
          </w:p>
        </w:tc>
        <w:tc>
          <w:tcPr>
            <w:tcW w:w="5" w:type="pct"/>
            <w:shd w:val="clear" w:color="auto" w:fill="auto"/>
            <w:vAlign w:val="bottom"/>
          </w:tcPr>
          <w:p w14:paraId="0B2FAF67" w14:textId="77777777" w:rsidR="007F1775" w:rsidRDefault="007F1775">
            <w:pPr>
              <w:rPr>
                <w:rFonts w:ascii="宋体"/>
              </w:rPr>
            </w:pPr>
          </w:p>
        </w:tc>
        <w:tc>
          <w:tcPr>
            <w:tcW w:w="50" w:type="pct"/>
            <w:shd w:val="clear" w:color="auto" w:fill="auto"/>
            <w:vAlign w:val="bottom"/>
          </w:tcPr>
          <w:p w14:paraId="0B2FAF68" w14:textId="77777777" w:rsidR="007F1775" w:rsidRDefault="007F1775">
            <w:pPr>
              <w:rPr>
                <w:rFonts w:ascii="宋体"/>
              </w:rPr>
            </w:pPr>
          </w:p>
        </w:tc>
        <w:tc>
          <w:tcPr>
            <w:tcW w:w="339" w:type="pct"/>
            <w:shd w:val="clear" w:color="auto" w:fill="auto"/>
            <w:vAlign w:val="bottom"/>
          </w:tcPr>
          <w:p w14:paraId="0B2FAF69" w14:textId="77777777" w:rsidR="007F1775" w:rsidRDefault="007F1775">
            <w:pPr>
              <w:rPr>
                <w:rFonts w:ascii="宋体"/>
              </w:rPr>
            </w:pPr>
          </w:p>
        </w:tc>
        <w:tc>
          <w:tcPr>
            <w:tcW w:w="5" w:type="pct"/>
            <w:shd w:val="clear" w:color="auto" w:fill="auto"/>
            <w:vAlign w:val="bottom"/>
          </w:tcPr>
          <w:p w14:paraId="0B2FAF6A" w14:textId="77777777" w:rsidR="007F1775" w:rsidRDefault="007F1775">
            <w:pPr>
              <w:rPr>
                <w:rFonts w:ascii="宋体"/>
              </w:rPr>
            </w:pPr>
          </w:p>
        </w:tc>
        <w:tc>
          <w:tcPr>
            <w:tcW w:w="5" w:type="pct"/>
            <w:shd w:val="clear" w:color="auto" w:fill="auto"/>
            <w:vAlign w:val="bottom"/>
          </w:tcPr>
          <w:p w14:paraId="0B2FAF6B" w14:textId="77777777" w:rsidR="007F1775" w:rsidRDefault="007F1775">
            <w:pPr>
              <w:rPr>
                <w:rFonts w:ascii="宋体"/>
              </w:rPr>
            </w:pPr>
          </w:p>
        </w:tc>
        <w:tc>
          <w:tcPr>
            <w:tcW w:w="19" w:type="pct"/>
            <w:shd w:val="clear" w:color="auto" w:fill="auto"/>
            <w:vAlign w:val="bottom"/>
          </w:tcPr>
          <w:p w14:paraId="0B2FAF6C" w14:textId="77777777" w:rsidR="007F1775" w:rsidRDefault="007F1775">
            <w:pPr>
              <w:rPr>
                <w:rFonts w:ascii="宋体"/>
              </w:rPr>
            </w:pPr>
          </w:p>
        </w:tc>
        <w:tc>
          <w:tcPr>
            <w:tcW w:w="5" w:type="pct"/>
            <w:shd w:val="clear" w:color="auto" w:fill="auto"/>
            <w:vAlign w:val="bottom"/>
          </w:tcPr>
          <w:p w14:paraId="0B2FAF6D" w14:textId="77777777" w:rsidR="007F1775" w:rsidRDefault="007F1775">
            <w:pPr>
              <w:rPr>
                <w:rFonts w:ascii="宋体"/>
              </w:rPr>
            </w:pPr>
          </w:p>
        </w:tc>
        <w:tc>
          <w:tcPr>
            <w:tcW w:w="50" w:type="pct"/>
            <w:shd w:val="clear" w:color="auto" w:fill="auto"/>
            <w:vAlign w:val="bottom"/>
          </w:tcPr>
          <w:p w14:paraId="0B2FAF6E" w14:textId="77777777" w:rsidR="007F1775" w:rsidRDefault="007F1775">
            <w:pPr>
              <w:rPr>
                <w:rFonts w:ascii="宋体"/>
              </w:rPr>
            </w:pPr>
          </w:p>
        </w:tc>
        <w:tc>
          <w:tcPr>
            <w:tcW w:w="339" w:type="pct"/>
            <w:shd w:val="clear" w:color="auto" w:fill="auto"/>
            <w:vAlign w:val="bottom"/>
          </w:tcPr>
          <w:p w14:paraId="0B2FAF6F" w14:textId="77777777" w:rsidR="007F1775" w:rsidRDefault="007F1775">
            <w:pPr>
              <w:rPr>
                <w:rFonts w:ascii="宋体"/>
              </w:rPr>
            </w:pPr>
          </w:p>
        </w:tc>
        <w:tc>
          <w:tcPr>
            <w:tcW w:w="5" w:type="pct"/>
            <w:shd w:val="clear" w:color="auto" w:fill="auto"/>
            <w:vAlign w:val="bottom"/>
          </w:tcPr>
          <w:p w14:paraId="0B2FAF70" w14:textId="77777777" w:rsidR="007F1775" w:rsidRDefault="007F1775">
            <w:pPr>
              <w:rPr>
                <w:rFonts w:ascii="宋体"/>
              </w:rPr>
            </w:pPr>
          </w:p>
        </w:tc>
        <w:tc>
          <w:tcPr>
            <w:tcW w:w="5" w:type="pct"/>
            <w:shd w:val="clear" w:color="auto" w:fill="auto"/>
            <w:vAlign w:val="bottom"/>
          </w:tcPr>
          <w:p w14:paraId="0B2FAF71" w14:textId="77777777" w:rsidR="007F1775" w:rsidRDefault="007F1775">
            <w:pPr>
              <w:rPr>
                <w:rFonts w:ascii="宋体"/>
              </w:rPr>
            </w:pPr>
          </w:p>
        </w:tc>
        <w:tc>
          <w:tcPr>
            <w:tcW w:w="19" w:type="pct"/>
            <w:shd w:val="clear" w:color="auto" w:fill="auto"/>
            <w:vAlign w:val="bottom"/>
          </w:tcPr>
          <w:p w14:paraId="0B2FAF72" w14:textId="77777777" w:rsidR="007F1775" w:rsidRDefault="007F1775">
            <w:pPr>
              <w:rPr>
                <w:rFonts w:ascii="宋体"/>
              </w:rPr>
            </w:pPr>
          </w:p>
        </w:tc>
        <w:tc>
          <w:tcPr>
            <w:tcW w:w="5" w:type="pct"/>
            <w:shd w:val="clear" w:color="auto" w:fill="auto"/>
            <w:vAlign w:val="bottom"/>
          </w:tcPr>
          <w:p w14:paraId="0B2FAF73" w14:textId="77777777" w:rsidR="007F1775" w:rsidRDefault="007F1775">
            <w:pPr>
              <w:rPr>
                <w:rFonts w:ascii="宋体"/>
              </w:rPr>
            </w:pPr>
          </w:p>
        </w:tc>
        <w:tc>
          <w:tcPr>
            <w:tcW w:w="50" w:type="pct"/>
            <w:shd w:val="clear" w:color="auto" w:fill="auto"/>
            <w:vAlign w:val="bottom"/>
          </w:tcPr>
          <w:p w14:paraId="0B2FAF74" w14:textId="77777777" w:rsidR="007F1775" w:rsidRDefault="007F1775">
            <w:pPr>
              <w:rPr>
                <w:rFonts w:ascii="宋体"/>
              </w:rPr>
            </w:pPr>
          </w:p>
        </w:tc>
        <w:tc>
          <w:tcPr>
            <w:tcW w:w="361" w:type="pct"/>
            <w:shd w:val="clear" w:color="auto" w:fill="auto"/>
            <w:vAlign w:val="bottom"/>
          </w:tcPr>
          <w:p w14:paraId="0B2FAF75" w14:textId="77777777" w:rsidR="007F1775" w:rsidRDefault="007F1775">
            <w:pPr>
              <w:rPr>
                <w:rFonts w:ascii="宋体"/>
              </w:rPr>
            </w:pPr>
          </w:p>
        </w:tc>
        <w:tc>
          <w:tcPr>
            <w:tcW w:w="5" w:type="pct"/>
            <w:shd w:val="clear" w:color="auto" w:fill="auto"/>
            <w:vAlign w:val="bottom"/>
          </w:tcPr>
          <w:p w14:paraId="0B2FAF76" w14:textId="77777777" w:rsidR="007F1775" w:rsidRDefault="007F1775">
            <w:pPr>
              <w:rPr>
                <w:rFonts w:ascii="宋体"/>
              </w:rPr>
            </w:pPr>
          </w:p>
        </w:tc>
        <w:tc>
          <w:tcPr>
            <w:tcW w:w="5" w:type="pct"/>
            <w:shd w:val="clear" w:color="auto" w:fill="auto"/>
            <w:vAlign w:val="bottom"/>
          </w:tcPr>
          <w:p w14:paraId="0B2FAF77" w14:textId="77777777" w:rsidR="007F1775" w:rsidRDefault="007F1775">
            <w:pPr>
              <w:rPr>
                <w:rFonts w:ascii="宋体"/>
              </w:rPr>
            </w:pPr>
          </w:p>
        </w:tc>
        <w:tc>
          <w:tcPr>
            <w:tcW w:w="19" w:type="pct"/>
            <w:shd w:val="clear" w:color="auto" w:fill="auto"/>
            <w:vAlign w:val="bottom"/>
          </w:tcPr>
          <w:p w14:paraId="0B2FAF78" w14:textId="77777777" w:rsidR="007F1775" w:rsidRDefault="007F1775">
            <w:pPr>
              <w:rPr>
                <w:rFonts w:ascii="宋体"/>
              </w:rPr>
            </w:pPr>
          </w:p>
        </w:tc>
        <w:tc>
          <w:tcPr>
            <w:tcW w:w="5" w:type="pct"/>
            <w:shd w:val="clear" w:color="auto" w:fill="auto"/>
            <w:vAlign w:val="bottom"/>
          </w:tcPr>
          <w:p w14:paraId="0B2FAF79" w14:textId="77777777" w:rsidR="007F1775" w:rsidRDefault="007F1775">
            <w:pPr>
              <w:rPr>
                <w:rFonts w:ascii="宋体"/>
              </w:rPr>
            </w:pPr>
          </w:p>
        </w:tc>
        <w:tc>
          <w:tcPr>
            <w:tcW w:w="50" w:type="pct"/>
            <w:shd w:val="clear" w:color="auto" w:fill="auto"/>
            <w:vAlign w:val="bottom"/>
          </w:tcPr>
          <w:p w14:paraId="0B2FAF7A" w14:textId="77777777" w:rsidR="007F1775" w:rsidRDefault="007F1775">
            <w:pPr>
              <w:rPr>
                <w:rFonts w:ascii="宋体"/>
              </w:rPr>
            </w:pPr>
          </w:p>
        </w:tc>
        <w:tc>
          <w:tcPr>
            <w:tcW w:w="398" w:type="pct"/>
            <w:shd w:val="clear" w:color="auto" w:fill="auto"/>
            <w:vAlign w:val="bottom"/>
          </w:tcPr>
          <w:p w14:paraId="0B2FAF7B" w14:textId="77777777" w:rsidR="007F1775" w:rsidRDefault="007F1775">
            <w:pPr>
              <w:rPr>
                <w:rFonts w:ascii="宋体"/>
              </w:rPr>
            </w:pPr>
          </w:p>
        </w:tc>
        <w:tc>
          <w:tcPr>
            <w:tcW w:w="5" w:type="pct"/>
            <w:shd w:val="clear" w:color="auto" w:fill="auto"/>
            <w:vAlign w:val="bottom"/>
          </w:tcPr>
          <w:p w14:paraId="0B2FAF7C" w14:textId="77777777" w:rsidR="007F1775" w:rsidRDefault="007F1775">
            <w:pPr>
              <w:rPr>
                <w:rFonts w:ascii="宋体"/>
              </w:rPr>
            </w:pPr>
          </w:p>
        </w:tc>
        <w:tc>
          <w:tcPr>
            <w:tcW w:w="5" w:type="pct"/>
            <w:shd w:val="clear" w:color="auto" w:fill="auto"/>
            <w:vAlign w:val="bottom"/>
          </w:tcPr>
          <w:p w14:paraId="0B2FAF7D" w14:textId="77777777" w:rsidR="007F1775" w:rsidRDefault="007F1775">
            <w:pPr>
              <w:rPr>
                <w:rFonts w:ascii="宋体"/>
              </w:rPr>
            </w:pPr>
          </w:p>
        </w:tc>
        <w:tc>
          <w:tcPr>
            <w:tcW w:w="19" w:type="pct"/>
            <w:shd w:val="clear" w:color="auto" w:fill="auto"/>
            <w:vAlign w:val="bottom"/>
          </w:tcPr>
          <w:p w14:paraId="0B2FAF7E" w14:textId="77777777" w:rsidR="007F1775" w:rsidRDefault="007F1775">
            <w:pPr>
              <w:rPr>
                <w:rFonts w:ascii="宋体"/>
              </w:rPr>
            </w:pPr>
          </w:p>
        </w:tc>
        <w:tc>
          <w:tcPr>
            <w:tcW w:w="5" w:type="pct"/>
            <w:shd w:val="clear" w:color="auto" w:fill="auto"/>
            <w:vAlign w:val="bottom"/>
          </w:tcPr>
          <w:p w14:paraId="0B2FAF7F" w14:textId="77777777" w:rsidR="007F1775" w:rsidRDefault="007F1775">
            <w:pPr>
              <w:rPr>
                <w:rFonts w:ascii="宋体"/>
              </w:rPr>
            </w:pPr>
          </w:p>
        </w:tc>
        <w:tc>
          <w:tcPr>
            <w:tcW w:w="50" w:type="pct"/>
            <w:shd w:val="clear" w:color="auto" w:fill="auto"/>
            <w:vAlign w:val="bottom"/>
          </w:tcPr>
          <w:p w14:paraId="0B2FAF80" w14:textId="77777777" w:rsidR="007F1775" w:rsidRDefault="007F1775">
            <w:pPr>
              <w:rPr>
                <w:rFonts w:ascii="宋体"/>
              </w:rPr>
            </w:pPr>
          </w:p>
        </w:tc>
        <w:tc>
          <w:tcPr>
            <w:tcW w:w="391" w:type="pct"/>
            <w:shd w:val="clear" w:color="auto" w:fill="auto"/>
            <w:vAlign w:val="bottom"/>
          </w:tcPr>
          <w:p w14:paraId="0B2FAF81" w14:textId="77777777" w:rsidR="007F1775" w:rsidRDefault="007F1775">
            <w:pPr>
              <w:rPr>
                <w:rFonts w:ascii="宋体"/>
              </w:rPr>
            </w:pPr>
          </w:p>
        </w:tc>
        <w:tc>
          <w:tcPr>
            <w:tcW w:w="5" w:type="pct"/>
            <w:shd w:val="clear" w:color="auto" w:fill="auto"/>
            <w:vAlign w:val="bottom"/>
          </w:tcPr>
          <w:p w14:paraId="0B2FAF82" w14:textId="77777777" w:rsidR="007F1775" w:rsidRDefault="007F1775">
            <w:pPr>
              <w:rPr>
                <w:rFonts w:ascii="宋体"/>
              </w:rPr>
            </w:pPr>
          </w:p>
        </w:tc>
        <w:tc>
          <w:tcPr>
            <w:tcW w:w="5" w:type="pct"/>
            <w:shd w:val="clear" w:color="auto" w:fill="auto"/>
            <w:vAlign w:val="bottom"/>
          </w:tcPr>
          <w:p w14:paraId="0B2FAF83" w14:textId="77777777" w:rsidR="007F1775" w:rsidRDefault="007F1775">
            <w:pPr>
              <w:rPr>
                <w:rFonts w:ascii="宋体"/>
              </w:rPr>
            </w:pPr>
          </w:p>
        </w:tc>
        <w:tc>
          <w:tcPr>
            <w:tcW w:w="19" w:type="pct"/>
            <w:shd w:val="clear" w:color="auto" w:fill="auto"/>
            <w:vAlign w:val="bottom"/>
          </w:tcPr>
          <w:p w14:paraId="0B2FAF84" w14:textId="77777777" w:rsidR="007F1775" w:rsidRDefault="007F1775">
            <w:pPr>
              <w:rPr>
                <w:rFonts w:ascii="宋体"/>
              </w:rPr>
            </w:pPr>
          </w:p>
        </w:tc>
        <w:tc>
          <w:tcPr>
            <w:tcW w:w="5" w:type="pct"/>
            <w:shd w:val="clear" w:color="auto" w:fill="auto"/>
            <w:vAlign w:val="bottom"/>
          </w:tcPr>
          <w:p w14:paraId="0B2FAF85" w14:textId="77777777" w:rsidR="007F1775" w:rsidRDefault="007F1775">
            <w:pPr>
              <w:rPr>
                <w:rFonts w:ascii="宋体"/>
              </w:rPr>
            </w:pPr>
          </w:p>
        </w:tc>
        <w:tc>
          <w:tcPr>
            <w:tcW w:w="50" w:type="pct"/>
            <w:shd w:val="clear" w:color="auto" w:fill="auto"/>
            <w:vAlign w:val="bottom"/>
          </w:tcPr>
          <w:p w14:paraId="0B2FAF86" w14:textId="77777777" w:rsidR="007F1775" w:rsidRDefault="007F1775">
            <w:pPr>
              <w:rPr>
                <w:rFonts w:ascii="宋体"/>
              </w:rPr>
            </w:pPr>
          </w:p>
        </w:tc>
        <w:tc>
          <w:tcPr>
            <w:tcW w:w="362" w:type="pct"/>
            <w:shd w:val="clear" w:color="auto" w:fill="auto"/>
            <w:vAlign w:val="bottom"/>
          </w:tcPr>
          <w:p w14:paraId="0B2FAF87" w14:textId="77777777" w:rsidR="007F1775" w:rsidRDefault="007F1775">
            <w:pPr>
              <w:rPr>
                <w:rFonts w:ascii="宋体"/>
              </w:rPr>
            </w:pPr>
          </w:p>
        </w:tc>
        <w:tc>
          <w:tcPr>
            <w:tcW w:w="5" w:type="pct"/>
            <w:shd w:val="clear" w:color="auto" w:fill="auto"/>
            <w:vAlign w:val="bottom"/>
          </w:tcPr>
          <w:p w14:paraId="0B2FAF88" w14:textId="77777777" w:rsidR="007F1775" w:rsidRDefault="007F1775">
            <w:pPr>
              <w:rPr>
                <w:rFonts w:ascii="宋体"/>
              </w:rPr>
            </w:pPr>
          </w:p>
        </w:tc>
        <w:tc>
          <w:tcPr>
            <w:tcW w:w="0" w:type="auto"/>
            <w:shd w:val="clear" w:color="auto" w:fill="auto"/>
            <w:vAlign w:val="bottom"/>
          </w:tcPr>
          <w:p w14:paraId="0B2FAF89" w14:textId="77777777" w:rsidR="007F1775" w:rsidRDefault="007F1775">
            <w:pPr>
              <w:rPr>
                <w:rFonts w:ascii="宋体"/>
                <w:vanish/>
              </w:rPr>
            </w:pPr>
          </w:p>
        </w:tc>
        <w:tc>
          <w:tcPr>
            <w:tcW w:w="0" w:type="auto"/>
            <w:shd w:val="clear" w:color="auto" w:fill="auto"/>
            <w:vAlign w:val="bottom"/>
          </w:tcPr>
          <w:p w14:paraId="0B2FAF8A" w14:textId="77777777" w:rsidR="007F1775" w:rsidRDefault="007F1775">
            <w:pPr>
              <w:rPr>
                <w:rFonts w:ascii="宋体"/>
                <w:vanish/>
              </w:rPr>
            </w:pPr>
          </w:p>
        </w:tc>
        <w:tc>
          <w:tcPr>
            <w:tcW w:w="0" w:type="auto"/>
            <w:shd w:val="clear" w:color="auto" w:fill="auto"/>
            <w:vAlign w:val="bottom"/>
          </w:tcPr>
          <w:p w14:paraId="0B2FAF8B" w14:textId="77777777" w:rsidR="007F1775" w:rsidRDefault="007F1775">
            <w:pPr>
              <w:rPr>
                <w:rFonts w:ascii="宋体"/>
                <w:vanish/>
              </w:rPr>
            </w:pPr>
          </w:p>
        </w:tc>
        <w:tc>
          <w:tcPr>
            <w:tcW w:w="0" w:type="auto"/>
            <w:shd w:val="clear" w:color="auto" w:fill="auto"/>
            <w:vAlign w:val="bottom"/>
          </w:tcPr>
          <w:p w14:paraId="0B2FAF8C" w14:textId="77777777" w:rsidR="007F1775" w:rsidRDefault="007F1775">
            <w:pPr>
              <w:rPr>
                <w:rFonts w:ascii="宋体"/>
                <w:vanish/>
              </w:rPr>
            </w:pPr>
          </w:p>
        </w:tc>
      </w:tr>
      <w:tr w:rsidR="007F1775" w14:paraId="0B2FAF98" w14:textId="77777777">
        <w:tc>
          <w:tcPr>
            <w:tcW w:w="0" w:type="auto"/>
            <w:gridSpan w:val="3"/>
            <w:shd w:val="clear" w:color="auto" w:fill="auto"/>
            <w:tcMar>
              <w:top w:w="0" w:type="dxa"/>
              <w:left w:w="20" w:type="dxa"/>
              <w:bottom w:w="0" w:type="dxa"/>
              <w:right w:w="20" w:type="dxa"/>
            </w:tcMar>
            <w:vAlign w:val="bottom"/>
          </w:tcPr>
          <w:p w14:paraId="0B2FAF8E" w14:textId="77777777" w:rsidR="007F1775" w:rsidRDefault="007F1775">
            <w:pPr>
              <w:rPr>
                <w:rFonts w:ascii="宋体"/>
              </w:rPr>
            </w:pPr>
          </w:p>
        </w:tc>
        <w:tc>
          <w:tcPr>
            <w:tcW w:w="0" w:type="auto"/>
            <w:gridSpan w:val="15"/>
            <w:shd w:val="clear" w:color="auto" w:fill="auto"/>
            <w:tcMar>
              <w:top w:w="40" w:type="dxa"/>
              <w:left w:w="20" w:type="dxa"/>
              <w:bottom w:w="40" w:type="dxa"/>
              <w:right w:w="20" w:type="dxa"/>
            </w:tcMar>
            <w:vAlign w:val="center"/>
          </w:tcPr>
          <w:p w14:paraId="0B2FAF8F" w14:textId="77777777" w:rsidR="007F1775" w:rsidRDefault="000F083E">
            <w:pPr>
              <w:jc w:val="center"/>
              <w:textAlignment w:val="center"/>
            </w:pPr>
            <w:r>
              <w:rPr>
                <w:rFonts w:ascii="Times New Roman" w:eastAsia="宋体" w:hAnsi="Times New Roman"/>
                <w:b/>
                <w:bCs/>
                <w:color w:val="000000"/>
                <w:sz w:val="16"/>
                <w:szCs w:val="16"/>
              </w:rPr>
              <w:t>Family of Apps</w:t>
            </w:r>
          </w:p>
        </w:tc>
        <w:tc>
          <w:tcPr>
            <w:tcW w:w="0" w:type="auto"/>
            <w:gridSpan w:val="3"/>
            <w:shd w:val="clear" w:color="auto" w:fill="auto"/>
            <w:tcMar>
              <w:top w:w="0" w:type="dxa"/>
              <w:left w:w="20" w:type="dxa"/>
              <w:bottom w:w="0" w:type="dxa"/>
              <w:right w:w="20" w:type="dxa"/>
            </w:tcMar>
            <w:vAlign w:val="bottom"/>
          </w:tcPr>
          <w:p w14:paraId="0B2FAF90" w14:textId="77777777" w:rsidR="007F1775" w:rsidRDefault="007F1775">
            <w:pPr>
              <w:rPr>
                <w:rFonts w:ascii="宋体"/>
              </w:rPr>
            </w:pPr>
          </w:p>
        </w:tc>
        <w:tc>
          <w:tcPr>
            <w:tcW w:w="0" w:type="auto"/>
            <w:gridSpan w:val="15"/>
            <w:shd w:val="clear" w:color="auto" w:fill="auto"/>
            <w:tcMar>
              <w:top w:w="40" w:type="dxa"/>
              <w:left w:w="20" w:type="dxa"/>
              <w:bottom w:w="40" w:type="dxa"/>
              <w:right w:w="20" w:type="dxa"/>
            </w:tcMar>
            <w:vAlign w:val="center"/>
          </w:tcPr>
          <w:p w14:paraId="0B2FAF91" w14:textId="77777777" w:rsidR="007F1775" w:rsidRDefault="000F083E">
            <w:pPr>
              <w:jc w:val="center"/>
              <w:textAlignment w:val="center"/>
            </w:pPr>
            <w:r>
              <w:rPr>
                <w:rFonts w:ascii="Times New Roman" w:eastAsia="宋体" w:hAnsi="Times New Roman"/>
                <w:b/>
                <w:bCs/>
                <w:color w:val="000000"/>
                <w:sz w:val="16"/>
                <w:szCs w:val="16"/>
              </w:rPr>
              <w:t>Reality Labs</w:t>
            </w:r>
          </w:p>
        </w:tc>
        <w:tc>
          <w:tcPr>
            <w:tcW w:w="0" w:type="auto"/>
            <w:gridSpan w:val="3"/>
            <w:shd w:val="clear" w:color="auto" w:fill="auto"/>
            <w:tcMar>
              <w:top w:w="0" w:type="dxa"/>
              <w:left w:w="20" w:type="dxa"/>
              <w:bottom w:w="0" w:type="dxa"/>
              <w:right w:w="20" w:type="dxa"/>
            </w:tcMar>
            <w:vAlign w:val="bottom"/>
          </w:tcPr>
          <w:p w14:paraId="0B2FAF92" w14:textId="77777777" w:rsidR="007F1775" w:rsidRDefault="007F1775">
            <w:pPr>
              <w:rPr>
                <w:rFonts w:ascii="宋体"/>
              </w:rPr>
            </w:pPr>
          </w:p>
        </w:tc>
        <w:tc>
          <w:tcPr>
            <w:tcW w:w="0" w:type="auto"/>
            <w:gridSpan w:val="15"/>
            <w:shd w:val="clear" w:color="auto" w:fill="auto"/>
            <w:tcMar>
              <w:top w:w="40" w:type="dxa"/>
              <w:left w:w="20" w:type="dxa"/>
              <w:bottom w:w="40" w:type="dxa"/>
              <w:right w:w="20" w:type="dxa"/>
            </w:tcMar>
            <w:vAlign w:val="center"/>
          </w:tcPr>
          <w:p w14:paraId="0B2FAF93" w14:textId="77777777" w:rsidR="007F1775" w:rsidRDefault="000F083E">
            <w:pPr>
              <w:jc w:val="center"/>
              <w:textAlignment w:val="center"/>
            </w:pPr>
            <w:r>
              <w:rPr>
                <w:rFonts w:ascii="Times New Roman" w:eastAsia="宋体" w:hAnsi="Times New Roman"/>
                <w:b/>
                <w:bCs/>
                <w:color w:val="000000"/>
                <w:sz w:val="16"/>
                <w:szCs w:val="16"/>
              </w:rPr>
              <w:t>Total</w:t>
            </w:r>
          </w:p>
        </w:tc>
        <w:tc>
          <w:tcPr>
            <w:tcW w:w="0" w:type="auto"/>
            <w:shd w:val="clear" w:color="auto" w:fill="auto"/>
            <w:vAlign w:val="bottom"/>
          </w:tcPr>
          <w:p w14:paraId="0B2FAF94" w14:textId="77777777" w:rsidR="007F1775" w:rsidRDefault="007F1775">
            <w:pPr>
              <w:rPr>
                <w:rFonts w:ascii="宋体"/>
                <w:vanish/>
              </w:rPr>
            </w:pPr>
          </w:p>
        </w:tc>
        <w:tc>
          <w:tcPr>
            <w:tcW w:w="0" w:type="auto"/>
            <w:shd w:val="clear" w:color="auto" w:fill="auto"/>
            <w:vAlign w:val="bottom"/>
          </w:tcPr>
          <w:p w14:paraId="0B2FAF95" w14:textId="77777777" w:rsidR="007F1775" w:rsidRDefault="007F1775">
            <w:pPr>
              <w:rPr>
                <w:rFonts w:ascii="宋体"/>
                <w:vanish/>
              </w:rPr>
            </w:pPr>
          </w:p>
        </w:tc>
        <w:tc>
          <w:tcPr>
            <w:tcW w:w="0" w:type="auto"/>
            <w:shd w:val="clear" w:color="auto" w:fill="auto"/>
            <w:vAlign w:val="bottom"/>
          </w:tcPr>
          <w:p w14:paraId="0B2FAF96" w14:textId="77777777" w:rsidR="007F1775" w:rsidRDefault="007F1775">
            <w:pPr>
              <w:rPr>
                <w:rFonts w:ascii="宋体"/>
                <w:vanish/>
              </w:rPr>
            </w:pPr>
          </w:p>
        </w:tc>
        <w:tc>
          <w:tcPr>
            <w:tcW w:w="0" w:type="auto"/>
            <w:shd w:val="clear" w:color="auto" w:fill="auto"/>
            <w:vAlign w:val="bottom"/>
          </w:tcPr>
          <w:p w14:paraId="0B2FAF97" w14:textId="77777777" w:rsidR="007F1775" w:rsidRDefault="007F1775">
            <w:pPr>
              <w:rPr>
                <w:rFonts w:ascii="宋体"/>
                <w:vanish/>
              </w:rPr>
            </w:pPr>
          </w:p>
        </w:tc>
      </w:tr>
      <w:tr w:rsidR="007F1775" w14:paraId="0B2FAFA9" w14:textId="77777777">
        <w:trPr>
          <w:trHeight w:val="360"/>
        </w:trPr>
        <w:tc>
          <w:tcPr>
            <w:tcW w:w="0" w:type="auto"/>
            <w:gridSpan w:val="3"/>
            <w:shd w:val="clear" w:color="auto" w:fill="auto"/>
            <w:tcMar>
              <w:top w:w="0" w:type="dxa"/>
              <w:left w:w="20" w:type="dxa"/>
              <w:bottom w:w="0" w:type="dxa"/>
              <w:right w:w="20" w:type="dxa"/>
            </w:tcMar>
            <w:vAlign w:val="bottom"/>
          </w:tcPr>
          <w:p w14:paraId="0B2FAF99" w14:textId="77777777" w:rsidR="007F1775" w:rsidRDefault="007F17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B2FAF9A" w14:textId="77777777" w:rsidR="007F1775" w:rsidRDefault="000F083E">
            <w:pPr>
              <w:jc w:val="center"/>
              <w:textAlignment w:val="center"/>
            </w:pPr>
            <w:r>
              <w:rPr>
                <w:rFonts w:ascii="Times New Roman" w:eastAsia="宋体" w:hAnsi="Times New Roman"/>
                <w:b/>
                <w:bCs/>
                <w:color w:val="000000"/>
                <w:sz w:val="16"/>
                <w:szCs w:val="16"/>
              </w:rPr>
              <w:t>Three Months Ended March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9B" w14:textId="77777777" w:rsidR="007F1775" w:rsidRDefault="007F17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center"/>
          </w:tcPr>
          <w:p w14:paraId="0B2FAF9C" w14:textId="77777777" w:rsidR="007F1775" w:rsidRDefault="000F083E">
            <w:pPr>
              <w:jc w:val="center"/>
              <w:textAlignment w:val="center"/>
            </w:pPr>
            <w:r>
              <w:rPr>
                <w:rFonts w:ascii="Times New Roman" w:eastAsia="宋体" w:hAnsi="Times New Roman"/>
                <w:b/>
                <w:bCs/>
                <w:color w:val="000000"/>
                <w:sz w:val="16"/>
                <w:szCs w:val="16"/>
              </w:rPr>
              <w:t xml:space="preserve">Year-over-Year </w:t>
            </w:r>
            <w:r>
              <w:rPr>
                <w:rFonts w:ascii="Times New Roman" w:eastAsia="宋体" w:hAnsi="Times New Roman"/>
                <w:b/>
                <w:bCs/>
                <w:color w:val="000000"/>
                <w:sz w:val="16"/>
                <w:szCs w:val="16"/>
              </w:rPr>
              <w:br/>
              <w:t>% Change</w:t>
            </w:r>
          </w:p>
        </w:tc>
        <w:tc>
          <w:tcPr>
            <w:tcW w:w="0" w:type="auto"/>
            <w:gridSpan w:val="3"/>
            <w:shd w:val="clear" w:color="auto" w:fill="auto"/>
            <w:tcMar>
              <w:top w:w="0" w:type="dxa"/>
              <w:left w:w="20" w:type="dxa"/>
              <w:bottom w:w="0" w:type="dxa"/>
              <w:right w:w="20" w:type="dxa"/>
            </w:tcMar>
            <w:vAlign w:val="bottom"/>
          </w:tcPr>
          <w:p w14:paraId="0B2FAF9D" w14:textId="77777777" w:rsidR="007F1775" w:rsidRDefault="007F17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B2FAF9E" w14:textId="77777777" w:rsidR="007F1775" w:rsidRDefault="000F083E">
            <w:pPr>
              <w:jc w:val="center"/>
              <w:textAlignment w:val="center"/>
            </w:pPr>
            <w:r>
              <w:rPr>
                <w:rFonts w:ascii="Times New Roman" w:eastAsia="宋体" w:hAnsi="Times New Roman"/>
                <w:b/>
                <w:bCs/>
                <w:color w:val="000000"/>
                <w:sz w:val="16"/>
                <w:szCs w:val="16"/>
              </w:rPr>
              <w:t>Three Months Ended March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9F" w14:textId="77777777" w:rsidR="007F1775" w:rsidRDefault="007F17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center"/>
          </w:tcPr>
          <w:p w14:paraId="0B2FAFA0" w14:textId="77777777" w:rsidR="007F1775" w:rsidRDefault="000F083E">
            <w:pPr>
              <w:jc w:val="center"/>
              <w:textAlignment w:val="center"/>
            </w:pPr>
            <w:r>
              <w:rPr>
                <w:rFonts w:ascii="Times New Roman" w:eastAsia="宋体" w:hAnsi="Times New Roman"/>
                <w:b/>
                <w:bCs/>
                <w:color w:val="000000"/>
                <w:sz w:val="16"/>
                <w:szCs w:val="16"/>
              </w:rPr>
              <w:t xml:space="preserve">Year-over-Year </w:t>
            </w:r>
            <w:r>
              <w:rPr>
                <w:rFonts w:ascii="Times New Roman" w:eastAsia="宋体" w:hAnsi="Times New Roman"/>
                <w:b/>
                <w:bCs/>
                <w:color w:val="000000"/>
                <w:sz w:val="16"/>
                <w:szCs w:val="16"/>
              </w:rPr>
              <w:br/>
              <w:t>% Change</w:t>
            </w:r>
          </w:p>
        </w:tc>
        <w:tc>
          <w:tcPr>
            <w:tcW w:w="0" w:type="auto"/>
            <w:gridSpan w:val="3"/>
            <w:shd w:val="clear" w:color="auto" w:fill="auto"/>
            <w:tcMar>
              <w:top w:w="0" w:type="dxa"/>
              <w:left w:w="20" w:type="dxa"/>
              <w:bottom w:w="0" w:type="dxa"/>
              <w:right w:w="20" w:type="dxa"/>
            </w:tcMar>
            <w:vAlign w:val="bottom"/>
          </w:tcPr>
          <w:p w14:paraId="0B2FAFA1" w14:textId="77777777" w:rsidR="007F1775" w:rsidRDefault="007F177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0B2FAFA2" w14:textId="77777777" w:rsidR="007F1775" w:rsidRDefault="000F083E">
            <w:pPr>
              <w:jc w:val="center"/>
              <w:textAlignment w:val="center"/>
            </w:pPr>
            <w:r>
              <w:rPr>
                <w:rFonts w:ascii="Times New Roman" w:eastAsia="宋体" w:hAnsi="Times New Roman"/>
                <w:b/>
                <w:bCs/>
                <w:color w:val="000000"/>
                <w:sz w:val="16"/>
                <w:szCs w:val="16"/>
              </w:rPr>
              <w:t>Three Months Ended March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A3" w14:textId="77777777" w:rsidR="007F1775" w:rsidRDefault="007F1775">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center"/>
          </w:tcPr>
          <w:p w14:paraId="0B2FAFA4" w14:textId="77777777" w:rsidR="007F1775" w:rsidRDefault="000F083E">
            <w:pPr>
              <w:jc w:val="center"/>
              <w:textAlignment w:val="center"/>
            </w:pPr>
            <w:r>
              <w:rPr>
                <w:rFonts w:ascii="Times New Roman" w:eastAsia="宋体" w:hAnsi="Times New Roman"/>
                <w:b/>
                <w:bCs/>
                <w:color w:val="000000"/>
                <w:sz w:val="16"/>
                <w:szCs w:val="16"/>
              </w:rPr>
              <w:t xml:space="preserve">Year-over-Year </w:t>
            </w:r>
            <w:r>
              <w:rPr>
                <w:rFonts w:ascii="Times New Roman" w:eastAsia="宋体" w:hAnsi="Times New Roman"/>
                <w:b/>
                <w:bCs/>
                <w:color w:val="000000"/>
                <w:sz w:val="16"/>
                <w:szCs w:val="16"/>
              </w:rPr>
              <w:br/>
              <w:t>% Change</w:t>
            </w:r>
          </w:p>
        </w:tc>
        <w:tc>
          <w:tcPr>
            <w:tcW w:w="0" w:type="auto"/>
            <w:shd w:val="clear" w:color="auto" w:fill="auto"/>
            <w:vAlign w:val="bottom"/>
          </w:tcPr>
          <w:p w14:paraId="0B2FAFA5" w14:textId="77777777" w:rsidR="007F1775" w:rsidRDefault="007F1775">
            <w:pPr>
              <w:rPr>
                <w:rFonts w:ascii="宋体"/>
                <w:vanish/>
              </w:rPr>
            </w:pPr>
          </w:p>
        </w:tc>
        <w:tc>
          <w:tcPr>
            <w:tcW w:w="0" w:type="auto"/>
            <w:shd w:val="clear" w:color="auto" w:fill="auto"/>
            <w:vAlign w:val="bottom"/>
          </w:tcPr>
          <w:p w14:paraId="0B2FAFA6" w14:textId="77777777" w:rsidR="007F1775" w:rsidRDefault="007F1775">
            <w:pPr>
              <w:rPr>
                <w:rFonts w:ascii="宋体"/>
                <w:vanish/>
              </w:rPr>
            </w:pPr>
          </w:p>
        </w:tc>
        <w:tc>
          <w:tcPr>
            <w:tcW w:w="0" w:type="auto"/>
            <w:shd w:val="clear" w:color="auto" w:fill="auto"/>
            <w:vAlign w:val="bottom"/>
          </w:tcPr>
          <w:p w14:paraId="0B2FAFA7" w14:textId="77777777" w:rsidR="007F1775" w:rsidRDefault="007F1775">
            <w:pPr>
              <w:rPr>
                <w:rFonts w:ascii="宋体"/>
                <w:vanish/>
              </w:rPr>
            </w:pPr>
          </w:p>
        </w:tc>
        <w:tc>
          <w:tcPr>
            <w:tcW w:w="0" w:type="auto"/>
            <w:shd w:val="clear" w:color="auto" w:fill="auto"/>
            <w:vAlign w:val="bottom"/>
          </w:tcPr>
          <w:p w14:paraId="0B2FAFA8" w14:textId="77777777" w:rsidR="007F1775" w:rsidRDefault="007F1775">
            <w:pPr>
              <w:rPr>
                <w:rFonts w:ascii="宋体"/>
                <w:vanish/>
              </w:rPr>
            </w:pPr>
          </w:p>
        </w:tc>
      </w:tr>
      <w:tr w:rsidR="007F1775" w14:paraId="0B2FAFC0" w14:textId="77777777">
        <w:trPr>
          <w:trHeight w:val="240"/>
        </w:trPr>
        <w:tc>
          <w:tcPr>
            <w:tcW w:w="0" w:type="auto"/>
            <w:gridSpan w:val="3"/>
            <w:shd w:val="clear" w:color="auto" w:fill="auto"/>
            <w:tcMar>
              <w:top w:w="0" w:type="dxa"/>
              <w:left w:w="20" w:type="dxa"/>
              <w:bottom w:w="0" w:type="dxa"/>
              <w:right w:w="20" w:type="dxa"/>
            </w:tcMar>
            <w:vAlign w:val="bottom"/>
          </w:tcPr>
          <w:p w14:paraId="0B2FAFAA"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FAB" w14:textId="77777777" w:rsidR="007F1775" w:rsidRDefault="000F083E">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AC"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FAD" w14:textId="77777777" w:rsidR="007F1775" w:rsidRDefault="000F083E">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B2FAFAE" w14:textId="77777777" w:rsidR="007F1775" w:rsidRDefault="007F17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center"/>
          </w:tcPr>
          <w:p w14:paraId="0B2FAFAF" w14:textId="77777777" w:rsidR="007F1775" w:rsidRDefault="007F1775">
            <w:pPr>
              <w:jc w:val="center"/>
              <w:rPr>
                <w:rFonts w:ascii="宋体"/>
              </w:rPr>
            </w:pPr>
          </w:p>
        </w:tc>
        <w:tc>
          <w:tcPr>
            <w:tcW w:w="0" w:type="auto"/>
            <w:gridSpan w:val="3"/>
            <w:shd w:val="clear" w:color="auto" w:fill="auto"/>
            <w:tcMar>
              <w:top w:w="0" w:type="dxa"/>
              <w:left w:w="20" w:type="dxa"/>
              <w:bottom w:w="0" w:type="dxa"/>
              <w:right w:w="20" w:type="dxa"/>
            </w:tcMar>
            <w:vAlign w:val="bottom"/>
          </w:tcPr>
          <w:p w14:paraId="0B2FAFB0"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FB1" w14:textId="77777777" w:rsidR="007F1775" w:rsidRDefault="000F083E">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B2"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FB3" w14:textId="77777777" w:rsidR="007F1775" w:rsidRDefault="000F083E">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B2FAFB4" w14:textId="77777777" w:rsidR="007F1775" w:rsidRDefault="007F17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center"/>
          </w:tcPr>
          <w:p w14:paraId="0B2FAFB5" w14:textId="77777777" w:rsidR="007F1775" w:rsidRDefault="007F1775">
            <w:pPr>
              <w:jc w:val="center"/>
              <w:rPr>
                <w:rFonts w:ascii="宋体"/>
              </w:rPr>
            </w:pPr>
          </w:p>
        </w:tc>
        <w:tc>
          <w:tcPr>
            <w:tcW w:w="0" w:type="auto"/>
            <w:gridSpan w:val="3"/>
            <w:shd w:val="clear" w:color="auto" w:fill="auto"/>
            <w:tcMar>
              <w:top w:w="0" w:type="dxa"/>
              <w:left w:w="20" w:type="dxa"/>
              <w:bottom w:w="0" w:type="dxa"/>
              <w:right w:w="20" w:type="dxa"/>
            </w:tcMar>
            <w:vAlign w:val="bottom"/>
          </w:tcPr>
          <w:p w14:paraId="0B2FAFB6"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FB7" w14:textId="77777777" w:rsidR="007F1775" w:rsidRDefault="000F083E">
            <w:pPr>
              <w:jc w:val="center"/>
              <w:textAlignment w:val="center"/>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B8"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B2FAFB9" w14:textId="77777777" w:rsidR="007F1775" w:rsidRDefault="000F083E">
            <w:pPr>
              <w:jc w:val="center"/>
              <w:textAlignment w:val="center"/>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B2FAFBA" w14:textId="77777777" w:rsidR="007F1775" w:rsidRDefault="007F1775">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center"/>
          </w:tcPr>
          <w:p w14:paraId="0B2FAFBB" w14:textId="77777777" w:rsidR="007F1775" w:rsidRDefault="007F1775">
            <w:pPr>
              <w:jc w:val="center"/>
              <w:rPr>
                <w:rFonts w:ascii="宋体"/>
              </w:rPr>
            </w:pPr>
          </w:p>
        </w:tc>
        <w:tc>
          <w:tcPr>
            <w:tcW w:w="0" w:type="auto"/>
            <w:shd w:val="clear" w:color="auto" w:fill="auto"/>
            <w:vAlign w:val="bottom"/>
          </w:tcPr>
          <w:p w14:paraId="0B2FAFBC" w14:textId="77777777" w:rsidR="007F1775" w:rsidRDefault="007F1775">
            <w:pPr>
              <w:rPr>
                <w:rFonts w:ascii="宋体"/>
                <w:vanish/>
              </w:rPr>
            </w:pPr>
          </w:p>
        </w:tc>
        <w:tc>
          <w:tcPr>
            <w:tcW w:w="0" w:type="auto"/>
            <w:shd w:val="clear" w:color="auto" w:fill="auto"/>
            <w:vAlign w:val="bottom"/>
          </w:tcPr>
          <w:p w14:paraId="0B2FAFBD" w14:textId="77777777" w:rsidR="007F1775" w:rsidRDefault="007F1775">
            <w:pPr>
              <w:rPr>
                <w:rFonts w:ascii="宋体"/>
                <w:vanish/>
              </w:rPr>
            </w:pPr>
          </w:p>
        </w:tc>
        <w:tc>
          <w:tcPr>
            <w:tcW w:w="0" w:type="auto"/>
            <w:shd w:val="clear" w:color="auto" w:fill="auto"/>
            <w:vAlign w:val="bottom"/>
          </w:tcPr>
          <w:p w14:paraId="0B2FAFBE" w14:textId="77777777" w:rsidR="007F1775" w:rsidRDefault="007F1775">
            <w:pPr>
              <w:rPr>
                <w:rFonts w:ascii="宋体"/>
                <w:vanish/>
              </w:rPr>
            </w:pPr>
          </w:p>
        </w:tc>
        <w:tc>
          <w:tcPr>
            <w:tcW w:w="0" w:type="auto"/>
            <w:shd w:val="clear" w:color="auto" w:fill="auto"/>
            <w:vAlign w:val="bottom"/>
          </w:tcPr>
          <w:p w14:paraId="0B2FAFBF" w14:textId="77777777" w:rsidR="007F1775" w:rsidRDefault="007F1775">
            <w:pPr>
              <w:rPr>
                <w:rFonts w:ascii="宋体"/>
                <w:vanish/>
              </w:rPr>
            </w:pPr>
          </w:p>
        </w:tc>
      </w:tr>
      <w:tr w:rsidR="007F1775" w14:paraId="0B2FAFD7" w14:textId="77777777">
        <w:trPr>
          <w:trHeight w:val="60"/>
        </w:trPr>
        <w:tc>
          <w:tcPr>
            <w:tcW w:w="0" w:type="auto"/>
            <w:gridSpan w:val="3"/>
            <w:shd w:val="clear" w:color="auto" w:fill="auto"/>
            <w:tcMar>
              <w:top w:w="0" w:type="dxa"/>
              <w:left w:w="20" w:type="dxa"/>
              <w:bottom w:w="0" w:type="dxa"/>
              <w:right w:w="20" w:type="dxa"/>
            </w:tcMar>
            <w:vAlign w:val="bottom"/>
          </w:tcPr>
          <w:p w14:paraId="0B2FAFC1"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C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AFC3"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C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AFC5"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C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AFC7"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C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AFC9"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C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AFCB"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C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AFCD"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C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AFCF"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D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AFD1"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AFD2" w14:textId="77777777" w:rsidR="007F1775" w:rsidRDefault="007F1775">
            <w:pPr>
              <w:rPr>
                <w:rFonts w:ascii="宋体"/>
              </w:rPr>
            </w:pPr>
          </w:p>
        </w:tc>
        <w:tc>
          <w:tcPr>
            <w:tcW w:w="0" w:type="auto"/>
            <w:shd w:val="clear" w:color="auto" w:fill="auto"/>
            <w:vAlign w:val="bottom"/>
          </w:tcPr>
          <w:p w14:paraId="0B2FAFD3" w14:textId="77777777" w:rsidR="007F1775" w:rsidRDefault="007F1775">
            <w:pPr>
              <w:rPr>
                <w:rFonts w:ascii="宋体"/>
                <w:vanish/>
              </w:rPr>
            </w:pPr>
          </w:p>
        </w:tc>
        <w:tc>
          <w:tcPr>
            <w:tcW w:w="0" w:type="auto"/>
            <w:shd w:val="clear" w:color="auto" w:fill="auto"/>
            <w:vAlign w:val="bottom"/>
          </w:tcPr>
          <w:p w14:paraId="0B2FAFD4" w14:textId="77777777" w:rsidR="007F1775" w:rsidRDefault="007F1775">
            <w:pPr>
              <w:rPr>
                <w:rFonts w:ascii="宋体"/>
                <w:vanish/>
              </w:rPr>
            </w:pPr>
          </w:p>
        </w:tc>
        <w:tc>
          <w:tcPr>
            <w:tcW w:w="0" w:type="auto"/>
            <w:shd w:val="clear" w:color="auto" w:fill="auto"/>
            <w:vAlign w:val="bottom"/>
          </w:tcPr>
          <w:p w14:paraId="0B2FAFD5" w14:textId="77777777" w:rsidR="007F1775" w:rsidRDefault="007F1775">
            <w:pPr>
              <w:rPr>
                <w:rFonts w:ascii="宋体"/>
                <w:vanish/>
              </w:rPr>
            </w:pPr>
          </w:p>
        </w:tc>
        <w:tc>
          <w:tcPr>
            <w:tcW w:w="0" w:type="auto"/>
            <w:shd w:val="clear" w:color="auto" w:fill="auto"/>
            <w:vAlign w:val="bottom"/>
          </w:tcPr>
          <w:p w14:paraId="0B2FAFD6" w14:textId="77777777" w:rsidR="007F1775" w:rsidRDefault="007F1775">
            <w:pPr>
              <w:rPr>
                <w:rFonts w:ascii="宋体"/>
                <w:vanish/>
              </w:rPr>
            </w:pPr>
          </w:p>
        </w:tc>
      </w:tr>
      <w:tr w:rsidR="007F1775" w14:paraId="0B2FAFDE" w14:textId="77777777">
        <w:tc>
          <w:tcPr>
            <w:tcW w:w="0" w:type="auto"/>
            <w:gridSpan w:val="3"/>
            <w:shd w:val="clear" w:color="auto" w:fill="auto"/>
            <w:tcMar>
              <w:top w:w="0" w:type="dxa"/>
              <w:left w:w="20" w:type="dxa"/>
              <w:bottom w:w="0" w:type="dxa"/>
              <w:right w:w="20" w:type="dxa"/>
            </w:tcMar>
            <w:vAlign w:val="bottom"/>
          </w:tcPr>
          <w:p w14:paraId="0B2FAFD8" w14:textId="77777777" w:rsidR="007F1775" w:rsidRDefault="007F1775">
            <w:pPr>
              <w:rPr>
                <w:rFonts w:ascii="宋体"/>
              </w:rPr>
            </w:pPr>
          </w:p>
        </w:tc>
        <w:tc>
          <w:tcPr>
            <w:tcW w:w="0" w:type="auto"/>
            <w:gridSpan w:val="51"/>
            <w:shd w:val="clear" w:color="auto" w:fill="auto"/>
            <w:tcMar>
              <w:top w:w="40" w:type="dxa"/>
              <w:left w:w="20" w:type="dxa"/>
              <w:bottom w:w="40" w:type="dxa"/>
              <w:right w:w="20" w:type="dxa"/>
            </w:tcMar>
          </w:tcPr>
          <w:p w14:paraId="0B2FAFD9" w14:textId="77777777" w:rsidR="007F1775" w:rsidRDefault="000F083E">
            <w:pPr>
              <w:jc w:val="center"/>
              <w:textAlignment w:val="top"/>
            </w:pPr>
            <w:r>
              <w:rPr>
                <w:rFonts w:ascii="Times New Roman" w:eastAsia="宋体" w:hAnsi="Times New Roman"/>
                <w:b/>
                <w:bCs/>
                <w:color w:val="000000"/>
                <w:sz w:val="16"/>
                <w:szCs w:val="16"/>
              </w:rPr>
              <w:t>(dollars in millions)</w:t>
            </w:r>
          </w:p>
        </w:tc>
        <w:tc>
          <w:tcPr>
            <w:tcW w:w="0" w:type="auto"/>
            <w:shd w:val="clear" w:color="auto" w:fill="auto"/>
            <w:vAlign w:val="bottom"/>
          </w:tcPr>
          <w:p w14:paraId="0B2FAFDA" w14:textId="77777777" w:rsidR="007F1775" w:rsidRDefault="007F1775">
            <w:pPr>
              <w:rPr>
                <w:rFonts w:ascii="宋体"/>
                <w:vanish/>
              </w:rPr>
            </w:pPr>
          </w:p>
        </w:tc>
        <w:tc>
          <w:tcPr>
            <w:tcW w:w="0" w:type="auto"/>
            <w:shd w:val="clear" w:color="auto" w:fill="auto"/>
            <w:vAlign w:val="bottom"/>
          </w:tcPr>
          <w:p w14:paraId="0B2FAFDB" w14:textId="77777777" w:rsidR="007F1775" w:rsidRDefault="007F1775">
            <w:pPr>
              <w:rPr>
                <w:rFonts w:ascii="宋体"/>
                <w:vanish/>
              </w:rPr>
            </w:pPr>
          </w:p>
        </w:tc>
        <w:tc>
          <w:tcPr>
            <w:tcW w:w="0" w:type="auto"/>
            <w:shd w:val="clear" w:color="auto" w:fill="auto"/>
            <w:vAlign w:val="bottom"/>
          </w:tcPr>
          <w:p w14:paraId="0B2FAFDC" w14:textId="77777777" w:rsidR="007F1775" w:rsidRDefault="007F1775">
            <w:pPr>
              <w:rPr>
                <w:rFonts w:ascii="宋体"/>
                <w:vanish/>
              </w:rPr>
            </w:pPr>
          </w:p>
        </w:tc>
        <w:tc>
          <w:tcPr>
            <w:tcW w:w="0" w:type="auto"/>
            <w:shd w:val="clear" w:color="auto" w:fill="auto"/>
            <w:vAlign w:val="bottom"/>
          </w:tcPr>
          <w:p w14:paraId="0B2FAFDD" w14:textId="77777777" w:rsidR="007F1775" w:rsidRDefault="007F1775">
            <w:pPr>
              <w:rPr>
                <w:rFonts w:ascii="宋体"/>
                <w:vanish/>
              </w:rPr>
            </w:pPr>
          </w:p>
        </w:tc>
      </w:tr>
      <w:tr w:rsidR="000F083E" w14:paraId="0B2FB001" w14:textId="77777777">
        <w:tc>
          <w:tcPr>
            <w:tcW w:w="0" w:type="auto"/>
            <w:gridSpan w:val="3"/>
            <w:shd w:val="clear" w:color="auto" w:fill="CCEEFF"/>
            <w:tcMar>
              <w:top w:w="40" w:type="dxa"/>
              <w:left w:w="20" w:type="dxa"/>
              <w:bottom w:w="40" w:type="dxa"/>
              <w:right w:w="20" w:type="dxa"/>
            </w:tcMar>
            <w:vAlign w:val="bottom"/>
          </w:tcPr>
          <w:p w14:paraId="0B2FAFDF" w14:textId="77777777" w:rsidR="007F1775" w:rsidRDefault="000F083E">
            <w:pPr>
              <w:textAlignment w:val="bottom"/>
            </w:pPr>
            <w:r>
              <w:rPr>
                <w:rFonts w:ascii="Times New Roman" w:eastAsia="宋体" w:hAnsi="Times New Roman"/>
                <w:color w:val="000000"/>
                <w:sz w:val="20"/>
                <w:szCs w:val="20"/>
              </w:rPr>
              <w:t>Revenue</w:t>
            </w:r>
          </w:p>
        </w:tc>
        <w:tc>
          <w:tcPr>
            <w:tcW w:w="0" w:type="auto"/>
            <w:shd w:val="clear" w:color="auto" w:fill="CCEEFF"/>
            <w:tcMar>
              <w:top w:w="40" w:type="dxa"/>
              <w:left w:w="20" w:type="dxa"/>
              <w:bottom w:w="40" w:type="dxa"/>
              <w:right w:w="0" w:type="dxa"/>
            </w:tcMar>
            <w:vAlign w:val="bottom"/>
          </w:tcPr>
          <w:p w14:paraId="0B2FAFE0"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AFE1" w14:textId="77777777" w:rsidR="007F1775" w:rsidRDefault="000F083E">
            <w:pPr>
              <w:jc w:val="right"/>
              <w:textAlignment w:val="bottom"/>
            </w:pPr>
            <w:r>
              <w:rPr>
                <w:rFonts w:ascii="Times New Roman" w:eastAsia="宋体" w:hAnsi="Times New Roman"/>
                <w:color w:val="000000"/>
                <w:sz w:val="17"/>
                <w:szCs w:val="17"/>
              </w:rPr>
              <w:t>27,213 </w:t>
            </w:r>
          </w:p>
        </w:tc>
        <w:tc>
          <w:tcPr>
            <w:tcW w:w="0" w:type="auto"/>
            <w:shd w:val="clear" w:color="auto" w:fill="CCEEFF"/>
            <w:tcMar>
              <w:top w:w="40" w:type="dxa"/>
              <w:left w:w="0" w:type="dxa"/>
              <w:bottom w:w="40" w:type="dxa"/>
              <w:right w:w="20" w:type="dxa"/>
            </w:tcMar>
            <w:vAlign w:val="bottom"/>
          </w:tcPr>
          <w:p w14:paraId="0B2FAFE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FE3"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FE4"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AFE5" w14:textId="77777777" w:rsidR="007F1775" w:rsidRDefault="000F083E">
            <w:pPr>
              <w:jc w:val="right"/>
              <w:textAlignment w:val="bottom"/>
            </w:pPr>
            <w:r>
              <w:rPr>
                <w:rFonts w:ascii="Times New Roman" w:eastAsia="宋体" w:hAnsi="Times New Roman"/>
                <w:color w:val="000000"/>
                <w:sz w:val="17"/>
                <w:szCs w:val="17"/>
              </w:rPr>
              <w:t>25,637 </w:t>
            </w:r>
          </w:p>
        </w:tc>
        <w:tc>
          <w:tcPr>
            <w:tcW w:w="0" w:type="auto"/>
            <w:shd w:val="clear" w:color="auto" w:fill="CCEEFF"/>
            <w:tcMar>
              <w:top w:w="40" w:type="dxa"/>
              <w:left w:w="0" w:type="dxa"/>
              <w:bottom w:w="40" w:type="dxa"/>
              <w:right w:w="20" w:type="dxa"/>
            </w:tcMar>
            <w:vAlign w:val="bottom"/>
          </w:tcPr>
          <w:p w14:paraId="0B2FAFE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FE7" w14:textId="77777777" w:rsidR="007F1775" w:rsidRDefault="007F1775">
            <w:pPr>
              <w:rPr>
                <w:rFonts w:ascii="宋体"/>
              </w:rPr>
            </w:pPr>
          </w:p>
        </w:tc>
        <w:tc>
          <w:tcPr>
            <w:tcW w:w="0" w:type="auto"/>
            <w:gridSpan w:val="3"/>
            <w:shd w:val="clear" w:color="auto" w:fill="CCEEFF"/>
            <w:tcMar>
              <w:top w:w="40" w:type="dxa"/>
              <w:left w:w="20" w:type="dxa"/>
              <w:bottom w:w="40" w:type="dxa"/>
              <w:right w:w="20" w:type="dxa"/>
            </w:tcMar>
            <w:vAlign w:val="bottom"/>
          </w:tcPr>
          <w:p w14:paraId="0B2FAFE8" w14:textId="77777777" w:rsidR="007F1775" w:rsidRDefault="000F083E">
            <w:pPr>
              <w:jc w:val="center"/>
              <w:textAlignment w:val="bottom"/>
            </w:pPr>
            <w:r>
              <w:rPr>
                <w:rFonts w:ascii="Times New Roman" w:eastAsia="宋体" w:hAnsi="Times New Roman"/>
                <w:i/>
                <w:iCs/>
                <w:color w:val="000000"/>
                <w:sz w:val="17"/>
                <w:szCs w:val="17"/>
              </w:rPr>
              <w:t>6%</w:t>
            </w:r>
          </w:p>
        </w:tc>
        <w:tc>
          <w:tcPr>
            <w:tcW w:w="0" w:type="auto"/>
            <w:gridSpan w:val="3"/>
            <w:shd w:val="clear" w:color="auto" w:fill="CCEEFF"/>
            <w:tcMar>
              <w:top w:w="0" w:type="dxa"/>
              <w:left w:w="20" w:type="dxa"/>
              <w:bottom w:w="0" w:type="dxa"/>
              <w:right w:w="20" w:type="dxa"/>
            </w:tcMar>
            <w:vAlign w:val="bottom"/>
          </w:tcPr>
          <w:p w14:paraId="0B2FAFE9"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FEA"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AFEB" w14:textId="77777777" w:rsidR="007F1775" w:rsidRDefault="000F083E">
            <w:pPr>
              <w:jc w:val="right"/>
              <w:textAlignment w:val="bottom"/>
            </w:pPr>
            <w:r>
              <w:rPr>
                <w:rFonts w:ascii="Times New Roman" w:eastAsia="宋体" w:hAnsi="Times New Roman"/>
                <w:color w:val="000000"/>
                <w:sz w:val="17"/>
                <w:szCs w:val="17"/>
              </w:rPr>
              <w:t>695 </w:t>
            </w:r>
          </w:p>
        </w:tc>
        <w:tc>
          <w:tcPr>
            <w:tcW w:w="0" w:type="auto"/>
            <w:shd w:val="clear" w:color="auto" w:fill="CCEEFF"/>
            <w:tcMar>
              <w:top w:w="40" w:type="dxa"/>
              <w:left w:w="0" w:type="dxa"/>
              <w:bottom w:w="40" w:type="dxa"/>
              <w:right w:w="20" w:type="dxa"/>
            </w:tcMar>
            <w:vAlign w:val="bottom"/>
          </w:tcPr>
          <w:p w14:paraId="0B2FAFE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FED"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FEE"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AFEF" w14:textId="77777777" w:rsidR="007F1775" w:rsidRDefault="000F083E">
            <w:pPr>
              <w:jc w:val="right"/>
              <w:textAlignment w:val="bottom"/>
            </w:pPr>
            <w:r>
              <w:rPr>
                <w:rFonts w:ascii="Times New Roman" w:eastAsia="宋体" w:hAnsi="Times New Roman"/>
                <w:color w:val="000000"/>
                <w:sz w:val="17"/>
                <w:szCs w:val="17"/>
              </w:rPr>
              <w:t>534 </w:t>
            </w:r>
          </w:p>
        </w:tc>
        <w:tc>
          <w:tcPr>
            <w:tcW w:w="0" w:type="auto"/>
            <w:shd w:val="clear" w:color="auto" w:fill="CCEEFF"/>
            <w:tcMar>
              <w:top w:w="40" w:type="dxa"/>
              <w:left w:w="0" w:type="dxa"/>
              <w:bottom w:w="40" w:type="dxa"/>
              <w:right w:w="20" w:type="dxa"/>
            </w:tcMar>
            <w:vAlign w:val="bottom"/>
          </w:tcPr>
          <w:p w14:paraId="0B2FAFF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FF1" w14:textId="77777777" w:rsidR="007F1775" w:rsidRDefault="007F1775">
            <w:pPr>
              <w:rPr>
                <w:rFonts w:ascii="宋体"/>
              </w:rPr>
            </w:pPr>
          </w:p>
        </w:tc>
        <w:tc>
          <w:tcPr>
            <w:tcW w:w="0" w:type="auto"/>
            <w:gridSpan w:val="3"/>
            <w:shd w:val="clear" w:color="auto" w:fill="CCEEFF"/>
            <w:tcMar>
              <w:top w:w="40" w:type="dxa"/>
              <w:left w:w="20" w:type="dxa"/>
              <w:bottom w:w="40" w:type="dxa"/>
              <w:right w:w="20" w:type="dxa"/>
            </w:tcMar>
            <w:vAlign w:val="bottom"/>
          </w:tcPr>
          <w:p w14:paraId="0B2FAFF2" w14:textId="77777777" w:rsidR="007F1775" w:rsidRDefault="000F083E">
            <w:pPr>
              <w:jc w:val="center"/>
              <w:textAlignment w:val="bottom"/>
            </w:pPr>
            <w:r>
              <w:rPr>
                <w:rFonts w:ascii="Times New Roman" w:eastAsia="宋体" w:hAnsi="Times New Roman"/>
                <w:i/>
                <w:iCs/>
                <w:color w:val="000000"/>
                <w:sz w:val="17"/>
                <w:szCs w:val="17"/>
              </w:rPr>
              <w:t>30%</w:t>
            </w:r>
          </w:p>
        </w:tc>
        <w:tc>
          <w:tcPr>
            <w:tcW w:w="0" w:type="auto"/>
            <w:gridSpan w:val="3"/>
            <w:shd w:val="clear" w:color="auto" w:fill="CCEEFF"/>
            <w:tcMar>
              <w:top w:w="0" w:type="dxa"/>
              <w:left w:w="20" w:type="dxa"/>
              <w:bottom w:w="0" w:type="dxa"/>
              <w:right w:w="20" w:type="dxa"/>
            </w:tcMar>
            <w:vAlign w:val="bottom"/>
          </w:tcPr>
          <w:p w14:paraId="0B2FAFF3"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FF4"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AFF5" w14:textId="77777777" w:rsidR="007F1775" w:rsidRDefault="000F083E">
            <w:pPr>
              <w:jc w:val="right"/>
              <w:textAlignment w:val="bottom"/>
            </w:pPr>
            <w:r>
              <w:rPr>
                <w:rFonts w:ascii="Times New Roman" w:eastAsia="宋体" w:hAnsi="Times New Roman"/>
                <w:color w:val="000000"/>
                <w:sz w:val="17"/>
                <w:szCs w:val="17"/>
              </w:rPr>
              <w:t>27,908 </w:t>
            </w:r>
          </w:p>
        </w:tc>
        <w:tc>
          <w:tcPr>
            <w:tcW w:w="0" w:type="auto"/>
            <w:shd w:val="clear" w:color="auto" w:fill="CCEEFF"/>
            <w:tcMar>
              <w:top w:w="40" w:type="dxa"/>
              <w:left w:w="0" w:type="dxa"/>
              <w:bottom w:w="40" w:type="dxa"/>
              <w:right w:w="20" w:type="dxa"/>
            </w:tcMar>
            <w:vAlign w:val="bottom"/>
          </w:tcPr>
          <w:p w14:paraId="0B2FAFF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FF7"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AFF8"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AFF9" w14:textId="77777777" w:rsidR="007F1775" w:rsidRDefault="000F083E">
            <w:pPr>
              <w:jc w:val="right"/>
              <w:textAlignment w:val="bottom"/>
            </w:pPr>
            <w:r>
              <w:rPr>
                <w:rFonts w:ascii="Times New Roman" w:eastAsia="宋体" w:hAnsi="Times New Roman"/>
                <w:color w:val="000000"/>
                <w:sz w:val="17"/>
                <w:szCs w:val="17"/>
              </w:rPr>
              <w:t>26,171 </w:t>
            </w:r>
          </w:p>
        </w:tc>
        <w:tc>
          <w:tcPr>
            <w:tcW w:w="0" w:type="auto"/>
            <w:shd w:val="clear" w:color="auto" w:fill="CCEEFF"/>
            <w:tcMar>
              <w:top w:w="40" w:type="dxa"/>
              <w:left w:w="0" w:type="dxa"/>
              <w:bottom w:w="40" w:type="dxa"/>
              <w:right w:w="20" w:type="dxa"/>
            </w:tcMar>
            <w:vAlign w:val="bottom"/>
          </w:tcPr>
          <w:p w14:paraId="0B2FAFF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AFFB" w14:textId="77777777" w:rsidR="007F1775" w:rsidRDefault="007F1775">
            <w:pPr>
              <w:rPr>
                <w:rFonts w:ascii="宋体"/>
              </w:rPr>
            </w:pPr>
          </w:p>
        </w:tc>
        <w:tc>
          <w:tcPr>
            <w:tcW w:w="0" w:type="auto"/>
            <w:gridSpan w:val="3"/>
            <w:shd w:val="clear" w:color="auto" w:fill="CCEEFF"/>
            <w:tcMar>
              <w:top w:w="40" w:type="dxa"/>
              <w:left w:w="20" w:type="dxa"/>
              <w:bottom w:w="40" w:type="dxa"/>
              <w:right w:w="20" w:type="dxa"/>
            </w:tcMar>
            <w:vAlign w:val="bottom"/>
          </w:tcPr>
          <w:p w14:paraId="0B2FAFFC" w14:textId="77777777" w:rsidR="007F1775" w:rsidRDefault="000F083E">
            <w:pPr>
              <w:jc w:val="center"/>
              <w:textAlignment w:val="bottom"/>
            </w:pPr>
            <w:r>
              <w:rPr>
                <w:rFonts w:ascii="Times New Roman" w:eastAsia="宋体" w:hAnsi="Times New Roman"/>
                <w:i/>
                <w:iCs/>
                <w:color w:val="000000"/>
                <w:sz w:val="17"/>
                <w:szCs w:val="17"/>
              </w:rPr>
              <w:t>7%</w:t>
            </w:r>
          </w:p>
        </w:tc>
        <w:tc>
          <w:tcPr>
            <w:tcW w:w="0" w:type="auto"/>
            <w:shd w:val="clear" w:color="auto" w:fill="auto"/>
            <w:vAlign w:val="bottom"/>
          </w:tcPr>
          <w:p w14:paraId="0B2FAFFD" w14:textId="77777777" w:rsidR="007F1775" w:rsidRDefault="007F1775">
            <w:pPr>
              <w:rPr>
                <w:rFonts w:ascii="宋体"/>
                <w:vanish/>
              </w:rPr>
            </w:pPr>
          </w:p>
        </w:tc>
        <w:tc>
          <w:tcPr>
            <w:tcW w:w="0" w:type="auto"/>
            <w:shd w:val="clear" w:color="auto" w:fill="auto"/>
            <w:vAlign w:val="bottom"/>
          </w:tcPr>
          <w:p w14:paraId="0B2FAFFE" w14:textId="77777777" w:rsidR="007F1775" w:rsidRDefault="007F1775">
            <w:pPr>
              <w:rPr>
                <w:rFonts w:ascii="宋体"/>
                <w:vanish/>
              </w:rPr>
            </w:pPr>
          </w:p>
        </w:tc>
        <w:tc>
          <w:tcPr>
            <w:tcW w:w="0" w:type="auto"/>
            <w:shd w:val="clear" w:color="auto" w:fill="auto"/>
            <w:vAlign w:val="bottom"/>
          </w:tcPr>
          <w:p w14:paraId="0B2FAFFF" w14:textId="77777777" w:rsidR="007F1775" w:rsidRDefault="007F1775">
            <w:pPr>
              <w:rPr>
                <w:rFonts w:ascii="宋体"/>
                <w:vanish/>
              </w:rPr>
            </w:pPr>
          </w:p>
        </w:tc>
        <w:tc>
          <w:tcPr>
            <w:tcW w:w="0" w:type="auto"/>
            <w:shd w:val="clear" w:color="auto" w:fill="auto"/>
            <w:vAlign w:val="bottom"/>
          </w:tcPr>
          <w:p w14:paraId="0B2FB000" w14:textId="77777777" w:rsidR="007F1775" w:rsidRDefault="007F1775">
            <w:pPr>
              <w:rPr>
                <w:rFonts w:ascii="宋体"/>
                <w:vanish/>
              </w:rPr>
            </w:pPr>
          </w:p>
        </w:tc>
      </w:tr>
      <w:tr w:rsidR="000F083E" w14:paraId="0B2FB024" w14:textId="77777777">
        <w:tc>
          <w:tcPr>
            <w:tcW w:w="0" w:type="auto"/>
            <w:gridSpan w:val="3"/>
            <w:shd w:val="clear" w:color="auto" w:fill="FFFFFF"/>
            <w:tcMar>
              <w:top w:w="40" w:type="dxa"/>
              <w:left w:w="20" w:type="dxa"/>
              <w:bottom w:w="40" w:type="dxa"/>
              <w:right w:w="20" w:type="dxa"/>
            </w:tcMar>
            <w:vAlign w:val="bottom"/>
          </w:tcPr>
          <w:p w14:paraId="0B2FB002" w14:textId="77777777" w:rsidR="007F1775" w:rsidRDefault="000F083E">
            <w:pPr>
              <w:textAlignment w:val="bottom"/>
            </w:pPr>
            <w:r>
              <w:rPr>
                <w:rFonts w:ascii="Times New Roman" w:eastAsia="宋体" w:hAnsi="Times New Roman"/>
                <w:color w:val="000000"/>
                <w:sz w:val="20"/>
                <w:szCs w:val="20"/>
              </w:rPr>
              <w:t>Costs and expenses</w:t>
            </w:r>
          </w:p>
        </w:tc>
        <w:tc>
          <w:tcPr>
            <w:tcW w:w="0" w:type="auto"/>
            <w:shd w:val="clear" w:color="auto" w:fill="FFFFFF"/>
            <w:tcMar>
              <w:top w:w="40" w:type="dxa"/>
              <w:left w:w="20" w:type="dxa"/>
              <w:bottom w:w="40" w:type="dxa"/>
              <w:right w:w="0" w:type="dxa"/>
            </w:tcMar>
            <w:vAlign w:val="bottom"/>
          </w:tcPr>
          <w:p w14:paraId="0B2FB003"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B2FB004" w14:textId="77777777" w:rsidR="007F1775" w:rsidRDefault="000F083E">
            <w:pPr>
              <w:jc w:val="right"/>
              <w:textAlignment w:val="bottom"/>
            </w:pPr>
            <w:r>
              <w:rPr>
                <w:rFonts w:ascii="Times New Roman" w:eastAsia="宋体" w:hAnsi="Times New Roman"/>
                <w:color w:val="000000"/>
                <w:sz w:val="17"/>
                <w:szCs w:val="17"/>
              </w:rPr>
              <w:t>15,729 </w:t>
            </w:r>
          </w:p>
        </w:tc>
        <w:tc>
          <w:tcPr>
            <w:tcW w:w="0" w:type="auto"/>
            <w:shd w:val="clear" w:color="auto" w:fill="FFFFFF"/>
            <w:tcMar>
              <w:top w:w="40" w:type="dxa"/>
              <w:left w:w="0" w:type="dxa"/>
              <w:bottom w:w="40" w:type="dxa"/>
              <w:right w:w="20" w:type="dxa"/>
            </w:tcMar>
            <w:vAlign w:val="bottom"/>
          </w:tcPr>
          <w:p w14:paraId="0B2FB005"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006"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B007"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B2FB008" w14:textId="77777777" w:rsidR="007F1775" w:rsidRDefault="000F083E">
            <w:pPr>
              <w:jc w:val="right"/>
              <w:textAlignment w:val="bottom"/>
            </w:pPr>
            <w:r>
              <w:rPr>
                <w:rFonts w:ascii="Times New Roman" w:eastAsia="宋体" w:hAnsi="Times New Roman"/>
                <w:color w:val="000000"/>
                <w:sz w:val="17"/>
                <w:szCs w:val="17"/>
              </w:rPr>
              <w:t>12,432 </w:t>
            </w:r>
          </w:p>
        </w:tc>
        <w:tc>
          <w:tcPr>
            <w:tcW w:w="0" w:type="auto"/>
            <w:shd w:val="clear" w:color="auto" w:fill="FFFFFF"/>
            <w:tcMar>
              <w:top w:w="40" w:type="dxa"/>
              <w:left w:w="0" w:type="dxa"/>
              <w:bottom w:w="40" w:type="dxa"/>
              <w:right w:w="20" w:type="dxa"/>
            </w:tcMar>
            <w:vAlign w:val="bottom"/>
          </w:tcPr>
          <w:p w14:paraId="0B2FB00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00A" w14:textId="77777777" w:rsidR="007F1775" w:rsidRDefault="007F1775">
            <w:pPr>
              <w:rPr>
                <w:rFonts w:ascii="宋体"/>
              </w:rPr>
            </w:pPr>
          </w:p>
        </w:tc>
        <w:tc>
          <w:tcPr>
            <w:tcW w:w="0" w:type="auto"/>
            <w:gridSpan w:val="3"/>
            <w:shd w:val="clear" w:color="auto" w:fill="FFFFFF"/>
            <w:tcMar>
              <w:top w:w="40" w:type="dxa"/>
              <w:left w:w="20" w:type="dxa"/>
              <w:bottom w:w="40" w:type="dxa"/>
              <w:right w:w="20" w:type="dxa"/>
            </w:tcMar>
            <w:vAlign w:val="bottom"/>
          </w:tcPr>
          <w:p w14:paraId="0B2FB00B" w14:textId="77777777" w:rsidR="007F1775" w:rsidRDefault="000F083E">
            <w:pPr>
              <w:jc w:val="center"/>
              <w:textAlignment w:val="bottom"/>
            </w:pPr>
            <w:r>
              <w:rPr>
                <w:rFonts w:ascii="Times New Roman" w:eastAsia="宋体" w:hAnsi="Times New Roman"/>
                <w:i/>
                <w:iCs/>
                <w:color w:val="000000"/>
                <w:sz w:val="17"/>
                <w:szCs w:val="17"/>
              </w:rPr>
              <w:t>27%</w:t>
            </w:r>
          </w:p>
        </w:tc>
        <w:tc>
          <w:tcPr>
            <w:tcW w:w="0" w:type="auto"/>
            <w:gridSpan w:val="3"/>
            <w:shd w:val="clear" w:color="auto" w:fill="FFFFFF"/>
            <w:tcMar>
              <w:top w:w="0" w:type="dxa"/>
              <w:left w:w="20" w:type="dxa"/>
              <w:bottom w:w="0" w:type="dxa"/>
              <w:right w:w="20" w:type="dxa"/>
            </w:tcMar>
            <w:vAlign w:val="bottom"/>
          </w:tcPr>
          <w:p w14:paraId="0B2FB00C"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B00D"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B2FB00E" w14:textId="77777777" w:rsidR="007F1775" w:rsidRDefault="000F083E">
            <w:pPr>
              <w:jc w:val="right"/>
              <w:textAlignment w:val="bottom"/>
            </w:pPr>
            <w:r>
              <w:rPr>
                <w:rFonts w:ascii="Times New Roman" w:eastAsia="宋体" w:hAnsi="Times New Roman"/>
                <w:color w:val="000000"/>
                <w:sz w:val="17"/>
                <w:szCs w:val="17"/>
              </w:rPr>
              <w:t>3,655 </w:t>
            </w:r>
          </w:p>
        </w:tc>
        <w:tc>
          <w:tcPr>
            <w:tcW w:w="0" w:type="auto"/>
            <w:shd w:val="clear" w:color="auto" w:fill="FFFFFF"/>
            <w:tcMar>
              <w:top w:w="40" w:type="dxa"/>
              <w:left w:w="0" w:type="dxa"/>
              <w:bottom w:w="40" w:type="dxa"/>
              <w:right w:w="20" w:type="dxa"/>
            </w:tcMar>
            <w:vAlign w:val="bottom"/>
          </w:tcPr>
          <w:p w14:paraId="0B2FB00F"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010"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B011"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B2FB012" w14:textId="77777777" w:rsidR="007F1775" w:rsidRDefault="000F083E">
            <w:pPr>
              <w:jc w:val="right"/>
              <w:textAlignment w:val="bottom"/>
            </w:pPr>
            <w:r>
              <w:rPr>
                <w:rFonts w:ascii="Times New Roman" w:eastAsia="宋体" w:hAnsi="Times New Roman"/>
                <w:color w:val="000000"/>
                <w:sz w:val="17"/>
                <w:szCs w:val="17"/>
              </w:rPr>
              <w:t>2,361 </w:t>
            </w:r>
          </w:p>
        </w:tc>
        <w:tc>
          <w:tcPr>
            <w:tcW w:w="0" w:type="auto"/>
            <w:shd w:val="clear" w:color="auto" w:fill="FFFFFF"/>
            <w:tcMar>
              <w:top w:w="40" w:type="dxa"/>
              <w:left w:w="0" w:type="dxa"/>
              <w:bottom w:w="40" w:type="dxa"/>
              <w:right w:w="20" w:type="dxa"/>
            </w:tcMar>
            <w:vAlign w:val="bottom"/>
          </w:tcPr>
          <w:p w14:paraId="0B2FB01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014" w14:textId="77777777" w:rsidR="007F1775" w:rsidRDefault="007F1775">
            <w:pPr>
              <w:rPr>
                <w:rFonts w:ascii="宋体"/>
              </w:rPr>
            </w:pPr>
          </w:p>
        </w:tc>
        <w:tc>
          <w:tcPr>
            <w:tcW w:w="0" w:type="auto"/>
            <w:gridSpan w:val="3"/>
            <w:shd w:val="clear" w:color="auto" w:fill="FFFFFF"/>
            <w:tcMar>
              <w:top w:w="40" w:type="dxa"/>
              <w:left w:w="20" w:type="dxa"/>
              <w:bottom w:w="40" w:type="dxa"/>
              <w:right w:w="20" w:type="dxa"/>
            </w:tcMar>
            <w:vAlign w:val="bottom"/>
          </w:tcPr>
          <w:p w14:paraId="0B2FB015" w14:textId="77777777" w:rsidR="007F1775" w:rsidRDefault="000F083E">
            <w:pPr>
              <w:jc w:val="center"/>
              <w:textAlignment w:val="bottom"/>
            </w:pPr>
            <w:r>
              <w:rPr>
                <w:rFonts w:ascii="Times New Roman" w:eastAsia="宋体" w:hAnsi="Times New Roman"/>
                <w:i/>
                <w:iCs/>
                <w:color w:val="000000"/>
                <w:sz w:val="17"/>
                <w:szCs w:val="17"/>
              </w:rPr>
              <w:t>55%</w:t>
            </w:r>
          </w:p>
        </w:tc>
        <w:tc>
          <w:tcPr>
            <w:tcW w:w="0" w:type="auto"/>
            <w:gridSpan w:val="3"/>
            <w:shd w:val="clear" w:color="auto" w:fill="FFFFFF"/>
            <w:tcMar>
              <w:top w:w="0" w:type="dxa"/>
              <w:left w:w="20" w:type="dxa"/>
              <w:bottom w:w="0" w:type="dxa"/>
              <w:right w:w="20" w:type="dxa"/>
            </w:tcMar>
            <w:vAlign w:val="bottom"/>
          </w:tcPr>
          <w:p w14:paraId="0B2FB016"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B017"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B2FB018" w14:textId="77777777" w:rsidR="007F1775" w:rsidRDefault="000F083E">
            <w:pPr>
              <w:jc w:val="right"/>
              <w:textAlignment w:val="bottom"/>
            </w:pPr>
            <w:r>
              <w:rPr>
                <w:rFonts w:ascii="Times New Roman" w:eastAsia="宋体" w:hAnsi="Times New Roman"/>
                <w:color w:val="000000"/>
                <w:sz w:val="17"/>
                <w:szCs w:val="17"/>
              </w:rPr>
              <w:t>19,384 </w:t>
            </w:r>
          </w:p>
        </w:tc>
        <w:tc>
          <w:tcPr>
            <w:tcW w:w="0" w:type="auto"/>
            <w:shd w:val="clear" w:color="auto" w:fill="FFFFFF"/>
            <w:tcMar>
              <w:top w:w="40" w:type="dxa"/>
              <w:left w:w="0" w:type="dxa"/>
              <w:bottom w:w="40" w:type="dxa"/>
              <w:right w:w="20" w:type="dxa"/>
            </w:tcMar>
            <w:vAlign w:val="bottom"/>
          </w:tcPr>
          <w:p w14:paraId="0B2FB01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01A"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B01B"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FFFFFF"/>
            <w:tcMar>
              <w:top w:w="40" w:type="dxa"/>
              <w:left w:w="0" w:type="dxa"/>
              <w:bottom w:w="40" w:type="dxa"/>
              <w:right w:w="0" w:type="dxa"/>
            </w:tcMar>
            <w:vAlign w:val="bottom"/>
          </w:tcPr>
          <w:p w14:paraId="0B2FB01C" w14:textId="77777777" w:rsidR="007F1775" w:rsidRDefault="000F083E">
            <w:pPr>
              <w:jc w:val="right"/>
              <w:textAlignment w:val="bottom"/>
            </w:pPr>
            <w:r>
              <w:rPr>
                <w:rFonts w:ascii="Times New Roman" w:eastAsia="宋体" w:hAnsi="Times New Roman"/>
                <w:color w:val="000000"/>
                <w:sz w:val="17"/>
                <w:szCs w:val="17"/>
              </w:rPr>
              <w:t>14,793 </w:t>
            </w:r>
          </w:p>
        </w:tc>
        <w:tc>
          <w:tcPr>
            <w:tcW w:w="0" w:type="auto"/>
            <w:shd w:val="clear" w:color="auto" w:fill="FFFFFF"/>
            <w:tcMar>
              <w:top w:w="40" w:type="dxa"/>
              <w:left w:w="0" w:type="dxa"/>
              <w:bottom w:w="40" w:type="dxa"/>
              <w:right w:w="20" w:type="dxa"/>
            </w:tcMar>
            <w:vAlign w:val="bottom"/>
          </w:tcPr>
          <w:p w14:paraId="0B2FB01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01E" w14:textId="77777777" w:rsidR="007F1775" w:rsidRDefault="007F1775">
            <w:pPr>
              <w:rPr>
                <w:rFonts w:ascii="宋体"/>
              </w:rPr>
            </w:pPr>
          </w:p>
        </w:tc>
        <w:tc>
          <w:tcPr>
            <w:tcW w:w="0" w:type="auto"/>
            <w:gridSpan w:val="3"/>
            <w:shd w:val="clear" w:color="auto" w:fill="FFFFFF"/>
            <w:tcMar>
              <w:top w:w="40" w:type="dxa"/>
              <w:left w:w="20" w:type="dxa"/>
              <w:bottom w:w="40" w:type="dxa"/>
              <w:right w:w="20" w:type="dxa"/>
            </w:tcMar>
            <w:vAlign w:val="bottom"/>
          </w:tcPr>
          <w:p w14:paraId="0B2FB01F" w14:textId="77777777" w:rsidR="007F1775" w:rsidRDefault="000F083E">
            <w:pPr>
              <w:jc w:val="center"/>
              <w:textAlignment w:val="bottom"/>
            </w:pPr>
            <w:r>
              <w:rPr>
                <w:rFonts w:ascii="Times New Roman" w:eastAsia="宋体" w:hAnsi="Times New Roman"/>
                <w:i/>
                <w:iCs/>
                <w:color w:val="000000"/>
                <w:sz w:val="17"/>
                <w:szCs w:val="17"/>
              </w:rPr>
              <w:t>31%</w:t>
            </w:r>
          </w:p>
        </w:tc>
        <w:tc>
          <w:tcPr>
            <w:tcW w:w="0" w:type="auto"/>
            <w:shd w:val="clear" w:color="auto" w:fill="auto"/>
            <w:vAlign w:val="bottom"/>
          </w:tcPr>
          <w:p w14:paraId="0B2FB020" w14:textId="77777777" w:rsidR="007F1775" w:rsidRDefault="007F1775">
            <w:pPr>
              <w:rPr>
                <w:rFonts w:ascii="宋体"/>
                <w:vanish/>
              </w:rPr>
            </w:pPr>
          </w:p>
        </w:tc>
        <w:tc>
          <w:tcPr>
            <w:tcW w:w="0" w:type="auto"/>
            <w:shd w:val="clear" w:color="auto" w:fill="auto"/>
            <w:vAlign w:val="bottom"/>
          </w:tcPr>
          <w:p w14:paraId="0B2FB021" w14:textId="77777777" w:rsidR="007F1775" w:rsidRDefault="007F1775">
            <w:pPr>
              <w:rPr>
                <w:rFonts w:ascii="宋体"/>
                <w:vanish/>
              </w:rPr>
            </w:pPr>
          </w:p>
        </w:tc>
        <w:tc>
          <w:tcPr>
            <w:tcW w:w="0" w:type="auto"/>
            <w:shd w:val="clear" w:color="auto" w:fill="auto"/>
            <w:vAlign w:val="bottom"/>
          </w:tcPr>
          <w:p w14:paraId="0B2FB022" w14:textId="77777777" w:rsidR="007F1775" w:rsidRDefault="007F1775">
            <w:pPr>
              <w:rPr>
                <w:rFonts w:ascii="宋体"/>
                <w:vanish/>
              </w:rPr>
            </w:pPr>
          </w:p>
        </w:tc>
        <w:tc>
          <w:tcPr>
            <w:tcW w:w="0" w:type="auto"/>
            <w:shd w:val="clear" w:color="auto" w:fill="auto"/>
            <w:vAlign w:val="bottom"/>
          </w:tcPr>
          <w:p w14:paraId="0B2FB023" w14:textId="77777777" w:rsidR="007F1775" w:rsidRDefault="007F1775">
            <w:pPr>
              <w:rPr>
                <w:rFonts w:ascii="宋体"/>
                <w:vanish/>
              </w:rPr>
            </w:pPr>
          </w:p>
        </w:tc>
      </w:tr>
      <w:tr w:rsidR="000F083E" w14:paraId="0B2FB047" w14:textId="77777777">
        <w:tc>
          <w:tcPr>
            <w:tcW w:w="0" w:type="auto"/>
            <w:gridSpan w:val="3"/>
            <w:shd w:val="clear" w:color="auto" w:fill="CCEEFF"/>
            <w:tcMar>
              <w:top w:w="40" w:type="dxa"/>
              <w:left w:w="20" w:type="dxa"/>
              <w:bottom w:w="40" w:type="dxa"/>
              <w:right w:w="20" w:type="dxa"/>
            </w:tcMar>
            <w:vAlign w:val="bottom"/>
          </w:tcPr>
          <w:p w14:paraId="0B2FB025" w14:textId="77777777" w:rsidR="007F1775" w:rsidRDefault="000F083E">
            <w:pPr>
              <w:textAlignment w:val="bottom"/>
            </w:pPr>
            <w:r>
              <w:rPr>
                <w:rFonts w:ascii="Times New Roman" w:eastAsia="宋体" w:hAnsi="Times New Roman"/>
                <w:color w:val="000000"/>
                <w:sz w:val="20"/>
                <w:szCs w:val="20"/>
              </w:rPr>
              <w:t>Income (loss) from operations</w:t>
            </w:r>
          </w:p>
        </w:tc>
        <w:tc>
          <w:tcPr>
            <w:tcW w:w="0" w:type="auto"/>
            <w:shd w:val="clear" w:color="auto" w:fill="CCEEFF"/>
            <w:tcMar>
              <w:top w:w="40" w:type="dxa"/>
              <w:left w:w="20" w:type="dxa"/>
              <w:bottom w:w="40" w:type="dxa"/>
              <w:right w:w="0" w:type="dxa"/>
            </w:tcMar>
            <w:vAlign w:val="bottom"/>
          </w:tcPr>
          <w:p w14:paraId="0B2FB026"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B027" w14:textId="77777777" w:rsidR="007F1775" w:rsidRDefault="000F083E">
            <w:pPr>
              <w:jc w:val="right"/>
              <w:textAlignment w:val="bottom"/>
            </w:pPr>
            <w:r>
              <w:rPr>
                <w:rFonts w:ascii="Times New Roman" w:eastAsia="宋体" w:hAnsi="Times New Roman"/>
                <w:color w:val="000000"/>
                <w:sz w:val="17"/>
                <w:szCs w:val="17"/>
              </w:rPr>
              <w:t>11,484 </w:t>
            </w:r>
          </w:p>
        </w:tc>
        <w:tc>
          <w:tcPr>
            <w:tcW w:w="0" w:type="auto"/>
            <w:shd w:val="clear" w:color="auto" w:fill="CCEEFF"/>
            <w:tcMar>
              <w:top w:w="40" w:type="dxa"/>
              <w:left w:w="0" w:type="dxa"/>
              <w:bottom w:w="40" w:type="dxa"/>
              <w:right w:w="20" w:type="dxa"/>
            </w:tcMar>
            <w:vAlign w:val="bottom"/>
          </w:tcPr>
          <w:p w14:paraId="0B2FB02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029"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02A"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B02B" w14:textId="77777777" w:rsidR="007F1775" w:rsidRDefault="000F083E">
            <w:pPr>
              <w:jc w:val="right"/>
              <w:textAlignment w:val="bottom"/>
            </w:pPr>
            <w:r>
              <w:rPr>
                <w:rFonts w:ascii="Times New Roman" w:eastAsia="宋体" w:hAnsi="Times New Roman"/>
                <w:color w:val="000000"/>
                <w:sz w:val="17"/>
                <w:szCs w:val="17"/>
              </w:rPr>
              <w:t>13,205 </w:t>
            </w:r>
          </w:p>
        </w:tc>
        <w:tc>
          <w:tcPr>
            <w:tcW w:w="0" w:type="auto"/>
            <w:shd w:val="clear" w:color="auto" w:fill="CCEEFF"/>
            <w:tcMar>
              <w:top w:w="40" w:type="dxa"/>
              <w:left w:w="0" w:type="dxa"/>
              <w:bottom w:w="40" w:type="dxa"/>
              <w:right w:w="20" w:type="dxa"/>
            </w:tcMar>
            <w:vAlign w:val="bottom"/>
          </w:tcPr>
          <w:p w14:paraId="0B2FB02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02D" w14:textId="77777777" w:rsidR="007F1775" w:rsidRDefault="007F1775">
            <w:pPr>
              <w:rPr>
                <w:rFonts w:ascii="宋体"/>
              </w:rPr>
            </w:pPr>
          </w:p>
        </w:tc>
        <w:tc>
          <w:tcPr>
            <w:tcW w:w="0" w:type="auto"/>
            <w:gridSpan w:val="3"/>
            <w:shd w:val="clear" w:color="auto" w:fill="CCEEFF"/>
            <w:tcMar>
              <w:top w:w="40" w:type="dxa"/>
              <w:left w:w="20" w:type="dxa"/>
              <w:bottom w:w="40" w:type="dxa"/>
              <w:right w:w="20" w:type="dxa"/>
            </w:tcMar>
            <w:vAlign w:val="bottom"/>
          </w:tcPr>
          <w:p w14:paraId="0B2FB02E" w14:textId="77777777" w:rsidR="007F1775" w:rsidRDefault="000F083E">
            <w:pPr>
              <w:jc w:val="center"/>
              <w:textAlignment w:val="bottom"/>
            </w:pPr>
            <w:r>
              <w:rPr>
                <w:rFonts w:ascii="Times New Roman" w:eastAsia="宋体" w:hAnsi="Times New Roman"/>
                <w:i/>
                <w:iCs/>
                <w:color w:val="000000"/>
                <w:sz w:val="17"/>
                <w:szCs w:val="17"/>
              </w:rPr>
              <w:t>(13)%</w:t>
            </w:r>
          </w:p>
        </w:tc>
        <w:tc>
          <w:tcPr>
            <w:tcW w:w="0" w:type="auto"/>
            <w:gridSpan w:val="3"/>
            <w:shd w:val="clear" w:color="auto" w:fill="CCEEFF"/>
            <w:tcMar>
              <w:top w:w="0" w:type="dxa"/>
              <w:left w:w="20" w:type="dxa"/>
              <w:bottom w:w="0" w:type="dxa"/>
              <w:right w:w="20" w:type="dxa"/>
            </w:tcMar>
            <w:vAlign w:val="bottom"/>
          </w:tcPr>
          <w:p w14:paraId="0B2FB02F"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030"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B031" w14:textId="77777777" w:rsidR="007F1775" w:rsidRDefault="000F083E">
            <w:pPr>
              <w:jc w:val="right"/>
              <w:textAlignment w:val="bottom"/>
            </w:pPr>
            <w:r>
              <w:rPr>
                <w:rFonts w:ascii="Times New Roman" w:eastAsia="宋体" w:hAnsi="Times New Roman"/>
                <w:color w:val="000000"/>
                <w:sz w:val="17"/>
                <w:szCs w:val="17"/>
              </w:rPr>
              <w:t>(2,960)</w:t>
            </w:r>
          </w:p>
        </w:tc>
        <w:tc>
          <w:tcPr>
            <w:tcW w:w="0" w:type="auto"/>
            <w:shd w:val="clear" w:color="auto" w:fill="CCEEFF"/>
            <w:tcMar>
              <w:top w:w="40" w:type="dxa"/>
              <w:left w:w="0" w:type="dxa"/>
              <w:bottom w:w="40" w:type="dxa"/>
              <w:right w:w="20" w:type="dxa"/>
            </w:tcMar>
            <w:vAlign w:val="bottom"/>
          </w:tcPr>
          <w:p w14:paraId="0B2FB03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033"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034"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B035" w14:textId="77777777" w:rsidR="007F1775" w:rsidRDefault="000F083E">
            <w:pPr>
              <w:jc w:val="right"/>
              <w:textAlignment w:val="bottom"/>
            </w:pPr>
            <w:r>
              <w:rPr>
                <w:rFonts w:ascii="Times New Roman" w:eastAsia="宋体" w:hAnsi="Times New Roman"/>
                <w:color w:val="000000"/>
                <w:sz w:val="17"/>
                <w:szCs w:val="17"/>
              </w:rPr>
              <w:t>(1,827)</w:t>
            </w:r>
          </w:p>
        </w:tc>
        <w:tc>
          <w:tcPr>
            <w:tcW w:w="0" w:type="auto"/>
            <w:shd w:val="clear" w:color="auto" w:fill="CCEEFF"/>
            <w:tcMar>
              <w:top w:w="40" w:type="dxa"/>
              <w:left w:w="0" w:type="dxa"/>
              <w:bottom w:w="40" w:type="dxa"/>
              <w:right w:w="20" w:type="dxa"/>
            </w:tcMar>
            <w:vAlign w:val="bottom"/>
          </w:tcPr>
          <w:p w14:paraId="0B2FB03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037" w14:textId="77777777" w:rsidR="007F1775" w:rsidRDefault="007F1775">
            <w:pPr>
              <w:rPr>
                <w:rFonts w:ascii="宋体"/>
              </w:rPr>
            </w:pPr>
          </w:p>
        </w:tc>
        <w:tc>
          <w:tcPr>
            <w:tcW w:w="0" w:type="auto"/>
            <w:gridSpan w:val="3"/>
            <w:shd w:val="clear" w:color="auto" w:fill="CCEEFF"/>
            <w:tcMar>
              <w:top w:w="40" w:type="dxa"/>
              <w:left w:w="20" w:type="dxa"/>
              <w:bottom w:w="40" w:type="dxa"/>
              <w:right w:w="20" w:type="dxa"/>
            </w:tcMar>
            <w:vAlign w:val="bottom"/>
          </w:tcPr>
          <w:p w14:paraId="0B2FB038" w14:textId="77777777" w:rsidR="007F1775" w:rsidRDefault="000F083E">
            <w:pPr>
              <w:jc w:val="center"/>
              <w:textAlignment w:val="bottom"/>
            </w:pPr>
            <w:r>
              <w:rPr>
                <w:rFonts w:ascii="Times New Roman" w:eastAsia="宋体" w:hAnsi="Times New Roman"/>
                <w:i/>
                <w:iCs/>
                <w:color w:val="000000"/>
                <w:sz w:val="17"/>
                <w:szCs w:val="17"/>
              </w:rPr>
              <w:t>(62)%</w:t>
            </w:r>
          </w:p>
        </w:tc>
        <w:tc>
          <w:tcPr>
            <w:tcW w:w="0" w:type="auto"/>
            <w:gridSpan w:val="3"/>
            <w:shd w:val="clear" w:color="auto" w:fill="CCEEFF"/>
            <w:tcMar>
              <w:top w:w="0" w:type="dxa"/>
              <w:left w:w="20" w:type="dxa"/>
              <w:bottom w:w="0" w:type="dxa"/>
              <w:right w:w="20" w:type="dxa"/>
            </w:tcMar>
            <w:vAlign w:val="bottom"/>
          </w:tcPr>
          <w:p w14:paraId="0B2FB039"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03A"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B03B" w14:textId="77777777" w:rsidR="007F1775" w:rsidRDefault="000F083E">
            <w:pPr>
              <w:jc w:val="right"/>
              <w:textAlignment w:val="bottom"/>
            </w:pPr>
            <w:r>
              <w:rPr>
                <w:rFonts w:ascii="Times New Roman" w:eastAsia="宋体" w:hAnsi="Times New Roman"/>
                <w:color w:val="000000"/>
                <w:sz w:val="17"/>
                <w:szCs w:val="17"/>
              </w:rPr>
              <w:t>8,524 </w:t>
            </w:r>
          </w:p>
        </w:tc>
        <w:tc>
          <w:tcPr>
            <w:tcW w:w="0" w:type="auto"/>
            <w:shd w:val="clear" w:color="auto" w:fill="CCEEFF"/>
            <w:tcMar>
              <w:top w:w="40" w:type="dxa"/>
              <w:left w:w="0" w:type="dxa"/>
              <w:bottom w:w="40" w:type="dxa"/>
              <w:right w:w="20" w:type="dxa"/>
            </w:tcMar>
            <w:vAlign w:val="bottom"/>
          </w:tcPr>
          <w:p w14:paraId="0B2FB03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03D"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03E" w14:textId="77777777" w:rsidR="007F1775" w:rsidRDefault="000F083E">
            <w:pPr>
              <w:textAlignment w:val="bottom"/>
            </w:pPr>
            <w:r>
              <w:rPr>
                <w:rFonts w:ascii="Times New Roman" w:eastAsia="宋体" w:hAnsi="Times New Roman"/>
                <w:color w:val="000000"/>
                <w:sz w:val="17"/>
                <w:szCs w:val="17"/>
              </w:rPr>
              <w:t>$</w:t>
            </w:r>
          </w:p>
        </w:tc>
        <w:tc>
          <w:tcPr>
            <w:tcW w:w="0" w:type="auto"/>
            <w:shd w:val="clear" w:color="auto" w:fill="CCEEFF"/>
            <w:tcMar>
              <w:top w:w="40" w:type="dxa"/>
              <w:left w:w="0" w:type="dxa"/>
              <w:bottom w:w="40" w:type="dxa"/>
              <w:right w:w="0" w:type="dxa"/>
            </w:tcMar>
            <w:vAlign w:val="bottom"/>
          </w:tcPr>
          <w:p w14:paraId="0B2FB03F" w14:textId="77777777" w:rsidR="007F1775" w:rsidRDefault="000F083E">
            <w:pPr>
              <w:jc w:val="right"/>
              <w:textAlignment w:val="bottom"/>
            </w:pPr>
            <w:r>
              <w:rPr>
                <w:rFonts w:ascii="Times New Roman" w:eastAsia="宋体" w:hAnsi="Times New Roman"/>
                <w:color w:val="000000"/>
                <w:sz w:val="17"/>
                <w:szCs w:val="17"/>
              </w:rPr>
              <w:t>11,378 </w:t>
            </w:r>
          </w:p>
        </w:tc>
        <w:tc>
          <w:tcPr>
            <w:tcW w:w="0" w:type="auto"/>
            <w:shd w:val="clear" w:color="auto" w:fill="CCEEFF"/>
            <w:tcMar>
              <w:top w:w="40" w:type="dxa"/>
              <w:left w:w="0" w:type="dxa"/>
              <w:bottom w:w="40" w:type="dxa"/>
              <w:right w:w="20" w:type="dxa"/>
            </w:tcMar>
            <w:vAlign w:val="bottom"/>
          </w:tcPr>
          <w:p w14:paraId="0B2FB04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041" w14:textId="77777777" w:rsidR="007F1775" w:rsidRDefault="007F1775">
            <w:pPr>
              <w:rPr>
                <w:rFonts w:ascii="宋体"/>
              </w:rPr>
            </w:pPr>
          </w:p>
        </w:tc>
        <w:tc>
          <w:tcPr>
            <w:tcW w:w="0" w:type="auto"/>
            <w:gridSpan w:val="3"/>
            <w:shd w:val="clear" w:color="auto" w:fill="CCEEFF"/>
            <w:tcMar>
              <w:top w:w="40" w:type="dxa"/>
              <w:left w:w="20" w:type="dxa"/>
              <w:bottom w:w="40" w:type="dxa"/>
              <w:right w:w="20" w:type="dxa"/>
            </w:tcMar>
            <w:vAlign w:val="bottom"/>
          </w:tcPr>
          <w:p w14:paraId="0B2FB042" w14:textId="77777777" w:rsidR="007F1775" w:rsidRDefault="000F083E">
            <w:pPr>
              <w:jc w:val="center"/>
              <w:textAlignment w:val="bottom"/>
            </w:pPr>
            <w:r>
              <w:rPr>
                <w:rFonts w:ascii="Times New Roman" w:eastAsia="宋体" w:hAnsi="Times New Roman"/>
                <w:i/>
                <w:iCs/>
                <w:color w:val="000000"/>
                <w:sz w:val="17"/>
                <w:szCs w:val="17"/>
              </w:rPr>
              <w:t>(25)%</w:t>
            </w:r>
          </w:p>
        </w:tc>
        <w:tc>
          <w:tcPr>
            <w:tcW w:w="0" w:type="auto"/>
            <w:shd w:val="clear" w:color="auto" w:fill="auto"/>
            <w:vAlign w:val="bottom"/>
          </w:tcPr>
          <w:p w14:paraId="0B2FB043" w14:textId="77777777" w:rsidR="007F1775" w:rsidRDefault="007F1775">
            <w:pPr>
              <w:rPr>
                <w:rFonts w:ascii="宋体"/>
                <w:vanish/>
              </w:rPr>
            </w:pPr>
          </w:p>
        </w:tc>
        <w:tc>
          <w:tcPr>
            <w:tcW w:w="0" w:type="auto"/>
            <w:shd w:val="clear" w:color="auto" w:fill="auto"/>
            <w:vAlign w:val="bottom"/>
          </w:tcPr>
          <w:p w14:paraId="0B2FB044" w14:textId="77777777" w:rsidR="007F1775" w:rsidRDefault="007F1775">
            <w:pPr>
              <w:rPr>
                <w:rFonts w:ascii="宋体"/>
                <w:vanish/>
              </w:rPr>
            </w:pPr>
          </w:p>
        </w:tc>
        <w:tc>
          <w:tcPr>
            <w:tcW w:w="0" w:type="auto"/>
            <w:shd w:val="clear" w:color="auto" w:fill="auto"/>
            <w:vAlign w:val="bottom"/>
          </w:tcPr>
          <w:p w14:paraId="0B2FB045" w14:textId="77777777" w:rsidR="007F1775" w:rsidRDefault="007F1775">
            <w:pPr>
              <w:rPr>
                <w:rFonts w:ascii="宋体"/>
                <w:vanish/>
              </w:rPr>
            </w:pPr>
          </w:p>
        </w:tc>
        <w:tc>
          <w:tcPr>
            <w:tcW w:w="0" w:type="auto"/>
            <w:shd w:val="clear" w:color="auto" w:fill="auto"/>
            <w:vAlign w:val="bottom"/>
          </w:tcPr>
          <w:p w14:paraId="0B2FB046" w14:textId="77777777" w:rsidR="007F1775" w:rsidRDefault="007F1775">
            <w:pPr>
              <w:rPr>
                <w:rFonts w:ascii="宋体"/>
                <w:vanish/>
              </w:rPr>
            </w:pPr>
          </w:p>
        </w:tc>
      </w:tr>
      <w:tr w:rsidR="007F1775" w14:paraId="0B2FB064" w14:textId="77777777">
        <w:tc>
          <w:tcPr>
            <w:tcW w:w="0" w:type="auto"/>
            <w:gridSpan w:val="3"/>
            <w:shd w:val="clear" w:color="auto" w:fill="FFFFFF"/>
            <w:tcMar>
              <w:top w:w="40" w:type="dxa"/>
              <w:left w:w="20" w:type="dxa"/>
              <w:bottom w:w="40" w:type="dxa"/>
              <w:right w:w="20" w:type="dxa"/>
            </w:tcMar>
            <w:vAlign w:val="bottom"/>
          </w:tcPr>
          <w:p w14:paraId="0B2FB048" w14:textId="77777777" w:rsidR="007F1775" w:rsidRDefault="000F083E">
            <w:pPr>
              <w:textAlignment w:val="bottom"/>
            </w:pPr>
            <w:r>
              <w:rPr>
                <w:rFonts w:ascii="Times New Roman" w:eastAsia="宋体" w:hAnsi="Times New Roman"/>
                <w:i/>
                <w:iCs/>
                <w:color w:val="000000"/>
                <w:sz w:val="20"/>
                <w:szCs w:val="20"/>
              </w:rPr>
              <w:t>Operating margin</w:t>
            </w:r>
          </w:p>
        </w:tc>
        <w:tc>
          <w:tcPr>
            <w:tcW w:w="0" w:type="auto"/>
            <w:gridSpan w:val="2"/>
            <w:shd w:val="clear" w:color="auto" w:fill="FFFFFF"/>
            <w:tcMar>
              <w:top w:w="40" w:type="dxa"/>
              <w:left w:w="20" w:type="dxa"/>
              <w:bottom w:w="40" w:type="dxa"/>
              <w:right w:w="0" w:type="dxa"/>
            </w:tcMar>
            <w:vAlign w:val="bottom"/>
          </w:tcPr>
          <w:p w14:paraId="0B2FB049" w14:textId="77777777" w:rsidR="007F1775" w:rsidRDefault="000F083E">
            <w:pPr>
              <w:jc w:val="right"/>
              <w:textAlignment w:val="bottom"/>
            </w:pPr>
            <w:r>
              <w:rPr>
                <w:rFonts w:ascii="Times New Roman" w:eastAsia="宋体" w:hAnsi="Times New Roman"/>
                <w:i/>
                <w:iCs/>
                <w:color w:val="000000"/>
                <w:sz w:val="17"/>
                <w:szCs w:val="17"/>
              </w:rPr>
              <w:t>42 </w:t>
            </w:r>
          </w:p>
        </w:tc>
        <w:tc>
          <w:tcPr>
            <w:tcW w:w="0" w:type="auto"/>
            <w:shd w:val="clear" w:color="auto" w:fill="FFFFFF"/>
            <w:tcMar>
              <w:top w:w="40" w:type="dxa"/>
              <w:left w:w="0" w:type="dxa"/>
              <w:bottom w:w="40" w:type="dxa"/>
              <w:right w:w="20" w:type="dxa"/>
            </w:tcMar>
            <w:vAlign w:val="bottom"/>
          </w:tcPr>
          <w:p w14:paraId="0B2FB04A" w14:textId="77777777" w:rsidR="007F1775" w:rsidRDefault="000F083E">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0B2FB04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04C" w14:textId="77777777" w:rsidR="007F1775" w:rsidRDefault="000F083E">
            <w:pPr>
              <w:jc w:val="right"/>
              <w:textAlignment w:val="bottom"/>
            </w:pPr>
            <w:r>
              <w:rPr>
                <w:rFonts w:ascii="Times New Roman" w:eastAsia="宋体" w:hAnsi="Times New Roman"/>
                <w:i/>
                <w:iCs/>
                <w:color w:val="000000"/>
                <w:sz w:val="17"/>
                <w:szCs w:val="17"/>
              </w:rPr>
              <w:t>52 </w:t>
            </w:r>
          </w:p>
        </w:tc>
        <w:tc>
          <w:tcPr>
            <w:tcW w:w="0" w:type="auto"/>
            <w:shd w:val="clear" w:color="auto" w:fill="FFFFFF"/>
            <w:tcMar>
              <w:top w:w="40" w:type="dxa"/>
              <w:left w:w="0" w:type="dxa"/>
              <w:bottom w:w="40" w:type="dxa"/>
              <w:right w:w="20" w:type="dxa"/>
            </w:tcMar>
            <w:vAlign w:val="bottom"/>
          </w:tcPr>
          <w:p w14:paraId="0B2FB04D" w14:textId="77777777" w:rsidR="007F1775" w:rsidRDefault="000F083E">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0B2FB04E"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04F"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050"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051" w14:textId="77777777" w:rsidR="007F1775" w:rsidRDefault="000F083E">
            <w:pPr>
              <w:jc w:val="right"/>
              <w:textAlignment w:val="bottom"/>
            </w:pPr>
            <w:r>
              <w:rPr>
                <w:rFonts w:ascii="Times New Roman" w:eastAsia="宋体" w:hAnsi="Times New Roman"/>
                <w:i/>
                <w:iCs/>
                <w:color w:val="000000"/>
                <w:sz w:val="17"/>
                <w:szCs w:val="17"/>
              </w:rPr>
              <w:t>(426)</w:t>
            </w:r>
          </w:p>
        </w:tc>
        <w:tc>
          <w:tcPr>
            <w:tcW w:w="0" w:type="auto"/>
            <w:shd w:val="clear" w:color="auto" w:fill="FFFFFF"/>
            <w:tcMar>
              <w:top w:w="40" w:type="dxa"/>
              <w:left w:w="0" w:type="dxa"/>
              <w:bottom w:w="40" w:type="dxa"/>
              <w:right w:w="20" w:type="dxa"/>
            </w:tcMar>
            <w:vAlign w:val="bottom"/>
          </w:tcPr>
          <w:p w14:paraId="0B2FB052" w14:textId="77777777" w:rsidR="007F1775" w:rsidRDefault="000F083E">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0B2FB053"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054" w14:textId="77777777" w:rsidR="007F1775" w:rsidRDefault="000F083E">
            <w:pPr>
              <w:jc w:val="right"/>
              <w:textAlignment w:val="bottom"/>
            </w:pPr>
            <w:r>
              <w:rPr>
                <w:rFonts w:ascii="Times New Roman" w:eastAsia="宋体" w:hAnsi="Times New Roman"/>
                <w:i/>
                <w:iCs/>
                <w:color w:val="000000"/>
                <w:sz w:val="17"/>
                <w:szCs w:val="17"/>
              </w:rPr>
              <w:t>(342)</w:t>
            </w:r>
          </w:p>
        </w:tc>
        <w:tc>
          <w:tcPr>
            <w:tcW w:w="0" w:type="auto"/>
            <w:shd w:val="clear" w:color="auto" w:fill="FFFFFF"/>
            <w:tcMar>
              <w:top w:w="40" w:type="dxa"/>
              <w:left w:w="0" w:type="dxa"/>
              <w:bottom w:w="40" w:type="dxa"/>
              <w:right w:w="20" w:type="dxa"/>
            </w:tcMar>
            <w:vAlign w:val="bottom"/>
          </w:tcPr>
          <w:p w14:paraId="0B2FB055" w14:textId="77777777" w:rsidR="007F1775" w:rsidRDefault="000F083E">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0B2FB056"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057"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05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059" w14:textId="77777777" w:rsidR="007F1775" w:rsidRDefault="000F083E">
            <w:pPr>
              <w:jc w:val="right"/>
              <w:textAlignment w:val="bottom"/>
            </w:pPr>
            <w:r>
              <w:rPr>
                <w:rFonts w:ascii="Times New Roman" w:eastAsia="宋体" w:hAnsi="Times New Roman"/>
                <w:i/>
                <w:iCs/>
                <w:color w:val="000000"/>
                <w:sz w:val="17"/>
                <w:szCs w:val="17"/>
              </w:rPr>
              <w:t>31 </w:t>
            </w:r>
          </w:p>
        </w:tc>
        <w:tc>
          <w:tcPr>
            <w:tcW w:w="0" w:type="auto"/>
            <w:shd w:val="clear" w:color="auto" w:fill="FFFFFF"/>
            <w:tcMar>
              <w:top w:w="40" w:type="dxa"/>
              <w:left w:w="0" w:type="dxa"/>
              <w:bottom w:w="40" w:type="dxa"/>
              <w:right w:w="20" w:type="dxa"/>
            </w:tcMar>
            <w:vAlign w:val="bottom"/>
          </w:tcPr>
          <w:p w14:paraId="0B2FB05A" w14:textId="77777777" w:rsidR="007F1775" w:rsidRDefault="000F083E">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0B2FB05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05C" w14:textId="77777777" w:rsidR="007F1775" w:rsidRDefault="000F083E">
            <w:pPr>
              <w:jc w:val="right"/>
              <w:textAlignment w:val="bottom"/>
            </w:pPr>
            <w:r>
              <w:rPr>
                <w:rFonts w:ascii="Times New Roman" w:eastAsia="宋体" w:hAnsi="Times New Roman"/>
                <w:i/>
                <w:iCs/>
                <w:color w:val="000000"/>
                <w:sz w:val="17"/>
                <w:szCs w:val="17"/>
              </w:rPr>
              <w:t>43 </w:t>
            </w:r>
          </w:p>
        </w:tc>
        <w:tc>
          <w:tcPr>
            <w:tcW w:w="0" w:type="auto"/>
            <w:shd w:val="clear" w:color="auto" w:fill="FFFFFF"/>
            <w:tcMar>
              <w:top w:w="40" w:type="dxa"/>
              <w:left w:w="0" w:type="dxa"/>
              <w:bottom w:w="40" w:type="dxa"/>
              <w:right w:w="20" w:type="dxa"/>
            </w:tcMar>
            <w:vAlign w:val="bottom"/>
          </w:tcPr>
          <w:p w14:paraId="0B2FB05D" w14:textId="77777777" w:rsidR="007F1775" w:rsidRDefault="000F083E">
            <w:pPr>
              <w:jc w:val="right"/>
              <w:textAlignment w:val="bottom"/>
            </w:pPr>
            <w:r>
              <w:rPr>
                <w:rFonts w:ascii="Times New Roman" w:eastAsia="宋体" w:hAnsi="Times New Roman"/>
                <w:i/>
                <w:iCs/>
                <w:color w:val="000000"/>
                <w:sz w:val="17"/>
                <w:szCs w:val="17"/>
              </w:rPr>
              <w:t>%</w:t>
            </w:r>
          </w:p>
        </w:tc>
        <w:tc>
          <w:tcPr>
            <w:tcW w:w="0" w:type="auto"/>
            <w:gridSpan w:val="3"/>
            <w:shd w:val="clear" w:color="auto" w:fill="FFFFFF"/>
            <w:tcMar>
              <w:top w:w="0" w:type="dxa"/>
              <w:left w:w="20" w:type="dxa"/>
              <w:bottom w:w="0" w:type="dxa"/>
              <w:right w:w="20" w:type="dxa"/>
            </w:tcMar>
            <w:vAlign w:val="bottom"/>
          </w:tcPr>
          <w:p w14:paraId="0B2FB05E"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05F" w14:textId="77777777" w:rsidR="007F1775" w:rsidRDefault="007F1775">
            <w:pPr>
              <w:rPr>
                <w:rFonts w:ascii="宋体"/>
              </w:rPr>
            </w:pPr>
          </w:p>
        </w:tc>
        <w:tc>
          <w:tcPr>
            <w:tcW w:w="0" w:type="auto"/>
            <w:shd w:val="clear" w:color="auto" w:fill="auto"/>
            <w:vAlign w:val="bottom"/>
          </w:tcPr>
          <w:p w14:paraId="0B2FB060" w14:textId="77777777" w:rsidR="007F1775" w:rsidRDefault="007F1775">
            <w:pPr>
              <w:rPr>
                <w:rFonts w:ascii="宋体"/>
                <w:vanish/>
              </w:rPr>
            </w:pPr>
          </w:p>
        </w:tc>
        <w:tc>
          <w:tcPr>
            <w:tcW w:w="0" w:type="auto"/>
            <w:shd w:val="clear" w:color="auto" w:fill="auto"/>
            <w:vAlign w:val="bottom"/>
          </w:tcPr>
          <w:p w14:paraId="0B2FB061" w14:textId="77777777" w:rsidR="007F1775" w:rsidRDefault="007F1775">
            <w:pPr>
              <w:rPr>
                <w:rFonts w:ascii="宋体"/>
                <w:vanish/>
              </w:rPr>
            </w:pPr>
          </w:p>
        </w:tc>
        <w:tc>
          <w:tcPr>
            <w:tcW w:w="0" w:type="auto"/>
            <w:shd w:val="clear" w:color="auto" w:fill="auto"/>
            <w:vAlign w:val="bottom"/>
          </w:tcPr>
          <w:p w14:paraId="0B2FB062" w14:textId="77777777" w:rsidR="007F1775" w:rsidRDefault="007F1775">
            <w:pPr>
              <w:rPr>
                <w:rFonts w:ascii="宋体"/>
                <w:vanish/>
              </w:rPr>
            </w:pPr>
          </w:p>
        </w:tc>
        <w:tc>
          <w:tcPr>
            <w:tcW w:w="0" w:type="auto"/>
            <w:shd w:val="clear" w:color="auto" w:fill="auto"/>
            <w:vAlign w:val="bottom"/>
          </w:tcPr>
          <w:p w14:paraId="0B2FB063" w14:textId="77777777" w:rsidR="007F1775" w:rsidRDefault="007F1775">
            <w:pPr>
              <w:rPr>
                <w:rFonts w:ascii="宋体"/>
                <w:vanish/>
              </w:rPr>
            </w:pPr>
          </w:p>
        </w:tc>
      </w:tr>
    </w:tbl>
    <w:p w14:paraId="0B2FB065" w14:textId="77777777" w:rsidR="007F1775" w:rsidRDefault="007F1775">
      <w:pPr>
        <w:jc w:val="both"/>
      </w:pPr>
    </w:p>
    <w:p w14:paraId="0B2FB066" w14:textId="77777777" w:rsidR="007F1775" w:rsidRDefault="000F083E">
      <w:pPr>
        <w:pBdr>
          <w:left w:val="none" w:sz="0" w:space="0" w:color="auto"/>
        </w:pBdr>
        <w:ind w:hanging="360"/>
        <w:jc w:val="both"/>
      </w:pPr>
      <w:r>
        <w:rPr>
          <w:rFonts w:ascii="Times New Roman" w:eastAsia="宋体" w:hAnsi="Times New Roman"/>
          <w:i/>
          <w:iCs/>
          <w:color w:val="000000"/>
          <w:sz w:val="20"/>
          <w:szCs w:val="20"/>
          <w:shd w:val="clear" w:color="auto" w:fill="FFFFFF"/>
        </w:rPr>
        <w:t>•</w:t>
      </w:r>
      <w:r>
        <w:rPr>
          <w:rFonts w:ascii="Times New Roman" w:eastAsia="宋体" w:hAnsi="Times New Roman"/>
          <w:color w:val="000000"/>
          <w:sz w:val="20"/>
          <w:szCs w:val="20"/>
        </w:rPr>
        <w:t xml:space="preserve">Net income was </w:t>
      </w:r>
      <w:r>
        <w:rPr>
          <w:rFonts w:ascii="Times New Roman" w:eastAsia="宋体" w:hAnsi="Times New Roman"/>
          <w:color w:val="000000"/>
          <w:sz w:val="20"/>
          <w:szCs w:val="20"/>
        </w:rPr>
        <w:t>$7.47 billion, with diluted earnings per share of $2.72 for the three months ended March 31, 2022.</w:t>
      </w:r>
    </w:p>
    <w:p w14:paraId="0B2FB067" w14:textId="77777777" w:rsidR="007F1775" w:rsidRDefault="000F083E">
      <w:pPr>
        <w:pBdr>
          <w:left w:val="none" w:sz="0" w:space="0" w:color="auto"/>
        </w:pBdr>
        <w:ind w:hanging="360"/>
        <w:jc w:val="both"/>
      </w:pPr>
      <w:r>
        <w:rPr>
          <w:rFonts w:ascii="Times New Roman" w:eastAsia="宋体" w:hAnsi="Times New Roman"/>
          <w:i/>
          <w:iCs/>
          <w:color w:val="000000"/>
          <w:sz w:val="20"/>
          <w:szCs w:val="20"/>
          <w:shd w:val="clear" w:color="auto" w:fill="FFFFFF"/>
        </w:rPr>
        <w:t>•</w:t>
      </w:r>
      <w:r>
        <w:rPr>
          <w:rFonts w:ascii="Times New Roman" w:eastAsia="宋体" w:hAnsi="Times New Roman"/>
          <w:color w:val="000000"/>
          <w:sz w:val="20"/>
          <w:szCs w:val="20"/>
        </w:rPr>
        <w:t>Capital expenditures, including principal payments on finance leases, were $5.55 billion for the three months ended March 31, 2022.</w:t>
      </w:r>
    </w:p>
    <w:p w14:paraId="0B2FB068" w14:textId="77777777" w:rsidR="007F1775" w:rsidRDefault="000F083E">
      <w:pPr>
        <w:pBdr>
          <w:left w:val="none" w:sz="0" w:space="0" w:color="auto"/>
        </w:pBdr>
        <w:ind w:hanging="360"/>
        <w:jc w:val="both"/>
      </w:pPr>
      <w:r>
        <w:rPr>
          <w:rFonts w:ascii="Times New Roman" w:eastAsia="宋体" w:hAnsi="Times New Roman"/>
          <w:i/>
          <w:iCs/>
          <w:color w:val="000000"/>
          <w:sz w:val="20"/>
          <w:szCs w:val="20"/>
          <w:shd w:val="clear" w:color="auto" w:fill="FFFFFF"/>
        </w:rPr>
        <w:t>•</w:t>
      </w:r>
      <w:r>
        <w:rPr>
          <w:rFonts w:ascii="Times New Roman" w:eastAsia="宋体" w:hAnsi="Times New Roman"/>
          <w:color w:val="000000"/>
          <w:sz w:val="20"/>
          <w:szCs w:val="20"/>
        </w:rPr>
        <w:t xml:space="preserve">Effective tax rate was </w:t>
      </w:r>
      <w:r>
        <w:rPr>
          <w:rFonts w:ascii="Times New Roman" w:eastAsia="宋体" w:hAnsi="Times New Roman"/>
          <w:color w:val="000000"/>
          <w:sz w:val="20"/>
          <w:szCs w:val="20"/>
        </w:rPr>
        <w:t>16% for the three months ended March 31, 2022.</w:t>
      </w:r>
    </w:p>
    <w:p w14:paraId="0B2FB069" w14:textId="77777777" w:rsidR="007F1775" w:rsidRDefault="000F083E">
      <w:pPr>
        <w:pBdr>
          <w:left w:val="none" w:sz="0" w:space="0" w:color="auto"/>
        </w:pBdr>
        <w:ind w:hanging="360"/>
        <w:jc w:val="both"/>
      </w:pPr>
      <w:r>
        <w:rPr>
          <w:rFonts w:ascii="Times New Roman" w:eastAsia="宋体" w:hAnsi="Times New Roman"/>
          <w:color w:val="000000"/>
          <w:sz w:val="20"/>
          <w:szCs w:val="20"/>
        </w:rPr>
        <w:t>•Cash and cash equivalents and marketable securities were $43.89 billion as of March 31, 2022.</w:t>
      </w:r>
    </w:p>
    <w:p w14:paraId="0B2FB06A" w14:textId="77777777" w:rsidR="007F1775" w:rsidRDefault="000F083E">
      <w:pPr>
        <w:pBdr>
          <w:left w:val="none" w:sz="0" w:space="0" w:color="auto"/>
        </w:pBdr>
        <w:ind w:hanging="360"/>
        <w:jc w:val="both"/>
      </w:pPr>
      <w:r>
        <w:rPr>
          <w:rFonts w:ascii="Times New Roman" w:eastAsia="宋体" w:hAnsi="Times New Roman"/>
          <w:color w:val="000000"/>
          <w:sz w:val="20"/>
          <w:szCs w:val="20"/>
        </w:rPr>
        <w:t>•Headcount was 77,805 as of March 31, 2022, an increase of 28% year-over-year.</w:t>
      </w:r>
    </w:p>
    <w:p w14:paraId="0B2FB06B" w14:textId="77777777" w:rsidR="007F1775" w:rsidRDefault="000F083E">
      <w:pPr>
        <w:jc w:val="center"/>
      </w:pPr>
      <w:r>
        <w:rPr>
          <w:rFonts w:ascii="Times New Roman" w:eastAsia="宋体" w:hAnsi="Times New Roman"/>
          <w:color w:val="000000"/>
          <w:sz w:val="20"/>
          <w:szCs w:val="20"/>
        </w:rPr>
        <w:t>28</w:t>
      </w:r>
    </w:p>
    <w:p w14:paraId="0B2FB06C" w14:textId="77777777" w:rsidR="007F1775" w:rsidRDefault="000F083E">
      <w:r>
        <w:pict w14:anchorId="0B2FBF7D">
          <v:rect id="_x0000_i1052" style="width:415.3pt;height:1.5pt" o:hralign="center" o:hrstd="t" o:hr="t" fillcolor="#a0a0a0" stroked="f"/>
        </w:pict>
      </w:r>
    </w:p>
    <w:p w14:paraId="0B2FB06D" w14:textId="77777777" w:rsidR="007F1775" w:rsidRDefault="007F1775"/>
    <w:p w14:paraId="0B2FB06E" w14:textId="77777777" w:rsidR="007F1775" w:rsidRDefault="007F1775"/>
    <w:p w14:paraId="0B2FB06F" w14:textId="77777777" w:rsidR="007F1775" w:rsidRDefault="000F083E">
      <w:hyperlink r:id="rId106" w:anchor="iea70e328caa94cefb76a9db6ed6338fc_7" w:history="1">
        <w:r>
          <w:rPr>
            <w:rStyle w:val="a5"/>
            <w:rFonts w:ascii="Times New Roman" w:eastAsia="宋体" w:hAnsi="Times New Roman"/>
            <w:sz w:val="20"/>
            <w:szCs w:val="20"/>
          </w:rPr>
          <w:t>Table of Contents</w:t>
        </w:r>
      </w:hyperlink>
    </w:p>
    <w:p w14:paraId="0B2FB070" w14:textId="77777777" w:rsidR="007F1775" w:rsidRDefault="000F083E">
      <w:pPr>
        <w:spacing w:before="180"/>
        <w:jc w:val="both"/>
      </w:pPr>
      <w:r>
        <w:rPr>
          <w:rFonts w:ascii="Times New Roman" w:eastAsia="宋体" w:hAnsi="Times New Roman"/>
          <w:b/>
          <w:bCs/>
          <w:i/>
          <w:iCs/>
          <w:color w:val="000000"/>
          <w:sz w:val="20"/>
          <w:szCs w:val="20"/>
        </w:rPr>
        <w:t>Family of Apps metrics:</w:t>
      </w:r>
    </w:p>
    <w:p w14:paraId="0B2FB071"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 xml:space="preserve">•Family daily active people (DAP) was 2.87 billion on average for March 2022, an </w:t>
      </w:r>
      <w:r>
        <w:rPr>
          <w:rFonts w:ascii="Times New Roman" w:eastAsia="宋体" w:hAnsi="Times New Roman"/>
          <w:color w:val="000000"/>
          <w:sz w:val="20"/>
          <w:szCs w:val="20"/>
        </w:rPr>
        <w:t>increase of 6% year-over-year.</w:t>
      </w:r>
    </w:p>
    <w:p w14:paraId="0B2FB072" w14:textId="77777777" w:rsidR="007F1775" w:rsidRDefault="000F083E">
      <w:pPr>
        <w:pBdr>
          <w:left w:val="none" w:sz="0" w:space="0" w:color="auto"/>
        </w:pBdr>
        <w:ind w:hanging="360"/>
        <w:jc w:val="both"/>
      </w:pPr>
      <w:r>
        <w:rPr>
          <w:rFonts w:ascii="Times New Roman" w:eastAsia="宋体" w:hAnsi="Times New Roman"/>
          <w:color w:val="000000"/>
          <w:sz w:val="20"/>
          <w:szCs w:val="20"/>
        </w:rPr>
        <w:t>•Family monthly active people (MAP) was 3.64 billion as of March 31, 2022, an increase of 6% year-over-year.</w:t>
      </w:r>
    </w:p>
    <w:p w14:paraId="0B2FB073" w14:textId="77777777" w:rsidR="007F1775" w:rsidRDefault="000F083E">
      <w:pPr>
        <w:pBdr>
          <w:left w:val="none" w:sz="0" w:space="0" w:color="auto"/>
        </w:pBdr>
        <w:ind w:hanging="360"/>
        <w:jc w:val="both"/>
      </w:pPr>
      <w:r>
        <w:rPr>
          <w:rFonts w:ascii="Times New Roman" w:eastAsia="宋体" w:hAnsi="Times New Roman"/>
          <w:color w:val="000000"/>
          <w:sz w:val="20"/>
          <w:szCs w:val="20"/>
        </w:rPr>
        <w:t>•Facebook daily active users (DAUs) were 1.96 billion on average for March 2022, an increase of 4% year-over-year.</w:t>
      </w:r>
    </w:p>
    <w:p w14:paraId="0B2FB074" w14:textId="77777777" w:rsidR="007F1775" w:rsidRDefault="000F083E">
      <w:pPr>
        <w:pBdr>
          <w:left w:val="none" w:sz="0" w:space="0" w:color="auto"/>
        </w:pBdr>
        <w:ind w:hanging="360"/>
        <w:jc w:val="both"/>
      </w:pPr>
      <w:r>
        <w:rPr>
          <w:rFonts w:ascii="Times New Roman" w:eastAsia="宋体" w:hAnsi="Times New Roman"/>
          <w:color w:val="000000"/>
          <w:sz w:val="20"/>
          <w:szCs w:val="20"/>
        </w:rPr>
        <w:t>•</w:t>
      </w:r>
      <w:r>
        <w:rPr>
          <w:rFonts w:ascii="Times New Roman" w:eastAsia="宋体" w:hAnsi="Times New Roman"/>
          <w:color w:val="000000"/>
          <w:sz w:val="20"/>
          <w:szCs w:val="20"/>
        </w:rPr>
        <w:t>Facebook monthly active users (MAUs) were 2.94 billion as of March 31, 2022, an increase of 3% year-over-year.</w:t>
      </w:r>
    </w:p>
    <w:p w14:paraId="0B2FB075" w14:textId="77777777" w:rsidR="007F1775" w:rsidRDefault="000F083E">
      <w:pPr>
        <w:pBdr>
          <w:left w:val="none" w:sz="0" w:space="0" w:color="auto"/>
        </w:pBdr>
        <w:ind w:hanging="360"/>
        <w:jc w:val="both"/>
      </w:pPr>
      <w:r>
        <w:rPr>
          <w:rFonts w:ascii="Times New Roman" w:eastAsia="宋体" w:hAnsi="Times New Roman"/>
          <w:color w:val="000000"/>
          <w:sz w:val="20"/>
          <w:szCs w:val="20"/>
        </w:rPr>
        <w:t>•Ad impressions delivered across our Family of Apps in the first quarter of 2022 increased by 15% year-over-year, and the average price per ad in</w:t>
      </w:r>
      <w:r>
        <w:rPr>
          <w:rFonts w:ascii="Times New Roman" w:eastAsia="宋体" w:hAnsi="Times New Roman"/>
          <w:color w:val="000000"/>
          <w:sz w:val="20"/>
          <w:szCs w:val="20"/>
        </w:rPr>
        <w:t xml:space="preserve"> the first quarter of 2022 decreased by 8% year-over-year.</w:t>
      </w:r>
    </w:p>
    <w:p w14:paraId="0B2FB076" w14:textId="77777777" w:rsidR="007F1775" w:rsidRDefault="007F1775">
      <w:pPr>
        <w:ind w:firstLine="540"/>
        <w:jc w:val="both"/>
      </w:pPr>
    </w:p>
    <w:p w14:paraId="0B2FB077" w14:textId="77777777" w:rsidR="007F1775" w:rsidRDefault="000F083E">
      <w:pPr>
        <w:ind w:firstLine="540"/>
        <w:jc w:val="both"/>
      </w:pPr>
      <w:r>
        <w:rPr>
          <w:rFonts w:ascii="Times New Roman" w:eastAsia="宋体" w:hAnsi="Times New Roman"/>
          <w:color w:val="000000"/>
          <w:sz w:val="20"/>
          <w:szCs w:val="20"/>
        </w:rPr>
        <w:t>Our mission is to give people the power to build community and bring the world closer together. All of our products, including our apps, share the vision of helping to bring the metaverse to life.</w:t>
      </w:r>
    </w:p>
    <w:p w14:paraId="0B2FB078" w14:textId="77777777" w:rsidR="007F1775" w:rsidRDefault="007F1775">
      <w:pPr>
        <w:ind w:firstLine="540"/>
        <w:jc w:val="both"/>
      </w:pPr>
    </w:p>
    <w:p w14:paraId="0B2FB079" w14:textId="77777777" w:rsidR="007F1775" w:rsidRDefault="000F083E">
      <w:pPr>
        <w:ind w:firstLine="540"/>
        <w:jc w:val="both"/>
      </w:pPr>
      <w:r>
        <w:rPr>
          <w:rFonts w:ascii="Times New Roman" w:eastAsia="宋体" w:hAnsi="Times New Roman"/>
          <w:color w:val="000000"/>
          <w:sz w:val="20"/>
          <w:szCs w:val="20"/>
        </w:rPr>
        <w:t>In the first quarter of 2022, we continued to focus on our main revenue growth priorities: (i) helping marketers use our products to connect with consumers and (ii) making our ads more relevant and effective. We also continued to invest based on the foll</w:t>
      </w:r>
      <w:r>
        <w:rPr>
          <w:rFonts w:ascii="Times New Roman" w:eastAsia="宋体" w:hAnsi="Times New Roman"/>
          <w:color w:val="000000"/>
          <w:sz w:val="20"/>
          <w:szCs w:val="20"/>
        </w:rPr>
        <w:t xml:space="preserve">owing company priorities: (i) continue making progress on the major social issues facing the internet and our company, including privacy, safety, and security; (ii) build new experiences that meaningfully improve people's lives today and set the stage for </w:t>
      </w:r>
      <w:r>
        <w:rPr>
          <w:rFonts w:ascii="Times New Roman" w:eastAsia="宋体" w:hAnsi="Times New Roman"/>
          <w:color w:val="000000"/>
          <w:sz w:val="20"/>
          <w:szCs w:val="20"/>
        </w:rPr>
        <w:t>even bigger improvements in the future; (iii) keep building our business by supporting the millions of businesses that rely on our services to grow and create jobs; and (iv) communicate more transparently about what we're doing and the role our services pl</w:t>
      </w:r>
      <w:r>
        <w:rPr>
          <w:rFonts w:ascii="Times New Roman" w:eastAsia="宋体" w:hAnsi="Times New Roman"/>
          <w:color w:val="000000"/>
          <w:sz w:val="20"/>
          <w:szCs w:val="20"/>
        </w:rPr>
        <w:t xml:space="preserve">ay in the world. </w:t>
      </w:r>
    </w:p>
    <w:p w14:paraId="0B2FB07A" w14:textId="77777777" w:rsidR="007F1775" w:rsidRDefault="007F1775">
      <w:pPr>
        <w:ind w:firstLine="540"/>
        <w:jc w:val="both"/>
      </w:pPr>
    </w:p>
    <w:p w14:paraId="0B2FB07B" w14:textId="77777777" w:rsidR="007F1775" w:rsidRDefault="000F083E">
      <w:pPr>
        <w:ind w:firstLine="540"/>
        <w:jc w:val="both"/>
      </w:pPr>
      <w:r>
        <w:rPr>
          <w:rFonts w:ascii="Times New Roman" w:eastAsia="宋体" w:hAnsi="Times New Roman"/>
          <w:color w:val="000000"/>
          <w:sz w:val="20"/>
          <w:szCs w:val="20"/>
        </w:rPr>
        <w:t>Our advertising revenue growth in the first quarter of 2022 was adversely affected by reduced marketer spending as a result of limitations on our ad targeting and measurement tools arising from changes to the iOS operating system beginni</w:t>
      </w:r>
      <w:r>
        <w:rPr>
          <w:rFonts w:ascii="Times New Roman" w:eastAsia="宋体" w:hAnsi="Times New Roman"/>
          <w:color w:val="000000"/>
          <w:sz w:val="20"/>
          <w:szCs w:val="20"/>
        </w:rPr>
        <w:t>ng in 2021. We expect that future advertising revenue growth will continue to be adversely affected by these and other limitations on our ad targeting and measurement tools arising from changes to the regulatory environment and third-party mobile operating</w:t>
      </w:r>
      <w:r>
        <w:rPr>
          <w:rFonts w:ascii="Times New Roman" w:eastAsia="宋体" w:hAnsi="Times New Roman"/>
          <w:color w:val="000000"/>
          <w:sz w:val="20"/>
          <w:szCs w:val="20"/>
        </w:rPr>
        <w:t xml:space="preserve"> systems and browsers. </w:t>
      </w:r>
    </w:p>
    <w:p w14:paraId="0B2FB07C" w14:textId="77777777" w:rsidR="007F1775" w:rsidRDefault="007F1775">
      <w:pPr>
        <w:ind w:firstLine="540"/>
        <w:jc w:val="both"/>
      </w:pPr>
    </w:p>
    <w:p w14:paraId="0B2FB07D" w14:textId="77777777" w:rsidR="007F1775" w:rsidRDefault="000F083E">
      <w:pPr>
        <w:ind w:firstLine="540"/>
        <w:jc w:val="both"/>
      </w:pPr>
      <w:r>
        <w:rPr>
          <w:rFonts w:ascii="Times New Roman" w:eastAsia="宋体" w:hAnsi="Times New Roman"/>
          <w:color w:val="000000"/>
          <w:sz w:val="20"/>
          <w:szCs w:val="20"/>
        </w:rPr>
        <w:t xml:space="preserve">The COVID-19 pandemic has also impacted our business and results of operations, with a varied impact on the demand for and pricing of our ads from period to period. While we experienced a reduction in advertising demand and a </w:t>
      </w:r>
      <w:r>
        <w:rPr>
          <w:rFonts w:ascii="Times New Roman" w:eastAsia="宋体" w:hAnsi="Times New Roman"/>
          <w:color w:val="000000"/>
          <w:sz w:val="20"/>
          <w:szCs w:val="20"/>
        </w:rPr>
        <w:t>related decline in pricing during the onset of the pandemic, we believe the pandemic subsequently contributed to an acceleration in the growth of online commerce, and we experienced increasing demand for advertising as a result of this trend. More recently</w:t>
      </w:r>
      <w:r>
        <w:rPr>
          <w:rFonts w:ascii="Times New Roman" w:eastAsia="宋体" w:hAnsi="Times New Roman"/>
          <w:color w:val="000000"/>
          <w:sz w:val="20"/>
          <w:szCs w:val="20"/>
        </w:rPr>
        <w:t>, we believe this growth has declined, and we saw continued softening of advertising demand in the first quarter of 2022 as many activities that shifted online during COVID-19 related lockdowns returned in person. We may experience reduced advertising dema</w:t>
      </w:r>
      <w:r>
        <w:rPr>
          <w:rFonts w:ascii="Times New Roman" w:eastAsia="宋体" w:hAnsi="Times New Roman"/>
          <w:color w:val="000000"/>
          <w:sz w:val="20"/>
          <w:szCs w:val="20"/>
        </w:rPr>
        <w:t>nd and related declines in pricing in future periods to the extent this trend continues, which could adversely affect our advertising revenue growth. The impact of the pandemic on the demand for and pricing of our advertising services, as well as on our ov</w:t>
      </w:r>
      <w:r>
        <w:rPr>
          <w:rFonts w:ascii="Times New Roman" w:eastAsia="宋体" w:hAnsi="Times New Roman"/>
          <w:color w:val="000000"/>
          <w:sz w:val="20"/>
          <w:szCs w:val="20"/>
        </w:rPr>
        <w:t>erall results of operations, remains uncertain for the foreseeable future.</w:t>
      </w:r>
    </w:p>
    <w:p w14:paraId="0B2FB07E" w14:textId="77777777" w:rsidR="007F1775" w:rsidRDefault="007F1775">
      <w:pPr>
        <w:ind w:firstLine="540"/>
        <w:jc w:val="both"/>
      </w:pPr>
    </w:p>
    <w:p w14:paraId="0B2FB07F" w14:textId="77777777" w:rsidR="007F1775" w:rsidRDefault="000F083E">
      <w:pPr>
        <w:ind w:firstLine="540"/>
        <w:jc w:val="both"/>
      </w:pPr>
      <w:r>
        <w:rPr>
          <w:rFonts w:ascii="Times New Roman" w:eastAsia="宋体" w:hAnsi="Times New Roman"/>
          <w:color w:val="000000"/>
          <w:sz w:val="20"/>
          <w:szCs w:val="20"/>
        </w:rPr>
        <w:t xml:space="preserve">Other global and regional business, macroeconomic, and geopolitical conditions also have had, and we believe will continue to have, an impact on our user growth and engagement and </w:t>
      </w:r>
      <w:r>
        <w:rPr>
          <w:rFonts w:ascii="Times New Roman" w:eastAsia="宋体" w:hAnsi="Times New Roman"/>
          <w:color w:val="000000"/>
          <w:sz w:val="20"/>
          <w:szCs w:val="20"/>
        </w:rPr>
        <w:t>advertising revenue growth. For example, competitive products and services have reduced some users' engagement with our products and services. In response to competitive pressures, we have introduced new features such as Reels, which is growing in usage bu</w:t>
      </w:r>
      <w:r>
        <w:rPr>
          <w:rFonts w:ascii="Times New Roman" w:eastAsia="宋体" w:hAnsi="Times New Roman"/>
          <w:color w:val="000000"/>
          <w:sz w:val="20"/>
          <w:szCs w:val="20"/>
        </w:rPr>
        <w:t xml:space="preserve">t is not currently monetized at the same rate as our feed or Stories products. We also have seen a deceleration in our community growth rates as the size of our community continues to increase. In addition, in connection with the war in Ukraine, access to </w:t>
      </w:r>
      <w:r>
        <w:rPr>
          <w:rFonts w:ascii="Times New Roman" w:eastAsia="宋体" w:hAnsi="Times New Roman"/>
          <w:color w:val="000000"/>
          <w:sz w:val="20"/>
          <w:szCs w:val="20"/>
        </w:rPr>
        <w:t>Facebook and Instagram was restricted in Russia and the services were then prohibited by the Russian government, which adversely affected user growth and engagement in the first quarter of 2022. These trends adversely affected advertising revenue growth in</w:t>
      </w:r>
      <w:r>
        <w:rPr>
          <w:rFonts w:ascii="Times New Roman" w:eastAsia="宋体" w:hAnsi="Times New Roman"/>
          <w:color w:val="000000"/>
          <w:sz w:val="20"/>
          <w:szCs w:val="20"/>
        </w:rPr>
        <w:t xml:space="preserve"> the first quarter of 2022, including softness in the second half of the quarter that coincided with the war in Ukraine, and we expect will continue to affect our advertising revenue growth in the foreseeable future. In addition, the appreciation of the U.</w:t>
      </w:r>
      <w:r>
        <w:rPr>
          <w:rFonts w:ascii="Times New Roman" w:eastAsia="宋体" w:hAnsi="Times New Roman"/>
          <w:color w:val="000000"/>
          <w:sz w:val="20"/>
          <w:szCs w:val="20"/>
        </w:rPr>
        <w:t>S. dollar relative to other foreign currencies had a negative impact on our advertising revenue in the first quarter of 2022. General economic uncertainty as a result of these conditions globally or regionally may adversely affect advertising demand and th</w:t>
      </w:r>
      <w:r>
        <w:rPr>
          <w:rFonts w:ascii="Times New Roman" w:eastAsia="宋体" w:hAnsi="Times New Roman"/>
          <w:color w:val="000000"/>
          <w:sz w:val="20"/>
          <w:szCs w:val="20"/>
        </w:rPr>
        <w:t>erefore our revenue and business.</w:t>
      </w:r>
    </w:p>
    <w:p w14:paraId="0B2FB080" w14:textId="77777777" w:rsidR="007F1775" w:rsidRDefault="007F1775">
      <w:pPr>
        <w:ind w:firstLine="540"/>
        <w:jc w:val="both"/>
      </w:pPr>
    </w:p>
    <w:p w14:paraId="0B2FB081" w14:textId="77777777" w:rsidR="007F1775" w:rsidRDefault="000F083E">
      <w:pPr>
        <w:ind w:firstLine="540"/>
        <w:jc w:val="both"/>
      </w:pPr>
      <w:r>
        <w:rPr>
          <w:rFonts w:ascii="Times New Roman" w:eastAsia="宋体" w:hAnsi="Times New Roman"/>
          <w:color w:val="000000"/>
          <w:sz w:val="20"/>
          <w:szCs w:val="20"/>
        </w:rPr>
        <w:t>We anticipate that additional investments in our servers, data center capacity, network infrastructure, and office facilities, as well as scaling our headcount to support our growth, including in our Reality Labs initiati</w:t>
      </w:r>
      <w:r>
        <w:rPr>
          <w:rFonts w:ascii="Times New Roman" w:eastAsia="宋体" w:hAnsi="Times New Roman"/>
          <w:color w:val="000000"/>
          <w:sz w:val="20"/>
          <w:szCs w:val="20"/>
        </w:rPr>
        <w:t>ves, will continue to drive expense growth in 2022. In 2022, we also expect that our year-over-year total expense growth rates may significantly exceed our year-over-year revenue growth rates, which would adversely affect our operating margin and profitabi</w:t>
      </w:r>
      <w:r>
        <w:rPr>
          <w:rFonts w:ascii="Times New Roman" w:eastAsia="宋体" w:hAnsi="Times New Roman"/>
          <w:color w:val="000000"/>
          <w:sz w:val="20"/>
          <w:szCs w:val="20"/>
        </w:rPr>
        <w:t>lity.</w:t>
      </w:r>
    </w:p>
    <w:p w14:paraId="0B2FB082" w14:textId="77777777" w:rsidR="007F1775" w:rsidRDefault="000F083E">
      <w:pPr>
        <w:jc w:val="center"/>
      </w:pPr>
      <w:r>
        <w:rPr>
          <w:rFonts w:ascii="Times New Roman" w:eastAsia="宋体" w:hAnsi="Times New Roman"/>
          <w:color w:val="000000"/>
          <w:sz w:val="20"/>
          <w:szCs w:val="20"/>
        </w:rPr>
        <w:t>29</w:t>
      </w:r>
    </w:p>
    <w:p w14:paraId="0B2FB083" w14:textId="77777777" w:rsidR="007F1775" w:rsidRDefault="000F083E">
      <w:r>
        <w:pict w14:anchorId="0B2FBF7E">
          <v:rect id="_x0000_i1053" style="width:415.3pt;height:1.5pt" o:hralign="center" o:hrstd="t" o:hr="t" fillcolor="#a0a0a0" stroked="f"/>
        </w:pict>
      </w:r>
    </w:p>
    <w:p w14:paraId="0B2FB084" w14:textId="77777777" w:rsidR="007F1775" w:rsidRDefault="007F1775"/>
    <w:p w14:paraId="0B2FB085" w14:textId="77777777" w:rsidR="007F1775" w:rsidRDefault="007F1775"/>
    <w:p w14:paraId="0B2FB086" w14:textId="77777777" w:rsidR="007F1775" w:rsidRDefault="000F083E">
      <w:hyperlink r:id="rId107" w:anchor="iea70e328caa94cefb76a9db6ed6338fc_7" w:history="1">
        <w:r>
          <w:rPr>
            <w:rStyle w:val="a5"/>
            <w:rFonts w:ascii="Times New Roman" w:eastAsia="宋体" w:hAnsi="Times New Roman"/>
            <w:sz w:val="20"/>
            <w:szCs w:val="20"/>
          </w:rPr>
          <w:t>Table of Contents</w:t>
        </w:r>
      </w:hyperlink>
    </w:p>
    <w:p w14:paraId="0B2FB087" w14:textId="77777777" w:rsidR="007F1775" w:rsidRDefault="000F083E">
      <w:pPr>
        <w:jc w:val="both"/>
      </w:pPr>
      <w:r>
        <w:rPr>
          <w:rFonts w:ascii="Times New Roman" w:eastAsia="宋体" w:hAnsi="Times New Roman"/>
          <w:b/>
          <w:bCs/>
          <w:color w:val="000000"/>
          <w:sz w:val="20"/>
          <w:szCs w:val="20"/>
        </w:rPr>
        <w:t>Trends in Our Family Metrics</w:t>
      </w:r>
    </w:p>
    <w:p w14:paraId="0B2FB088" w14:textId="77777777" w:rsidR="007F1775" w:rsidRDefault="007F1775">
      <w:pPr>
        <w:ind w:firstLine="540"/>
        <w:jc w:val="both"/>
      </w:pPr>
    </w:p>
    <w:p w14:paraId="0B2FB089" w14:textId="77777777" w:rsidR="007F1775" w:rsidRDefault="000F083E">
      <w:pPr>
        <w:ind w:firstLine="540"/>
        <w:jc w:val="both"/>
      </w:pPr>
      <w:r>
        <w:rPr>
          <w:rFonts w:ascii="Times New Roman" w:eastAsia="宋体" w:hAnsi="Times New Roman"/>
          <w:color w:val="000000"/>
          <w:sz w:val="20"/>
          <w:szCs w:val="20"/>
        </w:rPr>
        <w:t>The numbers for our key Family metrics, ou</w:t>
      </w:r>
      <w:r>
        <w:rPr>
          <w:rFonts w:ascii="Times New Roman" w:eastAsia="宋体" w:hAnsi="Times New Roman"/>
          <w:color w:val="000000"/>
          <w:sz w:val="20"/>
          <w:szCs w:val="20"/>
        </w:rPr>
        <w:t xml:space="preserve">r DAP, MAP, and average revenue per person (ARPP), do not include users on our other products unless they would otherwise qualify as DAP or MAP, respectively, based on their other activities on our Family products. </w:t>
      </w:r>
    </w:p>
    <w:p w14:paraId="0B2FB08A" w14:textId="77777777" w:rsidR="007F1775" w:rsidRDefault="007F1775">
      <w:pPr>
        <w:ind w:firstLine="540"/>
        <w:jc w:val="both"/>
      </w:pPr>
    </w:p>
    <w:p w14:paraId="0B2FB08B" w14:textId="77777777" w:rsidR="007F1775" w:rsidRDefault="000F083E">
      <w:pPr>
        <w:ind w:firstLine="540"/>
        <w:jc w:val="both"/>
      </w:pPr>
      <w:r>
        <w:rPr>
          <w:rFonts w:ascii="Times New Roman" w:eastAsia="宋体" w:hAnsi="Times New Roman"/>
          <w:color w:val="000000"/>
          <w:sz w:val="20"/>
          <w:szCs w:val="20"/>
        </w:rPr>
        <w:t>Trends in the number of people in our c</w:t>
      </w:r>
      <w:r>
        <w:rPr>
          <w:rFonts w:ascii="Times New Roman" w:eastAsia="宋体" w:hAnsi="Times New Roman"/>
          <w:color w:val="000000"/>
          <w:sz w:val="20"/>
          <w:szCs w:val="20"/>
        </w:rPr>
        <w:t>ommunity affect our revenue and financial results by influencing the number of ads we are able to show, the value of our ads to marketers, the volume of Payments transactions, as well as our expenses and capital expenditures. Substantially all of our daily</w:t>
      </w:r>
      <w:r>
        <w:rPr>
          <w:rFonts w:ascii="Times New Roman" w:eastAsia="宋体" w:hAnsi="Times New Roman"/>
          <w:color w:val="000000"/>
          <w:sz w:val="20"/>
          <w:szCs w:val="20"/>
        </w:rPr>
        <w:t xml:space="preserve"> and monthly active people (as defined below) access our Family products on mobile devices.</w:t>
      </w:r>
    </w:p>
    <w:p w14:paraId="0B2FB08C" w14:textId="77777777" w:rsidR="007F1775" w:rsidRDefault="007F1775">
      <w:pPr>
        <w:ind w:firstLine="540"/>
        <w:jc w:val="both"/>
      </w:pPr>
    </w:p>
    <w:p w14:paraId="0B2FB08D" w14:textId="77777777" w:rsidR="007F1775" w:rsidRDefault="000F083E">
      <w:pPr>
        <w:pBdr>
          <w:left w:val="none" w:sz="0" w:space="0" w:color="auto"/>
        </w:pBdr>
        <w:ind w:hanging="360"/>
        <w:jc w:val="both"/>
      </w:pPr>
      <w:r>
        <w:rPr>
          <w:rFonts w:ascii="Times New Roman" w:eastAsia="宋体" w:hAnsi="Times New Roman"/>
          <w:b/>
          <w:bCs/>
          <w:i/>
          <w:iCs/>
          <w:color w:val="000000"/>
          <w:sz w:val="20"/>
          <w:szCs w:val="20"/>
        </w:rPr>
        <w:t>•Daily Active People (DAP).</w:t>
      </w:r>
      <w:r>
        <w:rPr>
          <w:rFonts w:ascii="Times New Roman" w:eastAsia="宋体" w:hAnsi="Times New Roman"/>
          <w:color w:val="000000"/>
          <w:sz w:val="20"/>
          <w:szCs w:val="20"/>
        </w:rPr>
        <w:t xml:space="preserve"> We define a daily active person as a registered and logged-in user of Facebook, Instagram, Messenger, and/or WhatsApp (collectively, ou</w:t>
      </w:r>
      <w:r>
        <w:rPr>
          <w:rFonts w:ascii="Times New Roman" w:eastAsia="宋体" w:hAnsi="Times New Roman"/>
          <w:color w:val="000000"/>
          <w:sz w:val="20"/>
          <w:szCs w:val="20"/>
        </w:rPr>
        <w:t>r "Family" of products) who visited at least one of these Family products through a mobile device application or using a web or mobile browser on a given day. We do not require people to use a common identifier or link their accounts to use multiple produc</w:t>
      </w:r>
      <w:r>
        <w:rPr>
          <w:rFonts w:ascii="Times New Roman" w:eastAsia="宋体" w:hAnsi="Times New Roman"/>
          <w:color w:val="000000"/>
          <w:sz w:val="20"/>
          <w:szCs w:val="20"/>
        </w:rPr>
        <w:t>ts in our Family, and therefore must seek to attribute multiple user accounts within and across products to individual people. Our calculations of DAP rely upon complex techniques, algorithms, and machine learning models that seek to estimate the underlyin</w:t>
      </w:r>
      <w:r>
        <w:rPr>
          <w:rFonts w:ascii="Times New Roman" w:eastAsia="宋体" w:hAnsi="Times New Roman"/>
          <w:color w:val="000000"/>
          <w:sz w:val="20"/>
          <w:szCs w:val="20"/>
        </w:rPr>
        <w:t>g number of unique people using one or more of these products, including by matching user accounts within an individual product and across multiple products when we believe they are attributable to a single person, and counting such group of accounts as on</w:t>
      </w:r>
      <w:r>
        <w:rPr>
          <w:rFonts w:ascii="Times New Roman" w:eastAsia="宋体" w:hAnsi="Times New Roman"/>
          <w:color w:val="000000"/>
          <w:sz w:val="20"/>
          <w:szCs w:val="20"/>
        </w:rPr>
        <w:t xml:space="preserve">e person. As these techniques and models require significant judgment, are developed based on internal reviews of limited samples of user accounts, and are calibrated against user survey data, there is necessarily some margin of error in our estimates. We </w:t>
      </w:r>
      <w:r>
        <w:rPr>
          <w:rFonts w:ascii="Times New Roman" w:eastAsia="宋体" w:hAnsi="Times New Roman"/>
          <w:color w:val="000000"/>
          <w:sz w:val="20"/>
          <w:szCs w:val="20"/>
        </w:rPr>
        <w:t>view DAP, and DAP as a percentage of MAP, as measures of engagement across our products. For additional information, see the section entitled "Limitations of Key Metrics and Other Data" in this Quarterly Report on Form 10-Q.</w:t>
      </w:r>
    </w:p>
    <w:p w14:paraId="0B2FB08E" w14:textId="77777777" w:rsidR="007F1775" w:rsidRDefault="000F083E">
      <w:pPr>
        <w:spacing w:before="180" w:after="60"/>
        <w:jc w:val="center"/>
      </w:pPr>
      <w:r>
        <w:rPr>
          <w:rFonts w:ascii="宋体" w:eastAsia="宋体" w:hAnsi="宋体" w:cs="宋体"/>
        </w:rPr>
        <w:fldChar w:fldCharType="begin"/>
      </w:r>
      <w:r>
        <w:rPr>
          <w:rFonts w:ascii="宋体" w:eastAsia="宋体" w:hAnsi="宋体" w:cs="宋体"/>
        </w:rPr>
        <w:instrText>INCLUDEPICTURE \d "/Users/xuxin</w:instrText>
      </w:r>
      <w:r>
        <w:rPr>
          <w:rFonts w:ascii="宋体" w:eastAsia="宋体" w:hAnsi="宋体" w:cs="宋体"/>
        </w:rPr>
        <w:instrText xml:space="preserve">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7F" wp14:editId="0B2FBF80">
            <wp:extent cx="304800" cy="304800"/>
            <wp:effectExtent l="0" t="0" r="0" b="0"/>
            <wp:docPr id="47" name="图片 6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4"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6075" w:type="dxa"/>
        <w:jc w:val="center"/>
        <w:tblCellMar>
          <w:top w:w="15" w:type="dxa"/>
          <w:left w:w="15" w:type="dxa"/>
          <w:bottom w:w="15" w:type="dxa"/>
          <w:right w:w="15" w:type="dxa"/>
        </w:tblCellMar>
        <w:tblLook w:val="04A0" w:firstRow="1" w:lastRow="0" w:firstColumn="1" w:lastColumn="0" w:noHBand="0" w:noVBand="1"/>
      </w:tblPr>
      <w:tblGrid>
        <w:gridCol w:w="36"/>
        <w:gridCol w:w="744"/>
        <w:gridCol w:w="36"/>
        <w:gridCol w:w="36"/>
        <w:gridCol w:w="524"/>
        <w:gridCol w:w="36"/>
        <w:gridCol w:w="36"/>
        <w:gridCol w:w="524"/>
        <w:gridCol w:w="36"/>
        <w:gridCol w:w="36"/>
        <w:gridCol w:w="511"/>
        <w:gridCol w:w="36"/>
        <w:gridCol w:w="36"/>
        <w:gridCol w:w="511"/>
        <w:gridCol w:w="36"/>
        <w:gridCol w:w="36"/>
        <w:gridCol w:w="524"/>
        <w:gridCol w:w="36"/>
        <w:gridCol w:w="36"/>
        <w:gridCol w:w="511"/>
        <w:gridCol w:w="36"/>
        <w:gridCol w:w="36"/>
        <w:gridCol w:w="511"/>
        <w:gridCol w:w="36"/>
        <w:gridCol w:w="36"/>
        <w:gridCol w:w="511"/>
        <w:gridCol w:w="36"/>
        <w:gridCol w:w="36"/>
        <w:gridCol w:w="484"/>
        <w:gridCol w:w="36"/>
      </w:tblGrid>
      <w:tr w:rsidR="007F1775" w14:paraId="0B2FB0AD" w14:textId="77777777">
        <w:trPr>
          <w:jc w:val="center"/>
        </w:trPr>
        <w:tc>
          <w:tcPr>
            <w:tcW w:w="20" w:type="dxa"/>
            <w:shd w:val="clear" w:color="auto" w:fill="auto"/>
            <w:vAlign w:val="bottom"/>
          </w:tcPr>
          <w:p w14:paraId="0B2FB08F" w14:textId="77777777" w:rsidR="007F1775" w:rsidRDefault="007F1775">
            <w:pPr>
              <w:rPr>
                <w:rFonts w:ascii="宋体"/>
              </w:rPr>
            </w:pPr>
          </w:p>
        </w:tc>
        <w:tc>
          <w:tcPr>
            <w:tcW w:w="755" w:type="dxa"/>
            <w:shd w:val="clear" w:color="auto" w:fill="auto"/>
            <w:vAlign w:val="bottom"/>
          </w:tcPr>
          <w:p w14:paraId="0B2FB090" w14:textId="77777777" w:rsidR="007F1775" w:rsidRDefault="007F1775">
            <w:pPr>
              <w:rPr>
                <w:rFonts w:ascii="宋体"/>
              </w:rPr>
            </w:pPr>
          </w:p>
        </w:tc>
        <w:tc>
          <w:tcPr>
            <w:tcW w:w="20" w:type="dxa"/>
            <w:shd w:val="clear" w:color="auto" w:fill="auto"/>
            <w:vAlign w:val="bottom"/>
          </w:tcPr>
          <w:p w14:paraId="0B2FB091" w14:textId="77777777" w:rsidR="007F1775" w:rsidRDefault="007F1775">
            <w:pPr>
              <w:rPr>
                <w:rFonts w:ascii="宋体"/>
              </w:rPr>
            </w:pPr>
          </w:p>
        </w:tc>
        <w:tc>
          <w:tcPr>
            <w:tcW w:w="20" w:type="dxa"/>
            <w:shd w:val="clear" w:color="auto" w:fill="auto"/>
            <w:vAlign w:val="bottom"/>
          </w:tcPr>
          <w:p w14:paraId="0B2FB092" w14:textId="77777777" w:rsidR="007F1775" w:rsidRDefault="007F1775">
            <w:pPr>
              <w:rPr>
                <w:rFonts w:ascii="宋体"/>
              </w:rPr>
            </w:pPr>
          </w:p>
        </w:tc>
        <w:tc>
          <w:tcPr>
            <w:tcW w:w="560" w:type="dxa"/>
            <w:shd w:val="clear" w:color="auto" w:fill="auto"/>
            <w:vAlign w:val="bottom"/>
          </w:tcPr>
          <w:p w14:paraId="0B2FB093" w14:textId="77777777" w:rsidR="007F1775" w:rsidRDefault="007F1775">
            <w:pPr>
              <w:rPr>
                <w:rFonts w:ascii="宋体"/>
              </w:rPr>
            </w:pPr>
          </w:p>
        </w:tc>
        <w:tc>
          <w:tcPr>
            <w:tcW w:w="20" w:type="dxa"/>
            <w:shd w:val="clear" w:color="auto" w:fill="auto"/>
            <w:vAlign w:val="bottom"/>
          </w:tcPr>
          <w:p w14:paraId="0B2FB094" w14:textId="77777777" w:rsidR="007F1775" w:rsidRDefault="007F1775">
            <w:pPr>
              <w:rPr>
                <w:rFonts w:ascii="宋体"/>
              </w:rPr>
            </w:pPr>
          </w:p>
        </w:tc>
        <w:tc>
          <w:tcPr>
            <w:tcW w:w="20" w:type="dxa"/>
            <w:shd w:val="clear" w:color="auto" w:fill="auto"/>
            <w:vAlign w:val="bottom"/>
          </w:tcPr>
          <w:p w14:paraId="0B2FB095" w14:textId="77777777" w:rsidR="007F1775" w:rsidRDefault="007F1775">
            <w:pPr>
              <w:rPr>
                <w:rFonts w:ascii="宋体"/>
              </w:rPr>
            </w:pPr>
          </w:p>
        </w:tc>
        <w:tc>
          <w:tcPr>
            <w:tcW w:w="560" w:type="dxa"/>
            <w:shd w:val="clear" w:color="auto" w:fill="auto"/>
            <w:vAlign w:val="bottom"/>
          </w:tcPr>
          <w:p w14:paraId="0B2FB096" w14:textId="77777777" w:rsidR="007F1775" w:rsidRDefault="007F1775">
            <w:pPr>
              <w:rPr>
                <w:rFonts w:ascii="宋体"/>
              </w:rPr>
            </w:pPr>
          </w:p>
        </w:tc>
        <w:tc>
          <w:tcPr>
            <w:tcW w:w="20" w:type="dxa"/>
            <w:shd w:val="clear" w:color="auto" w:fill="auto"/>
            <w:vAlign w:val="bottom"/>
          </w:tcPr>
          <w:p w14:paraId="0B2FB097" w14:textId="77777777" w:rsidR="007F1775" w:rsidRDefault="007F1775">
            <w:pPr>
              <w:rPr>
                <w:rFonts w:ascii="宋体"/>
              </w:rPr>
            </w:pPr>
          </w:p>
        </w:tc>
        <w:tc>
          <w:tcPr>
            <w:tcW w:w="20" w:type="dxa"/>
            <w:shd w:val="clear" w:color="auto" w:fill="auto"/>
            <w:vAlign w:val="bottom"/>
          </w:tcPr>
          <w:p w14:paraId="0B2FB098" w14:textId="77777777" w:rsidR="007F1775" w:rsidRDefault="007F1775">
            <w:pPr>
              <w:rPr>
                <w:rFonts w:ascii="宋体"/>
              </w:rPr>
            </w:pPr>
          </w:p>
        </w:tc>
        <w:tc>
          <w:tcPr>
            <w:tcW w:w="545" w:type="dxa"/>
            <w:shd w:val="clear" w:color="auto" w:fill="auto"/>
            <w:vAlign w:val="bottom"/>
          </w:tcPr>
          <w:p w14:paraId="0B2FB099" w14:textId="77777777" w:rsidR="007F1775" w:rsidRDefault="007F1775">
            <w:pPr>
              <w:rPr>
                <w:rFonts w:ascii="宋体"/>
              </w:rPr>
            </w:pPr>
          </w:p>
        </w:tc>
        <w:tc>
          <w:tcPr>
            <w:tcW w:w="20" w:type="dxa"/>
            <w:shd w:val="clear" w:color="auto" w:fill="auto"/>
            <w:vAlign w:val="bottom"/>
          </w:tcPr>
          <w:p w14:paraId="0B2FB09A" w14:textId="77777777" w:rsidR="007F1775" w:rsidRDefault="007F1775">
            <w:pPr>
              <w:rPr>
                <w:rFonts w:ascii="宋体"/>
              </w:rPr>
            </w:pPr>
          </w:p>
        </w:tc>
        <w:tc>
          <w:tcPr>
            <w:tcW w:w="20" w:type="dxa"/>
            <w:shd w:val="clear" w:color="auto" w:fill="auto"/>
            <w:vAlign w:val="bottom"/>
          </w:tcPr>
          <w:p w14:paraId="0B2FB09B" w14:textId="77777777" w:rsidR="007F1775" w:rsidRDefault="007F1775">
            <w:pPr>
              <w:rPr>
                <w:rFonts w:ascii="宋体"/>
              </w:rPr>
            </w:pPr>
          </w:p>
        </w:tc>
        <w:tc>
          <w:tcPr>
            <w:tcW w:w="545" w:type="dxa"/>
            <w:shd w:val="clear" w:color="auto" w:fill="auto"/>
            <w:vAlign w:val="bottom"/>
          </w:tcPr>
          <w:p w14:paraId="0B2FB09C" w14:textId="77777777" w:rsidR="007F1775" w:rsidRDefault="007F1775">
            <w:pPr>
              <w:rPr>
                <w:rFonts w:ascii="宋体"/>
              </w:rPr>
            </w:pPr>
          </w:p>
        </w:tc>
        <w:tc>
          <w:tcPr>
            <w:tcW w:w="20" w:type="dxa"/>
            <w:shd w:val="clear" w:color="auto" w:fill="auto"/>
            <w:vAlign w:val="bottom"/>
          </w:tcPr>
          <w:p w14:paraId="0B2FB09D" w14:textId="77777777" w:rsidR="007F1775" w:rsidRDefault="007F1775">
            <w:pPr>
              <w:rPr>
                <w:rFonts w:ascii="宋体"/>
              </w:rPr>
            </w:pPr>
          </w:p>
        </w:tc>
        <w:tc>
          <w:tcPr>
            <w:tcW w:w="20" w:type="dxa"/>
            <w:shd w:val="clear" w:color="auto" w:fill="auto"/>
            <w:vAlign w:val="bottom"/>
          </w:tcPr>
          <w:p w14:paraId="0B2FB09E" w14:textId="77777777" w:rsidR="007F1775" w:rsidRDefault="007F1775">
            <w:pPr>
              <w:rPr>
                <w:rFonts w:ascii="宋体"/>
              </w:rPr>
            </w:pPr>
          </w:p>
        </w:tc>
        <w:tc>
          <w:tcPr>
            <w:tcW w:w="560" w:type="dxa"/>
            <w:shd w:val="clear" w:color="auto" w:fill="auto"/>
            <w:vAlign w:val="bottom"/>
          </w:tcPr>
          <w:p w14:paraId="0B2FB09F" w14:textId="77777777" w:rsidR="007F1775" w:rsidRDefault="007F1775">
            <w:pPr>
              <w:rPr>
                <w:rFonts w:ascii="宋体"/>
              </w:rPr>
            </w:pPr>
          </w:p>
        </w:tc>
        <w:tc>
          <w:tcPr>
            <w:tcW w:w="20" w:type="dxa"/>
            <w:shd w:val="clear" w:color="auto" w:fill="auto"/>
            <w:vAlign w:val="bottom"/>
          </w:tcPr>
          <w:p w14:paraId="0B2FB0A0" w14:textId="77777777" w:rsidR="007F1775" w:rsidRDefault="007F1775">
            <w:pPr>
              <w:rPr>
                <w:rFonts w:ascii="宋体"/>
              </w:rPr>
            </w:pPr>
          </w:p>
        </w:tc>
        <w:tc>
          <w:tcPr>
            <w:tcW w:w="20" w:type="dxa"/>
            <w:shd w:val="clear" w:color="auto" w:fill="auto"/>
            <w:vAlign w:val="bottom"/>
          </w:tcPr>
          <w:p w14:paraId="0B2FB0A1" w14:textId="77777777" w:rsidR="007F1775" w:rsidRDefault="007F1775">
            <w:pPr>
              <w:rPr>
                <w:rFonts w:ascii="宋体"/>
              </w:rPr>
            </w:pPr>
          </w:p>
        </w:tc>
        <w:tc>
          <w:tcPr>
            <w:tcW w:w="545" w:type="dxa"/>
            <w:shd w:val="clear" w:color="auto" w:fill="auto"/>
            <w:vAlign w:val="bottom"/>
          </w:tcPr>
          <w:p w14:paraId="0B2FB0A2" w14:textId="77777777" w:rsidR="007F1775" w:rsidRDefault="007F1775">
            <w:pPr>
              <w:rPr>
                <w:rFonts w:ascii="宋体"/>
              </w:rPr>
            </w:pPr>
          </w:p>
        </w:tc>
        <w:tc>
          <w:tcPr>
            <w:tcW w:w="20" w:type="dxa"/>
            <w:shd w:val="clear" w:color="auto" w:fill="auto"/>
            <w:vAlign w:val="bottom"/>
          </w:tcPr>
          <w:p w14:paraId="0B2FB0A3" w14:textId="77777777" w:rsidR="007F1775" w:rsidRDefault="007F1775">
            <w:pPr>
              <w:rPr>
                <w:rFonts w:ascii="宋体"/>
              </w:rPr>
            </w:pPr>
          </w:p>
        </w:tc>
        <w:tc>
          <w:tcPr>
            <w:tcW w:w="20" w:type="dxa"/>
            <w:shd w:val="clear" w:color="auto" w:fill="auto"/>
            <w:vAlign w:val="bottom"/>
          </w:tcPr>
          <w:p w14:paraId="0B2FB0A4" w14:textId="77777777" w:rsidR="007F1775" w:rsidRDefault="007F1775">
            <w:pPr>
              <w:rPr>
                <w:rFonts w:ascii="宋体"/>
              </w:rPr>
            </w:pPr>
          </w:p>
        </w:tc>
        <w:tc>
          <w:tcPr>
            <w:tcW w:w="545" w:type="dxa"/>
            <w:shd w:val="clear" w:color="auto" w:fill="auto"/>
            <w:vAlign w:val="bottom"/>
          </w:tcPr>
          <w:p w14:paraId="0B2FB0A5" w14:textId="77777777" w:rsidR="007F1775" w:rsidRDefault="007F1775">
            <w:pPr>
              <w:rPr>
                <w:rFonts w:ascii="宋体"/>
              </w:rPr>
            </w:pPr>
          </w:p>
        </w:tc>
        <w:tc>
          <w:tcPr>
            <w:tcW w:w="20" w:type="dxa"/>
            <w:shd w:val="clear" w:color="auto" w:fill="auto"/>
            <w:vAlign w:val="bottom"/>
          </w:tcPr>
          <w:p w14:paraId="0B2FB0A6" w14:textId="77777777" w:rsidR="007F1775" w:rsidRDefault="007F1775">
            <w:pPr>
              <w:rPr>
                <w:rFonts w:ascii="宋体"/>
              </w:rPr>
            </w:pPr>
          </w:p>
        </w:tc>
        <w:tc>
          <w:tcPr>
            <w:tcW w:w="20" w:type="dxa"/>
            <w:shd w:val="clear" w:color="auto" w:fill="auto"/>
            <w:vAlign w:val="bottom"/>
          </w:tcPr>
          <w:p w14:paraId="0B2FB0A7" w14:textId="77777777" w:rsidR="007F1775" w:rsidRDefault="007F1775">
            <w:pPr>
              <w:rPr>
                <w:rFonts w:ascii="宋体"/>
              </w:rPr>
            </w:pPr>
          </w:p>
        </w:tc>
        <w:tc>
          <w:tcPr>
            <w:tcW w:w="545" w:type="dxa"/>
            <w:shd w:val="clear" w:color="auto" w:fill="auto"/>
            <w:vAlign w:val="bottom"/>
          </w:tcPr>
          <w:p w14:paraId="0B2FB0A8" w14:textId="77777777" w:rsidR="007F1775" w:rsidRDefault="007F1775">
            <w:pPr>
              <w:rPr>
                <w:rFonts w:ascii="宋体"/>
              </w:rPr>
            </w:pPr>
          </w:p>
        </w:tc>
        <w:tc>
          <w:tcPr>
            <w:tcW w:w="20" w:type="dxa"/>
            <w:shd w:val="clear" w:color="auto" w:fill="auto"/>
            <w:vAlign w:val="bottom"/>
          </w:tcPr>
          <w:p w14:paraId="0B2FB0A9" w14:textId="77777777" w:rsidR="007F1775" w:rsidRDefault="007F1775">
            <w:pPr>
              <w:rPr>
                <w:rFonts w:ascii="宋体"/>
              </w:rPr>
            </w:pPr>
          </w:p>
        </w:tc>
        <w:tc>
          <w:tcPr>
            <w:tcW w:w="20" w:type="dxa"/>
            <w:shd w:val="clear" w:color="auto" w:fill="auto"/>
            <w:vAlign w:val="bottom"/>
          </w:tcPr>
          <w:p w14:paraId="0B2FB0AA" w14:textId="77777777" w:rsidR="007F1775" w:rsidRDefault="007F1775">
            <w:pPr>
              <w:rPr>
                <w:rFonts w:ascii="宋体"/>
              </w:rPr>
            </w:pPr>
          </w:p>
        </w:tc>
        <w:tc>
          <w:tcPr>
            <w:tcW w:w="515" w:type="dxa"/>
            <w:shd w:val="clear" w:color="auto" w:fill="auto"/>
            <w:vAlign w:val="bottom"/>
          </w:tcPr>
          <w:p w14:paraId="0B2FB0AB" w14:textId="77777777" w:rsidR="007F1775" w:rsidRDefault="007F1775">
            <w:pPr>
              <w:rPr>
                <w:rFonts w:ascii="宋体"/>
              </w:rPr>
            </w:pPr>
          </w:p>
        </w:tc>
        <w:tc>
          <w:tcPr>
            <w:tcW w:w="20" w:type="dxa"/>
            <w:shd w:val="clear" w:color="auto" w:fill="auto"/>
            <w:vAlign w:val="bottom"/>
          </w:tcPr>
          <w:p w14:paraId="0B2FB0AC" w14:textId="77777777" w:rsidR="007F1775" w:rsidRDefault="007F1775">
            <w:pPr>
              <w:rPr>
                <w:rFonts w:ascii="宋体"/>
              </w:rPr>
            </w:pPr>
          </w:p>
        </w:tc>
      </w:tr>
      <w:tr w:rsidR="007F1775" w14:paraId="0B2FB0B8" w14:textId="77777777">
        <w:trPr>
          <w:trHeight w:val="220"/>
          <w:jc w:val="center"/>
        </w:trPr>
        <w:tc>
          <w:tcPr>
            <w:tcW w:w="0" w:type="auto"/>
            <w:gridSpan w:val="3"/>
            <w:shd w:val="clear" w:color="auto" w:fill="auto"/>
            <w:tcMar>
              <w:top w:w="40" w:type="dxa"/>
              <w:left w:w="20" w:type="dxa"/>
              <w:bottom w:w="40" w:type="dxa"/>
              <w:right w:w="20" w:type="dxa"/>
            </w:tcMar>
          </w:tcPr>
          <w:p w14:paraId="0B2FB0AE" w14:textId="77777777" w:rsidR="007F1775" w:rsidRDefault="000F083E">
            <w:pPr>
              <w:textAlignment w:val="top"/>
            </w:pPr>
            <w:r>
              <w:rPr>
                <w:rFonts w:ascii="sans-serif" w:eastAsia="宋体" w:hAnsi="sans-serif" w:cs="sans-serif"/>
                <w:color w:val="000000"/>
                <w:sz w:val="16"/>
                <w:szCs w:val="16"/>
              </w:rPr>
              <w:t>DAP/MAP:</w:t>
            </w:r>
          </w:p>
        </w:tc>
        <w:tc>
          <w:tcPr>
            <w:tcW w:w="0" w:type="auto"/>
            <w:gridSpan w:val="3"/>
            <w:shd w:val="clear" w:color="auto" w:fill="auto"/>
            <w:tcMar>
              <w:top w:w="40" w:type="dxa"/>
              <w:left w:w="20" w:type="dxa"/>
              <w:bottom w:w="40" w:type="dxa"/>
              <w:right w:w="20" w:type="dxa"/>
            </w:tcMar>
          </w:tcPr>
          <w:p w14:paraId="0B2FB0AF" w14:textId="77777777" w:rsidR="007F1775" w:rsidRDefault="000F083E">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B2FB0B0" w14:textId="77777777" w:rsidR="007F1775" w:rsidRDefault="000F083E">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B2FB0B1" w14:textId="77777777" w:rsidR="007F1775" w:rsidRDefault="000F083E">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B2FB0B2" w14:textId="77777777" w:rsidR="007F1775" w:rsidRDefault="000F083E">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B2FB0B3" w14:textId="77777777" w:rsidR="007F1775" w:rsidRDefault="000F083E">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B2FB0B4" w14:textId="77777777" w:rsidR="007F1775" w:rsidRDefault="000F083E">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B2FB0B5" w14:textId="77777777" w:rsidR="007F1775" w:rsidRDefault="000F083E">
            <w:pPr>
              <w:jc w:val="center"/>
              <w:textAlignment w:val="top"/>
            </w:pPr>
            <w:r>
              <w:rPr>
                <w:rFonts w:ascii="sans-serif" w:eastAsia="宋体" w:hAnsi="sans-serif" w:cs="sans-serif"/>
                <w:color w:val="000000"/>
                <w:sz w:val="16"/>
                <w:szCs w:val="16"/>
              </w:rPr>
              <w:t>78%</w:t>
            </w:r>
          </w:p>
        </w:tc>
        <w:tc>
          <w:tcPr>
            <w:tcW w:w="0" w:type="auto"/>
            <w:gridSpan w:val="3"/>
            <w:shd w:val="clear" w:color="auto" w:fill="auto"/>
            <w:tcMar>
              <w:top w:w="40" w:type="dxa"/>
              <w:left w:w="20" w:type="dxa"/>
              <w:bottom w:w="40" w:type="dxa"/>
              <w:right w:w="20" w:type="dxa"/>
            </w:tcMar>
          </w:tcPr>
          <w:p w14:paraId="0B2FB0B6" w14:textId="77777777" w:rsidR="007F1775" w:rsidRDefault="000F083E">
            <w:pPr>
              <w:jc w:val="center"/>
              <w:textAlignment w:val="top"/>
            </w:pPr>
            <w:r>
              <w:rPr>
                <w:rFonts w:ascii="sans-serif" w:eastAsia="宋体" w:hAnsi="sans-serif" w:cs="sans-serif"/>
                <w:color w:val="000000"/>
                <w:sz w:val="16"/>
                <w:szCs w:val="16"/>
              </w:rPr>
              <w:t>79%</w:t>
            </w:r>
          </w:p>
        </w:tc>
        <w:tc>
          <w:tcPr>
            <w:tcW w:w="0" w:type="auto"/>
            <w:gridSpan w:val="3"/>
            <w:shd w:val="clear" w:color="auto" w:fill="auto"/>
            <w:tcMar>
              <w:top w:w="40" w:type="dxa"/>
              <w:left w:w="20" w:type="dxa"/>
              <w:bottom w:w="40" w:type="dxa"/>
              <w:right w:w="20" w:type="dxa"/>
            </w:tcMar>
          </w:tcPr>
          <w:p w14:paraId="0B2FB0B7" w14:textId="77777777" w:rsidR="007F1775" w:rsidRDefault="000F083E">
            <w:pPr>
              <w:jc w:val="center"/>
              <w:textAlignment w:val="top"/>
            </w:pPr>
            <w:r>
              <w:rPr>
                <w:rFonts w:ascii="sans-serif" w:eastAsia="宋体" w:hAnsi="sans-serif" w:cs="sans-serif"/>
                <w:color w:val="000000"/>
                <w:sz w:val="16"/>
                <w:szCs w:val="16"/>
              </w:rPr>
              <w:t>79%</w:t>
            </w:r>
          </w:p>
        </w:tc>
      </w:tr>
    </w:tbl>
    <w:p w14:paraId="0B2FB0B9" w14:textId="77777777" w:rsidR="007F1775" w:rsidRDefault="007F1775">
      <w:pPr>
        <w:pBdr>
          <w:left w:val="none" w:sz="0" w:space="0" w:color="auto"/>
        </w:pBdr>
        <w:jc w:val="both"/>
      </w:pPr>
    </w:p>
    <w:p w14:paraId="0B2FB0BA" w14:textId="77777777" w:rsidR="007F1775" w:rsidRDefault="000F083E">
      <w:pPr>
        <w:pBdr>
          <w:left w:val="none" w:sz="0" w:space="0" w:color="auto"/>
        </w:pBdr>
        <w:jc w:val="both"/>
      </w:pPr>
      <w:r>
        <w:rPr>
          <w:rFonts w:ascii="Times New Roman" w:eastAsia="宋体" w:hAnsi="Times New Roman"/>
          <w:i/>
          <w:iCs/>
          <w:color w:val="000000"/>
          <w:sz w:val="16"/>
          <w:szCs w:val="16"/>
        </w:rPr>
        <w:t xml:space="preserve">Note: We report the numbers of DAP and MAP as specific amounts, but these numbers are estimates of the numbers of unique </w:t>
      </w:r>
      <w:r>
        <w:rPr>
          <w:rFonts w:ascii="Times New Roman" w:eastAsia="宋体" w:hAnsi="Times New Roman"/>
          <w:i/>
          <w:iCs/>
          <w:color w:val="000000"/>
          <w:sz w:val="16"/>
          <w:szCs w:val="16"/>
        </w:rPr>
        <w:t xml:space="preserve">people using our products and are subject to statistical variances and errors. While we expect the error margin for these estimates to vary from period to period, we estimate that such margin generally will be approximately 3% of our worldwide MAP. At our </w:t>
      </w:r>
      <w:r>
        <w:rPr>
          <w:rFonts w:ascii="Times New Roman" w:eastAsia="宋体" w:hAnsi="Times New Roman"/>
          <w:i/>
          <w:iCs/>
          <w:color w:val="000000"/>
          <w:sz w:val="16"/>
          <w:szCs w:val="16"/>
        </w:rPr>
        <w:t>scale, it is very difficult to attribute multiple user accounts within and across products to individual people, and it is possible that the actual numbers of unique people using our products may vary significantly from our estimates, potentially beyond ou</w:t>
      </w:r>
      <w:r>
        <w:rPr>
          <w:rFonts w:ascii="Times New Roman" w:eastAsia="宋体" w:hAnsi="Times New Roman"/>
          <w:i/>
          <w:iCs/>
          <w:color w:val="000000"/>
          <w:sz w:val="16"/>
          <w:szCs w:val="16"/>
        </w:rPr>
        <w:t>r estimated error margins. For additional information, see the section entitled "Limitations of Key Metrics and Other Data" in this Quarterly Report on Form 10-Q. In the second quarter of 2020, we updated our Family metrics calculations to reflect recent d</w:t>
      </w:r>
      <w:r>
        <w:rPr>
          <w:rFonts w:ascii="Times New Roman" w:eastAsia="宋体" w:hAnsi="Times New Roman"/>
          <w:i/>
          <w:iCs/>
          <w:color w:val="000000"/>
          <w:sz w:val="16"/>
          <w:szCs w:val="16"/>
        </w:rPr>
        <w:t>ata from a periodic WhatsApp user survey and to incorporate certain methodology improvements, and we estimate such updates contributed an aggregate of approximately 40 million DAP to our reported worldwide DAP in June 2020. In the first quarter of 2021, we</w:t>
      </w:r>
      <w:r>
        <w:rPr>
          <w:rFonts w:ascii="Times New Roman" w:eastAsia="宋体" w:hAnsi="Times New Roman"/>
          <w:i/>
          <w:iCs/>
          <w:color w:val="000000"/>
          <w:sz w:val="16"/>
          <w:szCs w:val="16"/>
        </w:rPr>
        <w:t xml:space="preserve"> updated our Family metrics calculations to maintain calibration of our models against recent user survey data, and we estimate such update contributed an aggregate of approximately 60 million DAP to our reported worldwide DAP in March 2021.</w:t>
      </w:r>
    </w:p>
    <w:p w14:paraId="0B2FB0BB" w14:textId="77777777" w:rsidR="007F1775" w:rsidRDefault="007F1775">
      <w:pPr>
        <w:ind w:firstLine="540"/>
        <w:jc w:val="both"/>
      </w:pPr>
    </w:p>
    <w:p w14:paraId="0B2FB0BC" w14:textId="77777777" w:rsidR="007F1775" w:rsidRDefault="000F083E">
      <w:pPr>
        <w:ind w:firstLine="540"/>
        <w:jc w:val="both"/>
      </w:pPr>
      <w:r>
        <w:rPr>
          <w:rFonts w:ascii="Times New Roman" w:eastAsia="宋体" w:hAnsi="Times New Roman"/>
          <w:color w:val="000000"/>
          <w:sz w:val="20"/>
          <w:szCs w:val="20"/>
        </w:rPr>
        <w:t>Worldwide DAP</w:t>
      </w:r>
      <w:r>
        <w:rPr>
          <w:rFonts w:ascii="Times New Roman" w:eastAsia="宋体" w:hAnsi="Times New Roman"/>
          <w:color w:val="000000"/>
          <w:sz w:val="20"/>
          <w:szCs w:val="20"/>
        </w:rPr>
        <w:t xml:space="preserve"> increased 6% to 2.87 billion on average during March 2022 from 2.72 billion during March 2021.</w:t>
      </w:r>
    </w:p>
    <w:p w14:paraId="0B2FB0BD" w14:textId="77777777" w:rsidR="007F1775" w:rsidRDefault="000F083E">
      <w:pPr>
        <w:jc w:val="center"/>
      </w:pPr>
      <w:r>
        <w:rPr>
          <w:rFonts w:ascii="Times New Roman" w:eastAsia="宋体" w:hAnsi="Times New Roman"/>
          <w:color w:val="000000"/>
          <w:sz w:val="20"/>
          <w:szCs w:val="20"/>
        </w:rPr>
        <w:t>30</w:t>
      </w:r>
    </w:p>
    <w:p w14:paraId="0B2FB0BE" w14:textId="77777777" w:rsidR="007F1775" w:rsidRDefault="000F083E">
      <w:r>
        <w:pict w14:anchorId="0B2FBF81">
          <v:rect id="_x0000_i1054" style="width:415.3pt;height:1.5pt" o:hralign="center" o:hrstd="t" o:hr="t" fillcolor="#a0a0a0" stroked="f"/>
        </w:pict>
      </w:r>
    </w:p>
    <w:p w14:paraId="0B2FB0BF" w14:textId="77777777" w:rsidR="007F1775" w:rsidRDefault="007F1775"/>
    <w:p w14:paraId="0B2FB0C0" w14:textId="77777777" w:rsidR="007F1775" w:rsidRDefault="007F1775"/>
    <w:p w14:paraId="0B2FB0C1" w14:textId="77777777" w:rsidR="007F1775" w:rsidRDefault="000F083E">
      <w:hyperlink r:id="rId108" w:anchor="iea70e328caa94cefb76a9db6ed6338fc_7" w:history="1">
        <w:r>
          <w:rPr>
            <w:rStyle w:val="a5"/>
            <w:rFonts w:ascii="Times New Roman" w:eastAsia="宋体" w:hAnsi="Times New Roman"/>
            <w:sz w:val="20"/>
            <w:szCs w:val="20"/>
          </w:rPr>
          <w:t>Tab</w:t>
        </w:r>
        <w:r>
          <w:rPr>
            <w:rStyle w:val="a5"/>
            <w:rFonts w:ascii="Times New Roman" w:eastAsia="宋体" w:hAnsi="Times New Roman"/>
            <w:sz w:val="20"/>
            <w:szCs w:val="20"/>
          </w:rPr>
          <w:t>le of Contents</w:t>
        </w:r>
      </w:hyperlink>
    </w:p>
    <w:p w14:paraId="0B2FB0C2" w14:textId="77777777" w:rsidR="007F1775" w:rsidRDefault="007F1775">
      <w:pPr>
        <w:jc w:val="both"/>
      </w:pPr>
    </w:p>
    <w:p w14:paraId="0B2FB0C3" w14:textId="77777777" w:rsidR="007F1775" w:rsidRDefault="000F083E">
      <w:pPr>
        <w:pBdr>
          <w:left w:val="none" w:sz="0" w:space="0" w:color="auto"/>
        </w:pBdr>
        <w:ind w:hanging="360"/>
        <w:jc w:val="both"/>
      </w:pPr>
      <w:r>
        <w:rPr>
          <w:rFonts w:ascii="Times New Roman" w:eastAsia="宋体" w:hAnsi="Times New Roman"/>
          <w:b/>
          <w:bCs/>
          <w:i/>
          <w:iCs/>
          <w:color w:val="000000"/>
          <w:sz w:val="20"/>
          <w:szCs w:val="20"/>
        </w:rPr>
        <w:t>•Monthly Active People (MAP).</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We define a monthly active person as a registered and logged-in user of one or more Family products who visited at least one of these Family products through a mobile device application or using a web or </w:t>
      </w:r>
      <w:r>
        <w:rPr>
          <w:rFonts w:ascii="Times New Roman" w:eastAsia="宋体" w:hAnsi="Times New Roman"/>
          <w:color w:val="000000"/>
          <w:sz w:val="20"/>
          <w:szCs w:val="20"/>
        </w:rPr>
        <w:t>mobile browser in the last 30 days as of the date of measurement. We do not require people to use a common identifier or link their accounts to use multiple products in our Family, and therefore must seek to attribute multiple user accounts within and acro</w:t>
      </w:r>
      <w:r>
        <w:rPr>
          <w:rFonts w:ascii="Times New Roman" w:eastAsia="宋体" w:hAnsi="Times New Roman"/>
          <w:color w:val="000000"/>
          <w:sz w:val="20"/>
          <w:szCs w:val="20"/>
        </w:rPr>
        <w:t>ss products to individual people. Our calculations of MAP rely upon complex techniques, algorithms, and machine learning models that seek to estimate the underlying number of unique people using one or more of these products, including by matching user acc</w:t>
      </w:r>
      <w:r>
        <w:rPr>
          <w:rFonts w:ascii="Times New Roman" w:eastAsia="宋体" w:hAnsi="Times New Roman"/>
          <w:color w:val="000000"/>
          <w:sz w:val="20"/>
          <w:szCs w:val="20"/>
        </w:rPr>
        <w:t>ounts within an individual product and across multiple products when we believe they are attributable to a single person, and counting such group of accounts as one person. As these techniques and models require significant judgment, are developed based on</w:t>
      </w:r>
      <w:r>
        <w:rPr>
          <w:rFonts w:ascii="Times New Roman" w:eastAsia="宋体" w:hAnsi="Times New Roman"/>
          <w:color w:val="000000"/>
          <w:sz w:val="20"/>
          <w:szCs w:val="20"/>
        </w:rPr>
        <w:t xml:space="preserve"> internal reviews of limited samples of user accounts, and are calibrated against user survey data, there is necessarily some margin of error in our estimates. We view MAP as a measure of the size of our global active community of people using our products</w:t>
      </w:r>
      <w:r>
        <w:rPr>
          <w:rFonts w:ascii="Times New Roman" w:eastAsia="宋体" w:hAnsi="Times New Roman"/>
          <w:color w:val="000000"/>
          <w:sz w:val="20"/>
          <w:szCs w:val="20"/>
        </w:rPr>
        <w:t>. For additional information, see the section entitled "Limitations of Key Metrics and Other Data" in this Quarterly Report on Form 10-Q.</w:t>
      </w:r>
    </w:p>
    <w:p w14:paraId="0B2FB0C4" w14:textId="77777777" w:rsidR="007F1775" w:rsidRDefault="000F083E">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Viewer3_files/meta-2022</w:instrText>
      </w:r>
      <w:r>
        <w:rPr>
          <w:rFonts w:ascii="宋体" w:eastAsia="宋体" w:hAnsi="宋体" w:cs="宋体"/>
        </w:rPr>
        <w:instrText xml:space="preserve">0331_g3.jpg"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82" wp14:editId="0B2FBF83">
            <wp:extent cx="304800" cy="304800"/>
            <wp:effectExtent l="0" t="0" r="0" b="0"/>
            <wp:docPr id="36" name="图片 6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6"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B2FB0C5" w14:textId="77777777" w:rsidR="007F1775" w:rsidRDefault="000F083E">
      <w:pPr>
        <w:pBdr>
          <w:left w:val="none" w:sz="0" w:space="0" w:color="auto"/>
        </w:pBdr>
        <w:spacing w:before="180"/>
        <w:jc w:val="both"/>
      </w:pPr>
      <w:r>
        <w:rPr>
          <w:rFonts w:ascii="Times New Roman" w:eastAsia="宋体" w:hAnsi="Times New Roman"/>
          <w:i/>
          <w:iCs/>
          <w:color w:val="000000"/>
          <w:sz w:val="16"/>
          <w:szCs w:val="16"/>
        </w:rPr>
        <w:t>Note: We report the numbers of DAP and MAP as specific amounts, but these numbers are estimates of the numbers of unique people using our products and are subject to statistical variances and errors. While we expect the</w:t>
      </w:r>
      <w:r>
        <w:rPr>
          <w:rFonts w:ascii="Times New Roman" w:eastAsia="宋体" w:hAnsi="Times New Roman"/>
          <w:i/>
          <w:iCs/>
          <w:color w:val="000000"/>
          <w:sz w:val="16"/>
          <w:szCs w:val="16"/>
        </w:rPr>
        <w:t xml:space="preserve"> error margin for these estimates to vary from period to period, we estimate that such margin generally will be approximately 3% of our worldwide MAP. At our scale, it is very difficult to attribute multiple user accounts within and across products to indi</w:t>
      </w:r>
      <w:r>
        <w:rPr>
          <w:rFonts w:ascii="Times New Roman" w:eastAsia="宋体" w:hAnsi="Times New Roman"/>
          <w:i/>
          <w:iCs/>
          <w:color w:val="000000"/>
          <w:sz w:val="16"/>
          <w:szCs w:val="16"/>
        </w:rPr>
        <w:t>vidual people, and it is possible that the actual numbers of unique people using our products may vary significantly from our estimates, potentially beyond our estimated error margins. For additional information, see the section entitled "Limitations of Ke</w:t>
      </w:r>
      <w:r>
        <w:rPr>
          <w:rFonts w:ascii="Times New Roman" w:eastAsia="宋体" w:hAnsi="Times New Roman"/>
          <w:i/>
          <w:iCs/>
          <w:color w:val="000000"/>
          <w:sz w:val="16"/>
          <w:szCs w:val="16"/>
        </w:rPr>
        <w:t xml:space="preserve">y Metrics and Other Data" in this Quarterly Report on Form 10-Q. In the second quarter of 2020, we updated our Family metrics calculations to reflect recent data from a periodic WhatsApp user survey and to incorporate certain methodology improvements, and </w:t>
      </w:r>
      <w:r>
        <w:rPr>
          <w:rFonts w:ascii="Times New Roman" w:eastAsia="宋体" w:hAnsi="Times New Roman"/>
          <w:i/>
          <w:iCs/>
          <w:color w:val="000000"/>
          <w:sz w:val="16"/>
          <w:szCs w:val="16"/>
        </w:rPr>
        <w:t>we estimate such updates contributed an aggregate of approximately 50 million MAP to our reported worldwide MAP in June 2020. In the first quarter of 2021, we updated our Family metrics calculations to maintain calibration of our models against recent user</w:t>
      </w:r>
      <w:r>
        <w:rPr>
          <w:rFonts w:ascii="Times New Roman" w:eastAsia="宋体" w:hAnsi="Times New Roman"/>
          <w:i/>
          <w:iCs/>
          <w:color w:val="000000"/>
          <w:sz w:val="16"/>
          <w:szCs w:val="16"/>
        </w:rPr>
        <w:t xml:space="preserve"> survey data, and we estimate such update contributed an aggregate of approximately 70 million MAP to our reported worldwide MAP in March 2021.</w:t>
      </w:r>
    </w:p>
    <w:p w14:paraId="0B2FB0C6" w14:textId="77777777" w:rsidR="007F1775" w:rsidRDefault="007F1775">
      <w:pPr>
        <w:ind w:firstLine="540"/>
        <w:jc w:val="both"/>
      </w:pPr>
    </w:p>
    <w:p w14:paraId="0B2FB0C7" w14:textId="77777777" w:rsidR="007F1775" w:rsidRDefault="000F083E">
      <w:pPr>
        <w:ind w:firstLine="540"/>
        <w:jc w:val="both"/>
      </w:pPr>
      <w:r>
        <w:rPr>
          <w:rFonts w:ascii="Times New Roman" w:eastAsia="宋体" w:hAnsi="Times New Roman"/>
          <w:color w:val="000000"/>
          <w:sz w:val="20"/>
          <w:szCs w:val="20"/>
        </w:rPr>
        <w:t>As of March 31, 2022, we had 3.64 billion MAP, an increase of 6% from 3.45 billion as of March 31, 2021.</w:t>
      </w:r>
    </w:p>
    <w:p w14:paraId="0B2FB0C8" w14:textId="77777777" w:rsidR="007F1775" w:rsidRDefault="000F083E">
      <w:pPr>
        <w:jc w:val="center"/>
      </w:pPr>
      <w:r>
        <w:rPr>
          <w:rFonts w:ascii="Times New Roman" w:eastAsia="宋体" w:hAnsi="Times New Roman"/>
          <w:color w:val="000000"/>
          <w:sz w:val="20"/>
          <w:szCs w:val="20"/>
        </w:rPr>
        <w:t>31</w:t>
      </w:r>
    </w:p>
    <w:p w14:paraId="0B2FB0C9" w14:textId="77777777" w:rsidR="007F1775" w:rsidRDefault="000F083E">
      <w:r>
        <w:pict w14:anchorId="0B2FBF84">
          <v:rect id="_x0000_i1055" style="width:415.3pt;height:1.5pt" o:hralign="center" o:hrstd="t" o:hr="t" fillcolor="#a0a0a0" stroked="f"/>
        </w:pict>
      </w:r>
    </w:p>
    <w:p w14:paraId="0B2FB0CA" w14:textId="77777777" w:rsidR="007F1775" w:rsidRDefault="007F1775"/>
    <w:p w14:paraId="0B2FB0CB" w14:textId="77777777" w:rsidR="007F1775" w:rsidRDefault="007F1775"/>
    <w:p w14:paraId="0B2FB0CC" w14:textId="77777777" w:rsidR="007F1775" w:rsidRDefault="000F083E">
      <w:hyperlink r:id="rId109" w:anchor="iea70e328caa94cefb76a9db6ed6338fc_7" w:history="1">
        <w:r>
          <w:rPr>
            <w:rStyle w:val="a5"/>
            <w:rFonts w:ascii="Times New Roman" w:eastAsia="宋体" w:hAnsi="Times New Roman"/>
            <w:sz w:val="20"/>
            <w:szCs w:val="20"/>
          </w:rPr>
          <w:t>Table of Contents</w:t>
        </w:r>
      </w:hyperlink>
    </w:p>
    <w:p w14:paraId="0B2FB0CD" w14:textId="77777777" w:rsidR="007F1775" w:rsidRDefault="007F1775">
      <w:pPr>
        <w:jc w:val="both"/>
      </w:pPr>
    </w:p>
    <w:p w14:paraId="0B2FB0CE" w14:textId="77777777" w:rsidR="007F1775" w:rsidRDefault="000F083E">
      <w:pPr>
        <w:pBdr>
          <w:left w:val="none" w:sz="0" w:space="0" w:color="auto"/>
        </w:pBdr>
        <w:ind w:hanging="360"/>
        <w:jc w:val="both"/>
      </w:pPr>
      <w:r>
        <w:rPr>
          <w:rFonts w:ascii="Times New Roman" w:eastAsia="宋体" w:hAnsi="Times New Roman"/>
          <w:b/>
          <w:bCs/>
          <w:i/>
          <w:iCs/>
          <w:color w:val="000000"/>
          <w:sz w:val="20"/>
          <w:szCs w:val="20"/>
        </w:rPr>
        <w:t xml:space="preserve">•Average Revenue Per Person (ARPP). </w:t>
      </w:r>
      <w:r>
        <w:rPr>
          <w:rFonts w:ascii="Times New Roman" w:eastAsia="宋体" w:hAnsi="Times New Roman"/>
          <w:color w:val="000000"/>
          <w:sz w:val="20"/>
          <w:szCs w:val="20"/>
        </w:rPr>
        <w:t xml:space="preserve">We define ARPP as our total revenue </w:t>
      </w:r>
      <w:r>
        <w:rPr>
          <w:rFonts w:ascii="Times New Roman" w:eastAsia="宋体" w:hAnsi="Times New Roman"/>
          <w:color w:val="000000"/>
          <w:sz w:val="20"/>
          <w:szCs w:val="20"/>
        </w:rPr>
        <w:t>during a given quarter, divided by the average of the number of MAP at the beginning and end of the quarter. While ARPP includes all sources of revenue, the number of MAP used in this calculation only includes users of our Family products as described in t</w:t>
      </w:r>
      <w:r>
        <w:rPr>
          <w:rFonts w:ascii="Times New Roman" w:eastAsia="宋体" w:hAnsi="Times New Roman"/>
          <w:color w:val="000000"/>
          <w:sz w:val="20"/>
          <w:szCs w:val="20"/>
        </w:rPr>
        <w:t>he definition of MAP above. We estimate that the share of revenue from users who are not also MAP was not material.</w:t>
      </w:r>
    </w:p>
    <w:p w14:paraId="0B2FB0CF" w14:textId="77777777" w:rsidR="007F1775" w:rsidRDefault="000F083E">
      <w:pPr>
        <w:spacing w:before="180"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Viewer3_files/meta-20220331_g4.jpg" \* MERGEF</w:instrText>
      </w:r>
      <w:r>
        <w:rPr>
          <w:rFonts w:ascii="宋体" w:eastAsia="宋体" w:hAnsi="宋体" w:cs="宋体"/>
        </w:rPr>
        <w:instrText xml:space="preserve">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85" wp14:editId="0B2FBF86">
            <wp:extent cx="304800" cy="304800"/>
            <wp:effectExtent l="0" t="0" r="0" b="0"/>
            <wp:docPr id="37" name="图片 68"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8"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7050" w:type="dxa"/>
        <w:jc w:val="center"/>
        <w:tblCellMar>
          <w:top w:w="15" w:type="dxa"/>
          <w:left w:w="15" w:type="dxa"/>
          <w:bottom w:w="15" w:type="dxa"/>
          <w:right w:w="15" w:type="dxa"/>
        </w:tblCellMar>
        <w:tblLook w:val="04A0" w:firstRow="1" w:lastRow="0" w:firstColumn="1" w:lastColumn="0" w:noHBand="0" w:noVBand="1"/>
      </w:tblPr>
      <w:tblGrid>
        <w:gridCol w:w="37"/>
        <w:gridCol w:w="634"/>
        <w:gridCol w:w="37"/>
        <w:gridCol w:w="36"/>
        <w:gridCol w:w="630"/>
        <w:gridCol w:w="36"/>
        <w:gridCol w:w="36"/>
        <w:gridCol w:w="642"/>
        <w:gridCol w:w="36"/>
        <w:gridCol w:w="36"/>
        <w:gridCol w:w="630"/>
        <w:gridCol w:w="36"/>
        <w:gridCol w:w="36"/>
        <w:gridCol w:w="630"/>
        <w:gridCol w:w="36"/>
        <w:gridCol w:w="36"/>
        <w:gridCol w:w="642"/>
        <w:gridCol w:w="36"/>
        <w:gridCol w:w="36"/>
        <w:gridCol w:w="630"/>
        <w:gridCol w:w="36"/>
        <w:gridCol w:w="36"/>
        <w:gridCol w:w="630"/>
        <w:gridCol w:w="36"/>
        <w:gridCol w:w="36"/>
        <w:gridCol w:w="630"/>
        <w:gridCol w:w="36"/>
        <w:gridCol w:w="36"/>
        <w:gridCol w:w="630"/>
        <w:gridCol w:w="36"/>
      </w:tblGrid>
      <w:tr w:rsidR="007F1775" w14:paraId="0B2FB0EE" w14:textId="77777777">
        <w:trPr>
          <w:jc w:val="center"/>
        </w:trPr>
        <w:tc>
          <w:tcPr>
            <w:tcW w:w="20" w:type="dxa"/>
            <w:shd w:val="clear" w:color="auto" w:fill="auto"/>
            <w:vAlign w:val="bottom"/>
          </w:tcPr>
          <w:p w14:paraId="0B2FB0D0" w14:textId="77777777" w:rsidR="007F1775" w:rsidRDefault="007F1775">
            <w:pPr>
              <w:rPr>
                <w:rFonts w:ascii="宋体"/>
              </w:rPr>
            </w:pPr>
          </w:p>
        </w:tc>
        <w:tc>
          <w:tcPr>
            <w:tcW w:w="665" w:type="dxa"/>
            <w:shd w:val="clear" w:color="auto" w:fill="auto"/>
            <w:vAlign w:val="bottom"/>
          </w:tcPr>
          <w:p w14:paraId="0B2FB0D1" w14:textId="77777777" w:rsidR="007F1775" w:rsidRDefault="007F1775">
            <w:pPr>
              <w:rPr>
                <w:rFonts w:ascii="宋体"/>
              </w:rPr>
            </w:pPr>
          </w:p>
        </w:tc>
        <w:tc>
          <w:tcPr>
            <w:tcW w:w="20" w:type="dxa"/>
            <w:shd w:val="clear" w:color="auto" w:fill="auto"/>
            <w:vAlign w:val="bottom"/>
          </w:tcPr>
          <w:p w14:paraId="0B2FB0D2" w14:textId="77777777" w:rsidR="007F1775" w:rsidRDefault="007F1775">
            <w:pPr>
              <w:rPr>
                <w:rFonts w:ascii="宋体"/>
              </w:rPr>
            </w:pPr>
          </w:p>
        </w:tc>
        <w:tc>
          <w:tcPr>
            <w:tcW w:w="20" w:type="dxa"/>
            <w:shd w:val="clear" w:color="auto" w:fill="auto"/>
            <w:vAlign w:val="bottom"/>
          </w:tcPr>
          <w:p w14:paraId="0B2FB0D3" w14:textId="77777777" w:rsidR="007F1775" w:rsidRDefault="007F1775">
            <w:pPr>
              <w:rPr>
                <w:rFonts w:ascii="宋体"/>
              </w:rPr>
            </w:pPr>
          </w:p>
        </w:tc>
        <w:tc>
          <w:tcPr>
            <w:tcW w:w="665" w:type="dxa"/>
            <w:shd w:val="clear" w:color="auto" w:fill="auto"/>
            <w:vAlign w:val="bottom"/>
          </w:tcPr>
          <w:p w14:paraId="0B2FB0D4" w14:textId="77777777" w:rsidR="007F1775" w:rsidRDefault="007F1775">
            <w:pPr>
              <w:rPr>
                <w:rFonts w:ascii="宋体"/>
              </w:rPr>
            </w:pPr>
          </w:p>
        </w:tc>
        <w:tc>
          <w:tcPr>
            <w:tcW w:w="20" w:type="dxa"/>
            <w:shd w:val="clear" w:color="auto" w:fill="auto"/>
            <w:vAlign w:val="bottom"/>
          </w:tcPr>
          <w:p w14:paraId="0B2FB0D5" w14:textId="77777777" w:rsidR="007F1775" w:rsidRDefault="007F1775">
            <w:pPr>
              <w:rPr>
                <w:rFonts w:ascii="宋体"/>
              </w:rPr>
            </w:pPr>
          </w:p>
        </w:tc>
        <w:tc>
          <w:tcPr>
            <w:tcW w:w="20" w:type="dxa"/>
            <w:shd w:val="clear" w:color="auto" w:fill="auto"/>
            <w:vAlign w:val="bottom"/>
          </w:tcPr>
          <w:p w14:paraId="0B2FB0D6" w14:textId="77777777" w:rsidR="007F1775" w:rsidRDefault="007F1775">
            <w:pPr>
              <w:rPr>
                <w:rFonts w:ascii="宋体"/>
              </w:rPr>
            </w:pPr>
          </w:p>
        </w:tc>
        <w:tc>
          <w:tcPr>
            <w:tcW w:w="665" w:type="dxa"/>
            <w:shd w:val="clear" w:color="auto" w:fill="auto"/>
            <w:vAlign w:val="bottom"/>
          </w:tcPr>
          <w:p w14:paraId="0B2FB0D7" w14:textId="77777777" w:rsidR="007F1775" w:rsidRDefault="007F1775">
            <w:pPr>
              <w:rPr>
                <w:rFonts w:ascii="宋体"/>
              </w:rPr>
            </w:pPr>
          </w:p>
        </w:tc>
        <w:tc>
          <w:tcPr>
            <w:tcW w:w="20" w:type="dxa"/>
            <w:shd w:val="clear" w:color="auto" w:fill="auto"/>
            <w:vAlign w:val="bottom"/>
          </w:tcPr>
          <w:p w14:paraId="0B2FB0D8" w14:textId="77777777" w:rsidR="007F1775" w:rsidRDefault="007F1775">
            <w:pPr>
              <w:rPr>
                <w:rFonts w:ascii="宋体"/>
              </w:rPr>
            </w:pPr>
          </w:p>
        </w:tc>
        <w:tc>
          <w:tcPr>
            <w:tcW w:w="20" w:type="dxa"/>
            <w:shd w:val="clear" w:color="auto" w:fill="auto"/>
            <w:vAlign w:val="bottom"/>
          </w:tcPr>
          <w:p w14:paraId="0B2FB0D9" w14:textId="77777777" w:rsidR="007F1775" w:rsidRDefault="007F1775">
            <w:pPr>
              <w:rPr>
                <w:rFonts w:ascii="宋体"/>
              </w:rPr>
            </w:pPr>
          </w:p>
        </w:tc>
        <w:tc>
          <w:tcPr>
            <w:tcW w:w="665" w:type="dxa"/>
            <w:shd w:val="clear" w:color="auto" w:fill="auto"/>
            <w:vAlign w:val="bottom"/>
          </w:tcPr>
          <w:p w14:paraId="0B2FB0DA" w14:textId="77777777" w:rsidR="007F1775" w:rsidRDefault="007F1775">
            <w:pPr>
              <w:rPr>
                <w:rFonts w:ascii="宋体"/>
              </w:rPr>
            </w:pPr>
          </w:p>
        </w:tc>
        <w:tc>
          <w:tcPr>
            <w:tcW w:w="20" w:type="dxa"/>
            <w:shd w:val="clear" w:color="auto" w:fill="auto"/>
            <w:vAlign w:val="bottom"/>
          </w:tcPr>
          <w:p w14:paraId="0B2FB0DB" w14:textId="77777777" w:rsidR="007F1775" w:rsidRDefault="007F1775">
            <w:pPr>
              <w:rPr>
                <w:rFonts w:ascii="宋体"/>
              </w:rPr>
            </w:pPr>
          </w:p>
        </w:tc>
        <w:tc>
          <w:tcPr>
            <w:tcW w:w="20" w:type="dxa"/>
            <w:shd w:val="clear" w:color="auto" w:fill="auto"/>
            <w:vAlign w:val="bottom"/>
          </w:tcPr>
          <w:p w14:paraId="0B2FB0DC" w14:textId="77777777" w:rsidR="007F1775" w:rsidRDefault="007F1775">
            <w:pPr>
              <w:rPr>
                <w:rFonts w:ascii="宋体"/>
              </w:rPr>
            </w:pPr>
          </w:p>
        </w:tc>
        <w:tc>
          <w:tcPr>
            <w:tcW w:w="665" w:type="dxa"/>
            <w:shd w:val="clear" w:color="auto" w:fill="auto"/>
            <w:vAlign w:val="bottom"/>
          </w:tcPr>
          <w:p w14:paraId="0B2FB0DD" w14:textId="77777777" w:rsidR="007F1775" w:rsidRDefault="007F1775">
            <w:pPr>
              <w:rPr>
                <w:rFonts w:ascii="宋体"/>
              </w:rPr>
            </w:pPr>
          </w:p>
        </w:tc>
        <w:tc>
          <w:tcPr>
            <w:tcW w:w="20" w:type="dxa"/>
            <w:shd w:val="clear" w:color="auto" w:fill="auto"/>
            <w:vAlign w:val="bottom"/>
          </w:tcPr>
          <w:p w14:paraId="0B2FB0DE" w14:textId="77777777" w:rsidR="007F1775" w:rsidRDefault="007F1775">
            <w:pPr>
              <w:rPr>
                <w:rFonts w:ascii="宋体"/>
              </w:rPr>
            </w:pPr>
          </w:p>
        </w:tc>
        <w:tc>
          <w:tcPr>
            <w:tcW w:w="20" w:type="dxa"/>
            <w:shd w:val="clear" w:color="auto" w:fill="auto"/>
            <w:vAlign w:val="bottom"/>
          </w:tcPr>
          <w:p w14:paraId="0B2FB0DF" w14:textId="77777777" w:rsidR="007F1775" w:rsidRDefault="007F1775">
            <w:pPr>
              <w:rPr>
                <w:rFonts w:ascii="宋体"/>
              </w:rPr>
            </w:pPr>
          </w:p>
        </w:tc>
        <w:tc>
          <w:tcPr>
            <w:tcW w:w="665" w:type="dxa"/>
            <w:shd w:val="clear" w:color="auto" w:fill="auto"/>
            <w:vAlign w:val="bottom"/>
          </w:tcPr>
          <w:p w14:paraId="0B2FB0E0" w14:textId="77777777" w:rsidR="007F1775" w:rsidRDefault="007F1775">
            <w:pPr>
              <w:rPr>
                <w:rFonts w:ascii="宋体"/>
              </w:rPr>
            </w:pPr>
          </w:p>
        </w:tc>
        <w:tc>
          <w:tcPr>
            <w:tcW w:w="20" w:type="dxa"/>
            <w:shd w:val="clear" w:color="auto" w:fill="auto"/>
            <w:vAlign w:val="bottom"/>
          </w:tcPr>
          <w:p w14:paraId="0B2FB0E1" w14:textId="77777777" w:rsidR="007F1775" w:rsidRDefault="007F1775">
            <w:pPr>
              <w:rPr>
                <w:rFonts w:ascii="宋体"/>
              </w:rPr>
            </w:pPr>
          </w:p>
        </w:tc>
        <w:tc>
          <w:tcPr>
            <w:tcW w:w="20" w:type="dxa"/>
            <w:shd w:val="clear" w:color="auto" w:fill="auto"/>
            <w:vAlign w:val="bottom"/>
          </w:tcPr>
          <w:p w14:paraId="0B2FB0E2" w14:textId="77777777" w:rsidR="007F1775" w:rsidRDefault="007F1775">
            <w:pPr>
              <w:rPr>
                <w:rFonts w:ascii="宋体"/>
              </w:rPr>
            </w:pPr>
          </w:p>
        </w:tc>
        <w:tc>
          <w:tcPr>
            <w:tcW w:w="665" w:type="dxa"/>
            <w:shd w:val="clear" w:color="auto" w:fill="auto"/>
            <w:vAlign w:val="bottom"/>
          </w:tcPr>
          <w:p w14:paraId="0B2FB0E3" w14:textId="77777777" w:rsidR="007F1775" w:rsidRDefault="007F1775">
            <w:pPr>
              <w:rPr>
                <w:rFonts w:ascii="宋体"/>
              </w:rPr>
            </w:pPr>
          </w:p>
        </w:tc>
        <w:tc>
          <w:tcPr>
            <w:tcW w:w="20" w:type="dxa"/>
            <w:shd w:val="clear" w:color="auto" w:fill="auto"/>
            <w:vAlign w:val="bottom"/>
          </w:tcPr>
          <w:p w14:paraId="0B2FB0E4" w14:textId="77777777" w:rsidR="007F1775" w:rsidRDefault="007F1775">
            <w:pPr>
              <w:rPr>
                <w:rFonts w:ascii="宋体"/>
              </w:rPr>
            </w:pPr>
          </w:p>
        </w:tc>
        <w:tc>
          <w:tcPr>
            <w:tcW w:w="20" w:type="dxa"/>
            <w:shd w:val="clear" w:color="auto" w:fill="auto"/>
            <w:vAlign w:val="bottom"/>
          </w:tcPr>
          <w:p w14:paraId="0B2FB0E5" w14:textId="77777777" w:rsidR="007F1775" w:rsidRDefault="007F1775">
            <w:pPr>
              <w:rPr>
                <w:rFonts w:ascii="宋体"/>
              </w:rPr>
            </w:pPr>
          </w:p>
        </w:tc>
        <w:tc>
          <w:tcPr>
            <w:tcW w:w="665" w:type="dxa"/>
            <w:shd w:val="clear" w:color="auto" w:fill="auto"/>
            <w:vAlign w:val="bottom"/>
          </w:tcPr>
          <w:p w14:paraId="0B2FB0E6" w14:textId="77777777" w:rsidR="007F1775" w:rsidRDefault="007F1775">
            <w:pPr>
              <w:rPr>
                <w:rFonts w:ascii="宋体"/>
              </w:rPr>
            </w:pPr>
          </w:p>
        </w:tc>
        <w:tc>
          <w:tcPr>
            <w:tcW w:w="20" w:type="dxa"/>
            <w:shd w:val="clear" w:color="auto" w:fill="auto"/>
            <w:vAlign w:val="bottom"/>
          </w:tcPr>
          <w:p w14:paraId="0B2FB0E7" w14:textId="77777777" w:rsidR="007F1775" w:rsidRDefault="007F1775">
            <w:pPr>
              <w:rPr>
                <w:rFonts w:ascii="宋体"/>
              </w:rPr>
            </w:pPr>
          </w:p>
        </w:tc>
        <w:tc>
          <w:tcPr>
            <w:tcW w:w="20" w:type="dxa"/>
            <w:shd w:val="clear" w:color="auto" w:fill="auto"/>
            <w:vAlign w:val="bottom"/>
          </w:tcPr>
          <w:p w14:paraId="0B2FB0E8" w14:textId="77777777" w:rsidR="007F1775" w:rsidRDefault="007F1775">
            <w:pPr>
              <w:rPr>
                <w:rFonts w:ascii="宋体"/>
              </w:rPr>
            </w:pPr>
          </w:p>
        </w:tc>
        <w:tc>
          <w:tcPr>
            <w:tcW w:w="665" w:type="dxa"/>
            <w:shd w:val="clear" w:color="auto" w:fill="auto"/>
            <w:vAlign w:val="bottom"/>
          </w:tcPr>
          <w:p w14:paraId="0B2FB0E9" w14:textId="77777777" w:rsidR="007F1775" w:rsidRDefault="007F1775">
            <w:pPr>
              <w:rPr>
                <w:rFonts w:ascii="宋体"/>
              </w:rPr>
            </w:pPr>
          </w:p>
        </w:tc>
        <w:tc>
          <w:tcPr>
            <w:tcW w:w="20" w:type="dxa"/>
            <w:shd w:val="clear" w:color="auto" w:fill="auto"/>
            <w:vAlign w:val="bottom"/>
          </w:tcPr>
          <w:p w14:paraId="0B2FB0EA" w14:textId="77777777" w:rsidR="007F1775" w:rsidRDefault="007F1775">
            <w:pPr>
              <w:rPr>
                <w:rFonts w:ascii="宋体"/>
              </w:rPr>
            </w:pPr>
          </w:p>
        </w:tc>
        <w:tc>
          <w:tcPr>
            <w:tcW w:w="20" w:type="dxa"/>
            <w:shd w:val="clear" w:color="auto" w:fill="auto"/>
            <w:vAlign w:val="bottom"/>
          </w:tcPr>
          <w:p w14:paraId="0B2FB0EB" w14:textId="77777777" w:rsidR="007F1775" w:rsidRDefault="007F1775">
            <w:pPr>
              <w:rPr>
                <w:rFonts w:ascii="宋体"/>
              </w:rPr>
            </w:pPr>
          </w:p>
        </w:tc>
        <w:tc>
          <w:tcPr>
            <w:tcW w:w="665" w:type="dxa"/>
            <w:shd w:val="clear" w:color="auto" w:fill="auto"/>
            <w:vAlign w:val="bottom"/>
          </w:tcPr>
          <w:p w14:paraId="0B2FB0EC" w14:textId="77777777" w:rsidR="007F1775" w:rsidRDefault="007F1775">
            <w:pPr>
              <w:rPr>
                <w:rFonts w:ascii="宋体"/>
              </w:rPr>
            </w:pPr>
          </w:p>
        </w:tc>
        <w:tc>
          <w:tcPr>
            <w:tcW w:w="20" w:type="dxa"/>
            <w:shd w:val="clear" w:color="auto" w:fill="auto"/>
            <w:vAlign w:val="bottom"/>
          </w:tcPr>
          <w:p w14:paraId="0B2FB0ED" w14:textId="77777777" w:rsidR="007F1775" w:rsidRDefault="007F1775">
            <w:pPr>
              <w:rPr>
                <w:rFonts w:ascii="宋体"/>
              </w:rPr>
            </w:pPr>
          </w:p>
        </w:tc>
      </w:tr>
      <w:tr w:rsidR="007F1775" w14:paraId="0B2FB0F9" w14:textId="77777777">
        <w:trPr>
          <w:trHeight w:val="300"/>
          <w:jc w:val="center"/>
        </w:trPr>
        <w:tc>
          <w:tcPr>
            <w:tcW w:w="0" w:type="auto"/>
            <w:gridSpan w:val="3"/>
            <w:shd w:val="clear" w:color="auto" w:fill="auto"/>
            <w:tcMar>
              <w:top w:w="40" w:type="dxa"/>
              <w:left w:w="20" w:type="dxa"/>
              <w:bottom w:w="40" w:type="dxa"/>
              <w:right w:w="20" w:type="dxa"/>
            </w:tcMar>
          </w:tcPr>
          <w:p w14:paraId="0B2FB0EF" w14:textId="77777777" w:rsidR="007F1775" w:rsidRDefault="000F083E">
            <w:pPr>
              <w:jc w:val="right"/>
              <w:textAlignment w:val="top"/>
            </w:pPr>
            <w:r>
              <w:rPr>
                <w:rFonts w:ascii="sans-serif" w:eastAsia="宋体" w:hAnsi="sans-serif" w:cs="sans-serif"/>
                <w:color w:val="000000"/>
                <w:sz w:val="16"/>
                <w:szCs w:val="16"/>
              </w:rPr>
              <w:t>ARPP:</w:t>
            </w:r>
          </w:p>
        </w:tc>
        <w:tc>
          <w:tcPr>
            <w:tcW w:w="0" w:type="auto"/>
            <w:gridSpan w:val="3"/>
            <w:shd w:val="clear" w:color="auto" w:fill="auto"/>
            <w:tcMar>
              <w:top w:w="40" w:type="dxa"/>
              <w:left w:w="20" w:type="dxa"/>
              <w:bottom w:w="40" w:type="dxa"/>
              <w:right w:w="20" w:type="dxa"/>
            </w:tcMar>
          </w:tcPr>
          <w:p w14:paraId="0B2FB0F0" w14:textId="77777777" w:rsidR="007F1775" w:rsidRDefault="000F083E">
            <w:pPr>
              <w:jc w:val="center"/>
              <w:textAlignment w:val="top"/>
            </w:pPr>
            <w:r>
              <w:rPr>
                <w:rFonts w:ascii="sans-serif" w:eastAsia="宋体" w:hAnsi="sans-serif" w:cs="sans-serif"/>
                <w:color w:val="000000"/>
                <w:sz w:val="16"/>
                <w:szCs w:val="16"/>
              </w:rPr>
              <w:t>$6.03</w:t>
            </w:r>
          </w:p>
        </w:tc>
        <w:tc>
          <w:tcPr>
            <w:tcW w:w="0" w:type="auto"/>
            <w:gridSpan w:val="3"/>
            <w:shd w:val="clear" w:color="auto" w:fill="auto"/>
            <w:tcMar>
              <w:top w:w="40" w:type="dxa"/>
              <w:left w:w="20" w:type="dxa"/>
              <w:bottom w:w="40" w:type="dxa"/>
              <w:right w:w="20" w:type="dxa"/>
            </w:tcMar>
          </w:tcPr>
          <w:p w14:paraId="0B2FB0F1" w14:textId="77777777" w:rsidR="007F1775" w:rsidRDefault="000F083E">
            <w:pPr>
              <w:jc w:val="center"/>
              <w:textAlignment w:val="top"/>
            </w:pPr>
            <w:r>
              <w:rPr>
                <w:rFonts w:ascii="sans-serif" w:eastAsia="宋体" w:hAnsi="sans-serif" w:cs="sans-serif"/>
                <w:color w:val="000000"/>
                <w:sz w:val="16"/>
                <w:szCs w:val="16"/>
              </w:rPr>
              <w:t>$6.10</w:t>
            </w:r>
          </w:p>
        </w:tc>
        <w:tc>
          <w:tcPr>
            <w:tcW w:w="0" w:type="auto"/>
            <w:gridSpan w:val="3"/>
            <w:shd w:val="clear" w:color="auto" w:fill="auto"/>
            <w:tcMar>
              <w:top w:w="40" w:type="dxa"/>
              <w:left w:w="20" w:type="dxa"/>
              <w:bottom w:w="40" w:type="dxa"/>
              <w:right w:w="20" w:type="dxa"/>
            </w:tcMar>
          </w:tcPr>
          <w:p w14:paraId="0B2FB0F2" w14:textId="77777777" w:rsidR="007F1775" w:rsidRDefault="000F083E">
            <w:pPr>
              <w:jc w:val="center"/>
              <w:textAlignment w:val="top"/>
            </w:pPr>
            <w:r>
              <w:rPr>
                <w:rFonts w:ascii="sans-serif" w:eastAsia="宋体" w:hAnsi="sans-serif" w:cs="sans-serif"/>
                <w:color w:val="000000"/>
                <w:sz w:val="16"/>
                <w:szCs w:val="16"/>
              </w:rPr>
              <w:t>$6.76</w:t>
            </w:r>
          </w:p>
        </w:tc>
        <w:tc>
          <w:tcPr>
            <w:tcW w:w="0" w:type="auto"/>
            <w:gridSpan w:val="3"/>
            <w:shd w:val="clear" w:color="auto" w:fill="auto"/>
            <w:tcMar>
              <w:top w:w="40" w:type="dxa"/>
              <w:left w:w="20" w:type="dxa"/>
              <w:bottom w:w="40" w:type="dxa"/>
              <w:right w:w="20" w:type="dxa"/>
            </w:tcMar>
          </w:tcPr>
          <w:p w14:paraId="0B2FB0F3" w14:textId="77777777" w:rsidR="007F1775" w:rsidRDefault="000F083E">
            <w:pPr>
              <w:jc w:val="center"/>
              <w:textAlignment w:val="top"/>
            </w:pPr>
            <w:r>
              <w:rPr>
                <w:rFonts w:ascii="sans-serif" w:eastAsia="宋体" w:hAnsi="sans-serif" w:cs="sans-serif"/>
                <w:color w:val="000000"/>
                <w:sz w:val="16"/>
                <w:szCs w:val="16"/>
              </w:rPr>
              <w:t>$8.62</w:t>
            </w:r>
          </w:p>
        </w:tc>
        <w:tc>
          <w:tcPr>
            <w:tcW w:w="0" w:type="auto"/>
            <w:gridSpan w:val="3"/>
            <w:shd w:val="clear" w:color="auto" w:fill="auto"/>
            <w:tcMar>
              <w:top w:w="40" w:type="dxa"/>
              <w:left w:w="20" w:type="dxa"/>
              <w:bottom w:w="40" w:type="dxa"/>
              <w:right w:w="20" w:type="dxa"/>
            </w:tcMar>
          </w:tcPr>
          <w:p w14:paraId="0B2FB0F4" w14:textId="77777777" w:rsidR="007F1775" w:rsidRDefault="000F083E">
            <w:pPr>
              <w:jc w:val="center"/>
              <w:textAlignment w:val="top"/>
            </w:pPr>
            <w:r>
              <w:rPr>
                <w:rFonts w:ascii="sans-serif" w:eastAsia="宋体" w:hAnsi="sans-serif" w:cs="sans-serif"/>
                <w:color w:val="000000"/>
                <w:sz w:val="16"/>
                <w:szCs w:val="16"/>
              </w:rPr>
              <w:t>$7.75</w:t>
            </w:r>
          </w:p>
        </w:tc>
        <w:tc>
          <w:tcPr>
            <w:tcW w:w="0" w:type="auto"/>
            <w:gridSpan w:val="3"/>
            <w:shd w:val="clear" w:color="auto" w:fill="auto"/>
            <w:tcMar>
              <w:top w:w="40" w:type="dxa"/>
              <w:left w:w="20" w:type="dxa"/>
              <w:bottom w:w="40" w:type="dxa"/>
              <w:right w:w="20" w:type="dxa"/>
            </w:tcMar>
          </w:tcPr>
          <w:p w14:paraId="0B2FB0F5" w14:textId="77777777" w:rsidR="007F1775" w:rsidRDefault="000F083E">
            <w:pPr>
              <w:jc w:val="center"/>
              <w:textAlignment w:val="top"/>
            </w:pPr>
            <w:r>
              <w:rPr>
                <w:rFonts w:ascii="sans-serif" w:eastAsia="宋体" w:hAnsi="sans-serif" w:cs="sans-serif"/>
                <w:color w:val="000000"/>
                <w:sz w:val="16"/>
                <w:szCs w:val="16"/>
              </w:rPr>
              <w:t>$8.36</w:t>
            </w:r>
          </w:p>
        </w:tc>
        <w:tc>
          <w:tcPr>
            <w:tcW w:w="0" w:type="auto"/>
            <w:gridSpan w:val="3"/>
            <w:shd w:val="clear" w:color="auto" w:fill="auto"/>
            <w:tcMar>
              <w:top w:w="40" w:type="dxa"/>
              <w:left w:w="20" w:type="dxa"/>
              <w:bottom w:w="40" w:type="dxa"/>
              <w:right w:w="20" w:type="dxa"/>
            </w:tcMar>
          </w:tcPr>
          <w:p w14:paraId="0B2FB0F6" w14:textId="77777777" w:rsidR="007F1775" w:rsidRDefault="000F083E">
            <w:pPr>
              <w:jc w:val="center"/>
              <w:textAlignment w:val="top"/>
            </w:pPr>
            <w:r>
              <w:rPr>
                <w:rFonts w:ascii="sans-serif" w:eastAsia="宋体" w:hAnsi="sans-serif" w:cs="sans-serif"/>
                <w:color w:val="000000"/>
                <w:sz w:val="16"/>
                <w:szCs w:val="16"/>
              </w:rPr>
              <w:t>$8.18</w:t>
            </w:r>
          </w:p>
        </w:tc>
        <w:tc>
          <w:tcPr>
            <w:tcW w:w="0" w:type="auto"/>
            <w:gridSpan w:val="3"/>
            <w:shd w:val="clear" w:color="auto" w:fill="auto"/>
            <w:tcMar>
              <w:top w:w="40" w:type="dxa"/>
              <w:left w:w="20" w:type="dxa"/>
              <w:bottom w:w="40" w:type="dxa"/>
              <w:right w:w="20" w:type="dxa"/>
            </w:tcMar>
          </w:tcPr>
          <w:p w14:paraId="0B2FB0F7" w14:textId="77777777" w:rsidR="007F1775" w:rsidRDefault="000F083E">
            <w:pPr>
              <w:jc w:val="center"/>
              <w:textAlignment w:val="top"/>
            </w:pPr>
            <w:r>
              <w:rPr>
                <w:rFonts w:ascii="sans-serif" w:eastAsia="宋体" w:hAnsi="sans-serif" w:cs="sans-serif"/>
                <w:color w:val="000000"/>
                <w:sz w:val="16"/>
                <w:szCs w:val="16"/>
              </w:rPr>
              <w:t>$9.39</w:t>
            </w:r>
          </w:p>
        </w:tc>
        <w:tc>
          <w:tcPr>
            <w:tcW w:w="0" w:type="auto"/>
            <w:gridSpan w:val="3"/>
            <w:shd w:val="clear" w:color="auto" w:fill="auto"/>
            <w:tcMar>
              <w:top w:w="40" w:type="dxa"/>
              <w:left w:w="20" w:type="dxa"/>
              <w:bottom w:w="40" w:type="dxa"/>
              <w:right w:w="20" w:type="dxa"/>
            </w:tcMar>
          </w:tcPr>
          <w:p w14:paraId="0B2FB0F8" w14:textId="77777777" w:rsidR="007F1775" w:rsidRDefault="000F083E">
            <w:pPr>
              <w:jc w:val="center"/>
              <w:textAlignment w:val="top"/>
            </w:pPr>
            <w:r>
              <w:rPr>
                <w:rFonts w:ascii="sans-serif" w:eastAsia="宋体" w:hAnsi="sans-serif" w:cs="sans-serif"/>
                <w:color w:val="000000"/>
                <w:sz w:val="16"/>
                <w:szCs w:val="16"/>
              </w:rPr>
              <w:t>$7.72</w:t>
            </w:r>
          </w:p>
        </w:tc>
      </w:tr>
      <w:tr w:rsidR="007F1775" w14:paraId="0B2FB104" w14:textId="77777777">
        <w:trPr>
          <w:trHeight w:val="100"/>
          <w:jc w:val="center"/>
        </w:trPr>
        <w:tc>
          <w:tcPr>
            <w:tcW w:w="0" w:type="auto"/>
            <w:gridSpan w:val="3"/>
            <w:shd w:val="clear" w:color="auto" w:fill="auto"/>
            <w:tcMar>
              <w:top w:w="0" w:type="dxa"/>
              <w:left w:w="20" w:type="dxa"/>
              <w:bottom w:w="0" w:type="dxa"/>
              <w:right w:w="20" w:type="dxa"/>
            </w:tcMar>
            <w:vAlign w:val="bottom"/>
          </w:tcPr>
          <w:p w14:paraId="0B2FB0F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0F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0F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0F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0F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0F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10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10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10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103" w14:textId="77777777" w:rsidR="007F1775" w:rsidRDefault="007F1775">
            <w:pPr>
              <w:rPr>
                <w:rFonts w:ascii="宋体"/>
              </w:rPr>
            </w:pPr>
          </w:p>
        </w:tc>
      </w:tr>
      <w:tr w:rsidR="007F1775" w14:paraId="0B2FB10D" w14:textId="77777777">
        <w:trPr>
          <w:trHeight w:val="360"/>
          <w:jc w:val="center"/>
        </w:trPr>
        <w:tc>
          <w:tcPr>
            <w:tcW w:w="0" w:type="auto"/>
            <w:gridSpan w:val="3"/>
            <w:shd w:val="clear" w:color="auto" w:fill="auto"/>
            <w:tcMar>
              <w:top w:w="0" w:type="dxa"/>
              <w:left w:w="20" w:type="dxa"/>
              <w:bottom w:w="0" w:type="dxa"/>
              <w:right w:w="20" w:type="dxa"/>
            </w:tcMar>
            <w:vAlign w:val="bottom"/>
          </w:tcPr>
          <w:p w14:paraId="0B2FB10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10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107" w14:textId="77777777" w:rsidR="007F1775" w:rsidRDefault="000F083E">
            <w:pPr>
              <w:pBdr>
                <w:top w:val="none" w:sz="0" w:space="0" w:color="auto"/>
                <w:left w:val="none" w:sz="0" w:space="0" w:color="auto"/>
                <w:bottom w:val="none" w:sz="0" w:space="0" w:color="auto"/>
                <w:right w:val="none" w:sz="0" w:space="0" w:color="auto"/>
              </w:pBd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87" wp14:editId="0B2FBF88">
                  <wp:extent cx="304800" cy="304800"/>
                  <wp:effectExtent l="0" t="0" r="0" b="0"/>
                  <wp:docPr id="51" name="图片 6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shd w:val="clear" w:color="auto" w:fill="auto"/>
            <w:tcMar>
              <w:top w:w="40" w:type="dxa"/>
              <w:left w:w="20" w:type="dxa"/>
              <w:bottom w:w="40" w:type="dxa"/>
              <w:right w:w="20" w:type="dxa"/>
            </w:tcMar>
            <w:vAlign w:val="center"/>
          </w:tcPr>
          <w:p w14:paraId="0B2FB108" w14:textId="77777777" w:rsidR="007F1775" w:rsidRDefault="000F083E">
            <w:pPr>
              <w:textAlignment w:val="center"/>
            </w:pPr>
            <w:r>
              <w:rPr>
                <w:rFonts w:ascii="Times New Roman" w:eastAsia="宋体" w:hAnsi="Times New Roman"/>
                <w:color w:val="000000"/>
                <w:sz w:val="16"/>
                <w:szCs w:val="16"/>
              </w:rPr>
              <w:t> Ad Revenue</w:t>
            </w:r>
          </w:p>
        </w:tc>
        <w:tc>
          <w:tcPr>
            <w:tcW w:w="0" w:type="auto"/>
            <w:gridSpan w:val="3"/>
            <w:shd w:val="clear" w:color="auto" w:fill="auto"/>
            <w:tcMar>
              <w:top w:w="0" w:type="dxa"/>
              <w:left w:w="20" w:type="dxa"/>
              <w:bottom w:w="0" w:type="dxa"/>
              <w:right w:w="20" w:type="dxa"/>
            </w:tcMar>
            <w:vAlign w:val="bottom"/>
          </w:tcPr>
          <w:p w14:paraId="0B2FB109" w14:textId="77777777" w:rsidR="007F1775" w:rsidRDefault="000F083E">
            <w:pPr>
              <w:pBdr>
                <w:top w:val="none" w:sz="0" w:space="0" w:color="auto"/>
                <w:left w:val="none" w:sz="0" w:space="0" w:color="auto"/>
                <w:bottom w:val="none" w:sz="0" w:space="0" w:color="auto"/>
                <w:right w:val="none" w:sz="0" w:space="0" w:color="auto"/>
              </w:pBd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w:instrText>
            </w:r>
            <w:r>
              <w:rPr>
                <w:rFonts w:ascii="宋体" w:eastAsia="宋体" w:hAnsi="宋体" w:cs="宋体"/>
              </w:rPr>
              <w:instrText xml:space="preserve"> XBRL Viewer3_files/meta-20220331_g6.jpg"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89" wp14:editId="0B2FBF8A">
                  <wp:extent cx="304800" cy="304800"/>
                  <wp:effectExtent l="0" t="0" r="0" b="0"/>
                  <wp:docPr id="42" name="图片 70"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0"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shd w:val="clear" w:color="auto" w:fill="auto"/>
            <w:tcMar>
              <w:top w:w="40" w:type="dxa"/>
              <w:left w:w="20" w:type="dxa"/>
              <w:bottom w:w="40" w:type="dxa"/>
              <w:right w:w="20" w:type="dxa"/>
            </w:tcMar>
            <w:vAlign w:val="center"/>
          </w:tcPr>
          <w:p w14:paraId="0B2FB10A" w14:textId="77777777" w:rsidR="007F1775" w:rsidRDefault="000F083E">
            <w:pPr>
              <w:textAlignment w:val="center"/>
            </w:pPr>
            <w:r>
              <w:rPr>
                <w:rFonts w:ascii="Times New Roman" w:eastAsia="宋体" w:hAnsi="Times New Roman"/>
                <w:color w:val="000000"/>
                <w:sz w:val="16"/>
                <w:szCs w:val="16"/>
              </w:rPr>
              <w:t>Non-Ad Revenue</w:t>
            </w:r>
          </w:p>
        </w:tc>
        <w:tc>
          <w:tcPr>
            <w:tcW w:w="0" w:type="auto"/>
            <w:gridSpan w:val="3"/>
            <w:shd w:val="clear" w:color="auto" w:fill="auto"/>
            <w:tcMar>
              <w:top w:w="0" w:type="dxa"/>
              <w:left w:w="20" w:type="dxa"/>
              <w:bottom w:w="0" w:type="dxa"/>
              <w:right w:w="20" w:type="dxa"/>
            </w:tcMar>
            <w:vAlign w:val="bottom"/>
          </w:tcPr>
          <w:p w14:paraId="0B2FB10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10C" w14:textId="77777777" w:rsidR="007F1775" w:rsidRDefault="007F1775">
            <w:pPr>
              <w:rPr>
                <w:rFonts w:ascii="宋体"/>
              </w:rPr>
            </w:pPr>
          </w:p>
        </w:tc>
      </w:tr>
    </w:tbl>
    <w:p w14:paraId="0B2FB10E" w14:textId="77777777" w:rsidR="007F1775" w:rsidRDefault="000F083E">
      <w:pPr>
        <w:pBdr>
          <w:left w:val="none" w:sz="0" w:space="0" w:color="auto"/>
        </w:pBdr>
        <w:jc w:val="both"/>
      </w:pPr>
      <w:r>
        <w:rPr>
          <w:rFonts w:ascii="Times New Roman" w:eastAsia="宋体" w:hAnsi="Times New Roman"/>
          <w:i/>
          <w:iCs/>
          <w:color w:val="000000"/>
          <w:sz w:val="16"/>
          <w:szCs w:val="16"/>
        </w:rPr>
        <w:t xml:space="preserve">Note: Non-advertising revenue includes RL revenue generated from the delivery of consumer hardware products and FoA Other revenue, which consists of net fees we </w:t>
      </w:r>
      <w:r>
        <w:rPr>
          <w:rFonts w:ascii="Times New Roman" w:eastAsia="宋体" w:hAnsi="Times New Roman"/>
          <w:i/>
          <w:iCs/>
          <w:color w:val="000000"/>
          <w:sz w:val="16"/>
          <w:szCs w:val="16"/>
        </w:rPr>
        <w:t>receive from developers using our Payments infrastructure and revenue from various other sources.</w:t>
      </w:r>
    </w:p>
    <w:p w14:paraId="0B2FB10F" w14:textId="77777777" w:rsidR="007F1775" w:rsidRDefault="007F1775">
      <w:pPr>
        <w:pBdr>
          <w:left w:val="none" w:sz="0" w:space="0" w:color="auto"/>
        </w:pBdr>
      </w:pPr>
    </w:p>
    <w:p w14:paraId="0B2FB110" w14:textId="77777777" w:rsidR="007F1775" w:rsidRDefault="000F083E">
      <w:pPr>
        <w:pBdr>
          <w:left w:val="none" w:sz="0" w:space="0" w:color="auto"/>
        </w:pBdr>
      </w:pPr>
      <w:r>
        <w:rPr>
          <w:rFonts w:ascii="Times New Roman" w:eastAsia="宋体" w:hAnsi="Times New Roman"/>
          <w:color w:val="000000"/>
          <w:sz w:val="20"/>
          <w:szCs w:val="20"/>
        </w:rPr>
        <w:t>During the first quarter of 2022, worldwide ARPP was $7.72, a slight decrease compared to the first quarter of 2021.</w:t>
      </w:r>
    </w:p>
    <w:p w14:paraId="0B2FB111" w14:textId="77777777" w:rsidR="007F1775" w:rsidRDefault="000F083E">
      <w:pPr>
        <w:jc w:val="center"/>
      </w:pPr>
      <w:r>
        <w:rPr>
          <w:rFonts w:ascii="Times New Roman" w:eastAsia="宋体" w:hAnsi="Times New Roman"/>
          <w:color w:val="000000"/>
          <w:sz w:val="20"/>
          <w:szCs w:val="20"/>
        </w:rPr>
        <w:t>32</w:t>
      </w:r>
    </w:p>
    <w:p w14:paraId="0B2FB112" w14:textId="77777777" w:rsidR="007F1775" w:rsidRDefault="000F083E">
      <w:r>
        <w:pict w14:anchorId="0B2FBF8B">
          <v:rect id="_x0000_i1056" style="width:415.3pt;height:1.5pt" o:hralign="center" o:hrstd="t" o:hr="t" fillcolor="#a0a0a0" stroked="f"/>
        </w:pict>
      </w:r>
    </w:p>
    <w:p w14:paraId="0B2FB113" w14:textId="77777777" w:rsidR="007F1775" w:rsidRDefault="007F1775"/>
    <w:p w14:paraId="0B2FB114" w14:textId="77777777" w:rsidR="007F1775" w:rsidRDefault="007F1775"/>
    <w:p w14:paraId="0B2FB115" w14:textId="77777777" w:rsidR="007F1775" w:rsidRDefault="000F083E">
      <w:hyperlink r:id="rId110" w:anchor="iea70e328caa94cefb76a9db6ed6338fc_7" w:history="1">
        <w:r>
          <w:rPr>
            <w:rStyle w:val="a5"/>
            <w:rFonts w:ascii="Times New Roman" w:eastAsia="宋体" w:hAnsi="Times New Roman"/>
            <w:sz w:val="20"/>
            <w:szCs w:val="20"/>
          </w:rPr>
          <w:t>Table of Contents</w:t>
        </w:r>
      </w:hyperlink>
    </w:p>
    <w:p w14:paraId="0B2FB116" w14:textId="77777777" w:rsidR="007F1775" w:rsidRDefault="000F083E">
      <w:r>
        <w:rPr>
          <w:rFonts w:ascii="Times New Roman" w:eastAsia="宋体" w:hAnsi="Times New Roman"/>
          <w:b/>
          <w:bCs/>
          <w:color w:val="000000"/>
          <w:sz w:val="20"/>
          <w:szCs w:val="20"/>
        </w:rPr>
        <w:t>Trends in Our Facebook User Metrics</w:t>
      </w:r>
    </w:p>
    <w:p w14:paraId="0B2FB117" w14:textId="77777777" w:rsidR="007F1775" w:rsidRDefault="007F1775">
      <w:pPr>
        <w:ind w:firstLine="540"/>
        <w:jc w:val="both"/>
      </w:pPr>
    </w:p>
    <w:p w14:paraId="0B2FB118" w14:textId="77777777" w:rsidR="007F1775" w:rsidRDefault="000F083E">
      <w:pPr>
        <w:ind w:firstLine="540"/>
        <w:jc w:val="both"/>
      </w:pPr>
      <w:r>
        <w:rPr>
          <w:rFonts w:ascii="Times New Roman" w:eastAsia="宋体" w:hAnsi="Times New Roman"/>
          <w:color w:val="000000"/>
          <w:sz w:val="20"/>
          <w:szCs w:val="20"/>
        </w:rPr>
        <w:t xml:space="preserve">The numbers for our key Facebook </w:t>
      </w:r>
      <w:r>
        <w:rPr>
          <w:rFonts w:ascii="Times New Roman" w:eastAsia="宋体" w:hAnsi="Times New Roman"/>
          <w:color w:val="000000"/>
          <w:sz w:val="20"/>
          <w:szCs w:val="20"/>
        </w:rPr>
        <w:t>metrics, our DAUs, MAUs, and average revenue per user (ARPU), do not include users on Instagram, WhatsApp, or our other products, unless they would otherwise qualify as DAUs or MAUs, respectively, based on their other activities on Facebook.</w:t>
      </w:r>
    </w:p>
    <w:p w14:paraId="0B2FB119" w14:textId="77777777" w:rsidR="007F1775" w:rsidRDefault="007F1775">
      <w:pPr>
        <w:ind w:firstLine="540"/>
        <w:jc w:val="both"/>
      </w:pPr>
    </w:p>
    <w:p w14:paraId="0B2FB11A" w14:textId="77777777" w:rsidR="007F1775" w:rsidRDefault="000F083E">
      <w:pPr>
        <w:ind w:firstLine="540"/>
        <w:jc w:val="both"/>
      </w:pPr>
      <w:r>
        <w:rPr>
          <w:rFonts w:ascii="Times New Roman" w:eastAsia="宋体" w:hAnsi="Times New Roman"/>
          <w:color w:val="000000"/>
          <w:sz w:val="20"/>
          <w:szCs w:val="20"/>
        </w:rPr>
        <w:t>Trends in the</w:t>
      </w:r>
      <w:r>
        <w:rPr>
          <w:rFonts w:ascii="Times New Roman" w:eastAsia="宋体" w:hAnsi="Times New Roman"/>
          <w:color w:val="000000"/>
          <w:sz w:val="20"/>
          <w:szCs w:val="20"/>
        </w:rPr>
        <w:t xml:space="preserve"> number of users affect our revenue and financial results by influencing the number of ads we are able to show, the value of our ads to marketers, the volume of Payments transactions, as well as our expenses and capital expenditures. Substantially all of o</w:t>
      </w:r>
      <w:r>
        <w:rPr>
          <w:rFonts w:ascii="Times New Roman" w:eastAsia="宋体" w:hAnsi="Times New Roman"/>
          <w:color w:val="000000"/>
          <w:sz w:val="20"/>
          <w:szCs w:val="20"/>
        </w:rPr>
        <w:t>ur daily and monthly active users (as defined below) access Facebook on mobile devices.</w:t>
      </w:r>
    </w:p>
    <w:p w14:paraId="0B2FB11B" w14:textId="77777777" w:rsidR="007F1775" w:rsidRDefault="007F1775">
      <w:pPr>
        <w:jc w:val="both"/>
      </w:pPr>
    </w:p>
    <w:p w14:paraId="0B2FB11C" w14:textId="77777777" w:rsidR="007F1775" w:rsidRDefault="000F083E">
      <w:pPr>
        <w:pBdr>
          <w:left w:val="none" w:sz="0" w:space="0" w:color="auto"/>
        </w:pBdr>
        <w:ind w:hanging="360"/>
        <w:jc w:val="both"/>
      </w:pPr>
      <w:r>
        <w:rPr>
          <w:rFonts w:ascii="Times New Roman" w:eastAsia="宋体" w:hAnsi="Times New Roman"/>
          <w:b/>
          <w:bCs/>
          <w:i/>
          <w:iCs/>
          <w:color w:val="000000"/>
          <w:sz w:val="20"/>
          <w:szCs w:val="20"/>
        </w:rPr>
        <w:t>•Daily Active Users (DAUs)</w:t>
      </w:r>
      <w:r>
        <w:rPr>
          <w:rFonts w:ascii="Times New Roman" w:eastAsia="宋体" w:hAnsi="Times New Roman"/>
          <w:color w:val="000000"/>
          <w:sz w:val="20"/>
          <w:szCs w:val="20"/>
        </w:rPr>
        <w:t>. We define a daily active user as a registered and logged-in Facebook user who visited Facebook through our website or a mobile device, or u</w:t>
      </w:r>
      <w:r>
        <w:rPr>
          <w:rFonts w:ascii="Times New Roman" w:eastAsia="宋体" w:hAnsi="Times New Roman"/>
          <w:color w:val="000000"/>
          <w:sz w:val="20"/>
          <w:szCs w:val="20"/>
        </w:rPr>
        <w:t>sed our Messenger application (and is also a registered Facebook user), on a given day. We view DAUs, and DAUs as a percentage of MAUs, as measures of user engagement on Facebook.</w:t>
      </w:r>
    </w:p>
    <w:p w14:paraId="0B2FB11D" w14:textId="77777777" w:rsidR="007F1775" w:rsidRDefault="007F1775">
      <w:pPr>
        <w:jc w:val="center"/>
      </w:pPr>
    </w:p>
    <w:p w14:paraId="0B2FB11E" w14:textId="77777777" w:rsidR="007F1775" w:rsidRDefault="007F1775">
      <w:pPr>
        <w:jc w:val="center"/>
      </w:pPr>
    </w:p>
    <w:p w14:paraId="0B2FB11F" w14:textId="77777777" w:rsidR="007F1775" w:rsidRDefault="000F083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w:instrText>
      </w:r>
      <w:r>
        <w:rPr>
          <w:rFonts w:ascii="宋体" w:eastAsia="宋体" w:hAnsi="宋体" w:cs="宋体"/>
        </w:rPr>
        <w:instrText xml:space="preserve">tforms/./Inline XBRL Viewer3_files/meta-20220331_g7.jpg"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8C" wp14:editId="0B2FBF8D">
            <wp:extent cx="304800" cy="304800"/>
            <wp:effectExtent l="0" t="0" r="0" b="0"/>
            <wp:docPr id="32" name="图片 7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2" descr="IMG_26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4950" w:type="dxa"/>
        <w:jc w:val="center"/>
        <w:tblCellMar>
          <w:top w:w="15" w:type="dxa"/>
          <w:left w:w="15" w:type="dxa"/>
          <w:bottom w:w="15" w:type="dxa"/>
          <w:right w:w="15" w:type="dxa"/>
        </w:tblCellMar>
        <w:tblLook w:val="04A0" w:firstRow="1" w:lastRow="0" w:firstColumn="1" w:lastColumn="0" w:noHBand="0" w:noVBand="1"/>
      </w:tblPr>
      <w:tblGrid>
        <w:gridCol w:w="36"/>
        <w:gridCol w:w="70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tblGrid>
      <w:tr w:rsidR="007F1775" w14:paraId="0B2FB13E" w14:textId="77777777">
        <w:trPr>
          <w:jc w:val="center"/>
        </w:trPr>
        <w:tc>
          <w:tcPr>
            <w:tcW w:w="20" w:type="dxa"/>
            <w:shd w:val="clear" w:color="auto" w:fill="auto"/>
            <w:vAlign w:val="bottom"/>
          </w:tcPr>
          <w:p w14:paraId="0B2FB120" w14:textId="77777777" w:rsidR="007F1775" w:rsidRDefault="007F1775">
            <w:pPr>
              <w:rPr>
                <w:rFonts w:ascii="宋体"/>
              </w:rPr>
            </w:pPr>
          </w:p>
        </w:tc>
        <w:tc>
          <w:tcPr>
            <w:tcW w:w="725" w:type="dxa"/>
            <w:shd w:val="clear" w:color="auto" w:fill="auto"/>
            <w:vAlign w:val="bottom"/>
          </w:tcPr>
          <w:p w14:paraId="0B2FB121" w14:textId="77777777" w:rsidR="007F1775" w:rsidRDefault="007F1775">
            <w:pPr>
              <w:rPr>
                <w:rFonts w:ascii="宋体"/>
              </w:rPr>
            </w:pPr>
          </w:p>
        </w:tc>
        <w:tc>
          <w:tcPr>
            <w:tcW w:w="20" w:type="dxa"/>
            <w:shd w:val="clear" w:color="auto" w:fill="auto"/>
            <w:vAlign w:val="bottom"/>
          </w:tcPr>
          <w:p w14:paraId="0B2FB122" w14:textId="77777777" w:rsidR="007F1775" w:rsidRDefault="007F1775">
            <w:pPr>
              <w:rPr>
                <w:rFonts w:ascii="宋体"/>
              </w:rPr>
            </w:pPr>
          </w:p>
        </w:tc>
        <w:tc>
          <w:tcPr>
            <w:tcW w:w="20" w:type="dxa"/>
            <w:shd w:val="clear" w:color="auto" w:fill="auto"/>
            <w:vAlign w:val="bottom"/>
          </w:tcPr>
          <w:p w14:paraId="0B2FB123" w14:textId="77777777" w:rsidR="007F1775" w:rsidRDefault="007F1775">
            <w:pPr>
              <w:rPr>
                <w:rFonts w:ascii="宋体"/>
              </w:rPr>
            </w:pPr>
          </w:p>
        </w:tc>
        <w:tc>
          <w:tcPr>
            <w:tcW w:w="425" w:type="dxa"/>
            <w:shd w:val="clear" w:color="auto" w:fill="auto"/>
            <w:vAlign w:val="bottom"/>
          </w:tcPr>
          <w:p w14:paraId="0B2FB124" w14:textId="77777777" w:rsidR="007F1775" w:rsidRDefault="007F1775">
            <w:pPr>
              <w:rPr>
                <w:rFonts w:ascii="宋体"/>
              </w:rPr>
            </w:pPr>
          </w:p>
        </w:tc>
        <w:tc>
          <w:tcPr>
            <w:tcW w:w="20" w:type="dxa"/>
            <w:shd w:val="clear" w:color="auto" w:fill="auto"/>
            <w:vAlign w:val="bottom"/>
          </w:tcPr>
          <w:p w14:paraId="0B2FB125" w14:textId="77777777" w:rsidR="007F1775" w:rsidRDefault="007F1775">
            <w:pPr>
              <w:rPr>
                <w:rFonts w:ascii="宋体"/>
              </w:rPr>
            </w:pPr>
          </w:p>
        </w:tc>
        <w:tc>
          <w:tcPr>
            <w:tcW w:w="20" w:type="dxa"/>
            <w:shd w:val="clear" w:color="auto" w:fill="auto"/>
            <w:vAlign w:val="bottom"/>
          </w:tcPr>
          <w:p w14:paraId="0B2FB126" w14:textId="77777777" w:rsidR="007F1775" w:rsidRDefault="007F1775">
            <w:pPr>
              <w:rPr>
                <w:rFonts w:ascii="宋体"/>
              </w:rPr>
            </w:pPr>
          </w:p>
        </w:tc>
        <w:tc>
          <w:tcPr>
            <w:tcW w:w="425" w:type="dxa"/>
            <w:shd w:val="clear" w:color="auto" w:fill="auto"/>
            <w:vAlign w:val="bottom"/>
          </w:tcPr>
          <w:p w14:paraId="0B2FB127" w14:textId="77777777" w:rsidR="007F1775" w:rsidRDefault="007F1775">
            <w:pPr>
              <w:rPr>
                <w:rFonts w:ascii="宋体"/>
              </w:rPr>
            </w:pPr>
          </w:p>
        </w:tc>
        <w:tc>
          <w:tcPr>
            <w:tcW w:w="20" w:type="dxa"/>
            <w:shd w:val="clear" w:color="auto" w:fill="auto"/>
            <w:vAlign w:val="bottom"/>
          </w:tcPr>
          <w:p w14:paraId="0B2FB128" w14:textId="77777777" w:rsidR="007F1775" w:rsidRDefault="007F1775">
            <w:pPr>
              <w:rPr>
                <w:rFonts w:ascii="宋体"/>
              </w:rPr>
            </w:pPr>
          </w:p>
        </w:tc>
        <w:tc>
          <w:tcPr>
            <w:tcW w:w="20" w:type="dxa"/>
            <w:shd w:val="clear" w:color="auto" w:fill="auto"/>
            <w:vAlign w:val="bottom"/>
          </w:tcPr>
          <w:p w14:paraId="0B2FB129" w14:textId="77777777" w:rsidR="007F1775" w:rsidRDefault="007F1775">
            <w:pPr>
              <w:rPr>
                <w:rFonts w:ascii="宋体"/>
              </w:rPr>
            </w:pPr>
          </w:p>
        </w:tc>
        <w:tc>
          <w:tcPr>
            <w:tcW w:w="425" w:type="dxa"/>
            <w:shd w:val="clear" w:color="auto" w:fill="auto"/>
            <w:vAlign w:val="bottom"/>
          </w:tcPr>
          <w:p w14:paraId="0B2FB12A" w14:textId="77777777" w:rsidR="007F1775" w:rsidRDefault="007F1775">
            <w:pPr>
              <w:rPr>
                <w:rFonts w:ascii="宋体"/>
              </w:rPr>
            </w:pPr>
          </w:p>
        </w:tc>
        <w:tc>
          <w:tcPr>
            <w:tcW w:w="20" w:type="dxa"/>
            <w:shd w:val="clear" w:color="auto" w:fill="auto"/>
            <w:vAlign w:val="bottom"/>
          </w:tcPr>
          <w:p w14:paraId="0B2FB12B" w14:textId="77777777" w:rsidR="007F1775" w:rsidRDefault="007F1775">
            <w:pPr>
              <w:rPr>
                <w:rFonts w:ascii="宋体"/>
              </w:rPr>
            </w:pPr>
          </w:p>
        </w:tc>
        <w:tc>
          <w:tcPr>
            <w:tcW w:w="20" w:type="dxa"/>
            <w:shd w:val="clear" w:color="auto" w:fill="auto"/>
            <w:vAlign w:val="bottom"/>
          </w:tcPr>
          <w:p w14:paraId="0B2FB12C" w14:textId="77777777" w:rsidR="007F1775" w:rsidRDefault="007F1775">
            <w:pPr>
              <w:rPr>
                <w:rFonts w:ascii="宋体"/>
              </w:rPr>
            </w:pPr>
          </w:p>
        </w:tc>
        <w:tc>
          <w:tcPr>
            <w:tcW w:w="425" w:type="dxa"/>
            <w:shd w:val="clear" w:color="auto" w:fill="auto"/>
            <w:vAlign w:val="bottom"/>
          </w:tcPr>
          <w:p w14:paraId="0B2FB12D" w14:textId="77777777" w:rsidR="007F1775" w:rsidRDefault="007F1775">
            <w:pPr>
              <w:rPr>
                <w:rFonts w:ascii="宋体"/>
              </w:rPr>
            </w:pPr>
          </w:p>
        </w:tc>
        <w:tc>
          <w:tcPr>
            <w:tcW w:w="20" w:type="dxa"/>
            <w:shd w:val="clear" w:color="auto" w:fill="auto"/>
            <w:vAlign w:val="bottom"/>
          </w:tcPr>
          <w:p w14:paraId="0B2FB12E" w14:textId="77777777" w:rsidR="007F1775" w:rsidRDefault="007F1775">
            <w:pPr>
              <w:rPr>
                <w:rFonts w:ascii="宋体"/>
              </w:rPr>
            </w:pPr>
          </w:p>
        </w:tc>
        <w:tc>
          <w:tcPr>
            <w:tcW w:w="20" w:type="dxa"/>
            <w:shd w:val="clear" w:color="auto" w:fill="auto"/>
            <w:vAlign w:val="bottom"/>
          </w:tcPr>
          <w:p w14:paraId="0B2FB12F" w14:textId="77777777" w:rsidR="007F1775" w:rsidRDefault="007F1775">
            <w:pPr>
              <w:rPr>
                <w:rFonts w:ascii="宋体"/>
              </w:rPr>
            </w:pPr>
          </w:p>
        </w:tc>
        <w:tc>
          <w:tcPr>
            <w:tcW w:w="425" w:type="dxa"/>
            <w:shd w:val="clear" w:color="auto" w:fill="auto"/>
            <w:vAlign w:val="bottom"/>
          </w:tcPr>
          <w:p w14:paraId="0B2FB130" w14:textId="77777777" w:rsidR="007F1775" w:rsidRDefault="007F1775">
            <w:pPr>
              <w:rPr>
                <w:rFonts w:ascii="宋体"/>
              </w:rPr>
            </w:pPr>
          </w:p>
        </w:tc>
        <w:tc>
          <w:tcPr>
            <w:tcW w:w="20" w:type="dxa"/>
            <w:shd w:val="clear" w:color="auto" w:fill="auto"/>
            <w:vAlign w:val="bottom"/>
          </w:tcPr>
          <w:p w14:paraId="0B2FB131" w14:textId="77777777" w:rsidR="007F1775" w:rsidRDefault="007F1775">
            <w:pPr>
              <w:rPr>
                <w:rFonts w:ascii="宋体"/>
              </w:rPr>
            </w:pPr>
          </w:p>
        </w:tc>
        <w:tc>
          <w:tcPr>
            <w:tcW w:w="20" w:type="dxa"/>
            <w:shd w:val="clear" w:color="auto" w:fill="auto"/>
            <w:vAlign w:val="bottom"/>
          </w:tcPr>
          <w:p w14:paraId="0B2FB132" w14:textId="77777777" w:rsidR="007F1775" w:rsidRDefault="007F1775">
            <w:pPr>
              <w:rPr>
                <w:rFonts w:ascii="宋体"/>
              </w:rPr>
            </w:pPr>
          </w:p>
        </w:tc>
        <w:tc>
          <w:tcPr>
            <w:tcW w:w="425" w:type="dxa"/>
            <w:shd w:val="clear" w:color="auto" w:fill="auto"/>
            <w:vAlign w:val="bottom"/>
          </w:tcPr>
          <w:p w14:paraId="0B2FB133" w14:textId="77777777" w:rsidR="007F1775" w:rsidRDefault="007F1775">
            <w:pPr>
              <w:rPr>
                <w:rFonts w:ascii="宋体"/>
              </w:rPr>
            </w:pPr>
          </w:p>
        </w:tc>
        <w:tc>
          <w:tcPr>
            <w:tcW w:w="20" w:type="dxa"/>
            <w:shd w:val="clear" w:color="auto" w:fill="auto"/>
            <w:vAlign w:val="bottom"/>
          </w:tcPr>
          <w:p w14:paraId="0B2FB134" w14:textId="77777777" w:rsidR="007F1775" w:rsidRDefault="007F1775">
            <w:pPr>
              <w:rPr>
                <w:rFonts w:ascii="宋体"/>
              </w:rPr>
            </w:pPr>
          </w:p>
        </w:tc>
        <w:tc>
          <w:tcPr>
            <w:tcW w:w="20" w:type="dxa"/>
            <w:shd w:val="clear" w:color="auto" w:fill="auto"/>
            <w:vAlign w:val="bottom"/>
          </w:tcPr>
          <w:p w14:paraId="0B2FB135" w14:textId="77777777" w:rsidR="007F1775" w:rsidRDefault="007F1775">
            <w:pPr>
              <w:rPr>
                <w:rFonts w:ascii="宋体"/>
              </w:rPr>
            </w:pPr>
          </w:p>
        </w:tc>
        <w:tc>
          <w:tcPr>
            <w:tcW w:w="425" w:type="dxa"/>
            <w:shd w:val="clear" w:color="auto" w:fill="auto"/>
            <w:vAlign w:val="bottom"/>
          </w:tcPr>
          <w:p w14:paraId="0B2FB136" w14:textId="77777777" w:rsidR="007F1775" w:rsidRDefault="007F1775">
            <w:pPr>
              <w:rPr>
                <w:rFonts w:ascii="宋体"/>
              </w:rPr>
            </w:pPr>
          </w:p>
        </w:tc>
        <w:tc>
          <w:tcPr>
            <w:tcW w:w="20" w:type="dxa"/>
            <w:shd w:val="clear" w:color="auto" w:fill="auto"/>
            <w:vAlign w:val="bottom"/>
          </w:tcPr>
          <w:p w14:paraId="0B2FB137" w14:textId="77777777" w:rsidR="007F1775" w:rsidRDefault="007F1775">
            <w:pPr>
              <w:rPr>
                <w:rFonts w:ascii="宋体"/>
              </w:rPr>
            </w:pPr>
          </w:p>
        </w:tc>
        <w:tc>
          <w:tcPr>
            <w:tcW w:w="20" w:type="dxa"/>
            <w:shd w:val="clear" w:color="auto" w:fill="auto"/>
            <w:vAlign w:val="bottom"/>
          </w:tcPr>
          <w:p w14:paraId="0B2FB138" w14:textId="77777777" w:rsidR="007F1775" w:rsidRDefault="007F1775">
            <w:pPr>
              <w:rPr>
                <w:rFonts w:ascii="宋体"/>
              </w:rPr>
            </w:pPr>
          </w:p>
        </w:tc>
        <w:tc>
          <w:tcPr>
            <w:tcW w:w="425" w:type="dxa"/>
            <w:shd w:val="clear" w:color="auto" w:fill="auto"/>
            <w:vAlign w:val="bottom"/>
          </w:tcPr>
          <w:p w14:paraId="0B2FB139" w14:textId="77777777" w:rsidR="007F1775" w:rsidRDefault="007F1775">
            <w:pPr>
              <w:rPr>
                <w:rFonts w:ascii="宋体"/>
              </w:rPr>
            </w:pPr>
          </w:p>
        </w:tc>
        <w:tc>
          <w:tcPr>
            <w:tcW w:w="20" w:type="dxa"/>
            <w:shd w:val="clear" w:color="auto" w:fill="auto"/>
            <w:vAlign w:val="bottom"/>
          </w:tcPr>
          <w:p w14:paraId="0B2FB13A" w14:textId="77777777" w:rsidR="007F1775" w:rsidRDefault="007F1775">
            <w:pPr>
              <w:rPr>
                <w:rFonts w:ascii="宋体"/>
              </w:rPr>
            </w:pPr>
          </w:p>
        </w:tc>
        <w:tc>
          <w:tcPr>
            <w:tcW w:w="20" w:type="dxa"/>
            <w:shd w:val="clear" w:color="auto" w:fill="auto"/>
            <w:vAlign w:val="bottom"/>
          </w:tcPr>
          <w:p w14:paraId="0B2FB13B" w14:textId="77777777" w:rsidR="007F1775" w:rsidRDefault="007F1775">
            <w:pPr>
              <w:rPr>
                <w:rFonts w:ascii="宋体"/>
              </w:rPr>
            </w:pPr>
          </w:p>
        </w:tc>
        <w:tc>
          <w:tcPr>
            <w:tcW w:w="425" w:type="dxa"/>
            <w:shd w:val="clear" w:color="auto" w:fill="auto"/>
            <w:vAlign w:val="bottom"/>
          </w:tcPr>
          <w:p w14:paraId="0B2FB13C" w14:textId="77777777" w:rsidR="007F1775" w:rsidRDefault="007F1775">
            <w:pPr>
              <w:rPr>
                <w:rFonts w:ascii="宋体"/>
              </w:rPr>
            </w:pPr>
          </w:p>
        </w:tc>
        <w:tc>
          <w:tcPr>
            <w:tcW w:w="20" w:type="dxa"/>
            <w:shd w:val="clear" w:color="auto" w:fill="auto"/>
            <w:vAlign w:val="bottom"/>
          </w:tcPr>
          <w:p w14:paraId="0B2FB13D" w14:textId="77777777" w:rsidR="007F1775" w:rsidRDefault="007F1775">
            <w:pPr>
              <w:rPr>
                <w:rFonts w:ascii="宋体"/>
              </w:rPr>
            </w:pPr>
          </w:p>
        </w:tc>
      </w:tr>
      <w:tr w:rsidR="007F1775" w14:paraId="0B2FB149" w14:textId="77777777">
        <w:trPr>
          <w:trHeight w:val="220"/>
          <w:jc w:val="center"/>
        </w:trPr>
        <w:tc>
          <w:tcPr>
            <w:tcW w:w="0" w:type="auto"/>
            <w:gridSpan w:val="3"/>
            <w:shd w:val="clear" w:color="auto" w:fill="auto"/>
            <w:tcMar>
              <w:top w:w="40" w:type="dxa"/>
              <w:left w:w="20" w:type="dxa"/>
              <w:bottom w:w="40" w:type="dxa"/>
              <w:right w:w="20" w:type="dxa"/>
            </w:tcMar>
          </w:tcPr>
          <w:p w14:paraId="0B2FB13F" w14:textId="77777777" w:rsidR="007F1775" w:rsidRDefault="000F083E">
            <w:pPr>
              <w:textAlignment w:val="top"/>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tcPr>
          <w:p w14:paraId="0B2FB140" w14:textId="77777777" w:rsidR="007F1775" w:rsidRDefault="000F083E">
            <w:pPr>
              <w:textAlignment w:val="top"/>
            </w:pPr>
            <w:r>
              <w:rPr>
                <w:rFonts w:ascii="sans-serif" w:eastAsia="宋体" w:hAnsi="sans-serif" w:cs="sans-serif"/>
                <w:color w:val="000000"/>
                <w:sz w:val="16"/>
                <w:szCs w:val="16"/>
              </w:rPr>
              <w:t>67%</w:t>
            </w:r>
          </w:p>
        </w:tc>
        <w:tc>
          <w:tcPr>
            <w:tcW w:w="0" w:type="auto"/>
            <w:gridSpan w:val="3"/>
            <w:shd w:val="clear" w:color="auto" w:fill="auto"/>
            <w:tcMar>
              <w:top w:w="40" w:type="dxa"/>
              <w:left w:w="20" w:type="dxa"/>
              <w:bottom w:w="40" w:type="dxa"/>
              <w:right w:w="20" w:type="dxa"/>
            </w:tcMar>
          </w:tcPr>
          <w:p w14:paraId="0B2FB141" w14:textId="77777777" w:rsidR="007F1775" w:rsidRDefault="000F083E">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B2FB142" w14:textId="77777777" w:rsidR="007F1775" w:rsidRDefault="000F083E">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B2FB143" w14:textId="77777777" w:rsidR="007F1775" w:rsidRDefault="000F083E">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B2FB144" w14:textId="77777777" w:rsidR="007F1775" w:rsidRDefault="000F083E">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B2FB145" w14:textId="77777777" w:rsidR="007F1775" w:rsidRDefault="000F083E">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B2FB146" w14:textId="77777777" w:rsidR="007F1775" w:rsidRDefault="000F083E">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B2FB147" w14:textId="77777777" w:rsidR="007F1775" w:rsidRDefault="000F083E">
            <w:pPr>
              <w:textAlignment w:val="top"/>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tcPr>
          <w:p w14:paraId="0B2FB148" w14:textId="77777777" w:rsidR="007F1775" w:rsidRDefault="000F083E">
            <w:pPr>
              <w:textAlignment w:val="top"/>
            </w:pPr>
            <w:r>
              <w:rPr>
                <w:rFonts w:ascii="sans-serif" w:eastAsia="宋体" w:hAnsi="sans-serif" w:cs="sans-serif"/>
                <w:color w:val="000000"/>
                <w:sz w:val="16"/>
                <w:szCs w:val="16"/>
              </w:rPr>
              <w:t>67%</w:t>
            </w:r>
          </w:p>
        </w:tc>
      </w:tr>
    </w:tbl>
    <w:p w14:paraId="0B2FB14A" w14:textId="77777777" w:rsidR="007F1775" w:rsidRDefault="000F083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8E" wp14:editId="0B2FBF8F">
            <wp:extent cx="304800" cy="304800"/>
            <wp:effectExtent l="0" t="0" r="0" b="0"/>
            <wp:docPr id="34" name="图片 7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3"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Viewer3</w:instrText>
      </w:r>
      <w:r>
        <w:rPr>
          <w:rFonts w:ascii="宋体" w:eastAsia="宋体" w:hAnsi="宋体" w:cs="宋体"/>
        </w:rPr>
        <w:instrText xml:space="preserve">_files/meta-20220331_g9.jpg"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90" wp14:editId="0B2FBF91">
            <wp:extent cx="304800" cy="304800"/>
            <wp:effectExtent l="0" t="0" r="0" b="0"/>
            <wp:docPr id="35" name="图片 7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4"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00" w:type="dxa"/>
        <w:jc w:val="center"/>
        <w:tblCellMar>
          <w:top w:w="15" w:type="dxa"/>
          <w:left w:w="15" w:type="dxa"/>
          <w:bottom w:w="15" w:type="dxa"/>
          <w:right w:w="15" w:type="dxa"/>
        </w:tblCellMar>
        <w:tblLook w:val="04A0" w:firstRow="1" w:lastRow="0" w:firstColumn="1" w:lastColumn="0" w:noHBand="0" w:noVBand="1"/>
      </w:tblPr>
      <w:tblGrid>
        <w:gridCol w:w="36"/>
        <w:gridCol w:w="702"/>
        <w:gridCol w:w="36"/>
        <w:gridCol w:w="36"/>
        <w:gridCol w:w="391"/>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703"/>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tblGrid>
      <w:tr w:rsidR="007F1775" w14:paraId="0B2FB187" w14:textId="77777777">
        <w:trPr>
          <w:jc w:val="center"/>
        </w:trPr>
        <w:tc>
          <w:tcPr>
            <w:tcW w:w="20" w:type="dxa"/>
            <w:shd w:val="clear" w:color="auto" w:fill="auto"/>
            <w:vAlign w:val="bottom"/>
          </w:tcPr>
          <w:p w14:paraId="0B2FB14B" w14:textId="77777777" w:rsidR="007F1775" w:rsidRDefault="007F1775">
            <w:pPr>
              <w:rPr>
                <w:rFonts w:ascii="宋体"/>
              </w:rPr>
            </w:pPr>
          </w:p>
        </w:tc>
        <w:tc>
          <w:tcPr>
            <w:tcW w:w="725" w:type="dxa"/>
            <w:shd w:val="clear" w:color="auto" w:fill="auto"/>
            <w:vAlign w:val="bottom"/>
          </w:tcPr>
          <w:p w14:paraId="0B2FB14C" w14:textId="77777777" w:rsidR="007F1775" w:rsidRDefault="007F1775">
            <w:pPr>
              <w:rPr>
                <w:rFonts w:ascii="宋体"/>
              </w:rPr>
            </w:pPr>
          </w:p>
        </w:tc>
        <w:tc>
          <w:tcPr>
            <w:tcW w:w="20" w:type="dxa"/>
            <w:shd w:val="clear" w:color="auto" w:fill="auto"/>
            <w:vAlign w:val="bottom"/>
          </w:tcPr>
          <w:p w14:paraId="0B2FB14D" w14:textId="77777777" w:rsidR="007F1775" w:rsidRDefault="007F1775">
            <w:pPr>
              <w:rPr>
                <w:rFonts w:ascii="宋体"/>
              </w:rPr>
            </w:pPr>
          </w:p>
        </w:tc>
        <w:tc>
          <w:tcPr>
            <w:tcW w:w="20" w:type="dxa"/>
            <w:shd w:val="clear" w:color="auto" w:fill="auto"/>
            <w:vAlign w:val="bottom"/>
          </w:tcPr>
          <w:p w14:paraId="0B2FB14E" w14:textId="77777777" w:rsidR="007F1775" w:rsidRDefault="007F1775">
            <w:pPr>
              <w:rPr>
                <w:rFonts w:ascii="宋体"/>
              </w:rPr>
            </w:pPr>
          </w:p>
        </w:tc>
        <w:tc>
          <w:tcPr>
            <w:tcW w:w="425" w:type="dxa"/>
            <w:shd w:val="clear" w:color="auto" w:fill="auto"/>
            <w:vAlign w:val="bottom"/>
          </w:tcPr>
          <w:p w14:paraId="0B2FB14F" w14:textId="77777777" w:rsidR="007F1775" w:rsidRDefault="007F1775">
            <w:pPr>
              <w:rPr>
                <w:rFonts w:ascii="宋体"/>
              </w:rPr>
            </w:pPr>
          </w:p>
        </w:tc>
        <w:tc>
          <w:tcPr>
            <w:tcW w:w="20" w:type="dxa"/>
            <w:shd w:val="clear" w:color="auto" w:fill="auto"/>
            <w:vAlign w:val="bottom"/>
          </w:tcPr>
          <w:p w14:paraId="0B2FB150" w14:textId="77777777" w:rsidR="007F1775" w:rsidRDefault="007F1775">
            <w:pPr>
              <w:rPr>
                <w:rFonts w:ascii="宋体"/>
              </w:rPr>
            </w:pPr>
          </w:p>
        </w:tc>
        <w:tc>
          <w:tcPr>
            <w:tcW w:w="20" w:type="dxa"/>
            <w:shd w:val="clear" w:color="auto" w:fill="auto"/>
            <w:vAlign w:val="bottom"/>
          </w:tcPr>
          <w:p w14:paraId="0B2FB151" w14:textId="77777777" w:rsidR="007F1775" w:rsidRDefault="007F1775">
            <w:pPr>
              <w:rPr>
                <w:rFonts w:ascii="宋体"/>
              </w:rPr>
            </w:pPr>
          </w:p>
        </w:tc>
        <w:tc>
          <w:tcPr>
            <w:tcW w:w="425" w:type="dxa"/>
            <w:shd w:val="clear" w:color="auto" w:fill="auto"/>
            <w:vAlign w:val="bottom"/>
          </w:tcPr>
          <w:p w14:paraId="0B2FB152" w14:textId="77777777" w:rsidR="007F1775" w:rsidRDefault="007F1775">
            <w:pPr>
              <w:rPr>
                <w:rFonts w:ascii="宋体"/>
              </w:rPr>
            </w:pPr>
          </w:p>
        </w:tc>
        <w:tc>
          <w:tcPr>
            <w:tcW w:w="20" w:type="dxa"/>
            <w:shd w:val="clear" w:color="auto" w:fill="auto"/>
            <w:vAlign w:val="bottom"/>
          </w:tcPr>
          <w:p w14:paraId="0B2FB153" w14:textId="77777777" w:rsidR="007F1775" w:rsidRDefault="007F1775">
            <w:pPr>
              <w:rPr>
                <w:rFonts w:ascii="宋体"/>
              </w:rPr>
            </w:pPr>
          </w:p>
        </w:tc>
        <w:tc>
          <w:tcPr>
            <w:tcW w:w="20" w:type="dxa"/>
            <w:shd w:val="clear" w:color="auto" w:fill="auto"/>
            <w:vAlign w:val="bottom"/>
          </w:tcPr>
          <w:p w14:paraId="0B2FB154" w14:textId="77777777" w:rsidR="007F1775" w:rsidRDefault="007F1775">
            <w:pPr>
              <w:rPr>
                <w:rFonts w:ascii="宋体"/>
              </w:rPr>
            </w:pPr>
          </w:p>
        </w:tc>
        <w:tc>
          <w:tcPr>
            <w:tcW w:w="425" w:type="dxa"/>
            <w:shd w:val="clear" w:color="auto" w:fill="auto"/>
            <w:vAlign w:val="bottom"/>
          </w:tcPr>
          <w:p w14:paraId="0B2FB155" w14:textId="77777777" w:rsidR="007F1775" w:rsidRDefault="007F1775">
            <w:pPr>
              <w:rPr>
                <w:rFonts w:ascii="宋体"/>
              </w:rPr>
            </w:pPr>
          </w:p>
        </w:tc>
        <w:tc>
          <w:tcPr>
            <w:tcW w:w="20" w:type="dxa"/>
            <w:shd w:val="clear" w:color="auto" w:fill="auto"/>
            <w:vAlign w:val="bottom"/>
          </w:tcPr>
          <w:p w14:paraId="0B2FB156" w14:textId="77777777" w:rsidR="007F1775" w:rsidRDefault="007F1775">
            <w:pPr>
              <w:rPr>
                <w:rFonts w:ascii="宋体"/>
              </w:rPr>
            </w:pPr>
          </w:p>
        </w:tc>
        <w:tc>
          <w:tcPr>
            <w:tcW w:w="20" w:type="dxa"/>
            <w:shd w:val="clear" w:color="auto" w:fill="auto"/>
            <w:vAlign w:val="bottom"/>
          </w:tcPr>
          <w:p w14:paraId="0B2FB157" w14:textId="77777777" w:rsidR="007F1775" w:rsidRDefault="007F1775">
            <w:pPr>
              <w:rPr>
                <w:rFonts w:ascii="宋体"/>
              </w:rPr>
            </w:pPr>
          </w:p>
        </w:tc>
        <w:tc>
          <w:tcPr>
            <w:tcW w:w="425" w:type="dxa"/>
            <w:shd w:val="clear" w:color="auto" w:fill="auto"/>
            <w:vAlign w:val="bottom"/>
          </w:tcPr>
          <w:p w14:paraId="0B2FB158" w14:textId="77777777" w:rsidR="007F1775" w:rsidRDefault="007F1775">
            <w:pPr>
              <w:rPr>
                <w:rFonts w:ascii="宋体"/>
              </w:rPr>
            </w:pPr>
          </w:p>
        </w:tc>
        <w:tc>
          <w:tcPr>
            <w:tcW w:w="20" w:type="dxa"/>
            <w:shd w:val="clear" w:color="auto" w:fill="auto"/>
            <w:vAlign w:val="bottom"/>
          </w:tcPr>
          <w:p w14:paraId="0B2FB159" w14:textId="77777777" w:rsidR="007F1775" w:rsidRDefault="007F1775">
            <w:pPr>
              <w:rPr>
                <w:rFonts w:ascii="宋体"/>
              </w:rPr>
            </w:pPr>
          </w:p>
        </w:tc>
        <w:tc>
          <w:tcPr>
            <w:tcW w:w="20" w:type="dxa"/>
            <w:shd w:val="clear" w:color="auto" w:fill="auto"/>
            <w:vAlign w:val="bottom"/>
          </w:tcPr>
          <w:p w14:paraId="0B2FB15A" w14:textId="77777777" w:rsidR="007F1775" w:rsidRDefault="007F1775">
            <w:pPr>
              <w:rPr>
                <w:rFonts w:ascii="宋体"/>
              </w:rPr>
            </w:pPr>
          </w:p>
        </w:tc>
        <w:tc>
          <w:tcPr>
            <w:tcW w:w="425" w:type="dxa"/>
            <w:shd w:val="clear" w:color="auto" w:fill="auto"/>
            <w:vAlign w:val="bottom"/>
          </w:tcPr>
          <w:p w14:paraId="0B2FB15B" w14:textId="77777777" w:rsidR="007F1775" w:rsidRDefault="007F1775">
            <w:pPr>
              <w:rPr>
                <w:rFonts w:ascii="宋体"/>
              </w:rPr>
            </w:pPr>
          </w:p>
        </w:tc>
        <w:tc>
          <w:tcPr>
            <w:tcW w:w="20" w:type="dxa"/>
            <w:shd w:val="clear" w:color="auto" w:fill="auto"/>
            <w:vAlign w:val="bottom"/>
          </w:tcPr>
          <w:p w14:paraId="0B2FB15C" w14:textId="77777777" w:rsidR="007F1775" w:rsidRDefault="007F1775">
            <w:pPr>
              <w:rPr>
                <w:rFonts w:ascii="宋体"/>
              </w:rPr>
            </w:pPr>
          </w:p>
        </w:tc>
        <w:tc>
          <w:tcPr>
            <w:tcW w:w="20" w:type="dxa"/>
            <w:shd w:val="clear" w:color="auto" w:fill="auto"/>
            <w:vAlign w:val="bottom"/>
          </w:tcPr>
          <w:p w14:paraId="0B2FB15D" w14:textId="77777777" w:rsidR="007F1775" w:rsidRDefault="007F1775">
            <w:pPr>
              <w:rPr>
                <w:rFonts w:ascii="宋体"/>
              </w:rPr>
            </w:pPr>
          </w:p>
        </w:tc>
        <w:tc>
          <w:tcPr>
            <w:tcW w:w="425" w:type="dxa"/>
            <w:shd w:val="clear" w:color="auto" w:fill="auto"/>
            <w:vAlign w:val="bottom"/>
          </w:tcPr>
          <w:p w14:paraId="0B2FB15E" w14:textId="77777777" w:rsidR="007F1775" w:rsidRDefault="007F1775">
            <w:pPr>
              <w:rPr>
                <w:rFonts w:ascii="宋体"/>
              </w:rPr>
            </w:pPr>
          </w:p>
        </w:tc>
        <w:tc>
          <w:tcPr>
            <w:tcW w:w="20" w:type="dxa"/>
            <w:shd w:val="clear" w:color="auto" w:fill="auto"/>
            <w:vAlign w:val="bottom"/>
          </w:tcPr>
          <w:p w14:paraId="0B2FB15F" w14:textId="77777777" w:rsidR="007F1775" w:rsidRDefault="007F1775">
            <w:pPr>
              <w:rPr>
                <w:rFonts w:ascii="宋体"/>
              </w:rPr>
            </w:pPr>
          </w:p>
        </w:tc>
        <w:tc>
          <w:tcPr>
            <w:tcW w:w="20" w:type="dxa"/>
            <w:shd w:val="clear" w:color="auto" w:fill="auto"/>
            <w:vAlign w:val="bottom"/>
          </w:tcPr>
          <w:p w14:paraId="0B2FB160" w14:textId="77777777" w:rsidR="007F1775" w:rsidRDefault="007F1775">
            <w:pPr>
              <w:rPr>
                <w:rFonts w:ascii="宋体"/>
              </w:rPr>
            </w:pPr>
          </w:p>
        </w:tc>
        <w:tc>
          <w:tcPr>
            <w:tcW w:w="425" w:type="dxa"/>
            <w:shd w:val="clear" w:color="auto" w:fill="auto"/>
            <w:vAlign w:val="bottom"/>
          </w:tcPr>
          <w:p w14:paraId="0B2FB161" w14:textId="77777777" w:rsidR="007F1775" w:rsidRDefault="007F1775">
            <w:pPr>
              <w:rPr>
                <w:rFonts w:ascii="宋体"/>
              </w:rPr>
            </w:pPr>
          </w:p>
        </w:tc>
        <w:tc>
          <w:tcPr>
            <w:tcW w:w="20" w:type="dxa"/>
            <w:shd w:val="clear" w:color="auto" w:fill="auto"/>
            <w:vAlign w:val="bottom"/>
          </w:tcPr>
          <w:p w14:paraId="0B2FB162" w14:textId="77777777" w:rsidR="007F1775" w:rsidRDefault="007F1775">
            <w:pPr>
              <w:rPr>
                <w:rFonts w:ascii="宋体"/>
              </w:rPr>
            </w:pPr>
          </w:p>
        </w:tc>
        <w:tc>
          <w:tcPr>
            <w:tcW w:w="20" w:type="dxa"/>
            <w:shd w:val="clear" w:color="auto" w:fill="auto"/>
            <w:vAlign w:val="bottom"/>
          </w:tcPr>
          <w:p w14:paraId="0B2FB163" w14:textId="77777777" w:rsidR="007F1775" w:rsidRDefault="007F1775">
            <w:pPr>
              <w:rPr>
                <w:rFonts w:ascii="宋体"/>
              </w:rPr>
            </w:pPr>
          </w:p>
        </w:tc>
        <w:tc>
          <w:tcPr>
            <w:tcW w:w="425" w:type="dxa"/>
            <w:shd w:val="clear" w:color="auto" w:fill="auto"/>
            <w:vAlign w:val="bottom"/>
          </w:tcPr>
          <w:p w14:paraId="0B2FB164" w14:textId="77777777" w:rsidR="007F1775" w:rsidRDefault="007F1775">
            <w:pPr>
              <w:rPr>
                <w:rFonts w:ascii="宋体"/>
              </w:rPr>
            </w:pPr>
          </w:p>
        </w:tc>
        <w:tc>
          <w:tcPr>
            <w:tcW w:w="20" w:type="dxa"/>
            <w:shd w:val="clear" w:color="auto" w:fill="auto"/>
            <w:vAlign w:val="bottom"/>
          </w:tcPr>
          <w:p w14:paraId="0B2FB165" w14:textId="77777777" w:rsidR="007F1775" w:rsidRDefault="007F1775">
            <w:pPr>
              <w:rPr>
                <w:rFonts w:ascii="宋体"/>
              </w:rPr>
            </w:pPr>
          </w:p>
        </w:tc>
        <w:tc>
          <w:tcPr>
            <w:tcW w:w="20" w:type="dxa"/>
            <w:shd w:val="clear" w:color="auto" w:fill="auto"/>
            <w:vAlign w:val="bottom"/>
          </w:tcPr>
          <w:p w14:paraId="0B2FB166" w14:textId="77777777" w:rsidR="007F1775" w:rsidRDefault="007F1775">
            <w:pPr>
              <w:rPr>
                <w:rFonts w:ascii="宋体"/>
              </w:rPr>
            </w:pPr>
          </w:p>
        </w:tc>
        <w:tc>
          <w:tcPr>
            <w:tcW w:w="425" w:type="dxa"/>
            <w:shd w:val="clear" w:color="auto" w:fill="auto"/>
            <w:vAlign w:val="bottom"/>
          </w:tcPr>
          <w:p w14:paraId="0B2FB167" w14:textId="77777777" w:rsidR="007F1775" w:rsidRDefault="007F1775">
            <w:pPr>
              <w:rPr>
                <w:rFonts w:ascii="宋体"/>
              </w:rPr>
            </w:pPr>
          </w:p>
        </w:tc>
        <w:tc>
          <w:tcPr>
            <w:tcW w:w="20" w:type="dxa"/>
            <w:shd w:val="clear" w:color="auto" w:fill="auto"/>
            <w:vAlign w:val="bottom"/>
          </w:tcPr>
          <w:p w14:paraId="0B2FB168" w14:textId="77777777" w:rsidR="007F1775" w:rsidRDefault="007F1775">
            <w:pPr>
              <w:rPr>
                <w:rFonts w:ascii="宋体"/>
              </w:rPr>
            </w:pPr>
          </w:p>
        </w:tc>
        <w:tc>
          <w:tcPr>
            <w:tcW w:w="20" w:type="dxa"/>
            <w:shd w:val="clear" w:color="auto" w:fill="auto"/>
            <w:vAlign w:val="bottom"/>
          </w:tcPr>
          <w:p w14:paraId="0B2FB169" w14:textId="77777777" w:rsidR="007F1775" w:rsidRDefault="007F1775">
            <w:pPr>
              <w:rPr>
                <w:rFonts w:ascii="宋体"/>
              </w:rPr>
            </w:pPr>
          </w:p>
        </w:tc>
        <w:tc>
          <w:tcPr>
            <w:tcW w:w="725" w:type="dxa"/>
            <w:shd w:val="clear" w:color="auto" w:fill="auto"/>
            <w:vAlign w:val="bottom"/>
          </w:tcPr>
          <w:p w14:paraId="0B2FB16A" w14:textId="77777777" w:rsidR="007F1775" w:rsidRDefault="007F1775">
            <w:pPr>
              <w:rPr>
                <w:rFonts w:ascii="宋体"/>
              </w:rPr>
            </w:pPr>
          </w:p>
        </w:tc>
        <w:tc>
          <w:tcPr>
            <w:tcW w:w="20" w:type="dxa"/>
            <w:shd w:val="clear" w:color="auto" w:fill="auto"/>
            <w:vAlign w:val="bottom"/>
          </w:tcPr>
          <w:p w14:paraId="0B2FB16B" w14:textId="77777777" w:rsidR="007F1775" w:rsidRDefault="007F1775">
            <w:pPr>
              <w:rPr>
                <w:rFonts w:ascii="宋体"/>
              </w:rPr>
            </w:pPr>
          </w:p>
        </w:tc>
        <w:tc>
          <w:tcPr>
            <w:tcW w:w="20" w:type="dxa"/>
            <w:shd w:val="clear" w:color="auto" w:fill="auto"/>
            <w:vAlign w:val="bottom"/>
          </w:tcPr>
          <w:p w14:paraId="0B2FB16C" w14:textId="77777777" w:rsidR="007F1775" w:rsidRDefault="007F1775">
            <w:pPr>
              <w:rPr>
                <w:rFonts w:ascii="宋体"/>
              </w:rPr>
            </w:pPr>
          </w:p>
        </w:tc>
        <w:tc>
          <w:tcPr>
            <w:tcW w:w="425" w:type="dxa"/>
            <w:shd w:val="clear" w:color="auto" w:fill="auto"/>
            <w:vAlign w:val="bottom"/>
          </w:tcPr>
          <w:p w14:paraId="0B2FB16D" w14:textId="77777777" w:rsidR="007F1775" w:rsidRDefault="007F1775">
            <w:pPr>
              <w:rPr>
                <w:rFonts w:ascii="宋体"/>
              </w:rPr>
            </w:pPr>
          </w:p>
        </w:tc>
        <w:tc>
          <w:tcPr>
            <w:tcW w:w="20" w:type="dxa"/>
            <w:shd w:val="clear" w:color="auto" w:fill="auto"/>
            <w:vAlign w:val="bottom"/>
          </w:tcPr>
          <w:p w14:paraId="0B2FB16E" w14:textId="77777777" w:rsidR="007F1775" w:rsidRDefault="007F1775">
            <w:pPr>
              <w:rPr>
                <w:rFonts w:ascii="宋体"/>
              </w:rPr>
            </w:pPr>
          </w:p>
        </w:tc>
        <w:tc>
          <w:tcPr>
            <w:tcW w:w="20" w:type="dxa"/>
            <w:shd w:val="clear" w:color="auto" w:fill="auto"/>
            <w:vAlign w:val="bottom"/>
          </w:tcPr>
          <w:p w14:paraId="0B2FB16F" w14:textId="77777777" w:rsidR="007F1775" w:rsidRDefault="007F1775">
            <w:pPr>
              <w:rPr>
                <w:rFonts w:ascii="宋体"/>
              </w:rPr>
            </w:pPr>
          </w:p>
        </w:tc>
        <w:tc>
          <w:tcPr>
            <w:tcW w:w="425" w:type="dxa"/>
            <w:shd w:val="clear" w:color="auto" w:fill="auto"/>
            <w:vAlign w:val="bottom"/>
          </w:tcPr>
          <w:p w14:paraId="0B2FB170" w14:textId="77777777" w:rsidR="007F1775" w:rsidRDefault="007F1775">
            <w:pPr>
              <w:rPr>
                <w:rFonts w:ascii="宋体"/>
              </w:rPr>
            </w:pPr>
          </w:p>
        </w:tc>
        <w:tc>
          <w:tcPr>
            <w:tcW w:w="20" w:type="dxa"/>
            <w:shd w:val="clear" w:color="auto" w:fill="auto"/>
            <w:vAlign w:val="bottom"/>
          </w:tcPr>
          <w:p w14:paraId="0B2FB171" w14:textId="77777777" w:rsidR="007F1775" w:rsidRDefault="007F1775">
            <w:pPr>
              <w:rPr>
                <w:rFonts w:ascii="宋体"/>
              </w:rPr>
            </w:pPr>
          </w:p>
        </w:tc>
        <w:tc>
          <w:tcPr>
            <w:tcW w:w="20" w:type="dxa"/>
            <w:shd w:val="clear" w:color="auto" w:fill="auto"/>
            <w:vAlign w:val="bottom"/>
          </w:tcPr>
          <w:p w14:paraId="0B2FB172" w14:textId="77777777" w:rsidR="007F1775" w:rsidRDefault="007F1775">
            <w:pPr>
              <w:rPr>
                <w:rFonts w:ascii="宋体"/>
              </w:rPr>
            </w:pPr>
          </w:p>
        </w:tc>
        <w:tc>
          <w:tcPr>
            <w:tcW w:w="425" w:type="dxa"/>
            <w:shd w:val="clear" w:color="auto" w:fill="auto"/>
            <w:vAlign w:val="bottom"/>
          </w:tcPr>
          <w:p w14:paraId="0B2FB173" w14:textId="77777777" w:rsidR="007F1775" w:rsidRDefault="007F1775">
            <w:pPr>
              <w:rPr>
                <w:rFonts w:ascii="宋体"/>
              </w:rPr>
            </w:pPr>
          </w:p>
        </w:tc>
        <w:tc>
          <w:tcPr>
            <w:tcW w:w="20" w:type="dxa"/>
            <w:shd w:val="clear" w:color="auto" w:fill="auto"/>
            <w:vAlign w:val="bottom"/>
          </w:tcPr>
          <w:p w14:paraId="0B2FB174" w14:textId="77777777" w:rsidR="007F1775" w:rsidRDefault="007F1775">
            <w:pPr>
              <w:rPr>
                <w:rFonts w:ascii="宋体"/>
              </w:rPr>
            </w:pPr>
          </w:p>
        </w:tc>
        <w:tc>
          <w:tcPr>
            <w:tcW w:w="20" w:type="dxa"/>
            <w:shd w:val="clear" w:color="auto" w:fill="auto"/>
            <w:vAlign w:val="bottom"/>
          </w:tcPr>
          <w:p w14:paraId="0B2FB175" w14:textId="77777777" w:rsidR="007F1775" w:rsidRDefault="007F1775">
            <w:pPr>
              <w:rPr>
                <w:rFonts w:ascii="宋体"/>
              </w:rPr>
            </w:pPr>
          </w:p>
        </w:tc>
        <w:tc>
          <w:tcPr>
            <w:tcW w:w="425" w:type="dxa"/>
            <w:shd w:val="clear" w:color="auto" w:fill="auto"/>
            <w:vAlign w:val="bottom"/>
          </w:tcPr>
          <w:p w14:paraId="0B2FB176" w14:textId="77777777" w:rsidR="007F1775" w:rsidRDefault="007F1775">
            <w:pPr>
              <w:rPr>
                <w:rFonts w:ascii="宋体"/>
              </w:rPr>
            </w:pPr>
          </w:p>
        </w:tc>
        <w:tc>
          <w:tcPr>
            <w:tcW w:w="20" w:type="dxa"/>
            <w:shd w:val="clear" w:color="auto" w:fill="auto"/>
            <w:vAlign w:val="bottom"/>
          </w:tcPr>
          <w:p w14:paraId="0B2FB177" w14:textId="77777777" w:rsidR="007F1775" w:rsidRDefault="007F1775">
            <w:pPr>
              <w:rPr>
                <w:rFonts w:ascii="宋体"/>
              </w:rPr>
            </w:pPr>
          </w:p>
        </w:tc>
        <w:tc>
          <w:tcPr>
            <w:tcW w:w="20" w:type="dxa"/>
            <w:shd w:val="clear" w:color="auto" w:fill="auto"/>
            <w:vAlign w:val="bottom"/>
          </w:tcPr>
          <w:p w14:paraId="0B2FB178" w14:textId="77777777" w:rsidR="007F1775" w:rsidRDefault="007F1775">
            <w:pPr>
              <w:rPr>
                <w:rFonts w:ascii="宋体"/>
              </w:rPr>
            </w:pPr>
          </w:p>
        </w:tc>
        <w:tc>
          <w:tcPr>
            <w:tcW w:w="425" w:type="dxa"/>
            <w:shd w:val="clear" w:color="auto" w:fill="auto"/>
            <w:vAlign w:val="bottom"/>
          </w:tcPr>
          <w:p w14:paraId="0B2FB179" w14:textId="77777777" w:rsidR="007F1775" w:rsidRDefault="007F1775">
            <w:pPr>
              <w:rPr>
                <w:rFonts w:ascii="宋体"/>
              </w:rPr>
            </w:pPr>
          </w:p>
        </w:tc>
        <w:tc>
          <w:tcPr>
            <w:tcW w:w="20" w:type="dxa"/>
            <w:shd w:val="clear" w:color="auto" w:fill="auto"/>
            <w:vAlign w:val="bottom"/>
          </w:tcPr>
          <w:p w14:paraId="0B2FB17A" w14:textId="77777777" w:rsidR="007F1775" w:rsidRDefault="007F1775">
            <w:pPr>
              <w:rPr>
                <w:rFonts w:ascii="宋体"/>
              </w:rPr>
            </w:pPr>
          </w:p>
        </w:tc>
        <w:tc>
          <w:tcPr>
            <w:tcW w:w="20" w:type="dxa"/>
            <w:shd w:val="clear" w:color="auto" w:fill="auto"/>
            <w:vAlign w:val="bottom"/>
          </w:tcPr>
          <w:p w14:paraId="0B2FB17B" w14:textId="77777777" w:rsidR="007F1775" w:rsidRDefault="007F1775">
            <w:pPr>
              <w:rPr>
                <w:rFonts w:ascii="宋体"/>
              </w:rPr>
            </w:pPr>
          </w:p>
        </w:tc>
        <w:tc>
          <w:tcPr>
            <w:tcW w:w="425" w:type="dxa"/>
            <w:shd w:val="clear" w:color="auto" w:fill="auto"/>
            <w:vAlign w:val="bottom"/>
          </w:tcPr>
          <w:p w14:paraId="0B2FB17C" w14:textId="77777777" w:rsidR="007F1775" w:rsidRDefault="007F1775">
            <w:pPr>
              <w:rPr>
                <w:rFonts w:ascii="宋体"/>
              </w:rPr>
            </w:pPr>
          </w:p>
        </w:tc>
        <w:tc>
          <w:tcPr>
            <w:tcW w:w="20" w:type="dxa"/>
            <w:shd w:val="clear" w:color="auto" w:fill="auto"/>
            <w:vAlign w:val="bottom"/>
          </w:tcPr>
          <w:p w14:paraId="0B2FB17D" w14:textId="77777777" w:rsidR="007F1775" w:rsidRDefault="007F1775">
            <w:pPr>
              <w:rPr>
                <w:rFonts w:ascii="宋体"/>
              </w:rPr>
            </w:pPr>
          </w:p>
        </w:tc>
        <w:tc>
          <w:tcPr>
            <w:tcW w:w="20" w:type="dxa"/>
            <w:shd w:val="clear" w:color="auto" w:fill="auto"/>
            <w:vAlign w:val="bottom"/>
          </w:tcPr>
          <w:p w14:paraId="0B2FB17E" w14:textId="77777777" w:rsidR="007F1775" w:rsidRDefault="007F1775">
            <w:pPr>
              <w:rPr>
                <w:rFonts w:ascii="宋体"/>
              </w:rPr>
            </w:pPr>
          </w:p>
        </w:tc>
        <w:tc>
          <w:tcPr>
            <w:tcW w:w="425" w:type="dxa"/>
            <w:shd w:val="clear" w:color="auto" w:fill="auto"/>
            <w:vAlign w:val="bottom"/>
          </w:tcPr>
          <w:p w14:paraId="0B2FB17F" w14:textId="77777777" w:rsidR="007F1775" w:rsidRDefault="007F1775">
            <w:pPr>
              <w:rPr>
                <w:rFonts w:ascii="宋体"/>
              </w:rPr>
            </w:pPr>
          </w:p>
        </w:tc>
        <w:tc>
          <w:tcPr>
            <w:tcW w:w="20" w:type="dxa"/>
            <w:shd w:val="clear" w:color="auto" w:fill="auto"/>
            <w:vAlign w:val="bottom"/>
          </w:tcPr>
          <w:p w14:paraId="0B2FB180" w14:textId="77777777" w:rsidR="007F1775" w:rsidRDefault="007F1775">
            <w:pPr>
              <w:rPr>
                <w:rFonts w:ascii="宋体"/>
              </w:rPr>
            </w:pPr>
          </w:p>
        </w:tc>
        <w:tc>
          <w:tcPr>
            <w:tcW w:w="20" w:type="dxa"/>
            <w:shd w:val="clear" w:color="auto" w:fill="auto"/>
            <w:vAlign w:val="bottom"/>
          </w:tcPr>
          <w:p w14:paraId="0B2FB181" w14:textId="77777777" w:rsidR="007F1775" w:rsidRDefault="007F1775">
            <w:pPr>
              <w:rPr>
                <w:rFonts w:ascii="宋体"/>
              </w:rPr>
            </w:pPr>
          </w:p>
        </w:tc>
        <w:tc>
          <w:tcPr>
            <w:tcW w:w="425" w:type="dxa"/>
            <w:shd w:val="clear" w:color="auto" w:fill="auto"/>
            <w:vAlign w:val="bottom"/>
          </w:tcPr>
          <w:p w14:paraId="0B2FB182" w14:textId="77777777" w:rsidR="007F1775" w:rsidRDefault="007F1775">
            <w:pPr>
              <w:rPr>
                <w:rFonts w:ascii="宋体"/>
              </w:rPr>
            </w:pPr>
          </w:p>
        </w:tc>
        <w:tc>
          <w:tcPr>
            <w:tcW w:w="20" w:type="dxa"/>
            <w:shd w:val="clear" w:color="auto" w:fill="auto"/>
            <w:vAlign w:val="bottom"/>
          </w:tcPr>
          <w:p w14:paraId="0B2FB183" w14:textId="77777777" w:rsidR="007F1775" w:rsidRDefault="007F1775">
            <w:pPr>
              <w:rPr>
                <w:rFonts w:ascii="宋体"/>
              </w:rPr>
            </w:pPr>
          </w:p>
        </w:tc>
        <w:tc>
          <w:tcPr>
            <w:tcW w:w="20" w:type="dxa"/>
            <w:shd w:val="clear" w:color="auto" w:fill="auto"/>
            <w:vAlign w:val="bottom"/>
          </w:tcPr>
          <w:p w14:paraId="0B2FB184" w14:textId="77777777" w:rsidR="007F1775" w:rsidRDefault="007F1775">
            <w:pPr>
              <w:rPr>
                <w:rFonts w:ascii="宋体"/>
              </w:rPr>
            </w:pPr>
          </w:p>
        </w:tc>
        <w:tc>
          <w:tcPr>
            <w:tcW w:w="425" w:type="dxa"/>
            <w:shd w:val="clear" w:color="auto" w:fill="auto"/>
            <w:vAlign w:val="bottom"/>
          </w:tcPr>
          <w:p w14:paraId="0B2FB185" w14:textId="77777777" w:rsidR="007F1775" w:rsidRDefault="007F1775">
            <w:pPr>
              <w:rPr>
                <w:rFonts w:ascii="宋体"/>
              </w:rPr>
            </w:pPr>
          </w:p>
        </w:tc>
        <w:tc>
          <w:tcPr>
            <w:tcW w:w="20" w:type="dxa"/>
            <w:shd w:val="clear" w:color="auto" w:fill="auto"/>
            <w:vAlign w:val="bottom"/>
          </w:tcPr>
          <w:p w14:paraId="0B2FB186" w14:textId="77777777" w:rsidR="007F1775" w:rsidRDefault="007F1775">
            <w:pPr>
              <w:rPr>
                <w:rFonts w:ascii="宋体"/>
              </w:rPr>
            </w:pPr>
          </w:p>
        </w:tc>
      </w:tr>
      <w:tr w:rsidR="007F1775" w14:paraId="0B2FB19C" w14:textId="77777777">
        <w:trPr>
          <w:trHeight w:val="220"/>
          <w:jc w:val="center"/>
        </w:trPr>
        <w:tc>
          <w:tcPr>
            <w:tcW w:w="0" w:type="auto"/>
            <w:gridSpan w:val="3"/>
            <w:shd w:val="clear" w:color="auto" w:fill="auto"/>
            <w:tcMar>
              <w:top w:w="40" w:type="dxa"/>
              <w:left w:w="20" w:type="dxa"/>
              <w:bottom w:w="40" w:type="dxa"/>
              <w:right w:w="20" w:type="dxa"/>
            </w:tcMar>
            <w:vAlign w:val="center"/>
          </w:tcPr>
          <w:p w14:paraId="0B2FB188" w14:textId="77777777" w:rsidR="007F1775" w:rsidRDefault="000F083E">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0B2FB189" w14:textId="77777777" w:rsidR="007F1775" w:rsidRDefault="000F083E">
            <w:pPr>
              <w:textAlignment w:val="center"/>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vAlign w:val="center"/>
          </w:tcPr>
          <w:p w14:paraId="0B2FB18A" w14:textId="77777777" w:rsidR="007F1775" w:rsidRDefault="000F083E">
            <w:pPr>
              <w:textAlignment w:val="center"/>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vAlign w:val="center"/>
          </w:tcPr>
          <w:p w14:paraId="0B2FB18B" w14:textId="77777777" w:rsidR="007F1775" w:rsidRDefault="000F083E">
            <w:pPr>
              <w:textAlignment w:val="center"/>
            </w:pPr>
            <w:r>
              <w:rPr>
                <w:rFonts w:ascii="sans-serif" w:eastAsia="宋体" w:hAnsi="sans-serif" w:cs="sans-serif"/>
                <w:color w:val="000000"/>
                <w:sz w:val="16"/>
                <w:szCs w:val="16"/>
              </w:rPr>
              <w:t>77%</w:t>
            </w:r>
          </w:p>
        </w:tc>
        <w:tc>
          <w:tcPr>
            <w:tcW w:w="0" w:type="auto"/>
            <w:gridSpan w:val="3"/>
            <w:shd w:val="clear" w:color="auto" w:fill="auto"/>
            <w:tcMar>
              <w:top w:w="40" w:type="dxa"/>
              <w:left w:w="20" w:type="dxa"/>
              <w:bottom w:w="40" w:type="dxa"/>
              <w:right w:w="20" w:type="dxa"/>
            </w:tcMar>
            <w:vAlign w:val="center"/>
          </w:tcPr>
          <w:p w14:paraId="0B2FB18C" w14:textId="77777777" w:rsidR="007F1775" w:rsidRDefault="000F083E">
            <w:pPr>
              <w:textAlignment w:val="center"/>
            </w:pPr>
            <w:r>
              <w:rPr>
                <w:rFonts w:ascii="sans-serif" w:eastAsia="宋体" w:hAnsi="sans-serif" w:cs="sans-serif"/>
                <w:color w:val="000000"/>
                <w:sz w:val="16"/>
                <w:szCs w:val="16"/>
              </w:rPr>
              <w:t>76%</w:t>
            </w:r>
          </w:p>
        </w:tc>
        <w:tc>
          <w:tcPr>
            <w:tcW w:w="0" w:type="auto"/>
            <w:gridSpan w:val="3"/>
            <w:shd w:val="clear" w:color="auto" w:fill="auto"/>
            <w:tcMar>
              <w:top w:w="40" w:type="dxa"/>
              <w:left w:w="20" w:type="dxa"/>
              <w:bottom w:w="40" w:type="dxa"/>
              <w:right w:w="20" w:type="dxa"/>
            </w:tcMar>
            <w:vAlign w:val="center"/>
          </w:tcPr>
          <w:p w14:paraId="0B2FB18D" w14:textId="77777777" w:rsidR="007F1775" w:rsidRDefault="000F083E">
            <w:pPr>
              <w:textAlignment w:val="center"/>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vAlign w:val="center"/>
          </w:tcPr>
          <w:p w14:paraId="0B2FB18E" w14:textId="77777777" w:rsidR="007F1775" w:rsidRDefault="000F083E">
            <w:pPr>
              <w:textAlignment w:val="center"/>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vAlign w:val="center"/>
          </w:tcPr>
          <w:p w14:paraId="0B2FB18F" w14:textId="77777777" w:rsidR="007F1775" w:rsidRDefault="000F083E">
            <w:pPr>
              <w:textAlignment w:val="center"/>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vAlign w:val="center"/>
          </w:tcPr>
          <w:p w14:paraId="0B2FB190" w14:textId="77777777" w:rsidR="007F1775" w:rsidRDefault="000F083E">
            <w:pPr>
              <w:textAlignment w:val="center"/>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vAlign w:val="center"/>
          </w:tcPr>
          <w:p w14:paraId="0B2FB191" w14:textId="77777777" w:rsidR="007F1775" w:rsidRDefault="000F083E">
            <w:pPr>
              <w:textAlignment w:val="center"/>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vAlign w:val="center"/>
          </w:tcPr>
          <w:p w14:paraId="0B2FB192" w14:textId="77777777" w:rsidR="007F1775" w:rsidRDefault="000F083E">
            <w:pPr>
              <w:jc w:val="cente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0B2FB193" w14:textId="77777777" w:rsidR="007F1775" w:rsidRDefault="000F083E">
            <w:pPr>
              <w:textAlignment w:val="center"/>
            </w:pPr>
            <w:r>
              <w:rPr>
                <w:rFonts w:ascii="sans-serif" w:eastAsia="宋体" w:hAnsi="sans-serif" w:cs="sans-serif"/>
                <w:color w:val="000000"/>
                <w:sz w:val="16"/>
                <w:szCs w:val="16"/>
              </w:rPr>
              <w:t>75%</w:t>
            </w:r>
          </w:p>
        </w:tc>
        <w:tc>
          <w:tcPr>
            <w:tcW w:w="0" w:type="auto"/>
            <w:gridSpan w:val="3"/>
            <w:shd w:val="clear" w:color="auto" w:fill="auto"/>
            <w:tcMar>
              <w:top w:w="40" w:type="dxa"/>
              <w:left w:w="20" w:type="dxa"/>
              <w:bottom w:w="40" w:type="dxa"/>
              <w:right w:w="20" w:type="dxa"/>
            </w:tcMar>
            <w:vAlign w:val="center"/>
          </w:tcPr>
          <w:p w14:paraId="0B2FB194" w14:textId="77777777" w:rsidR="007F1775" w:rsidRDefault="000F083E">
            <w:pPr>
              <w:textAlignment w:val="center"/>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vAlign w:val="center"/>
          </w:tcPr>
          <w:p w14:paraId="0B2FB195" w14:textId="77777777" w:rsidR="007F1775" w:rsidRDefault="000F083E">
            <w:pPr>
              <w:textAlignment w:val="center"/>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vAlign w:val="center"/>
          </w:tcPr>
          <w:p w14:paraId="0B2FB196" w14:textId="77777777" w:rsidR="007F1775" w:rsidRDefault="000F083E">
            <w:pPr>
              <w:textAlignment w:val="center"/>
            </w:pPr>
            <w:r>
              <w:rPr>
                <w:rFonts w:ascii="sans-serif" w:eastAsia="宋体" w:hAnsi="sans-serif" w:cs="sans-serif"/>
                <w:color w:val="000000"/>
                <w:sz w:val="16"/>
                <w:szCs w:val="16"/>
              </w:rPr>
              <w:t>74%</w:t>
            </w:r>
          </w:p>
        </w:tc>
        <w:tc>
          <w:tcPr>
            <w:tcW w:w="0" w:type="auto"/>
            <w:gridSpan w:val="3"/>
            <w:shd w:val="clear" w:color="auto" w:fill="auto"/>
            <w:tcMar>
              <w:top w:w="40" w:type="dxa"/>
              <w:left w:w="20" w:type="dxa"/>
              <w:bottom w:w="40" w:type="dxa"/>
              <w:right w:w="20" w:type="dxa"/>
            </w:tcMar>
            <w:vAlign w:val="center"/>
          </w:tcPr>
          <w:p w14:paraId="0B2FB197" w14:textId="77777777" w:rsidR="007F1775" w:rsidRDefault="000F083E">
            <w:pPr>
              <w:textAlignment w:val="center"/>
            </w:pPr>
            <w:r>
              <w:rPr>
                <w:rFonts w:ascii="sans-serif" w:eastAsia="宋体" w:hAnsi="sans-serif" w:cs="sans-serif"/>
                <w:color w:val="000000"/>
                <w:sz w:val="16"/>
                <w:szCs w:val="16"/>
              </w:rPr>
              <w:t>73%</w:t>
            </w:r>
          </w:p>
        </w:tc>
        <w:tc>
          <w:tcPr>
            <w:tcW w:w="0" w:type="auto"/>
            <w:gridSpan w:val="3"/>
            <w:shd w:val="clear" w:color="auto" w:fill="auto"/>
            <w:tcMar>
              <w:top w:w="40" w:type="dxa"/>
              <w:left w:w="20" w:type="dxa"/>
              <w:bottom w:w="40" w:type="dxa"/>
              <w:right w:w="20" w:type="dxa"/>
            </w:tcMar>
            <w:vAlign w:val="center"/>
          </w:tcPr>
          <w:p w14:paraId="0B2FB198" w14:textId="77777777" w:rsidR="007F1775" w:rsidRDefault="000F083E">
            <w:pPr>
              <w:textAlignment w:val="center"/>
            </w:pPr>
            <w:r>
              <w:rPr>
                <w:rFonts w:ascii="sans-serif" w:eastAsia="宋体" w:hAnsi="sans-serif" w:cs="sans-serif"/>
                <w:color w:val="000000"/>
                <w:sz w:val="16"/>
                <w:szCs w:val="16"/>
              </w:rPr>
              <w:t>73%</w:t>
            </w:r>
          </w:p>
        </w:tc>
        <w:tc>
          <w:tcPr>
            <w:tcW w:w="0" w:type="auto"/>
            <w:gridSpan w:val="3"/>
            <w:shd w:val="clear" w:color="auto" w:fill="auto"/>
            <w:tcMar>
              <w:top w:w="40" w:type="dxa"/>
              <w:left w:w="20" w:type="dxa"/>
              <w:bottom w:w="40" w:type="dxa"/>
              <w:right w:w="20" w:type="dxa"/>
            </w:tcMar>
            <w:vAlign w:val="center"/>
          </w:tcPr>
          <w:p w14:paraId="0B2FB199" w14:textId="77777777" w:rsidR="007F1775" w:rsidRDefault="000F083E">
            <w:pPr>
              <w:textAlignment w:val="center"/>
            </w:pPr>
            <w:r>
              <w:rPr>
                <w:rFonts w:ascii="sans-serif" w:eastAsia="宋体" w:hAnsi="sans-serif" w:cs="sans-serif"/>
                <w:color w:val="000000"/>
                <w:sz w:val="16"/>
                <w:szCs w:val="16"/>
              </w:rPr>
              <w:t>73%</w:t>
            </w:r>
          </w:p>
        </w:tc>
        <w:tc>
          <w:tcPr>
            <w:tcW w:w="0" w:type="auto"/>
            <w:gridSpan w:val="3"/>
            <w:shd w:val="clear" w:color="auto" w:fill="auto"/>
            <w:tcMar>
              <w:top w:w="40" w:type="dxa"/>
              <w:left w:w="20" w:type="dxa"/>
              <w:bottom w:w="40" w:type="dxa"/>
              <w:right w:w="20" w:type="dxa"/>
            </w:tcMar>
            <w:vAlign w:val="center"/>
          </w:tcPr>
          <w:p w14:paraId="0B2FB19A" w14:textId="77777777" w:rsidR="007F1775" w:rsidRDefault="000F083E">
            <w:pPr>
              <w:textAlignment w:val="center"/>
            </w:pPr>
            <w:r>
              <w:rPr>
                <w:rFonts w:ascii="sans-serif" w:eastAsia="宋体" w:hAnsi="sans-serif" w:cs="sans-serif"/>
                <w:color w:val="000000"/>
                <w:sz w:val="16"/>
                <w:szCs w:val="16"/>
              </w:rPr>
              <w:t>72%</w:t>
            </w:r>
          </w:p>
        </w:tc>
        <w:tc>
          <w:tcPr>
            <w:tcW w:w="0" w:type="auto"/>
            <w:gridSpan w:val="3"/>
            <w:shd w:val="clear" w:color="auto" w:fill="auto"/>
            <w:tcMar>
              <w:top w:w="40" w:type="dxa"/>
              <w:left w:w="20" w:type="dxa"/>
              <w:bottom w:w="40" w:type="dxa"/>
              <w:right w:w="20" w:type="dxa"/>
            </w:tcMar>
            <w:vAlign w:val="center"/>
          </w:tcPr>
          <w:p w14:paraId="0B2FB19B" w14:textId="77777777" w:rsidR="007F1775" w:rsidRDefault="000F083E">
            <w:pPr>
              <w:textAlignment w:val="center"/>
            </w:pPr>
            <w:r>
              <w:rPr>
                <w:rFonts w:ascii="sans-serif" w:eastAsia="宋体" w:hAnsi="sans-serif" w:cs="sans-serif"/>
                <w:color w:val="000000"/>
                <w:sz w:val="16"/>
                <w:szCs w:val="16"/>
              </w:rPr>
              <w:t>73%</w:t>
            </w:r>
          </w:p>
        </w:tc>
      </w:tr>
    </w:tbl>
    <w:p w14:paraId="0B2FB19D" w14:textId="77777777" w:rsidR="007F1775" w:rsidRDefault="000F083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92" wp14:editId="0B2FBF93">
            <wp:extent cx="304800" cy="304800"/>
            <wp:effectExtent l="0" t="0" r="0" b="0"/>
            <wp:docPr id="48" name="图片 7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5"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w:instrText>
      </w:r>
      <w:r>
        <w:rPr>
          <w:rFonts w:ascii="宋体" w:eastAsia="宋体" w:hAnsi="宋体" w:cs="宋体"/>
        </w:rPr>
        <w:instrText xml:space="preserve">3_files/meta-20220331_g11.jpg"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94" wp14:editId="0B2FBF95">
            <wp:extent cx="304800" cy="304800"/>
            <wp:effectExtent l="0" t="0" r="0" b="0"/>
            <wp:docPr id="45" name="图片 7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6"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00" w:type="dxa"/>
        <w:jc w:val="center"/>
        <w:tblCellMar>
          <w:top w:w="15" w:type="dxa"/>
          <w:left w:w="15" w:type="dxa"/>
          <w:bottom w:w="15" w:type="dxa"/>
          <w:right w:w="15" w:type="dxa"/>
        </w:tblCellMar>
        <w:tblLook w:val="04A0" w:firstRow="1" w:lastRow="0" w:firstColumn="1" w:lastColumn="0" w:noHBand="0" w:noVBand="1"/>
      </w:tblPr>
      <w:tblGrid>
        <w:gridCol w:w="36"/>
        <w:gridCol w:w="702"/>
        <w:gridCol w:w="36"/>
        <w:gridCol w:w="36"/>
        <w:gridCol w:w="391"/>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703"/>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gridCol w:w="36"/>
        <w:gridCol w:w="392"/>
        <w:gridCol w:w="36"/>
      </w:tblGrid>
      <w:tr w:rsidR="007F1775" w14:paraId="0B2FB1DA" w14:textId="77777777">
        <w:trPr>
          <w:jc w:val="center"/>
        </w:trPr>
        <w:tc>
          <w:tcPr>
            <w:tcW w:w="20" w:type="dxa"/>
            <w:shd w:val="clear" w:color="auto" w:fill="auto"/>
            <w:vAlign w:val="bottom"/>
          </w:tcPr>
          <w:p w14:paraId="0B2FB19E" w14:textId="77777777" w:rsidR="007F1775" w:rsidRDefault="007F1775">
            <w:pPr>
              <w:rPr>
                <w:rFonts w:ascii="宋体"/>
              </w:rPr>
            </w:pPr>
          </w:p>
        </w:tc>
        <w:tc>
          <w:tcPr>
            <w:tcW w:w="725" w:type="dxa"/>
            <w:shd w:val="clear" w:color="auto" w:fill="auto"/>
            <w:vAlign w:val="bottom"/>
          </w:tcPr>
          <w:p w14:paraId="0B2FB19F" w14:textId="77777777" w:rsidR="007F1775" w:rsidRDefault="007F1775">
            <w:pPr>
              <w:rPr>
                <w:rFonts w:ascii="宋体"/>
              </w:rPr>
            </w:pPr>
          </w:p>
        </w:tc>
        <w:tc>
          <w:tcPr>
            <w:tcW w:w="20" w:type="dxa"/>
            <w:shd w:val="clear" w:color="auto" w:fill="auto"/>
            <w:vAlign w:val="bottom"/>
          </w:tcPr>
          <w:p w14:paraId="0B2FB1A0" w14:textId="77777777" w:rsidR="007F1775" w:rsidRDefault="007F1775">
            <w:pPr>
              <w:rPr>
                <w:rFonts w:ascii="宋体"/>
              </w:rPr>
            </w:pPr>
          </w:p>
        </w:tc>
        <w:tc>
          <w:tcPr>
            <w:tcW w:w="20" w:type="dxa"/>
            <w:shd w:val="clear" w:color="auto" w:fill="auto"/>
            <w:vAlign w:val="bottom"/>
          </w:tcPr>
          <w:p w14:paraId="0B2FB1A1" w14:textId="77777777" w:rsidR="007F1775" w:rsidRDefault="007F1775">
            <w:pPr>
              <w:rPr>
                <w:rFonts w:ascii="宋体"/>
              </w:rPr>
            </w:pPr>
          </w:p>
        </w:tc>
        <w:tc>
          <w:tcPr>
            <w:tcW w:w="425" w:type="dxa"/>
            <w:shd w:val="clear" w:color="auto" w:fill="auto"/>
            <w:vAlign w:val="bottom"/>
          </w:tcPr>
          <w:p w14:paraId="0B2FB1A2" w14:textId="77777777" w:rsidR="007F1775" w:rsidRDefault="007F1775">
            <w:pPr>
              <w:rPr>
                <w:rFonts w:ascii="宋体"/>
              </w:rPr>
            </w:pPr>
          </w:p>
        </w:tc>
        <w:tc>
          <w:tcPr>
            <w:tcW w:w="20" w:type="dxa"/>
            <w:shd w:val="clear" w:color="auto" w:fill="auto"/>
            <w:vAlign w:val="bottom"/>
          </w:tcPr>
          <w:p w14:paraId="0B2FB1A3" w14:textId="77777777" w:rsidR="007F1775" w:rsidRDefault="007F1775">
            <w:pPr>
              <w:rPr>
                <w:rFonts w:ascii="宋体"/>
              </w:rPr>
            </w:pPr>
          </w:p>
        </w:tc>
        <w:tc>
          <w:tcPr>
            <w:tcW w:w="20" w:type="dxa"/>
            <w:shd w:val="clear" w:color="auto" w:fill="auto"/>
            <w:vAlign w:val="bottom"/>
          </w:tcPr>
          <w:p w14:paraId="0B2FB1A4" w14:textId="77777777" w:rsidR="007F1775" w:rsidRDefault="007F1775">
            <w:pPr>
              <w:rPr>
                <w:rFonts w:ascii="宋体"/>
              </w:rPr>
            </w:pPr>
          </w:p>
        </w:tc>
        <w:tc>
          <w:tcPr>
            <w:tcW w:w="425" w:type="dxa"/>
            <w:shd w:val="clear" w:color="auto" w:fill="auto"/>
            <w:vAlign w:val="bottom"/>
          </w:tcPr>
          <w:p w14:paraId="0B2FB1A5" w14:textId="77777777" w:rsidR="007F1775" w:rsidRDefault="007F1775">
            <w:pPr>
              <w:rPr>
                <w:rFonts w:ascii="宋体"/>
              </w:rPr>
            </w:pPr>
          </w:p>
        </w:tc>
        <w:tc>
          <w:tcPr>
            <w:tcW w:w="20" w:type="dxa"/>
            <w:shd w:val="clear" w:color="auto" w:fill="auto"/>
            <w:vAlign w:val="bottom"/>
          </w:tcPr>
          <w:p w14:paraId="0B2FB1A6" w14:textId="77777777" w:rsidR="007F1775" w:rsidRDefault="007F1775">
            <w:pPr>
              <w:rPr>
                <w:rFonts w:ascii="宋体"/>
              </w:rPr>
            </w:pPr>
          </w:p>
        </w:tc>
        <w:tc>
          <w:tcPr>
            <w:tcW w:w="20" w:type="dxa"/>
            <w:shd w:val="clear" w:color="auto" w:fill="auto"/>
            <w:vAlign w:val="bottom"/>
          </w:tcPr>
          <w:p w14:paraId="0B2FB1A7" w14:textId="77777777" w:rsidR="007F1775" w:rsidRDefault="007F1775">
            <w:pPr>
              <w:rPr>
                <w:rFonts w:ascii="宋体"/>
              </w:rPr>
            </w:pPr>
          </w:p>
        </w:tc>
        <w:tc>
          <w:tcPr>
            <w:tcW w:w="425" w:type="dxa"/>
            <w:shd w:val="clear" w:color="auto" w:fill="auto"/>
            <w:vAlign w:val="bottom"/>
          </w:tcPr>
          <w:p w14:paraId="0B2FB1A8" w14:textId="77777777" w:rsidR="007F1775" w:rsidRDefault="007F1775">
            <w:pPr>
              <w:rPr>
                <w:rFonts w:ascii="宋体"/>
              </w:rPr>
            </w:pPr>
          </w:p>
        </w:tc>
        <w:tc>
          <w:tcPr>
            <w:tcW w:w="20" w:type="dxa"/>
            <w:shd w:val="clear" w:color="auto" w:fill="auto"/>
            <w:vAlign w:val="bottom"/>
          </w:tcPr>
          <w:p w14:paraId="0B2FB1A9" w14:textId="77777777" w:rsidR="007F1775" w:rsidRDefault="007F1775">
            <w:pPr>
              <w:rPr>
                <w:rFonts w:ascii="宋体"/>
              </w:rPr>
            </w:pPr>
          </w:p>
        </w:tc>
        <w:tc>
          <w:tcPr>
            <w:tcW w:w="20" w:type="dxa"/>
            <w:shd w:val="clear" w:color="auto" w:fill="auto"/>
            <w:vAlign w:val="bottom"/>
          </w:tcPr>
          <w:p w14:paraId="0B2FB1AA" w14:textId="77777777" w:rsidR="007F1775" w:rsidRDefault="007F1775">
            <w:pPr>
              <w:rPr>
                <w:rFonts w:ascii="宋体"/>
              </w:rPr>
            </w:pPr>
          </w:p>
        </w:tc>
        <w:tc>
          <w:tcPr>
            <w:tcW w:w="425" w:type="dxa"/>
            <w:shd w:val="clear" w:color="auto" w:fill="auto"/>
            <w:vAlign w:val="bottom"/>
          </w:tcPr>
          <w:p w14:paraId="0B2FB1AB" w14:textId="77777777" w:rsidR="007F1775" w:rsidRDefault="007F1775">
            <w:pPr>
              <w:rPr>
                <w:rFonts w:ascii="宋体"/>
              </w:rPr>
            </w:pPr>
          </w:p>
        </w:tc>
        <w:tc>
          <w:tcPr>
            <w:tcW w:w="20" w:type="dxa"/>
            <w:shd w:val="clear" w:color="auto" w:fill="auto"/>
            <w:vAlign w:val="bottom"/>
          </w:tcPr>
          <w:p w14:paraId="0B2FB1AC" w14:textId="77777777" w:rsidR="007F1775" w:rsidRDefault="007F1775">
            <w:pPr>
              <w:rPr>
                <w:rFonts w:ascii="宋体"/>
              </w:rPr>
            </w:pPr>
          </w:p>
        </w:tc>
        <w:tc>
          <w:tcPr>
            <w:tcW w:w="20" w:type="dxa"/>
            <w:shd w:val="clear" w:color="auto" w:fill="auto"/>
            <w:vAlign w:val="bottom"/>
          </w:tcPr>
          <w:p w14:paraId="0B2FB1AD" w14:textId="77777777" w:rsidR="007F1775" w:rsidRDefault="007F1775">
            <w:pPr>
              <w:rPr>
                <w:rFonts w:ascii="宋体"/>
              </w:rPr>
            </w:pPr>
          </w:p>
        </w:tc>
        <w:tc>
          <w:tcPr>
            <w:tcW w:w="425" w:type="dxa"/>
            <w:shd w:val="clear" w:color="auto" w:fill="auto"/>
            <w:vAlign w:val="bottom"/>
          </w:tcPr>
          <w:p w14:paraId="0B2FB1AE" w14:textId="77777777" w:rsidR="007F1775" w:rsidRDefault="007F1775">
            <w:pPr>
              <w:rPr>
                <w:rFonts w:ascii="宋体"/>
              </w:rPr>
            </w:pPr>
          </w:p>
        </w:tc>
        <w:tc>
          <w:tcPr>
            <w:tcW w:w="20" w:type="dxa"/>
            <w:shd w:val="clear" w:color="auto" w:fill="auto"/>
            <w:vAlign w:val="bottom"/>
          </w:tcPr>
          <w:p w14:paraId="0B2FB1AF" w14:textId="77777777" w:rsidR="007F1775" w:rsidRDefault="007F1775">
            <w:pPr>
              <w:rPr>
                <w:rFonts w:ascii="宋体"/>
              </w:rPr>
            </w:pPr>
          </w:p>
        </w:tc>
        <w:tc>
          <w:tcPr>
            <w:tcW w:w="20" w:type="dxa"/>
            <w:shd w:val="clear" w:color="auto" w:fill="auto"/>
            <w:vAlign w:val="bottom"/>
          </w:tcPr>
          <w:p w14:paraId="0B2FB1B0" w14:textId="77777777" w:rsidR="007F1775" w:rsidRDefault="007F1775">
            <w:pPr>
              <w:rPr>
                <w:rFonts w:ascii="宋体"/>
              </w:rPr>
            </w:pPr>
          </w:p>
        </w:tc>
        <w:tc>
          <w:tcPr>
            <w:tcW w:w="425" w:type="dxa"/>
            <w:shd w:val="clear" w:color="auto" w:fill="auto"/>
            <w:vAlign w:val="bottom"/>
          </w:tcPr>
          <w:p w14:paraId="0B2FB1B1" w14:textId="77777777" w:rsidR="007F1775" w:rsidRDefault="007F1775">
            <w:pPr>
              <w:rPr>
                <w:rFonts w:ascii="宋体"/>
              </w:rPr>
            </w:pPr>
          </w:p>
        </w:tc>
        <w:tc>
          <w:tcPr>
            <w:tcW w:w="20" w:type="dxa"/>
            <w:shd w:val="clear" w:color="auto" w:fill="auto"/>
            <w:vAlign w:val="bottom"/>
          </w:tcPr>
          <w:p w14:paraId="0B2FB1B2" w14:textId="77777777" w:rsidR="007F1775" w:rsidRDefault="007F1775">
            <w:pPr>
              <w:rPr>
                <w:rFonts w:ascii="宋体"/>
              </w:rPr>
            </w:pPr>
          </w:p>
        </w:tc>
        <w:tc>
          <w:tcPr>
            <w:tcW w:w="20" w:type="dxa"/>
            <w:shd w:val="clear" w:color="auto" w:fill="auto"/>
            <w:vAlign w:val="bottom"/>
          </w:tcPr>
          <w:p w14:paraId="0B2FB1B3" w14:textId="77777777" w:rsidR="007F1775" w:rsidRDefault="007F1775">
            <w:pPr>
              <w:rPr>
                <w:rFonts w:ascii="宋体"/>
              </w:rPr>
            </w:pPr>
          </w:p>
        </w:tc>
        <w:tc>
          <w:tcPr>
            <w:tcW w:w="425" w:type="dxa"/>
            <w:shd w:val="clear" w:color="auto" w:fill="auto"/>
            <w:vAlign w:val="bottom"/>
          </w:tcPr>
          <w:p w14:paraId="0B2FB1B4" w14:textId="77777777" w:rsidR="007F1775" w:rsidRDefault="007F1775">
            <w:pPr>
              <w:rPr>
                <w:rFonts w:ascii="宋体"/>
              </w:rPr>
            </w:pPr>
          </w:p>
        </w:tc>
        <w:tc>
          <w:tcPr>
            <w:tcW w:w="20" w:type="dxa"/>
            <w:shd w:val="clear" w:color="auto" w:fill="auto"/>
            <w:vAlign w:val="bottom"/>
          </w:tcPr>
          <w:p w14:paraId="0B2FB1B5" w14:textId="77777777" w:rsidR="007F1775" w:rsidRDefault="007F1775">
            <w:pPr>
              <w:rPr>
                <w:rFonts w:ascii="宋体"/>
              </w:rPr>
            </w:pPr>
          </w:p>
        </w:tc>
        <w:tc>
          <w:tcPr>
            <w:tcW w:w="20" w:type="dxa"/>
            <w:shd w:val="clear" w:color="auto" w:fill="auto"/>
            <w:vAlign w:val="bottom"/>
          </w:tcPr>
          <w:p w14:paraId="0B2FB1B6" w14:textId="77777777" w:rsidR="007F1775" w:rsidRDefault="007F1775">
            <w:pPr>
              <w:rPr>
                <w:rFonts w:ascii="宋体"/>
              </w:rPr>
            </w:pPr>
          </w:p>
        </w:tc>
        <w:tc>
          <w:tcPr>
            <w:tcW w:w="425" w:type="dxa"/>
            <w:shd w:val="clear" w:color="auto" w:fill="auto"/>
            <w:vAlign w:val="bottom"/>
          </w:tcPr>
          <w:p w14:paraId="0B2FB1B7" w14:textId="77777777" w:rsidR="007F1775" w:rsidRDefault="007F1775">
            <w:pPr>
              <w:rPr>
                <w:rFonts w:ascii="宋体"/>
              </w:rPr>
            </w:pPr>
          </w:p>
        </w:tc>
        <w:tc>
          <w:tcPr>
            <w:tcW w:w="20" w:type="dxa"/>
            <w:shd w:val="clear" w:color="auto" w:fill="auto"/>
            <w:vAlign w:val="bottom"/>
          </w:tcPr>
          <w:p w14:paraId="0B2FB1B8" w14:textId="77777777" w:rsidR="007F1775" w:rsidRDefault="007F1775">
            <w:pPr>
              <w:rPr>
                <w:rFonts w:ascii="宋体"/>
              </w:rPr>
            </w:pPr>
          </w:p>
        </w:tc>
        <w:tc>
          <w:tcPr>
            <w:tcW w:w="20" w:type="dxa"/>
            <w:shd w:val="clear" w:color="auto" w:fill="auto"/>
            <w:vAlign w:val="bottom"/>
          </w:tcPr>
          <w:p w14:paraId="0B2FB1B9" w14:textId="77777777" w:rsidR="007F1775" w:rsidRDefault="007F1775">
            <w:pPr>
              <w:rPr>
                <w:rFonts w:ascii="宋体"/>
              </w:rPr>
            </w:pPr>
          </w:p>
        </w:tc>
        <w:tc>
          <w:tcPr>
            <w:tcW w:w="425" w:type="dxa"/>
            <w:shd w:val="clear" w:color="auto" w:fill="auto"/>
            <w:vAlign w:val="bottom"/>
          </w:tcPr>
          <w:p w14:paraId="0B2FB1BA" w14:textId="77777777" w:rsidR="007F1775" w:rsidRDefault="007F1775">
            <w:pPr>
              <w:rPr>
                <w:rFonts w:ascii="宋体"/>
              </w:rPr>
            </w:pPr>
          </w:p>
        </w:tc>
        <w:tc>
          <w:tcPr>
            <w:tcW w:w="20" w:type="dxa"/>
            <w:shd w:val="clear" w:color="auto" w:fill="auto"/>
            <w:vAlign w:val="bottom"/>
          </w:tcPr>
          <w:p w14:paraId="0B2FB1BB" w14:textId="77777777" w:rsidR="007F1775" w:rsidRDefault="007F1775">
            <w:pPr>
              <w:rPr>
                <w:rFonts w:ascii="宋体"/>
              </w:rPr>
            </w:pPr>
          </w:p>
        </w:tc>
        <w:tc>
          <w:tcPr>
            <w:tcW w:w="20" w:type="dxa"/>
            <w:shd w:val="clear" w:color="auto" w:fill="auto"/>
            <w:vAlign w:val="bottom"/>
          </w:tcPr>
          <w:p w14:paraId="0B2FB1BC" w14:textId="77777777" w:rsidR="007F1775" w:rsidRDefault="007F1775">
            <w:pPr>
              <w:rPr>
                <w:rFonts w:ascii="宋体"/>
              </w:rPr>
            </w:pPr>
          </w:p>
        </w:tc>
        <w:tc>
          <w:tcPr>
            <w:tcW w:w="725" w:type="dxa"/>
            <w:shd w:val="clear" w:color="auto" w:fill="auto"/>
            <w:vAlign w:val="bottom"/>
          </w:tcPr>
          <w:p w14:paraId="0B2FB1BD" w14:textId="77777777" w:rsidR="007F1775" w:rsidRDefault="007F1775">
            <w:pPr>
              <w:rPr>
                <w:rFonts w:ascii="宋体"/>
              </w:rPr>
            </w:pPr>
          </w:p>
        </w:tc>
        <w:tc>
          <w:tcPr>
            <w:tcW w:w="20" w:type="dxa"/>
            <w:shd w:val="clear" w:color="auto" w:fill="auto"/>
            <w:vAlign w:val="bottom"/>
          </w:tcPr>
          <w:p w14:paraId="0B2FB1BE" w14:textId="77777777" w:rsidR="007F1775" w:rsidRDefault="007F1775">
            <w:pPr>
              <w:rPr>
                <w:rFonts w:ascii="宋体"/>
              </w:rPr>
            </w:pPr>
          </w:p>
        </w:tc>
        <w:tc>
          <w:tcPr>
            <w:tcW w:w="20" w:type="dxa"/>
            <w:shd w:val="clear" w:color="auto" w:fill="auto"/>
            <w:vAlign w:val="bottom"/>
          </w:tcPr>
          <w:p w14:paraId="0B2FB1BF" w14:textId="77777777" w:rsidR="007F1775" w:rsidRDefault="007F1775">
            <w:pPr>
              <w:rPr>
                <w:rFonts w:ascii="宋体"/>
              </w:rPr>
            </w:pPr>
          </w:p>
        </w:tc>
        <w:tc>
          <w:tcPr>
            <w:tcW w:w="425" w:type="dxa"/>
            <w:shd w:val="clear" w:color="auto" w:fill="auto"/>
            <w:vAlign w:val="bottom"/>
          </w:tcPr>
          <w:p w14:paraId="0B2FB1C0" w14:textId="77777777" w:rsidR="007F1775" w:rsidRDefault="007F1775">
            <w:pPr>
              <w:rPr>
                <w:rFonts w:ascii="宋体"/>
              </w:rPr>
            </w:pPr>
          </w:p>
        </w:tc>
        <w:tc>
          <w:tcPr>
            <w:tcW w:w="20" w:type="dxa"/>
            <w:shd w:val="clear" w:color="auto" w:fill="auto"/>
            <w:vAlign w:val="bottom"/>
          </w:tcPr>
          <w:p w14:paraId="0B2FB1C1" w14:textId="77777777" w:rsidR="007F1775" w:rsidRDefault="007F1775">
            <w:pPr>
              <w:rPr>
                <w:rFonts w:ascii="宋体"/>
              </w:rPr>
            </w:pPr>
          </w:p>
        </w:tc>
        <w:tc>
          <w:tcPr>
            <w:tcW w:w="20" w:type="dxa"/>
            <w:shd w:val="clear" w:color="auto" w:fill="auto"/>
            <w:vAlign w:val="bottom"/>
          </w:tcPr>
          <w:p w14:paraId="0B2FB1C2" w14:textId="77777777" w:rsidR="007F1775" w:rsidRDefault="007F1775">
            <w:pPr>
              <w:rPr>
                <w:rFonts w:ascii="宋体"/>
              </w:rPr>
            </w:pPr>
          </w:p>
        </w:tc>
        <w:tc>
          <w:tcPr>
            <w:tcW w:w="425" w:type="dxa"/>
            <w:shd w:val="clear" w:color="auto" w:fill="auto"/>
            <w:vAlign w:val="bottom"/>
          </w:tcPr>
          <w:p w14:paraId="0B2FB1C3" w14:textId="77777777" w:rsidR="007F1775" w:rsidRDefault="007F1775">
            <w:pPr>
              <w:rPr>
                <w:rFonts w:ascii="宋体"/>
              </w:rPr>
            </w:pPr>
          </w:p>
        </w:tc>
        <w:tc>
          <w:tcPr>
            <w:tcW w:w="20" w:type="dxa"/>
            <w:shd w:val="clear" w:color="auto" w:fill="auto"/>
            <w:vAlign w:val="bottom"/>
          </w:tcPr>
          <w:p w14:paraId="0B2FB1C4" w14:textId="77777777" w:rsidR="007F1775" w:rsidRDefault="007F1775">
            <w:pPr>
              <w:rPr>
                <w:rFonts w:ascii="宋体"/>
              </w:rPr>
            </w:pPr>
          </w:p>
        </w:tc>
        <w:tc>
          <w:tcPr>
            <w:tcW w:w="20" w:type="dxa"/>
            <w:shd w:val="clear" w:color="auto" w:fill="auto"/>
            <w:vAlign w:val="bottom"/>
          </w:tcPr>
          <w:p w14:paraId="0B2FB1C5" w14:textId="77777777" w:rsidR="007F1775" w:rsidRDefault="007F1775">
            <w:pPr>
              <w:rPr>
                <w:rFonts w:ascii="宋体"/>
              </w:rPr>
            </w:pPr>
          </w:p>
        </w:tc>
        <w:tc>
          <w:tcPr>
            <w:tcW w:w="425" w:type="dxa"/>
            <w:shd w:val="clear" w:color="auto" w:fill="auto"/>
            <w:vAlign w:val="bottom"/>
          </w:tcPr>
          <w:p w14:paraId="0B2FB1C6" w14:textId="77777777" w:rsidR="007F1775" w:rsidRDefault="007F1775">
            <w:pPr>
              <w:rPr>
                <w:rFonts w:ascii="宋体"/>
              </w:rPr>
            </w:pPr>
          </w:p>
        </w:tc>
        <w:tc>
          <w:tcPr>
            <w:tcW w:w="20" w:type="dxa"/>
            <w:shd w:val="clear" w:color="auto" w:fill="auto"/>
            <w:vAlign w:val="bottom"/>
          </w:tcPr>
          <w:p w14:paraId="0B2FB1C7" w14:textId="77777777" w:rsidR="007F1775" w:rsidRDefault="007F1775">
            <w:pPr>
              <w:rPr>
                <w:rFonts w:ascii="宋体"/>
              </w:rPr>
            </w:pPr>
          </w:p>
        </w:tc>
        <w:tc>
          <w:tcPr>
            <w:tcW w:w="20" w:type="dxa"/>
            <w:shd w:val="clear" w:color="auto" w:fill="auto"/>
            <w:vAlign w:val="bottom"/>
          </w:tcPr>
          <w:p w14:paraId="0B2FB1C8" w14:textId="77777777" w:rsidR="007F1775" w:rsidRDefault="007F1775">
            <w:pPr>
              <w:rPr>
                <w:rFonts w:ascii="宋体"/>
              </w:rPr>
            </w:pPr>
          </w:p>
        </w:tc>
        <w:tc>
          <w:tcPr>
            <w:tcW w:w="425" w:type="dxa"/>
            <w:shd w:val="clear" w:color="auto" w:fill="auto"/>
            <w:vAlign w:val="bottom"/>
          </w:tcPr>
          <w:p w14:paraId="0B2FB1C9" w14:textId="77777777" w:rsidR="007F1775" w:rsidRDefault="007F1775">
            <w:pPr>
              <w:rPr>
                <w:rFonts w:ascii="宋体"/>
              </w:rPr>
            </w:pPr>
          </w:p>
        </w:tc>
        <w:tc>
          <w:tcPr>
            <w:tcW w:w="20" w:type="dxa"/>
            <w:shd w:val="clear" w:color="auto" w:fill="auto"/>
            <w:vAlign w:val="bottom"/>
          </w:tcPr>
          <w:p w14:paraId="0B2FB1CA" w14:textId="77777777" w:rsidR="007F1775" w:rsidRDefault="007F1775">
            <w:pPr>
              <w:rPr>
                <w:rFonts w:ascii="宋体"/>
              </w:rPr>
            </w:pPr>
          </w:p>
        </w:tc>
        <w:tc>
          <w:tcPr>
            <w:tcW w:w="20" w:type="dxa"/>
            <w:shd w:val="clear" w:color="auto" w:fill="auto"/>
            <w:vAlign w:val="bottom"/>
          </w:tcPr>
          <w:p w14:paraId="0B2FB1CB" w14:textId="77777777" w:rsidR="007F1775" w:rsidRDefault="007F1775">
            <w:pPr>
              <w:rPr>
                <w:rFonts w:ascii="宋体"/>
              </w:rPr>
            </w:pPr>
          </w:p>
        </w:tc>
        <w:tc>
          <w:tcPr>
            <w:tcW w:w="425" w:type="dxa"/>
            <w:shd w:val="clear" w:color="auto" w:fill="auto"/>
            <w:vAlign w:val="bottom"/>
          </w:tcPr>
          <w:p w14:paraId="0B2FB1CC" w14:textId="77777777" w:rsidR="007F1775" w:rsidRDefault="007F1775">
            <w:pPr>
              <w:rPr>
                <w:rFonts w:ascii="宋体"/>
              </w:rPr>
            </w:pPr>
          </w:p>
        </w:tc>
        <w:tc>
          <w:tcPr>
            <w:tcW w:w="20" w:type="dxa"/>
            <w:shd w:val="clear" w:color="auto" w:fill="auto"/>
            <w:vAlign w:val="bottom"/>
          </w:tcPr>
          <w:p w14:paraId="0B2FB1CD" w14:textId="77777777" w:rsidR="007F1775" w:rsidRDefault="007F1775">
            <w:pPr>
              <w:rPr>
                <w:rFonts w:ascii="宋体"/>
              </w:rPr>
            </w:pPr>
          </w:p>
        </w:tc>
        <w:tc>
          <w:tcPr>
            <w:tcW w:w="20" w:type="dxa"/>
            <w:shd w:val="clear" w:color="auto" w:fill="auto"/>
            <w:vAlign w:val="bottom"/>
          </w:tcPr>
          <w:p w14:paraId="0B2FB1CE" w14:textId="77777777" w:rsidR="007F1775" w:rsidRDefault="007F1775">
            <w:pPr>
              <w:rPr>
                <w:rFonts w:ascii="宋体"/>
              </w:rPr>
            </w:pPr>
          </w:p>
        </w:tc>
        <w:tc>
          <w:tcPr>
            <w:tcW w:w="425" w:type="dxa"/>
            <w:shd w:val="clear" w:color="auto" w:fill="auto"/>
            <w:vAlign w:val="bottom"/>
          </w:tcPr>
          <w:p w14:paraId="0B2FB1CF" w14:textId="77777777" w:rsidR="007F1775" w:rsidRDefault="007F1775">
            <w:pPr>
              <w:rPr>
                <w:rFonts w:ascii="宋体"/>
              </w:rPr>
            </w:pPr>
          </w:p>
        </w:tc>
        <w:tc>
          <w:tcPr>
            <w:tcW w:w="20" w:type="dxa"/>
            <w:shd w:val="clear" w:color="auto" w:fill="auto"/>
            <w:vAlign w:val="bottom"/>
          </w:tcPr>
          <w:p w14:paraId="0B2FB1D0" w14:textId="77777777" w:rsidR="007F1775" w:rsidRDefault="007F1775">
            <w:pPr>
              <w:rPr>
                <w:rFonts w:ascii="宋体"/>
              </w:rPr>
            </w:pPr>
          </w:p>
        </w:tc>
        <w:tc>
          <w:tcPr>
            <w:tcW w:w="20" w:type="dxa"/>
            <w:shd w:val="clear" w:color="auto" w:fill="auto"/>
            <w:vAlign w:val="bottom"/>
          </w:tcPr>
          <w:p w14:paraId="0B2FB1D1" w14:textId="77777777" w:rsidR="007F1775" w:rsidRDefault="007F1775">
            <w:pPr>
              <w:rPr>
                <w:rFonts w:ascii="宋体"/>
              </w:rPr>
            </w:pPr>
          </w:p>
        </w:tc>
        <w:tc>
          <w:tcPr>
            <w:tcW w:w="425" w:type="dxa"/>
            <w:shd w:val="clear" w:color="auto" w:fill="auto"/>
            <w:vAlign w:val="bottom"/>
          </w:tcPr>
          <w:p w14:paraId="0B2FB1D2" w14:textId="77777777" w:rsidR="007F1775" w:rsidRDefault="007F1775">
            <w:pPr>
              <w:rPr>
                <w:rFonts w:ascii="宋体"/>
              </w:rPr>
            </w:pPr>
          </w:p>
        </w:tc>
        <w:tc>
          <w:tcPr>
            <w:tcW w:w="20" w:type="dxa"/>
            <w:shd w:val="clear" w:color="auto" w:fill="auto"/>
            <w:vAlign w:val="bottom"/>
          </w:tcPr>
          <w:p w14:paraId="0B2FB1D3" w14:textId="77777777" w:rsidR="007F1775" w:rsidRDefault="007F1775">
            <w:pPr>
              <w:rPr>
                <w:rFonts w:ascii="宋体"/>
              </w:rPr>
            </w:pPr>
          </w:p>
        </w:tc>
        <w:tc>
          <w:tcPr>
            <w:tcW w:w="20" w:type="dxa"/>
            <w:shd w:val="clear" w:color="auto" w:fill="auto"/>
            <w:vAlign w:val="bottom"/>
          </w:tcPr>
          <w:p w14:paraId="0B2FB1D4" w14:textId="77777777" w:rsidR="007F1775" w:rsidRDefault="007F1775">
            <w:pPr>
              <w:rPr>
                <w:rFonts w:ascii="宋体"/>
              </w:rPr>
            </w:pPr>
          </w:p>
        </w:tc>
        <w:tc>
          <w:tcPr>
            <w:tcW w:w="425" w:type="dxa"/>
            <w:shd w:val="clear" w:color="auto" w:fill="auto"/>
            <w:vAlign w:val="bottom"/>
          </w:tcPr>
          <w:p w14:paraId="0B2FB1D5" w14:textId="77777777" w:rsidR="007F1775" w:rsidRDefault="007F1775">
            <w:pPr>
              <w:rPr>
                <w:rFonts w:ascii="宋体"/>
              </w:rPr>
            </w:pPr>
          </w:p>
        </w:tc>
        <w:tc>
          <w:tcPr>
            <w:tcW w:w="20" w:type="dxa"/>
            <w:shd w:val="clear" w:color="auto" w:fill="auto"/>
            <w:vAlign w:val="bottom"/>
          </w:tcPr>
          <w:p w14:paraId="0B2FB1D6" w14:textId="77777777" w:rsidR="007F1775" w:rsidRDefault="007F1775">
            <w:pPr>
              <w:rPr>
                <w:rFonts w:ascii="宋体"/>
              </w:rPr>
            </w:pPr>
          </w:p>
        </w:tc>
        <w:tc>
          <w:tcPr>
            <w:tcW w:w="20" w:type="dxa"/>
            <w:shd w:val="clear" w:color="auto" w:fill="auto"/>
            <w:vAlign w:val="bottom"/>
          </w:tcPr>
          <w:p w14:paraId="0B2FB1D7" w14:textId="77777777" w:rsidR="007F1775" w:rsidRDefault="007F1775">
            <w:pPr>
              <w:rPr>
                <w:rFonts w:ascii="宋体"/>
              </w:rPr>
            </w:pPr>
          </w:p>
        </w:tc>
        <w:tc>
          <w:tcPr>
            <w:tcW w:w="425" w:type="dxa"/>
            <w:shd w:val="clear" w:color="auto" w:fill="auto"/>
            <w:vAlign w:val="bottom"/>
          </w:tcPr>
          <w:p w14:paraId="0B2FB1D8" w14:textId="77777777" w:rsidR="007F1775" w:rsidRDefault="007F1775">
            <w:pPr>
              <w:rPr>
                <w:rFonts w:ascii="宋体"/>
              </w:rPr>
            </w:pPr>
          </w:p>
        </w:tc>
        <w:tc>
          <w:tcPr>
            <w:tcW w:w="20" w:type="dxa"/>
            <w:shd w:val="clear" w:color="auto" w:fill="auto"/>
            <w:vAlign w:val="bottom"/>
          </w:tcPr>
          <w:p w14:paraId="0B2FB1D9" w14:textId="77777777" w:rsidR="007F1775" w:rsidRDefault="007F1775">
            <w:pPr>
              <w:rPr>
                <w:rFonts w:ascii="宋体"/>
              </w:rPr>
            </w:pPr>
          </w:p>
        </w:tc>
      </w:tr>
      <w:tr w:rsidR="007F1775" w14:paraId="0B2FB1EF" w14:textId="77777777">
        <w:trPr>
          <w:trHeight w:val="220"/>
          <w:jc w:val="center"/>
        </w:trPr>
        <w:tc>
          <w:tcPr>
            <w:tcW w:w="0" w:type="auto"/>
            <w:gridSpan w:val="3"/>
            <w:shd w:val="clear" w:color="auto" w:fill="auto"/>
            <w:tcMar>
              <w:top w:w="40" w:type="dxa"/>
              <w:left w:w="20" w:type="dxa"/>
              <w:bottom w:w="40" w:type="dxa"/>
              <w:right w:w="20" w:type="dxa"/>
            </w:tcMar>
            <w:vAlign w:val="center"/>
          </w:tcPr>
          <w:p w14:paraId="0B2FB1DB" w14:textId="77777777" w:rsidR="007F1775" w:rsidRDefault="000F083E">
            <w:pP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0B2FB1DC" w14:textId="77777777" w:rsidR="007F1775" w:rsidRDefault="000F083E">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0B2FB1DD" w14:textId="77777777" w:rsidR="007F1775" w:rsidRDefault="000F083E">
            <w:pPr>
              <w:textAlignment w:val="center"/>
            </w:pPr>
            <w:r>
              <w:rPr>
                <w:rFonts w:ascii="sans-serif" w:eastAsia="宋体" w:hAnsi="sans-serif" w:cs="sans-serif"/>
                <w:color w:val="000000"/>
                <w:sz w:val="16"/>
                <w:szCs w:val="16"/>
              </w:rPr>
              <w:t>61%</w:t>
            </w:r>
          </w:p>
        </w:tc>
        <w:tc>
          <w:tcPr>
            <w:tcW w:w="0" w:type="auto"/>
            <w:gridSpan w:val="3"/>
            <w:shd w:val="clear" w:color="auto" w:fill="auto"/>
            <w:tcMar>
              <w:top w:w="40" w:type="dxa"/>
              <w:left w:w="20" w:type="dxa"/>
              <w:bottom w:w="40" w:type="dxa"/>
              <w:right w:w="20" w:type="dxa"/>
            </w:tcMar>
            <w:vAlign w:val="center"/>
          </w:tcPr>
          <w:p w14:paraId="0B2FB1DE" w14:textId="77777777" w:rsidR="007F1775" w:rsidRDefault="000F083E">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0B2FB1DF" w14:textId="77777777" w:rsidR="007F1775" w:rsidRDefault="000F083E">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0B2FB1E0" w14:textId="77777777" w:rsidR="007F1775" w:rsidRDefault="000F083E">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0B2FB1E1" w14:textId="77777777" w:rsidR="007F1775" w:rsidRDefault="000F083E">
            <w:pPr>
              <w:textAlignment w:val="center"/>
            </w:pPr>
            <w:r>
              <w:rPr>
                <w:rFonts w:ascii="sans-serif" w:eastAsia="宋体" w:hAnsi="sans-serif" w:cs="sans-serif"/>
                <w:color w:val="000000"/>
                <w:sz w:val="16"/>
                <w:szCs w:val="16"/>
              </w:rPr>
              <w:t>62%</w:t>
            </w:r>
          </w:p>
        </w:tc>
        <w:tc>
          <w:tcPr>
            <w:tcW w:w="0" w:type="auto"/>
            <w:gridSpan w:val="3"/>
            <w:shd w:val="clear" w:color="auto" w:fill="auto"/>
            <w:tcMar>
              <w:top w:w="40" w:type="dxa"/>
              <w:left w:w="20" w:type="dxa"/>
              <w:bottom w:w="40" w:type="dxa"/>
              <w:right w:w="20" w:type="dxa"/>
            </w:tcMar>
            <w:vAlign w:val="center"/>
          </w:tcPr>
          <w:p w14:paraId="0B2FB1E2" w14:textId="77777777" w:rsidR="007F1775" w:rsidRDefault="000F083E">
            <w:pPr>
              <w:textAlignment w:val="center"/>
            </w:pPr>
            <w:r>
              <w:rPr>
                <w:rFonts w:ascii="sans-serif" w:eastAsia="宋体" w:hAnsi="sans-serif" w:cs="sans-serif"/>
                <w:color w:val="000000"/>
                <w:sz w:val="16"/>
                <w:szCs w:val="16"/>
              </w:rPr>
              <w:t>63%</w:t>
            </w:r>
          </w:p>
        </w:tc>
        <w:tc>
          <w:tcPr>
            <w:tcW w:w="0" w:type="auto"/>
            <w:gridSpan w:val="3"/>
            <w:shd w:val="clear" w:color="auto" w:fill="auto"/>
            <w:tcMar>
              <w:top w:w="40" w:type="dxa"/>
              <w:left w:w="20" w:type="dxa"/>
              <w:bottom w:w="40" w:type="dxa"/>
              <w:right w:w="20" w:type="dxa"/>
            </w:tcMar>
            <w:vAlign w:val="center"/>
          </w:tcPr>
          <w:p w14:paraId="0B2FB1E3" w14:textId="77777777" w:rsidR="007F1775" w:rsidRDefault="000F083E">
            <w:pPr>
              <w:textAlignment w:val="center"/>
            </w:pPr>
            <w:r>
              <w:rPr>
                <w:rFonts w:ascii="sans-serif" w:eastAsia="宋体" w:hAnsi="sans-serif" w:cs="sans-serif"/>
                <w:color w:val="000000"/>
                <w:sz w:val="16"/>
                <w:szCs w:val="16"/>
              </w:rPr>
              <w:t>63%</w:t>
            </w:r>
          </w:p>
        </w:tc>
        <w:tc>
          <w:tcPr>
            <w:tcW w:w="0" w:type="auto"/>
            <w:gridSpan w:val="3"/>
            <w:shd w:val="clear" w:color="auto" w:fill="auto"/>
            <w:tcMar>
              <w:top w:w="40" w:type="dxa"/>
              <w:left w:w="20" w:type="dxa"/>
              <w:bottom w:w="40" w:type="dxa"/>
              <w:right w:w="20" w:type="dxa"/>
            </w:tcMar>
            <w:vAlign w:val="center"/>
          </w:tcPr>
          <w:p w14:paraId="0B2FB1E4" w14:textId="77777777" w:rsidR="007F1775" w:rsidRDefault="000F083E">
            <w:pPr>
              <w:textAlignment w:val="center"/>
            </w:pPr>
            <w:r>
              <w:rPr>
                <w:rFonts w:ascii="sans-serif" w:eastAsia="宋体" w:hAnsi="sans-serif" w:cs="sans-serif"/>
                <w:color w:val="000000"/>
                <w:sz w:val="16"/>
                <w:szCs w:val="16"/>
              </w:rPr>
              <w:t>64%</w:t>
            </w:r>
          </w:p>
        </w:tc>
        <w:tc>
          <w:tcPr>
            <w:tcW w:w="0" w:type="auto"/>
            <w:gridSpan w:val="3"/>
            <w:shd w:val="clear" w:color="auto" w:fill="auto"/>
            <w:tcMar>
              <w:top w:w="40" w:type="dxa"/>
              <w:left w:w="20" w:type="dxa"/>
              <w:bottom w:w="40" w:type="dxa"/>
              <w:right w:w="20" w:type="dxa"/>
            </w:tcMar>
            <w:vAlign w:val="center"/>
          </w:tcPr>
          <w:p w14:paraId="0B2FB1E5" w14:textId="77777777" w:rsidR="007F1775" w:rsidRDefault="000F083E">
            <w:pPr>
              <w:jc w:val="center"/>
              <w:textAlignment w:val="center"/>
            </w:pPr>
            <w:r>
              <w:rPr>
                <w:rFonts w:ascii="sans-serif" w:eastAsia="宋体" w:hAnsi="sans-serif" w:cs="sans-serif"/>
                <w:color w:val="000000"/>
                <w:sz w:val="14"/>
                <w:szCs w:val="14"/>
              </w:rPr>
              <w:t>DAU/MAU:</w:t>
            </w:r>
          </w:p>
        </w:tc>
        <w:tc>
          <w:tcPr>
            <w:tcW w:w="0" w:type="auto"/>
            <w:gridSpan w:val="3"/>
            <w:shd w:val="clear" w:color="auto" w:fill="auto"/>
            <w:tcMar>
              <w:top w:w="40" w:type="dxa"/>
              <w:left w:w="20" w:type="dxa"/>
              <w:bottom w:w="40" w:type="dxa"/>
              <w:right w:w="20" w:type="dxa"/>
            </w:tcMar>
            <w:vAlign w:val="center"/>
          </w:tcPr>
          <w:p w14:paraId="0B2FB1E6" w14:textId="77777777" w:rsidR="007F1775" w:rsidRDefault="000F083E">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0B2FB1E7" w14:textId="77777777" w:rsidR="007F1775" w:rsidRDefault="000F083E">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0B2FB1E8" w14:textId="77777777" w:rsidR="007F1775" w:rsidRDefault="000F083E">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0B2FB1E9" w14:textId="77777777" w:rsidR="007F1775" w:rsidRDefault="000F083E">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0B2FB1EA" w14:textId="77777777" w:rsidR="007F1775" w:rsidRDefault="000F083E">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0B2FB1EB" w14:textId="77777777" w:rsidR="007F1775" w:rsidRDefault="000F083E">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0B2FB1EC" w14:textId="77777777" w:rsidR="007F1775" w:rsidRDefault="000F083E">
            <w:pPr>
              <w:textAlignment w:val="center"/>
            </w:pPr>
            <w:r>
              <w:rPr>
                <w:rFonts w:ascii="sans-serif" w:eastAsia="宋体" w:hAnsi="sans-serif" w:cs="sans-serif"/>
                <w:color w:val="000000"/>
                <w:sz w:val="16"/>
                <w:szCs w:val="16"/>
              </w:rPr>
              <w:t>66%</w:t>
            </w:r>
          </w:p>
        </w:tc>
        <w:tc>
          <w:tcPr>
            <w:tcW w:w="0" w:type="auto"/>
            <w:gridSpan w:val="3"/>
            <w:shd w:val="clear" w:color="auto" w:fill="auto"/>
            <w:tcMar>
              <w:top w:w="40" w:type="dxa"/>
              <w:left w:w="20" w:type="dxa"/>
              <w:bottom w:w="40" w:type="dxa"/>
              <w:right w:w="20" w:type="dxa"/>
            </w:tcMar>
            <w:vAlign w:val="center"/>
          </w:tcPr>
          <w:p w14:paraId="0B2FB1ED" w14:textId="77777777" w:rsidR="007F1775" w:rsidRDefault="000F083E">
            <w:pPr>
              <w:textAlignment w:val="center"/>
            </w:pPr>
            <w:r>
              <w:rPr>
                <w:rFonts w:ascii="sans-serif" w:eastAsia="宋体" w:hAnsi="sans-serif" w:cs="sans-serif"/>
                <w:color w:val="000000"/>
                <w:sz w:val="16"/>
                <w:szCs w:val="16"/>
              </w:rPr>
              <w:t>65%</w:t>
            </w:r>
          </w:p>
        </w:tc>
        <w:tc>
          <w:tcPr>
            <w:tcW w:w="0" w:type="auto"/>
            <w:gridSpan w:val="3"/>
            <w:shd w:val="clear" w:color="auto" w:fill="auto"/>
            <w:tcMar>
              <w:top w:w="40" w:type="dxa"/>
              <w:left w:w="20" w:type="dxa"/>
              <w:bottom w:w="40" w:type="dxa"/>
              <w:right w:w="20" w:type="dxa"/>
            </w:tcMar>
            <w:vAlign w:val="center"/>
          </w:tcPr>
          <w:p w14:paraId="0B2FB1EE" w14:textId="77777777" w:rsidR="007F1775" w:rsidRDefault="000F083E">
            <w:pPr>
              <w:textAlignment w:val="center"/>
            </w:pPr>
            <w:r>
              <w:rPr>
                <w:rFonts w:ascii="sans-serif" w:eastAsia="宋体" w:hAnsi="sans-serif" w:cs="sans-serif"/>
                <w:color w:val="000000"/>
                <w:sz w:val="16"/>
                <w:szCs w:val="16"/>
              </w:rPr>
              <w:t>66%</w:t>
            </w:r>
          </w:p>
        </w:tc>
      </w:tr>
    </w:tbl>
    <w:p w14:paraId="0B2FB1F0" w14:textId="77777777" w:rsidR="007F1775" w:rsidRDefault="007F1775">
      <w:pPr>
        <w:pBdr>
          <w:left w:val="none" w:sz="0" w:space="0" w:color="auto"/>
        </w:pBdr>
      </w:pPr>
    </w:p>
    <w:p w14:paraId="0B2FB1F1" w14:textId="77777777" w:rsidR="007F1775" w:rsidRDefault="000F083E">
      <w:pPr>
        <w:pBdr>
          <w:left w:val="none" w:sz="0" w:space="0" w:color="auto"/>
        </w:pBdr>
        <w:jc w:val="both"/>
      </w:pPr>
      <w:r>
        <w:rPr>
          <w:rFonts w:ascii="Times New Roman" w:eastAsia="宋体" w:hAnsi="Times New Roman"/>
          <w:i/>
          <w:iCs/>
          <w:color w:val="000000"/>
          <w:sz w:val="16"/>
          <w:szCs w:val="16"/>
        </w:rPr>
        <w:t xml:space="preserve">Note: For purposes of reporting DAUs, MAUs, and ARPU by geographic region, Europe includes all users in Russia and Turkey and Rest of World includes all users in Africa, Latin America, and the Middle East. </w:t>
      </w:r>
    </w:p>
    <w:p w14:paraId="0B2FB1F2" w14:textId="77777777" w:rsidR="007F1775" w:rsidRDefault="000F083E">
      <w:pPr>
        <w:jc w:val="center"/>
      </w:pPr>
      <w:r>
        <w:rPr>
          <w:rFonts w:ascii="Times New Roman" w:eastAsia="宋体" w:hAnsi="Times New Roman"/>
          <w:color w:val="000000"/>
          <w:sz w:val="20"/>
          <w:szCs w:val="20"/>
        </w:rPr>
        <w:t>33</w:t>
      </w:r>
    </w:p>
    <w:p w14:paraId="0B2FB1F3" w14:textId="77777777" w:rsidR="007F1775" w:rsidRDefault="000F083E">
      <w:r>
        <w:pict w14:anchorId="0B2FBF96">
          <v:rect id="_x0000_i1057" style="width:415.3pt;height:1.5pt" o:hralign="center" o:hrstd="t" o:hr="t" fillcolor="#a0a0a0" stroked="f"/>
        </w:pict>
      </w:r>
    </w:p>
    <w:p w14:paraId="0B2FB1F4" w14:textId="77777777" w:rsidR="007F1775" w:rsidRDefault="007F1775"/>
    <w:p w14:paraId="0B2FB1F5" w14:textId="77777777" w:rsidR="007F1775" w:rsidRDefault="007F1775"/>
    <w:p w14:paraId="0B2FB1F6" w14:textId="77777777" w:rsidR="007F1775" w:rsidRDefault="000F083E">
      <w:hyperlink r:id="rId111" w:anchor="iea70e328caa94cefb76a9db6ed6338fc_7" w:history="1">
        <w:r>
          <w:rPr>
            <w:rStyle w:val="a5"/>
            <w:rFonts w:ascii="Times New Roman" w:eastAsia="宋体" w:hAnsi="Times New Roman"/>
            <w:sz w:val="20"/>
            <w:szCs w:val="20"/>
          </w:rPr>
          <w:t>Table of Contents</w:t>
        </w:r>
      </w:hyperlink>
    </w:p>
    <w:p w14:paraId="0B2FB1F7" w14:textId="77777777" w:rsidR="007F1775" w:rsidRDefault="000F083E">
      <w:pPr>
        <w:ind w:firstLine="540"/>
        <w:jc w:val="both"/>
      </w:pPr>
      <w:r>
        <w:rPr>
          <w:rFonts w:ascii="Times New Roman" w:eastAsia="宋体" w:hAnsi="Times New Roman"/>
          <w:color w:val="000000"/>
          <w:sz w:val="20"/>
          <w:szCs w:val="20"/>
        </w:rPr>
        <w:t>Worldwide DAUs increased 4% to 1.96 billion on average during March 2022 from 1.88 bi</w:t>
      </w:r>
      <w:r>
        <w:rPr>
          <w:rFonts w:ascii="Times New Roman" w:eastAsia="宋体" w:hAnsi="Times New Roman"/>
          <w:color w:val="000000"/>
          <w:sz w:val="20"/>
          <w:szCs w:val="20"/>
        </w:rPr>
        <w:t>llion during March 2021. Users in India, Bangladesh, and Vietnam represented the top three sources of growth in DAUs during March 2022, relative to the same period in 2021.</w:t>
      </w:r>
    </w:p>
    <w:p w14:paraId="0B2FB1F8" w14:textId="77777777" w:rsidR="007F1775" w:rsidRDefault="007F1775">
      <w:pPr>
        <w:ind w:firstLine="540"/>
        <w:jc w:val="both"/>
      </w:pPr>
    </w:p>
    <w:p w14:paraId="0B2FB1F9" w14:textId="77777777" w:rsidR="007F1775" w:rsidRDefault="000F083E">
      <w:pPr>
        <w:pBdr>
          <w:left w:val="none" w:sz="0" w:space="0" w:color="auto"/>
        </w:pBdr>
        <w:ind w:hanging="360"/>
        <w:jc w:val="both"/>
      </w:pPr>
      <w:r>
        <w:rPr>
          <w:rFonts w:ascii="Times New Roman" w:eastAsia="宋体" w:hAnsi="Times New Roman"/>
          <w:b/>
          <w:bCs/>
          <w:i/>
          <w:iCs/>
          <w:color w:val="000000"/>
          <w:sz w:val="20"/>
          <w:szCs w:val="20"/>
        </w:rPr>
        <w:t>•Monthly Active Users (MAUs)</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xml:space="preserve">We define a monthly active user as a registered and </w:t>
      </w:r>
      <w:r>
        <w:rPr>
          <w:rFonts w:ascii="Times New Roman" w:eastAsia="宋体" w:hAnsi="Times New Roman"/>
          <w:color w:val="000000"/>
          <w:sz w:val="20"/>
          <w:szCs w:val="20"/>
        </w:rPr>
        <w:t>logged-in Facebook user who visited Facebook through our website or a mobile device, or used our Messenger application (and is also a registered Facebook user), in the last 30 days as of the date of measurement. MAUs are a measure of the size of our global</w:t>
      </w:r>
      <w:r>
        <w:rPr>
          <w:rFonts w:ascii="Times New Roman" w:eastAsia="宋体" w:hAnsi="Times New Roman"/>
          <w:color w:val="000000"/>
          <w:sz w:val="20"/>
          <w:szCs w:val="20"/>
        </w:rPr>
        <w:t xml:space="preserve"> active user community on Facebook.</w:t>
      </w:r>
    </w:p>
    <w:p w14:paraId="0B2FB1FA" w14:textId="77777777" w:rsidR="007F1775" w:rsidRDefault="000F083E">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97" wp14:editId="0B2FBF98">
            <wp:extent cx="304800" cy="304800"/>
            <wp:effectExtent l="0" t="0" r="0" b="0"/>
            <wp:docPr id="40" name="图片 78"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8"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B2FB1FB" w14:textId="77777777" w:rsidR="007F1775" w:rsidRDefault="000F083E">
      <w:pPr>
        <w:spacing w:after="6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w:instrText>
      </w:r>
      <w:r>
        <w:rPr>
          <w:rFonts w:ascii="宋体" w:eastAsia="宋体" w:hAnsi="宋体" w:cs="宋体"/>
        </w:rPr>
        <w:instrText>报</w:instrText>
      </w:r>
      <w:r>
        <w:rPr>
          <w:rFonts w:ascii="宋体" w:eastAsia="宋体" w:hAnsi="宋体" w:cs="宋体"/>
        </w:rPr>
        <w:instrText xml:space="preserve">/Meta Platforms/./Inline XBRL Viewer3_files/meta-20220331_g13.jpg"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99" wp14:editId="0B2FBF9A">
            <wp:extent cx="304800" cy="304800"/>
            <wp:effectExtent l="0" t="0" r="0" b="0"/>
            <wp:docPr id="43" name="图片 79"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9"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9B" wp14:editId="0B2FBF9C">
            <wp:extent cx="304800" cy="304800"/>
            <wp:effectExtent l="0" t="0" r="0" b="0"/>
            <wp:docPr id="44" name="图片 80"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0"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B2FB1FC" w14:textId="77777777" w:rsidR="007F1775" w:rsidRDefault="000F083E">
      <w:pPr>
        <w:jc w:val="center"/>
      </w:pPr>
      <w:r>
        <w:rPr>
          <w:rFonts w:ascii="宋体" w:eastAsia="宋体" w:hAnsi="宋体" w:cs="宋体"/>
        </w:rPr>
        <w:fldChar w:fldCharType="begin"/>
      </w:r>
      <w:r>
        <w:rPr>
          <w:rFonts w:ascii="宋体" w:eastAsia="宋体" w:hAnsi="宋体" w:cs="宋体"/>
        </w:rPr>
        <w:instrText>INCLUDEPI</w:instrText>
      </w:r>
      <w:r>
        <w:rPr>
          <w:rFonts w:ascii="宋体" w:eastAsia="宋体" w:hAnsi="宋体" w:cs="宋体"/>
        </w:rPr>
        <w:instrText xml:space="preserve">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9D" wp14:editId="0B2FBF9E">
            <wp:extent cx="304800" cy="304800"/>
            <wp:effectExtent l="0" t="0" r="0" b="0"/>
            <wp:docPr id="38" name="图片 81"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1" descr="IMG_2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Viewer3_files/m</w:instrText>
      </w:r>
      <w:r>
        <w:rPr>
          <w:rFonts w:ascii="宋体" w:eastAsia="宋体" w:hAnsi="宋体" w:cs="宋体"/>
        </w:rPr>
        <w:instrText xml:space="preserve">eta-20220331_g16.jpg"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9F" wp14:editId="0B2FBFA0">
            <wp:extent cx="304800" cy="304800"/>
            <wp:effectExtent l="0" t="0" r="0" b="0"/>
            <wp:docPr id="39" name="图片 82"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2"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0B2FB1FD" w14:textId="77777777" w:rsidR="007F1775" w:rsidRDefault="007F1775">
      <w:pPr>
        <w:ind w:firstLine="720"/>
        <w:jc w:val="both"/>
      </w:pPr>
    </w:p>
    <w:p w14:paraId="0B2FB1FE" w14:textId="77777777" w:rsidR="007F1775" w:rsidRDefault="000F083E">
      <w:pPr>
        <w:ind w:firstLine="540"/>
        <w:jc w:val="both"/>
      </w:pPr>
      <w:r>
        <w:rPr>
          <w:rFonts w:ascii="Times New Roman" w:eastAsia="宋体" w:hAnsi="Times New Roman"/>
          <w:color w:val="000000"/>
          <w:sz w:val="20"/>
          <w:szCs w:val="20"/>
        </w:rPr>
        <w:t>As of March 31, 2022, we had 2.94 billion MAUs, an increase of 3% from March 31, 2021. Users in India, Bangladesh, and Vietnam represented the top three sources of growth in the first quarter of 2022, relative</w:t>
      </w:r>
      <w:r>
        <w:rPr>
          <w:rFonts w:ascii="Times New Roman" w:eastAsia="宋体" w:hAnsi="Times New Roman"/>
          <w:color w:val="000000"/>
          <w:sz w:val="20"/>
          <w:szCs w:val="20"/>
        </w:rPr>
        <w:t xml:space="preserve"> to the same period in 2021.</w:t>
      </w:r>
    </w:p>
    <w:p w14:paraId="0B2FB1FF" w14:textId="77777777" w:rsidR="007F1775" w:rsidRDefault="000F083E">
      <w:pPr>
        <w:jc w:val="center"/>
      </w:pPr>
      <w:r>
        <w:rPr>
          <w:rFonts w:ascii="Times New Roman" w:eastAsia="宋体" w:hAnsi="Times New Roman"/>
          <w:color w:val="000000"/>
          <w:sz w:val="20"/>
          <w:szCs w:val="20"/>
        </w:rPr>
        <w:t>34</w:t>
      </w:r>
    </w:p>
    <w:p w14:paraId="0B2FB200" w14:textId="77777777" w:rsidR="007F1775" w:rsidRDefault="000F083E">
      <w:r>
        <w:pict w14:anchorId="0B2FBFA1">
          <v:rect id="_x0000_i1058" style="width:415.3pt;height:1.5pt" o:hralign="center" o:hrstd="t" o:hr="t" fillcolor="#a0a0a0" stroked="f"/>
        </w:pict>
      </w:r>
    </w:p>
    <w:p w14:paraId="0B2FB201" w14:textId="77777777" w:rsidR="007F1775" w:rsidRDefault="007F1775"/>
    <w:p w14:paraId="0B2FB202" w14:textId="77777777" w:rsidR="007F1775" w:rsidRDefault="007F1775"/>
    <w:p w14:paraId="0B2FB203" w14:textId="77777777" w:rsidR="007F1775" w:rsidRDefault="000F083E">
      <w:hyperlink r:id="rId112" w:anchor="iea70e328caa94cefb76a9db6ed6338fc_7" w:history="1">
        <w:r>
          <w:rPr>
            <w:rStyle w:val="a5"/>
            <w:rFonts w:ascii="Times New Roman" w:eastAsia="宋体" w:hAnsi="Times New Roman"/>
            <w:sz w:val="20"/>
            <w:szCs w:val="20"/>
          </w:rPr>
          <w:t>Table of Contents</w:t>
        </w:r>
      </w:hyperlink>
    </w:p>
    <w:p w14:paraId="0B2FB204" w14:textId="77777777" w:rsidR="007F1775" w:rsidRDefault="007F1775"/>
    <w:p w14:paraId="0B2FB205" w14:textId="77777777" w:rsidR="007F1775" w:rsidRDefault="000F083E">
      <w:r>
        <w:rPr>
          <w:rFonts w:ascii="Times New Roman" w:eastAsia="宋体" w:hAnsi="Times New Roman"/>
          <w:b/>
          <w:bCs/>
          <w:color w:val="000000"/>
          <w:sz w:val="20"/>
          <w:szCs w:val="20"/>
        </w:rPr>
        <w:t xml:space="preserve">Trends in Our Monetization by Facebook User Geography </w:t>
      </w:r>
    </w:p>
    <w:p w14:paraId="0B2FB206" w14:textId="77777777" w:rsidR="007F1775" w:rsidRDefault="007F1775">
      <w:pPr>
        <w:ind w:firstLine="540"/>
        <w:jc w:val="both"/>
      </w:pPr>
    </w:p>
    <w:p w14:paraId="0B2FB207" w14:textId="77777777" w:rsidR="007F1775" w:rsidRDefault="000F083E">
      <w:pPr>
        <w:ind w:firstLine="540"/>
        <w:jc w:val="both"/>
      </w:pPr>
      <w:r>
        <w:rPr>
          <w:rFonts w:ascii="Times New Roman" w:eastAsia="宋体" w:hAnsi="Times New Roman"/>
          <w:color w:val="000000"/>
          <w:sz w:val="20"/>
          <w:szCs w:val="20"/>
        </w:rPr>
        <w:t xml:space="preserve">We calculate our revenue by </w:t>
      </w:r>
      <w:r>
        <w:rPr>
          <w:rFonts w:ascii="Times New Roman" w:eastAsia="宋体" w:hAnsi="Times New Roman"/>
          <w:color w:val="000000"/>
          <w:sz w:val="20"/>
          <w:szCs w:val="20"/>
        </w:rPr>
        <w:t>user geography based on our estimate of the geography in which ad impressions are delivered, virtual and digital goods are purchased, or consumer hardware products are shipped. We define ARPU as our total revenue in a given geography during a given quarter</w:t>
      </w:r>
      <w:r>
        <w:rPr>
          <w:rFonts w:ascii="Times New Roman" w:eastAsia="宋体" w:hAnsi="Times New Roman"/>
          <w:color w:val="000000"/>
          <w:sz w:val="20"/>
          <w:szCs w:val="20"/>
        </w:rPr>
        <w:t>, divided by the average of the number of MAUs in the geography at the beginning and end of the quarter. While ARPU includes all sources of revenue, the number of MAUs used in this calculation only includes users of Facebook and Messenger as described in t</w:t>
      </w:r>
      <w:r>
        <w:rPr>
          <w:rFonts w:ascii="Times New Roman" w:eastAsia="宋体" w:hAnsi="Times New Roman"/>
          <w:color w:val="000000"/>
          <w:sz w:val="20"/>
          <w:szCs w:val="20"/>
        </w:rPr>
        <w:t>he definition of MAU above. While the share of revenue from users who are not also Facebook or Messenger MAUs has grown over time, we estimate that revenue from users who are Facebook or Messenger MAUs represents the substantial majority of our total reven</w:t>
      </w:r>
      <w:r>
        <w:rPr>
          <w:rFonts w:ascii="Times New Roman" w:eastAsia="宋体" w:hAnsi="Times New Roman"/>
          <w:color w:val="000000"/>
          <w:sz w:val="20"/>
          <w:szCs w:val="20"/>
        </w:rPr>
        <w:t>ue. See "Average Revenue Per Person (ARPP)" above for our estimates of trends in our monetization of our Family products. The geography of our users affects our revenue and financial results because we currently monetize users in different geographies at d</w:t>
      </w:r>
      <w:r>
        <w:rPr>
          <w:rFonts w:ascii="Times New Roman" w:eastAsia="宋体" w:hAnsi="Times New Roman"/>
          <w:color w:val="000000"/>
          <w:sz w:val="20"/>
          <w:szCs w:val="20"/>
        </w:rPr>
        <w:t>ifferent average rates. Our revenue and ARPU in regions such as United States &amp; Canada and Europe are relatively higher primarily due to the size and maturity of those online and mobile advertising markets. For example, ARPU in the first quarter of 2022 in</w:t>
      </w:r>
      <w:r>
        <w:rPr>
          <w:rFonts w:ascii="Times New Roman" w:eastAsia="宋体" w:hAnsi="Times New Roman"/>
          <w:color w:val="000000"/>
          <w:sz w:val="20"/>
          <w:szCs w:val="20"/>
        </w:rPr>
        <w:t xml:space="preserve"> the United States &amp; Canada region was more than 10 times higher than in the Asia-Pacific region.</w:t>
      </w:r>
    </w:p>
    <w:p w14:paraId="0B2FB208" w14:textId="77777777" w:rsidR="007F1775" w:rsidRDefault="000F083E">
      <w:pPr>
        <w:spacing w:before="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A2" wp14:editId="0B2FBFA3">
            <wp:extent cx="304800" cy="304800"/>
            <wp:effectExtent l="0" t="0" r="0" b="0"/>
            <wp:docPr id="33" name="图片 8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4" descr="IMG_2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250" w:type="dxa"/>
        <w:jc w:val="center"/>
        <w:tblCellMar>
          <w:top w:w="15" w:type="dxa"/>
          <w:left w:w="15" w:type="dxa"/>
          <w:bottom w:w="15" w:type="dxa"/>
          <w:right w:w="15" w:type="dxa"/>
        </w:tblCellMar>
        <w:tblLook w:val="04A0" w:firstRow="1" w:lastRow="0" w:firstColumn="1" w:lastColumn="0" w:noHBand="0" w:noVBand="1"/>
      </w:tblPr>
      <w:tblGrid>
        <w:gridCol w:w="36"/>
        <w:gridCol w:w="453"/>
        <w:gridCol w:w="36"/>
        <w:gridCol w:w="36"/>
        <w:gridCol w:w="446"/>
        <w:gridCol w:w="36"/>
        <w:gridCol w:w="36"/>
        <w:gridCol w:w="446"/>
        <w:gridCol w:w="36"/>
        <w:gridCol w:w="36"/>
        <w:gridCol w:w="447"/>
        <w:gridCol w:w="36"/>
        <w:gridCol w:w="36"/>
        <w:gridCol w:w="461"/>
        <w:gridCol w:w="36"/>
        <w:gridCol w:w="36"/>
        <w:gridCol w:w="447"/>
        <w:gridCol w:w="36"/>
        <w:gridCol w:w="36"/>
        <w:gridCol w:w="461"/>
        <w:gridCol w:w="36"/>
        <w:gridCol w:w="36"/>
        <w:gridCol w:w="461"/>
        <w:gridCol w:w="36"/>
        <w:gridCol w:w="36"/>
        <w:gridCol w:w="461"/>
        <w:gridCol w:w="36"/>
        <w:gridCol w:w="36"/>
        <w:gridCol w:w="447"/>
        <w:gridCol w:w="36"/>
      </w:tblGrid>
      <w:tr w:rsidR="007F1775" w14:paraId="0B2FB227" w14:textId="77777777">
        <w:trPr>
          <w:jc w:val="center"/>
        </w:trPr>
        <w:tc>
          <w:tcPr>
            <w:tcW w:w="20" w:type="dxa"/>
            <w:shd w:val="clear" w:color="auto" w:fill="auto"/>
            <w:vAlign w:val="bottom"/>
          </w:tcPr>
          <w:p w14:paraId="0B2FB209" w14:textId="77777777" w:rsidR="007F1775" w:rsidRDefault="007F1775">
            <w:pPr>
              <w:rPr>
                <w:rFonts w:ascii="宋体"/>
              </w:rPr>
            </w:pPr>
          </w:p>
        </w:tc>
        <w:tc>
          <w:tcPr>
            <w:tcW w:w="485" w:type="dxa"/>
            <w:shd w:val="clear" w:color="auto" w:fill="auto"/>
            <w:vAlign w:val="bottom"/>
          </w:tcPr>
          <w:p w14:paraId="0B2FB20A" w14:textId="77777777" w:rsidR="007F1775" w:rsidRDefault="007F1775">
            <w:pPr>
              <w:rPr>
                <w:rFonts w:ascii="宋体"/>
              </w:rPr>
            </w:pPr>
          </w:p>
        </w:tc>
        <w:tc>
          <w:tcPr>
            <w:tcW w:w="20" w:type="dxa"/>
            <w:shd w:val="clear" w:color="auto" w:fill="auto"/>
            <w:vAlign w:val="bottom"/>
          </w:tcPr>
          <w:p w14:paraId="0B2FB20B" w14:textId="77777777" w:rsidR="007F1775" w:rsidRDefault="007F1775">
            <w:pPr>
              <w:rPr>
                <w:rFonts w:ascii="宋体"/>
              </w:rPr>
            </w:pPr>
          </w:p>
        </w:tc>
        <w:tc>
          <w:tcPr>
            <w:tcW w:w="20" w:type="dxa"/>
            <w:shd w:val="clear" w:color="auto" w:fill="auto"/>
            <w:vAlign w:val="bottom"/>
          </w:tcPr>
          <w:p w14:paraId="0B2FB20C" w14:textId="77777777" w:rsidR="007F1775" w:rsidRDefault="007F1775">
            <w:pPr>
              <w:rPr>
                <w:rFonts w:ascii="宋体"/>
              </w:rPr>
            </w:pPr>
          </w:p>
        </w:tc>
        <w:tc>
          <w:tcPr>
            <w:tcW w:w="485" w:type="dxa"/>
            <w:shd w:val="clear" w:color="auto" w:fill="auto"/>
            <w:vAlign w:val="bottom"/>
          </w:tcPr>
          <w:p w14:paraId="0B2FB20D" w14:textId="77777777" w:rsidR="007F1775" w:rsidRDefault="007F1775">
            <w:pPr>
              <w:rPr>
                <w:rFonts w:ascii="宋体"/>
              </w:rPr>
            </w:pPr>
          </w:p>
        </w:tc>
        <w:tc>
          <w:tcPr>
            <w:tcW w:w="20" w:type="dxa"/>
            <w:shd w:val="clear" w:color="auto" w:fill="auto"/>
            <w:vAlign w:val="bottom"/>
          </w:tcPr>
          <w:p w14:paraId="0B2FB20E" w14:textId="77777777" w:rsidR="007F1775" w:rsidRDefault="007F1775">
            <w:pPr>
              <w:rPr>
                <w:rFonts w:ascii="宋体"/>
              </w:rPr>
            </w:pPr>
          </w:p>
        </w:tc>
        <w:tc>
          <w:tcPr>
            <w:tcW w:w="20" w:type="dxa"/>
            <w:shd w:val="clear" w:color="auto" w:fill="auto"/>
            <w:vAlign w:val="bottom"/>
          </w:tcPr>
          <w:p w14:paraId="0B2FB20F" w14:textId="77777777" w:rsidR="007F1775" w:rsidRDefault="007F1775">
            <w:pPr>
              <w:rPr>
                <w:rFonts w:ascii="宋体"/>
              </w:rPr>
            </w:pPr>
          </w:p>
        </w:tc>
        <w:tc>
          <w:tcPr>
            <w:tcW w:w="485" w:type="dxa"/>
            <w:shd w:val="clear" w:color="auto" w:fill="auto"/>
            <w:vAlign w:val="bottom"/>
          </w:tcPr>
          <w:p w14:paraId="0B2FB210" w14:textId="77777777" w:rsidR="007F1775" w:rsidRDefault="007F1775">
            <w:pPr>
              <w:rPr>
                <w:rFonts w:ascii="宋体"/>
              </w:rPr>
            </w:pPr>
          </w:p>
        </w:tc>
        <w:tc>
          <w:tcPr>
            <w:tcW w:w="20" w:type="dxa"/>
            <w:shd w:val="clear" w:color="auto" w:fill="auto"/>
            <w:vAlign w:val="bottom"/>
          </w:tcPr>
          <w:p w14:paraId="0B2FB211" w14:textId="77777777" w:rsidR="007F1775" w:rsidRDefault="007F1775">
            <w:pPr>
              <w:rPr>
                <w:rFonts w:ascii="宋体"/>
              </w:rPr>
            </w:pPr>
          </w:p>
        </w:tc>
        <w:tc>
          <w:tcPr>
            <w:tcW w:w="20" w:type="dxa"/>
            <w:shd w:val="clear" w:color="auto" w:fill="auto"/>
            <w:vAlign w:val="bottom"/>
          </w:tcPr>
          <w:p w14:paraId="0B2FB212" w14:textId="77777777" w:rsidR="007F1775" w:rsidRDefault="007F1775">
            <w:pPr>
              <w:rPr>
                <w:rFonts w:ascii="宋体"/>
              </w:rPr>
            </w:pPr>
          </w:p>
        </w:tc>
        <w:tc>
          <w:tcPr>
            <w:tcW w:w="485" w:type="dxa"/>
            <w:shd w:val="clear" w:color="auto" w:fill="auto"/>
            <w:vAlign w:val="bottom"/>
          </w:tcPr>
          <w:p w14:paraId="0B2FB213" w14:textId="77777777" w:rsidR="007F1775" w:rsidRDefault="007F1775">
            <w:pPr>
              <w:rPr>
                <w:rFonts w:ascii="宋体"/>
              </w:rPr>
            </w:pPr>
          </w:p>
        </w:tc>
        <w:tc>
          <w:tcPr>
            <w:tcW w:w="20" w:type="dxa"/>
            <w:shd w:val="clear" w:color="auto" w:fill="auto"/>
            <w:vAlign w:val="bottom"/>
          </w:tcPr>
          <w:p w14:paraId="0B2FB214" w14:textId="77777777" w:rsidR="007F1775" w:rsidRDefault="007F1775">
            <w:pPr>
              <w:rPr>
                <w:rFonts w:ascii="宋体"/>
              </w:rPr>
            </w:pPr>
          </w:p>
        </w:tc>
        <w:tc>
          <w:tcPr>
            <w:tcW w:w="20" w:type="dxa"/>
            <w:shd w:val="clear" w:color="auto" w:fill="auto"/>
            <w:vAlign w:val="bottom"/>
          </w:tcPr>
          <w:p w14:paraId="0B2FB215" w14:textId="77777777" w:rsidR="007F1775" w:rsidRDefault="007F1775">
            <w:pPr>
              <w:rPr>
                <w:rFonts w:ascii="宋体"/>
              </w:rPr>
            </w:pPr>
          </w:p>
        </w:tc>
        <w:tc>
          <w:tcPr>
            <w:tcW w:w="485" w:type="dxa"/>
            <w:shd w:val="clear" w:color="auto" w:fill="auto"/>
            <w:vAlign w:val="bottom"/>
          </w:tcPr>
          <w:p w14:paraId="0B2FB216" w14:textId="77777777" w:rsidR="007F1775" w:rsidRDefault="007F1775">
            <w:pPr>
              <w:rPr>
                <w:rFonts w:ascii="宋体"/>
              </w:rPr>
            </w:pPr>
          </w:p>
        </w:tc>
        <w:tc>
          <w:tcPr>
            <w:tcW w:w="20" w:type="dxa"/>
            <w:shd w:val="clear" w:color="auto" w:fill="auto"/>
            <w:vAlign w:val="bottom"/>
          </w:tcPr>
          <w:p w14:paraId="0B2FB217" w14:textId="77777777" w:rsidR="007F1775" w:rsidRDefault="007F1775">
            <w:pPr>
              <w:rPr>
                <w:rFonts w:ascii="宋体"/>
              </w:rPr>
            </w:pPr>
          </w:p>
        </w:tc>
        <w:tc>
          <w:tcPr>
            <w:tcW w:w="20" w:type="dxa"/>
            <w:shd w:val="clear" w:color="auto" w:fill="auto"/>
            <w:vAlign w:val="bottom"/>
          </w:tcPr>
          <w:p w14:paraId="0B2FB218" w14:textId="77777777" w:rsidR="007F1775" w:rsidRDefault="007F1775">
            <w:pPr>
              <w:rPr>
                <w:rFonts w:ascii="宋体"/>
              </w:rPr>
            </w:pPr>
          </w:p>
        </w:tc>
        <w:tc>
          <w:tcPr>
            <w:tcW w:w="485" w:type="dxa"/>
            <w:shd w:val="clear" w:color="auto" w:fill="auto"/>
            <w:vAlign w:val="bottom"/>
          </w:tcPr>
          <w:p w14:paraId="0B2FB219" w14:textId="77777777" w:rsidR="007F1775" w:rsidRDefault="007F1775">
            <w:pPr>
              <w:rPr>
                <w:rFonts w:ascii="宋体"/>
              </w:rPr>
            </w:pPr>
          </w:p>
        </w:tc>
        <w:tc>
          <w:tcPr>
            <w:tcW w:w="20" w:type="dxa"/>
            <w:shd w:val="clear" w:color="auto" w:fill="auto"/>
            <w:vAlign w:val="bottom"/>
          </w:tcPr>
          <w:p w14:paraId="0B2FB21A" w14:textId="77777777" w:rsidR="007F1775" w:rsidRDefault="007F1775">
            <w:pPr>
              <w:rPr>
                <w:rFonts w:ascii="宋体"/>
              </w:rPr>
            </w:pPr>
          </w:p>
        </w:tc>
        <w:tc>
          <w:tcPr>
            <w:tcW w:w="20" w:type="dxa"/>
            <w:shd w:val="clear" w:color="auto" w:fill="auto"/>
            <w:vAlign w:val="bottom"/>
          </w:tcPr>
          <w:p w14:paraId="0B2FB21B" w14:textId="77777777" w:rsidR="007F1775" w:rsidRDefault="007F1775">
            <w:pPr>
              <w:rPr>
                <w:rFonts w:ascii="宋体"/>
              </w:rPr>
            </w:pPr>
          </w:p>
        </w:tc>
        <w:tc>
          <w:tcPr>
            <w:tcW w:w="485" w:type="dxa"/>
            <w:shd w:val="clear" w:color="auto" w:fill="auto"/>
            <w:vAlign w:val="bottom"/>
          </w:tcPr>
          <w:p w14:paraId="0B2FB21C" w14:textId="77777777" w:rsidR="007F1775" w:rsidRDefault="007F1775">
            <w:pPr>
              <w:rPr>
                <w:rFonts w:ascii="宋体"/>
              </w:rPr>
            </w:pPr>
          </w:p>
        </w:tc>
        <w:tc>
          <w:tcPr>
            <w:tcW w:w="20" w:type="dxa"/>
            <w:shd w:val="clear" w:color="auto" w:fill="auto"/>
            <w:vAlign w:val="bottom"/>
          </w:tcPr>
          <w:p w14:paraId="0B2FB21D" w14:textId="77777777" w:rsidR="007F1775" w:rsidRDefault="007F1775">
            <w:pPr>
              <w:rPr>
                <w:rFonts w:ascii="宋体"/>
              </w:rPr>
            </w:pPr>
          </w:p>
        </w:tc>
        <w:tc>
          <w:tcPr>
            <w:tcW w:w="20" w:type="dxa"/>
            <w:shd w:val="clear" w:color="auto" w:fill="auto"/>
            <w:vAlign w:val="bottom"/>
          </w:tcPr>
          <w:p w14:paraId="0B2FB21E" w14:textId="77777777" w:rsidR="007F1775" w:rsidRDefault="007F1775">
            <w:pPr>
              <w:rPr>
                <w:rFonts w:ascii="宋体"/>
              </w:rPr>
            </w:pPr>
          </w:p>
        </w:tc>
        <w:tc>
          <w:tcPr>
            <w:tcW w:w="485" w:type="dxa"/>
            <w:shd w:val="clear" w:color="auto" w:fill="auto"/>
            <w:vAlign w:val="bottom"/>
          </w:tcPr>
          <w:p w14:paraId="0B2FB21F" w14:textId="77777777" w:rsidR="007F1775" w:rsidRDefault="007F1775">
            <w:pPr>
              <w:rPr>
                <w:rFonts w:ascii="宋体"/>
              </w:rPr>
            </w:pPr>
          </w:p>
        </w:tc>
        <w:tc>
          <w:tcPr>
            <w:tcW w:w="20" w:type="dxa"/>
            <w:shd w:val="clear" w:color="auto" w:fill="auto"/>
            <w:vAlign w:val="bottom"/>
          </w:tcPr>
          <w:p w14:paraId="0B2FB220" w14:textId="77777777" w:rsidR="007F1775" w:rsidRDefault="007F1775">
            <w:pPr>
              <w:rPr>
                <w:rFonts w:ascii="宋体"/>
              </w:rPr>
            </w:pPr>
          </w:p>
        </w:tc>
        <w:tc>
          <w:tcPr>
            <w:tcW w:w="20" w:type="dxa"/>
            <w:shd w:val="clear" w:color="auto" w:fill="auto"/>
            <w:vAlign w:val="bottom"/>
          </w:tcPr>
          <w:p w14:paraId="0B2FB221" w14:textId="77777777" w:rsidR="007F1775" w:rsidRDefault="007F1775">
            <w:pPr>
              <w:rPr>
                <w:rFonts w:ascii="宋体"/>
              </w:rPr>
            </w:pPr>
          </w:p>
        </w:tc>
        <w:tc>
          <w:tcPr>
            <w:tcW w:w="485" w:type="dxa"/>
            <w:shd w:val="clear" w:color="auto" w:fill="auto"/>
            <w:vAlign w:val="bottom"/>
          </w:tcPr>
          <w:p w14:paraId="0B2FB222" w14:textId="77777777" w:rsidR="007F1775" w:rsidRDefault="007F1775">
            <w:pPr>
              <w:rPr>
                <w:rFonts w:ascii="宋体"/>
              </w:rPr>
            </w:pPr>
          </w:p>
        </w:tc>
        <w:tc>
          <w:tcPr>
            <w:tcW w:w="20" w:type="dxa"/>
            <w:shd w:val="clear" w:color="auto" w:fill="auto"/>
            <w:vAlign w:val="bottom"/>
          </w:tcPr>
          <w:p w14:paraId="0B2FB223" w14:textId="77777777" w:rsidR="007F1775" w:rsidRDefault="007F1775">
            <w:pPr>
              <w:rPr>
                <w:rFonts w:ascii="宋体"/>
              </w:rPr>
            </w:pPr>
          </w:p>
        </w:tc>
        <w:tc>
          <w:tcPr>
            <w:tcW w:w="20" w:type="dxa"/>
            <w:shd w:val="clear" w:color="auto" w:fill="auto"/>
            <w:vAlign w:val="bottom"/>
          </w:tcPr>
          <w:p w14:paraId="0B2FB224" w14:textId="77777777" w:rsidR="007F1775" w:rsidRDefault="007F1775">
            <w:pPr>
              <w:rPr>
                <w:rFonts w:ascii="宋体"/>
              </w:rPr>
            </w:pPr>
          </w:p>
        </w:tc>
        <w:tc>
          <w:tcPr>
            <w:tcW w:w="485" w:type="dxa"/>
            <w:shd w:val="clear" w:color="auto" w:fill="auto"/>
            <w:vAlign w:val="bottom"/>
          </w:tcPr>
          <w:p w14:paraId="0B2FB225" w14:textId="77777777" w:rsidR="007F1775" w:rsidRDefault="007F1775">
            <w:pPr>
              <w:rPr>
                <w:rFonts w:ascii="宋体"/>
              </w:rPr>
            </w:pPr>
          </w:p>
        </w:tc>
        <w:tc>
          <w:tcPr>
            <w:tcW w:w="20" w:type="dxa"/>
            <w:shd w:val="clear" w:color="auto" w:fill="auto"/>
            <w:vAlign w:val="bottom"/>
          </w:tcPr>
          <w:p w14:paraId="0B2FB226" w14:textId="77777777" w:rsidR="007F1775" w:rsidRDefault="007F1775">
            <w:pPr>
              <w:rPr>
                <w:rFonts w:ascii="宋体"/>
              </w:rPr>
            </w:pPr>
          </w:p>
        </w:tc>
      </w:tr>
      <w:tr w:rsidR="007F1775" w14:paraId="0B2FB232" w14:textId="77777777">
        <w:trPr>
          <w:trHeight w:val="180"/>
          <w:jc w:val="center"/>
        </w:trPr>
        <w:tc>
          <w:tcPr>
            <w:tcW w:w="0" w:type="auto"/>
            <w:gridSpan w:val="3"/>
            <w:shd w:val="clear" w:color="auto" w:fill="auto"/>
            <w:tcMar>
              <w:top w:w="40" w:type="dxa"/>
              <w:left w:w="20" w:type="dxa"/>
              <w:bottom w:w="40" w:type="dxa"/>
              <w:right w:w="20" w:type="dxa"/>
            </w:tcMar>
          </w:tcPr>
          <w:p w14:paraId="0B2FB228" w14:textId="77777777" w:rsidR="007F1775" w:rsidRDefault="000F083E">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0B2FB229" w14:textId="77777777" w:rsidR="007F1775" w:rsidRDefault="000F083E">
            <w:pPr>
              <w:jc w:val="center"/>
              <w:textAlignment w:val="top"/>
            </w:pPr>
            <w:r>
              <w:rPr>
                <w:rFonts w:ascii="sans-serif" w:eastAsia="宋体" w:hAnsi="sans-serif" w:cs="sans-serif"/>
                <w:color w:val="000000"/>
                <w:sz w:val="14"/>
                <w:szCs w:val="14"/>
              </w:rPr>
              <w:t>$6.95</w:t>
            </w:r>
          </w:p>
        </w:tc>
        <w:tc>
          <w:tcPr>
            <w:tcW w:w="0" w:type="auto"/>
            <w:gridSpan w:val="3"/>
            <w:shd w:val="clear" w:color="auto" w:fill="auto"/>
            <w:tcMar>
              <w:top w:w="40" w:type="dxa"/>
              <w:left w:w="20" w:type="dxa"/>
              <w:bottom w:w="40" w:type="dxa"/>
              <w:right w:w="20" w:type="dxa"/>
            </w:tcMar>
          </w:tcPr>
          <w:p w14:paraId="0B2FB22A" w14:textId="77777777" w:rsidR="007F1775" w:rsidRDefault="000F083E">
            <w:pPr>
              <w:jc w:val="center"/>
              <w:textAlignment w:val="top"/>
            </w:pPr>
            <w:r>
              <w:rPr>
                <w:rFonts w:ascii="sans-serif" w:eastAsia="宋体" w:hAnsi="sans-serif" w:cs="sans-serif"/>
                <w:color w:val="000000"/>
                <w:sz w:val="14"/>
                <w:szCs w:val="14"/>
              </w:rPr>
              <w:t>$7.05</w:t>
            </w:r>
          </w:p>
        </w:tc>
        <w:tc>
          <w:tcPr>
            <w:tcW w:w="0" w:type="auto"/>
            <w:gridSpan w:val="3"/>
            <w:shd w:val="clear" w:color="auto" w:fill="auto"/>
            <w:tcMar>
              <w:top w:w="40" w:type="dxa"/>
              <w:left w:w="20" w:type="dxa"/>
              <w:bottom w:w="40" w:type="dxa"/>
              <w:right w:w="20" w:type="dxa"/>
            </w:tcMar>
          </w:tcPr>
          <w:p w14:paraId="0B2FB22B" w14:textId="77777777" w:rsidR="007F1775" w:rsidRDefault="000F083E">
            <w:pPr>
              <w:jc w:val="center"/>
              <w:textAlignment w:val="top"/>
            </w:pPr>
            <w:r>
              <w:rPr>
                <w:rFonts w:ascii="sans-serif" w:eastAsia="宋体" w:hAnsi="sans-serif" w:cs="sans-serif"/>
                <w:color w:val="000000"/>
                <w:sz w:val="14"/>
                <w:szCs w:val="14"/>
              </w:rPr>
              <w:t>$7.89</w:t>
            </w:r>
          </w:p>
        </w:tc>
        <w:tc>
          <w:tcPr>
            <w:tcW w:w="0" w:type="auto"/>
            <w:gridSpan w:val="3"/>
            <w:shd w:val="clear" w:color="auto" w:fill="auto"/>
            <w:tcMar>
              <w:top w:w="40" w:type="dxa"/>
              <w:left w:w="20" w:type="dxa"/>
              <w:bottom w:w="40" w:type="dxa"/>
              <w:right w:w="20" w:type="dxa"/>
            </w:tcMar>
          </w:tcPr>
          <w:p w14:paraId="0B2FB22C" w14:textId="77777777" w:rsidR="007F1775" w:rsidRDefault="000F083E">
            <w:pPr>
              <w:jc w:val="center"/>
              <w:textAlignment w:val="top"/>
            </w:pPr>
            <w:r>
              <w:rPr>
                <w:rFonts w:ascii="sans-serif" w:eastAsia="宋体" w:hAnsi="sans-serif" w:cs="sans-serif"/>
                <w:color w:val="000000"/>
                <w:sz w:val="14"/>
                <w:szCs w:val="14"/>
              </w:rPr>
              <w:t>$10.14</w:t>
            </w:r>
          </w:p>
        </w:tc>
        <w:tc>
          <w:tcPr>
            <w:tcW w:w="0" w:type="auto"/>
            <w:gridSpan w:val="3"/>
            <w:shd w:val="clear" w:color="auto" w:fill="auto"/>
            <w:tcMar>
              <w:top w:w="40" w:type="dxa"/>
              <w:left w:w="20" w:type="dxa"/>
              <w:bottom w:w="40" w:type="dxa"/>
              <w:right w:w="20" w:type="dxa"/>
            </w:tcMar>
          </w:tcPr>
          <w:p w14:paraId="0B2FB22D" w14:textId="77777777" w:rsidR="007F1775" w:rsidRDefault="000F083E">
            <w:pPr>
              <w:jc w:val="center"/>
              <w:textAlignment w:val="top"/>
            </w:pPr>
            <w:r>
              <w:rPr>
                <w:rFonts w:ascii="sans-serif" w:eastAsia="宋体" w:hAnsi="sans-serif" w:cs="sans-serif"/>
                <w:color w:val="000000"/>
                <w:sz w:val="14"/>
                <w:szCs w:val="14"/>
              </w:rPr>
              <w:t>$9.27</w:t>
            </w:r>
          </w:p>
        </w:tc>
        <w:tc>
          <w:tcPr>
            <w:tcW w:w="0" w:type="auto"/>
            <w:gridSpan w:val="3"/>
            <w:shd w:val="clear" w:color="auto" w:fill="auto"/>
            <w:tcMar>
              <w:top w:w="40" w:type="dxa"/>
              <w:left w:w="20" w:type="dxa"/>
              <w:bottom w:w="40" w:type="dxa"/>
              <w:right w:w="20" w:type="dxa"/>
            </w:tcMar>
          </w:tcPr>
          <w:p w14:paraId="0B2FB22E" w14:textId="77777777" w:rsidR="007F1775" w:rsidRDefault="000F083E">
            <w:pPr>
              <w:jc w:val="center"/>
              <w:textAlignment w:val="top"/>
            </w:pPr>
            <w:r>
              <w:rPr>
                <w:rFonts w:ascii="sans-serif" w:eastAsia="宋体" w:hAnsi="sans-serif" w:cs="sans-serif"/>
                <w:color w:val="000000"/>
                <w:sz w:val="14"/>
                <w:szCs w:val="14"/>
              </w:rPr>
              <w:t>$10.12</w:t>
            </w:r>
          </w:p>
        </w:tc>
        <w:tc>
          <w:tcPr>
            <w:tcW w:w="0" w:type="auto"/>
            <w:gridSpan w:val="3"/>
            <w:shd w:val="clear" w:color="auto" w:fill="auto"/>
            <w:tcMar>
              <w:top w:w="40" w:type="dxa"/>
              <w:left w:w="20" w:type="dxa"/>
              <w:bottom w:w="40" w:type="dxa"/>
              <w:right w:w="20" w:type="dxa"/>
            </w:tcMar>
          </w:tcPr>
          <w:p w14:paraId="0B2FB22F" w14:textId="77777777" w:rsidR="007F1775" w:rsidRDefault="000F083E">
            <w:pPr>
              <w:jc w:val="center"/>
              <w:textAlignment w:val="top"/>
            </w:pPr>
            <w:r>
              <w:rPr>
                <w:rFonts w:ascii="sans-serif" w:eastAsia="宋体" w:hAnsi="sans-serif" w:cs="sans-serif"/>
                <w:color w:val="000000"/>
                <w:sz w:val="14"/>
                <w:szCs w:val="14"/>
              </w:rPr>
              <w:t>$10.00</w:t>
            </w:r>
          </w:p>
        </w:tc>
        <w:tc>
          <w:tcPr>
            <w:tcW w:w="0" w:type="auto"/>
            <w:gridSpan w:val="3"/>
            <w:shd w:val="clear" w:color="auto" w:fill="auto"/>
            <w:tcMar>
              <w:top w:w="40" w:type="dxa"/>
              <w:left w:w="20" w:type="dxa"/>
              <w:bottom w:w="40" w:type="dxa"/>
              <w:right w:w="20" w:type="dxa"/>
            </w:tcMar>
          </w:tcPr>
          <w:p w14:paraId="0B2FB230" w14:textId="77777777" w:rsidR="007F1775" w:rsidRDefault="000F083E">
            <w:pPr>
              <w:jc w:val="center"/>
              <w:textAlignment w:val="top"/>
            </w:pPr>
            <w:r>
              <w:rPr>
                <w:rFonts w:ascii="sans-serif" w:eastAsia="宋体" w:hAnsi="sans-serif" w:cs="sans-serif"/>
                <w:color w:val="000000"/>
                <w:sz w:val="14"/>
                <w:szCs w:val="14"/>
              </w:rPr>
              <w:t>$11.57</w:t>
            </w:r>
          </w:p>
        </w:tc>
        <w:tc>
          <w:tcPr>
            <w:tcW w:w="0" w:type="auto"/>
            <w:gridSpan w:val="3"/>
            <w:shd w:val="clear" w:color="auto" w:fill="auto"/>
            <w:tcMar>
              <w:top w:w="40" w:type="dxa"/>
              <w:left w:w="20" w:type="dxa"/>
              <w:bottom w:w="40" w:type="dxa"/>
              <w:right w:w="20" w:type="dxa"/>
            </w:tcMar>
          </w:tcPr>
          <w:p w14:paraId="0B2FB231" w14:textId="77777777" w:rsidR="007F1775" w:rsidRDefault="000F083E">
            <w:pPr>
              <w:jc w:val="center"/>
              <w:textAlignment w:val="top"/>
            </w:pPr>
            <w:r>
              <w:rPr>
                <w:rFonts w:ascii="sans-serif" w:eastAsia="宋体" w:hAnsi="sans-serif" w:cs="sans-serif"/>
                <w:color w:val="000000"/>
                <w:sz w:val="14"/>
                <w:szCs w:val="14"/>
              </w:rPr>
              <w:t>$9.54</w:t>
            </w:r>
          </w:p>
        </w:tc>
      </w:tr>
    </w:tbl>
    <w:p w14:paraId="0B2FB233" w14:textId="77777777" w:rsidR="007F1775" w:rsidRDefault="000F083E">
      <w:pPr>
        <w:pBdr>
          <w:left w:val="none" w:sz="0" w:space="0" w:color="auto"/>
          <w:right w:val="none" w:sz="0" w:space="0" w:color="auto"/>
        </w:pBd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A4" wp14:editId="0B2FBFA5">
            <wp:extent cx="304800" cy="304800"/>
            <wp:effectExtent l="0" t="0" r="0" b="0"/>
            <wp:docPr id="49" name="图片 85"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XBRL Viewer</w:instrText>
      </w:r>
      <w:r>
        <w:rPr>
          <w:rFonts w:ascii="宋体" w:eastAsia="宋体" w:hAnsi="宋体" w:cs="宋体"/>
        </w:rPr>
        <w:instrText xml:space="preserve">3_files/meta-20220331_g19.jpg"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A6" wp14:editId="0B2FBFA7">
            <wp:extent cx="304800" cy="304800"/>
            <wp:effectExtent l="0" t="0" r="0" b="0"/>
            <wp:docPr id="50" name="图片 86"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00" w:type="dxa"/>
        <w:jc w:val="center"/>
        <w:tblCellMar>
          <w:top w:w="15" w:type="dxa"/>
          <w:left w:w="15" w:type="dxa"/>
          <w:bottom w:w="15" w:type="dxa"/>
          <w:right w:w="15" w:type="dxa"/>
        </w:tblCellMar>
        <w:tblLook w:val="04A0" w:firstRow="1" w:lastRow="0" w:firstColumn="1" w:lastColumn="0" w:noHBand="0" w:noVBand="1"/>
      </w:tblPr>
      <w:tblGrid>
        <w:gridCol w:w="36"/>
        <w:gridCol w:w="382"/>
        <w:gridCol w:w="36"/>
        <w:gridCol w:w="91"/>
        <w:gridCol w:w="398"/>
        <w:gridCol w:w="36"/>
        <w:gridCol w:w="91"/>
        <w:gridCol w:w="398"/>
        <w:gridCol w:w="36"/>
        <w:gridCol w:w="91"/>
        <w:gridCol w:w="398"/>
        <w:gridCol w:w="36"/>
        <w:gridCol w:w="91"/>
        <w:gridCol w:w="398"/>
        <w:gridCol w:w="36"/>
        <w:gridCol w:w="91"/>
        <w:gridCol w:w="398"/>
        <w:gridCol w:w="36"/>
        <w:gridCol w:w="91"/>
        <w:gridCol w:w="398"/>
        <w:gridCol w:w="36"/>
        <w:gridCol w:w="91"/>
        <w:gridCol w:w="398"/>
        <w:gridCol w:w="36"/>
        <w:gridCol w:w="91"/>
        <w:gridCol w:w="398"/>
        <w:gridCol w:w="36"/>
        <w:gridCol w:w="91"/>
        <w:gridCol w:w="398"/>
        <w:gridCol w:w="36"/>
        <w:gridCol w:w="36"/>
        <w:gridCol w:w="383"/>
        <w:gridCol w:w="36"/>
        <w:gridCol w:w="36"/>
        <w:gridCol w:w="402"/>
        <w:gridCol w:w="36"/>
        <w:gridCol w:w="36"/>
        <w:gridCol w:w="402"/>
        <w:gridCol w:w="36"/>
        <w:gridCol w:w="36"/>
        <w:gridCol w:w="402"/>
        <w:gridCol w:w="36"/>
        <w:gridCol w:w="36"/>
        <w:gridCol w:w="402"/>
        <w:gridCol w:w="36"/>
        <w:gridCol w:w="36"/>
        <w:gridCol w:w="402"/>
        <w:gridCol w:w="36"/>
        <w:gridCol w:w="36"/>
        <w:gridCol w:w="402"/>
        <w:gridCol w:w="36"/>
        <w:gridCol w:w="36"/>
        <w:gridCol w:w="402"/>
        <w:gridCol w:w="36"/>
        <w:gridCol w:w="36"/>
        <w:gridCol w:w="402"/>
        <w:gridCol w:w="36"/>
        <w:gridCol w:w="36"/>
        <w:gridCol w:w="402"/>
        <w:gridCol w:w="36"/>
      </w:tblGrid>
      <w:tr w:rsidR="007F1775" w14:paraId="0B2FB270" w14:textId="77777777">
        <w:trPr>
          <w:jc w:val="center"/>
        </w:trPr>
        <w:tc>
          <w:tcPr>
            <w:tcW w:w="20" w:type="dxa"/>
            <w:shd w:val="clear" w:color="auto" w:fill="auto"/>
            <w:vAlign w:val="bottom"/>
          </w:tcPr>
          <w:p w14:paraId="0B2FB234" w14:textId="77777777" w:rsidR="007F1775" w:rsidRDefault="007F1775">
            <w:pPr>
              <w:rPr>
                <w:rFonts w:ascii="宋体"/>
              </w:rPr>
            </w:pPr>
          </w:p>
        </w:tc>
        <w:tc>
          <w:tcPr>
            <w:tcW w:w="455" w:type="dxa"/>
            <w:shd w:val="clear" w:color="auto" w:fill="auto"/>
            <w:vAlign w:val="bottom"/>
          </w:tcPr>
          <w:p w14:paraId="0B2FB235" w14:textId="77777777" w:rsidR="007F1775" w:rsidRDefault="007F1775">
            <w:pPr>
              <w:rPr>
                <w:rFonts w:ascii="宋体"/>
              </w:rPr>
            </w:pPr>
          </w:p>
        </w:tc>
        <w:tc>
          <w:tcPr>
            <w:tcW w:w="20" w:type="dxa"/>
            <w:shd w:val="clear" w:color="auto" w:fill="auto"/>
            <w:vAlign w:val="bottom"/>
          </w:tcPr>
          <w:p w14:paraId="0B2FB236" w14:textId="77777777" w:rsidR="007F1775" w:rsidRDefault="007F1775">
            <w:pPr>
              <w:rPr>
                <w:rFonts w:ascii="宋体"/>
              </w:rPr>
            </w:pPr>
          </w:p>
        </w:tc>
        <w:tc>
          <w:tcPr>
            <w:tcW w:w="20" w:type="dxa"/>
            <w:shd w:val="clear" w:color="auto" w:fill="auto"/>
            <w:vAlign w:val="bottom"/>
          </w:tcPr>
          <w:p w14:paraId="0B2FB237" w14:textId="77777777" w:rsidR="007F1775" w:rsidRDefault="007F1775">
            <w:pPr>
              <w:rPr>
                <w:rFonts w:ascii="宋体"/>
              </w:rPr>
            </w:pPr>
          </w:p>
        </w:tc>
        <w:tc>
          <w:tcPr>
            <w:tcW w:w="455" w:type="dxa"/>
            <w:shd w:val="clear" w:color="auto" w:fill="auto"/>
            <w:vAlign w:val="bottom"/>
          </w:tcPr>
          <w:p w14:paraId="0B2FB238" w14:textId="77777777" w:rsidR="007F1775" w:rsidRDefault="007F1775">
            <w:pPr>
              <w:rPr>
                <w:rFonts w:ascii="宋体"/>
              </w:rPr>
            </w:pPr>
          </w:p>
        </w:tc>
        <w:tc>
          <w:tcPr>
            <w:tcW w:w="20" w:type="dxa"/>
            <w:shd w:val="clear" w:color="auto" w:fill="auto"/>
            <w:vAlign w:val="bottom"/>
          </w:tcPr>
          <w:p w14:paraId="0B2FB239" w14:textId="77777777" w:rsidR="007F1775" w:rsidRDefault="007F1775">
            <w:pPr>
              <w:rPr>
                <w:rFonts w:ascii="宋体"/>
              </w:rPr>
            </w:pPr>
          </w:p>
        </w:tc>
        <w:tc>
          <w:tcPr>
            <w:tcW w:w="20" w:type="dxa"/>
            <w:shd w:val="clear" w:color="auto" w:fill="auto"/>
            <w:vAlign w:val="bottom"/>
          </w:tcPr>
          <w:p w14:paraId="0B2FB23A" w14:textId="77777777" w:rsidR="007F1775" w:rsidRDefault="007F1775">
            <w:pPr>
              <w:rPr>
                <w:rFonts w:ascii="宋体"/>
              </w:rPr>
            </w:pPr>
          </w:p>
        </w:tc>
        <w:tc>
          <w:tcPr>
            <w:tcW w:w="455" w:type="dxa"/>
            <w:shd w:val="clear" w:color="auto" w:fill="auto"/>
            <w:vAlign w:val="bottom"/>
          </w:tcPr>
          <w:p w14:paraId="0B2FB23B" w14:textId="77777777" w:rsidR="007F1775" w:rsidRDefault="007F1775">
            <w:pPr>
              <w:rPr>
                <w:rFonts w:ascii="宋体"/>
              </w:rPr>
            </w:pPr>
          </w:p>
        </w:tc>
        <w:tc>
          <w:tcPr>
            <w:tcW w:w="20" w:type="dxa"/>
            <w:shd w:val="clear" w:color="auto" w:fill="auto"/>
            <w:vAlign w:val="bottom"/>
          </w:tcPr>
          <w:p w14:paraId="0B2FB23C" w14:textId="77777777" w:rsidR="007F1775" w:rsidRDefault="007F1775">
            <w:pPr>
              <w:rPr>
                <w:rFonts w:ascii="宋体"/>
              </w:rPr>
            </w:pPr>
          </w:p>
        </w:tc>
        <w:tc>
          <w:tcPr>
            <w:tcW w:w="20" w:type="dxa"/>
            <w:shd w:val="clear" w:color="auto" w:fill="auto"/>
            <w:vAlign w:val="bottom"/>
          </w:tcPr>
          <w:p w14:paraId="0B2FB23D" w14:textId="77777777" w:rsidR="007F1775" w:rsidRDefault="007F1775">
            <w:pPr>
              <w:rPr>
                <w:rFonts w:ascii="宋体"/>
              </w:rPr>
            </w:pPr>
          </w:p>
        </w:tc>
        <w:tc>
          <w:tcPr>
            <w:tcW w:w="455" w:type="dxa"/>
            <w:shd w:val="clear" w:color="auto" w:fill="auto"/>
            <w:vAlign w:val="bottom"/>
          </w:tcPr>
          <w:p w14:paraId="0B2FB23E" w14:textId="77777777" w:rsidR="007F1775" w:rsidRDefault="007F1775">
            <w:pPr>
              <w:rPr>
                <w:rFonts w:ascii="宋体"/>
              </w:rPr>
            </w:pPr>
          </w:p>
        </w:tc>
        <w:tc>
          <w:tcPr>
            <w:tcW w:w="20" w:type="dxa"/>
            <w:shd w:val="clear" w:color="auto" w:fill="auto"/>
            <w:vAlign w:val="bottom"/>
          </w:tcPr>
          <w:p w14:paraId="0B2FB23F" w14:textId="77777777" w:rsidR="007F1775" w:rsidRDefault="007F1775">
            <w:pPr>
              <w:rPr>
                <w:rFonts w:ascii="宋体"/>
              </w:rPr>
            </w:pPr>
          </w:p>
        </w:tc>
        <w:tc>
          <w:tcPr>
            <w:tcW w:w="20" w:type="dxa"/>
            <w:shd w:val="clear" w:color="auto" w:fill="auto"/>
            <w:vAlign w:val="bottom"/>
          </w:tcPr>
          <w:p w14:paraId="0B2FB240" w14:textId="77777777" w:rsidR="007F1775" w:rsidRDefault="007F1775">
            <w:pPr>
              <w:rPr>
                <w:rFonts w:ascii="宋体"/>
              </w:rPr>
            </w:pPr>
          </w:p>
        </w:tc>
        <w:tc>
          <w:tcPr>
            <w:tcW w:w="455" w:type="dxa"/>
            <w:shd w:val="clear" w:color="auto" w:fill="auto"/>
            <w:vAlign w:val="bottom"/>
          </w:tcPr>
          <w:p w14:paraId="0B2FB241" w14:textId="77777777" w:rsidR="007F1775" w:rsidRDefault="007F1775">
            <w:pPr>
              <w:rPr>
                <w:rFonts w:ascii="宋体"/>
              </w:rPr>
            </w:pPr>
          </w:p>
        </w:tc>
        <w:tc>
          <w:tcPr>
            <w:tcW w:w="20" w:type="dxa"/>
            <w:shd w:val="clear" w:color="auto" w:fill="auto"/>
            <w:vAlign w:val="bottom"/>
          </w:tcPr>
          <w:p w14:paraId="0B2FB242" w14:textId="77777777" w:rsidR="007F1775" w:rsidRDefault="007F1775">
            <w:pPr>
              <w:rPr>
                <w:rFonts w:ascii="宋体"/>
              </w:rPr>
            </w:pPr>
          </w:p>
        </w:tc>
        <w:tc>
          <w:tcPr>
            <w:tcW w:w="20" w:type="dxa"/>
            <w:shd w:val="clear" w:color="auto" w:fill="auto"/>
            <w:vAlign w:val="bottom"/>
          </w:tcPr>
          <w:p w14:paraId="0B2FB243" w14:textId="77777777" w:rsidR="007F1775" w:rsidRDefault="007F1775">
            <w:pPr>
              <w:rPr>
                <w:rFonts w:ascii="宋体"/>
              </w:rPr>
            </w:pPr>
          </w:p>
        </w:tc>
        <w:tc>
          <w:tcPr>
            <w:tcW w:w="455" w:type="dxa"/>
            <w:shd w:val="clear" w:color="auto" w:fill="auto"/>
            <w:vAlign w:val="bottom"/>
          </w:tcPr>
          <w:p w14:paraId="0B2FB244" w14:textId="77777777" w:rsidR="007F1775" w:rsidRDefault="007F1775">
            <w:pPr>
              <w:rPr>
                <w:rFonts w:ascii="宋体"/>
              </w:rPr>
            </w:pPr>
          </w:p>
        </w:tc>
        <w:tc>
          <w:tcPr>
            <w:tcW w:w="20" w:type="dxa"/>
            <w:shd w:val="clear" w:color="auto" w:fill="auto"/>
            <w:vAlign w:val="bottom"/>
          </w:tcPr>
          <w:p w14:paraId="0B2FB245" w14:textId="77777777" w:rsidR="007F1775" w:rsidRDefault="007F1775">
            <w:pPr>
              <w:rPr>
                <w:rFonts w:ascii="宋体"/>
              </w:rPr>
            </w:pPr>
          </w:p>
        </w:tc>
        <w:tc>
          <w:tcPr>
            <w:tcW w:w="20" w:type="dxa"/>
            <w:shd w:val="clear" w:color="auto" w:fill="auto"/>
            <w:vAlign w:val="bottom"/>
          </w:tcPr>
          <w:p w14:paraId="0B2FB246" w14:textId="77777777" w:rsidR="007F1775" w:rsidRDefault="007F1775">
            <w:pPr>
              <w:rPr>
                <w:rFonts w:ascii="宋体"/>
              </w:rPr>
            </w:pPr>
          </w:p>
        </w:tc>
        <w:tc>
          <w:tcPr>
            <w:tcW w:w="455" w:type="dxa"/>
            <w:shd w:val="clear" w:color="auto" w:fill="auto"/>
            <w:vAlign w:val="bottom"/>
          </w:tcPr>
          <w:p w14:paraId="0B2FB247" w14:textId="77777777" w:rsidR="007F1775" w:rsidRDefault="007F1775">
            <w:pPr>
              <w:rPr>
                <w:rFonts w:ascii="宋体"/>
              </w:rPr>
            </w:pPr>
          </w:p>
        </w:tc>
        <w:tc>
          <w:tcPr>
            <w:tcW w:w="20" w:type="dxa"/>
            <w:shd w:val="clear" w:color="auto" w:fill="auto"/>
            <w:vAlign w:val="bottom"/>
          </w:tcPr>
          <w:p w14:paraId="0B2FB248" w14:textId="77777777" w:rsidR="007F1775" w:rsidRDefault="007F1775">
            <w:pPr>
              <w:rPr>
                <w:rFonts w:ascii="宋体"/>
              </w:rPr>
            </w:pPr>
          </w:p>
        </w:tc>
        <w:tc>
          <w:tcPr>
            <w:tcW w:w="20" w:type="dxa"/>
            <w:shd w:val="clear" w:color="auto" w:fill="auto"/>
            <w:vAlign w:val="bottom"/>
          </w:tcPr>
          <w:p w14:paraId="0B2FB249" w14:textId="77777777" w:rsidR="007F1775" w:rsidRDefault="007F1775">
            <w:pPr>
              <w:rPr>
                <w:rFonts w:ascii="宋体"/>
              </w:rPr>
            </w:pPr>
          </w:p>
        </w:tc>
        <w:tc>
          <w:tcPr>
            <w:tcW w:w="455" w:type="dxa"/>
            <w:shd w:val="clear" w:color="auto" w:fill="auto"/>
            <w:vAlign w:val="bottom"/>
          </w:tcPr>
          <w:p w14:paraId="0B2FB24A" w14:textId="77777777" w:rsidR="007F1775" w:rsidRDefault="007F1775">
            <w:pPr>
              <w:rPr>
                <w:rFonts w:ascii="宋体"/>
              </w:rPr>
            </w:pPr>
          </w:p>
        </w:tc>
        <w:tc>
          <w:tcPr>
            <w:tcW w:w="20" w:type="dxa"/>
            <w:shd w:val="clear" w:color="auto" w:fill="auto"/>
            <w:vAlign w:val="bottom"/>
          </w:tcPr>
          <w:p w14:paraId="0B2FB24B" w14:textId="77777777" w:rsidR="007F1775" w:rsidRDefault="007F1775">
            <w:pPr>
              <w:rPr>
                <w:rFonts w:ascii="宋体"/>
              </w:rPr>
            </w:pPr>
          </w:p>
        </w:tc>
        <w:tc>
          <w:tcPr>
            <w:tcW w:w="20" w:type="dxa"/>
            <w:shd w:val="clear" w:color="auto" w:fill="auto"/>
            <w:vAlign w:val="bottom"/>
          </w:tcPr>
          <w:p w14:paraId="0B2FB24C" w14:textId="77777777" w:rsidR="007F1775" w:rsidRDefault="007F1775">
            <w:pPr>
              <w:rPr>
                <w:rFonts w:ascii="宋体"/>
              </w:rPr>
            </w:pPr>
          </w:p>
        </w:tc>
        <w:tc>
          <w:tcPr>
            <w:tcW w:w="455" w:type="dxa"/>
            <w:shd w:val="clear" w:color="auto" w:fill="auto"/>
            <w:vAlign w:val="bottom"/>
          </w:tcPr>
          <w:p w14:paraId="0B2FB24D" w14:textId="77777777" w:rsidR="007F1775" w:rsidRDefault="007F1775">
            <w:pPr>
              <w:rPr>
                <w:rFonts w:ascii="宋体"/>
              </w:rPr>
            </w:pPr>
          </w:p>
        </w:tc>
        <w:tc>
          <w:tcPr>
            <w:tcW w:w="20" w:type="dxa"/>
            <w:shd w:val="clear" w:color="auto" w:fill="auto"/>
            <w:vAlign w:val="bottom"/>
          </w:tcPr>
          <w:p w14:paraId="0B2FB24E" w14:textId="77777777" w:rsidR="007F1775" w:rsidRDefault="007F1775">
            <w:pPr>
              <w:rPr>
                <w:rFonts w:ascii="宋体"/>
              </w:rPr>
            </w:pPr>
          </w:p>
        </w:tc>
        <w:tc>
          <w:tcPr>
            <w:tcW w:w="20" w:type="dxa"/>
            <w:shd w:val="clear" w:color="auto" w:fill="auto"/>
            <w:vAlign w:val="bottom"/>
          </w:tcPr>
          <w:p w14:paraId="0B2FB24F" w14:textId="77777777" w:rsidR="007F1775" w:rsidRDefault="007F1775">
            <w:pPr>
              <w:rPr>
                <w:rFonts w:ascii="宋体"/>
              </w:rPr>
            </w:pPr>
          </w:p>
        </w:tc>
        <w:tc>
          <w:tcPr>
            <w:tcW w:w="455" w:type="dxa"/>
            <w:shd w:val="clear" w:color="auto" w:fill="auto"/>
            <w:vAlign w:val="bottom"/>
          </w:tcPr>
          <w:p w14:paraId="0B2FB250" w14:textId="77777777" w:rsidR="007F1775" w:rsidRDefault="007F1775">
            <w:pPr>
              <w:rPr>
                <w:rFonts w:ascii="宋体"/>
              </w:rPr>
            </w:pPr>
          </w:p>
        </w:tc>
        <w:tc>
          <w:tcPr>
            <w:tcW w:w="20" w:type="dxa"/>
            <w:shd w:val="clear" w:color="auto" w:fill="auto"/>
            <w:vAlign w:val="bottom"/>
          </w:tcPr>
          <w:p w14:paraId="0B2FB251" w14:textId="77777777" w:rsidR="007F1775" w:rsidRDefault="007F1775">
            <w:pPr>
              <w:rPr>
                <w:rFonts w:ascii="宋体"/>
              </w:rPr>
            </w:pPr>
          </w:p>
        </w:tc>
        <w:tc>
          <w:tcPr>
            <w:tcW w:w="20" w:type="dxa"/>
            <w:shd w:val="clear" w:color="auto" w:fill="auto"/>
            <w:vAlign w:val="bottom"/>
          </w:tcPr>
          <w:p w14:paraId="0B2FB252" w14:textId="77777777" w:rsidR="007F1775" w:rsidRDefault="007F1775">
            <w:pPr>
              <w:rPr>
                <w:rFonts w:ascii="宋体"/>
              </w:rPr>
            </w:pPr>
          </w:p>
        </w:tc>
        <w:tc>
          <w:tcPr>
            <w:tcW w:w="455" w:type="dxa"/>
            <w:shd w:val="clear" w:color="auto" w:fill="auto"/>
            <w:vAlign w:val="bottom"/>
          </w:tcPr>
          <w:p w14:paraId="0B2FB253" w14:textId="77777777" w:rsidR="007F1775" w:rsidRDefault="007F1775">
            <w:pPr>
              <w:rPr>
                <w:rFonts w:ascii="宋体"/>
              </w:rPr>
            </w:pPr>
          </w:p>
        </w:tc>
        <w:tc>
          <w:tcPr>
            <w:tcW w:w="20" w:type="dxa"/>
            <w:shd w:val="clear" w:color="auto" w:fill="auto"/>
            <w:vAlign w:val="bottom"/>
          </w:tcPr>
          <w:p w14:paraId="0B2FB254" w14:textId="77777777" w:rsidR="007F1775" w:rsidRDefault="007F1775">
            <w:pPr>
              <w:rPr>
                <w:rFonts w:ascii="宋体"/>
              </w:rPr>
            </w:pPr>
          </w:p>
        </w:tc>
        <w:tc>
          <w:tcPr>
            <w:tcW w:w="20" w:type="dxa"/>
            <w:shd w:val="clear" w:color="auto" w:fill="auto"/>
            <w:vAlign w:val="bottom"/>
          </w:tcPr>
          <w:p w14:paraId="0B2FB255" w14:textId="77777777" w:rsidR="007F1775" w:rsidRDefault="007F1775">
            <w:pPr>
              <w:rPr>
                <w:rFonts w:ascii="宋体"/>
              </w:rPr>
            </w:pPr>
          </w:p>
        </w:tc>
        <w:tc>
          <w:tcPr>
            <w:tcW w:w="455" w:type="dxa"/>
            <w:shd w:val="clear" w:color="auto" w:fill="auto"/>
            <w:vAlign w:val="bottom"/>
          </w:tcPr>
          <w:p w14:paraId="0B2FB256" w14:textId="77777777" w:rsidR="007F1775" w:rsidRDefault="007F1775">
            <w:pPr>
              <w:rPr>
                <w:rFonts w:ascii="宋体"/>
              </w:rPr>
            </w:pPr>
          </w:p>
        </w:tc>
        <w:tc>
          <w:tcPr>
            <w:tcW w:w="20" w:type="dxa"/>
            <w:shd w:val="clear" w:color="auto" w:fill="auto"/>
            <w:vAlign w:val="bottom"/>
          </w:tcPr>
          <w:p w14:paraId="0B2FB257" w14:textId="77777777" w:rsidR="007F1775" w:rsidRDefault="007F1775">
            <w:pPr>
              <w:rPr>
                <w:rFonts w:ascii="宋体"/>
              </w:rPr>
            </w:pPr>
          </w:p>
        </w:tc>
        <w:tc>
          <w:tcPr>
            <w:tcW w:w="20" w:type="dxa"/>
            <w:shd w:val="clear" w:color="auto" w:fill="auto"/>
            <w:vAlign w:val="bottom"/>
          </w:tcPr>
          <w:p w14:paraId="0B2FB258" w14:textId="77777777" w:rsidR="007F1775" w:rsidRDefault="007F1775">
            <w:pPr>
              <w:rPr>
                <w:rFonts w:ascii="宋体"/>
              </w:rPr>
            </w:pPr>
          </w:p>
        </w:tc>
        <w:tc>
          <w:tcPr>
            <w:tcW w:w="455" w:type="dxa"/>
            <w:shd w:val="clear" w:color="auto" w:fill="auto"/>
            <w:vAlign w:val="bottom"/>
          </w:tcPr>
          <w:p w14:paraId="0B2FB259" w14:textId="77777777" w:rsidR="007F1775" w:rsidRDefault="007F1775">
            <w:pPr>
              <w:rPr>
                <w:rFonts w:ascii="宋体"/>
              </w:rPr>
            </w:pPr>
          </w:p>
        </w:tc>
        <w:tc>
          <w:tcPr>
            <w:tcW w:w="20" w:type="dxa"/>
            <w:shd w:val="clear" w:color="auto" w:fill="auto"/>
            <w:vAlign w:val="bottom"/>
          </w:tcPr>
          <w:p w14:paraId="0B2FB25A" w14:textId="77777777" w:rsidR="007F1775" w:rsidRDefault="007F1775">
            <w:pPr>
              <w:rPr>
                <w:rFonts w:ascii="宋体"/>
              </w:rPr>
            </w:pPr>
          </w:p>
        </w:tc>
        <w:tc>
          <w:tcPr>
            <w:tcW w:w="20" w:type="dxa"/>
            <w:shd w:val="clear" w:color="auto" w:fill="auto"/>
            <w:vAlign w:val="bottom"/>
          </w:tcPr>
          <w:p w14:paraId="0B2FB25B" w14:textId="77777777" w:rsidR="007F1775" w:rsidRDefault="007F1775">
            <w:pPr>
              <w:rPr>
                <w:rFonts w:ascii="宋体"/>
              </w:rPr>
            </w:pPr>
          </w:p>
        </w:tc>
        <w:tc>
          <w:tcPr>
            <w:tcW w:w="455" w:type="dxa"/>
            <w:shd w:val="clear" w:color="auto" w:fill="auto"/>
            <w:vAlign w:val="bottom"/>
          </w:tcPr>
          <w:p w14:paraId="0B2FB25C" w14:textId="77777777" w:rsidR="007F1775" w:rsidRDefault="007F1775">
            <w:pPr>
              <w:rPr>
                <w:rFonts w:ascii="宋体"/>
              </w:rPr>
            </w:pPr>
          </w:p>
        </w:tc>
        <w:tc>
          <w:tcPr>
            <w:tcW w:w="20" w:type="dxa"/>
            <w:shd w:val="clear" w:color="auto" w:fill="auto"/>
            <w:vAlign w:val="bottom"/>
          </w:tcPr>
          <w:p w14:paraId="0B2FB25D" w14:textId="77777777" w:rsidR="007F1775" w:rsidRDefault="007F1775">
            <w:pPr>
              <w:rPr>
                <w:rFonts w:ascii="宋体"/>
              </w:rPr>
            </w:pPr>
          </w:p>
        </w:tc>
        <w:tc>
          <w:tcPr>
            <w:tcW w:w="20" w:type="dxa"/>
            <w:shd w:val="clear" w:color="auto" w:fill="auto"/>
            <w:vAlign w:val="bottom"/>
          </w:tcPr>
          <w:p w14:paraId="0B2FB25E" w14:textId="77777777" w:rsidR="007F1775" w:rsidRDefault="007F1775">
            <w:pPr>
              <w:rPr>
                <w:rFonts w:ascii="宋体"/>
              </w:rPr>
            </w:pPr>
          </w:p>
        </w:tc>
        <w:tc>
          <w:tcPr>
            <w:tcW w:w="455" w:type="dxa"/>
            <w:shd w:val="clear" w:color="auto" w:fill="auto"/>
            <w:vAlign w:val="bottom"/>
          </w:tcPr>
          <w:p w14:paraId="0B2FB25F" w14:textId="77777777" w:rsidR="007F1775" w:rsidRDefault="007F1775">
            <w:pPr>
              <w:rPr>
                <w:rFonts w:ascii="宋体"/>
              </w:rPr>
            </w:pPr>
          </w:p>
        </w:tc>
        <w:tc>
          <w:tcPr>
            <w:tcW w:w="20" w:type="dxa"/>
            <w:shd w:val="clear" w:color="auto" w:fill="auto"/>
            <w:vAlign w:val="bottom"/>
          </w:tcPr>
          <w:p w14:paraId="0B2FB260" w14:textId="77777777" w:rsidR="007F1775" w:rsidRDefault="007F1775">
            <w:pPr>
              <w:rPr>
                <w:rFonts w:ascii="宋体"/>
              </w:rPr>
            </w:pPr>
          </w:p>
        </w:tc>
        <w:tc>
          <w:tcPr>
            <w:tcW w:w="20" w:type="dxa"/>
            <w:shd w:val="clear" w:color="auto" w:fill="auto"/>
            <w:vAlign w:val="bottom"/>
          </w:tcPr>
          <w:p w14:paraId="0B2FB261" w14:textId="77777777" w:rsidR="007F1775" w:rsidRDefault="007F1775">
            <w:pPr>
              <w:rPr>
                <w:rFonts w:ascii="宋体"/>
              </w:rPr>
            </w:pPr>
          </w:p>
        </w:tc>
        <w:tc>
          <w:tcPr>
            <w:tcW w:w="455" w:type="dxa"/>
            <w:shd w:val="clear" w:color="auto" w:fill="auto"/>
            <w:vAlign w:val="bottom"/>
          </w:tcPr>
          <w:p w14:paraId="0B2FB262" w14:textId="77777777" w:rsidR="007F1775" w:rsidRDefault="007F1775">
            <w:pPr>
              <w:rPr>
                <w:rFonts w:ascii="宋体"/>
              </w:rPr>
            </w:pPr>
          </w:p>
        </w:tc>
        <w:tc>
          <w:tcPr>
            <w:tcW w:w="20" w:type="dxa"/>
            <w:shd w:val="clear" w:color="auto" w:fill="auto"/>
            <w:vAlign w:val="bottom"/>
          </w:tcPr>
          <w:p w14:paraId="0B2FB263" w14:textId="77777777" w:rsidR="007F1775" w:rsidRDefault="007F1775">
            <w:pPr>
              <w:rPr>
                <w:rFonts w:ascii="宋体"/>
              </w:rPr>
            </w:pPr>
          </w:p>
        </w:tc>
        <w:tc>
          <w:tcPr>
            <w:tcW w:w="20" w:type="dxa"/>
            <w:shd w:val="clear" w:color="auto" w:fill="auto"/>
            <w:vAlign w:val="bottom"/>
          </w:tcPr>
          <w:p w14:paraId="0B2FB264" w14:textId="77777777" w:rsidR="007F1775" w:rsidRDefault="007F1775">
            <w:pPr>
              <w:rPr>
                <w:rFonts w:ascii="宋体"/>
              </w:rPr>
            </w:pPr>
          </w:p>
        </w:tc>
        <w:tc>
          <w:tcPr>
            <w:tcW w:w="455" w:type="dxa"/>
            <w:shd w:val="clear" w:color="auto" w:fill="auto"/>
            <w:vAlign w:val="bottom"/>
          </w:tcPr>
          <w:p w14:paraId="0B2FB265" w14:textId="77777777" w:rsidR="007F1775" w:rsidRDefault="007F1775">
            <w:pPr>
              <w:rPr>
                <w:rFonts w:ascii="宋体"/>
              </w:rPr>
            </w:pPr>
          </w:p>
        </w:tc>
        <w:tc>
          <w:tcPr>
            <w:tcW w:w="20" w:type="dxa"/>
            <w:shd w:val="clear" w:color="auto" w:fill="auto"/>
            <w:vAlign w:val="bottom"/>
          </w:tcPr>
          <w:p w14:paraId="0B2FB266" w14:textId="77777777" w:rsidR="007F1775" w:rsidRDefault="007F1775">
            <w:pPr>
              <w:rPr>
                <w:rFonts w:ascii="宋体"/>
              </w:rPr>
            </w:pPr>
          </w:p>
        </w:tc>
        <w:tc>
          <w:tcPr>
            <w:tcW w:w="20" w:type="dxa"/>
            <w:shd w:val="clear" w:color="auto" w:fill="auto"/>
            <w:vAlign w:val="bottom"/>
          </w:tcPr>
          <w:p w14:paraId="0B2FB267" w14:textId="77777777" w:rsidR="007F1775" w:rsidRDefault="007F1775">
            <w:pPr>
              <w:rPr>
                <w:rFonts w:ascii="宋体"/>
              </w:rPr>
            </w:pPr>
          </w:p>
        </w:tc>
        <w:tc>
          <w:tcPr>
            <w:tcW w:w="455" w:type="dxa"/>
            <w:shd w:val="clear" w:color="auto" w:fill="auto"/>
            <w:vAlign w:val="bottom"/>
          </w:tcPr>
          <w:p w14:paraId="0B2FB268" w14:textId="77777777" w:rsidR="007F1775" w:rsidRDefault="007F1775">
            <w:pPr>
              <w:rPr>
                <w:rFonts w:ascii="宋体"/>
              </w:rPr>
            </w:pPr>
          </w:p>
        </w:tc>
        <w:tc>
          <w:tcPr>
            <w:tcW w:w="20" w:type="dxa"/>
            <w:shd w:val="clear" w:color="auto" w:fill="auto"/>
            <w:vAlign w:val="bottom"/>
          </w:tcPr>
          <w:p w14:paraId="0B2FB269" w14:textId="77777777" w:rsidR="007F1775" w:rsidRDefault="007F1775">
            <w:pPr>
              <w:rPr>
                <w:rFonts w:ascii="宋体"/>
              </w:rPr>
            </w:pPr>
          </w:p>
        </w:tc>
        <w:tc>
          <w:tcPr>
            <w:tcW w:w="20" w:type="dxa"/>
            <w:shd w:val="clear" w:color="auto" w:fill="auto"/>
            <w:vAlign w:val="bottom"/>
          </w:tcPr>
          <w:p w14:paraId="0B2FB26A" w14:textId="77777777" w:rsidR="007F1775" w:rsidRDefault="007F1775">
            <w:pPr>
              <w:rPr>
                <w:rFonts w:ascii="宋体"/>
              </w:rPr>
            </w:pPr>
          </w:p>
        </w:tc>
        <w:tc>
          <w:tcPr>
            <w:tcW w:w="455" w:type="dxa"/>
            <w:shd w:val="clear" w:color="auto" w:fill="auto"/>
            <w:vAlign w:val="bottom"/>
          </w:tcPr>
          <w:p w14:paraId="0B2FB26B" w14:textId="77777777" w:rsidR="007F1775" w:rsidRDefault="007F1775">
            <w:pPr>
              <w:rPr>
                <w:rFonts w:ascii="宋体"/>
              </w:rPr>
            </w:pPr>
          </w:p>
        </w:tc>
        <w:tc>
          <w:tcPr>
            <w:tcW w:w="20" w:type="dxa"/>
            <w:shd w:val="clear" w:color="auto" w:fill="auto"/>
            <w:vAlign w:val="bottom"/>
          </w:tcPr>
          <w:p w14:paraId="0B2FB26C" w14:textId="77777777" w:rsidR="007F1775" w:rsidRDefault="007F1775">
            <w:pPr>
              <w:rPr>
                <w:rFonts w:ascii="宋体"/>
              </w:rPr>
            </w:pPr>
          </w:p>
        </w:tc>
        <w:tc>
          <w:tcPr>
            <w:tcW w:w="20" w:type="dxa"/>
            <w:shd w:val="clear" w:color="auto" w:fill="auto"/>
            <w:vAlign w:val="bottom"/>
          </w:tcPr>
          <w:p w14:paraId="0B2FB26D" w14:textId="77777777" w:rsidR="007F1775" w:rsidRDefault="007F1775">
            <w:pPr>
              <w:rPr>
                <w:rFonts w:ascii="宋体"/>
              </w:rPr>
            </w:pPr>
          </w:p>
        </w:tc>
        <w:tc>
          <w:tcPr>
            <w:tcW w:w="455" w:type="dxa"/>
            <w:shd w:val="clear" w:color="auto" w:fill="auto"/>
            <w:vAlign w:val="bottom"/>
          </w:tcPr>
          <w:p w14:paraId="0B2FB26E" w14:textId="77777777" w:rsidR="007F1775" w:rsidRDefault="007F1775">
            <w:pPr>
              <w:rPr>
                <w:rFonts w:ascii="宋体"/>
              </w:rPr>
            </w:pPr>
          </w:p>
        </w:tc>
        <w:tc>
          <w:tcPr>
            <w:tcW w:w="20" w:type="dxa"/>
            <w:shd w:val="clear" w:color="auto" w:fill="auto"/>
            <w:vAlign w:val="bottom"/>
          </w:tcPr>
          <w:p w14:paraId="0B2FB26F" w14:textId="77777777" w:rsidR="007F1775" w:rsidRDefault="007F1775">
            <w:pPr>
              <w:rPr>
                <w:rFonts w:ascii="宋体"/>
              </w:rPr>
            </w:pPr>
          </w:p>
        </w:tc>
      </w:tr>
      <w:tr w:rsidR="007F1775" w14:paraId="0B2FB297" w14:textId="77777777">
        <w:trPr>
          <w:trHeight w:val="180"/>
          <w:jc w:val="center"/>
        </w:trPr>
        <w:tc>
          <w:tcPr>
            <w:tcW w:w="0" w:type="auto"/>
            <w:gridSpan w:val="3"/>
            <w:shd w:val="clear" w:color="auto" w:fill="auto"/>
            <w:tcMar>
              <w:top w:w="40" w:type="dxa"/>
              <w:left w:w="20" w:type="dxa"/>
              <w:bottom w:w="40" w:type="dxa"/>
              <w:right w:w="20" w:type="dxa"/>
            </w:tcMar>
          </w:tcPr>
          <w:p w14:paraId="0B2FB271" w14:textId="77777777" w:rsidR="007F1775" w:rsidRDefault="000F083E">
            <w:pPr>
              <w:jc w:val="right"/>
              <w:textAlignment w:val="top"/>
            </w:pPr>
            <w:r>
              <w:rPr>
                <w:rFonts w:ascii="sans-serif" w:eastAsia="宋体" w:hAnsi="sans-serif" w:cs="sans-serif"/>
                <w:color w:val="000000"/>
                <w:sz w:val="14"/>
                <w:szCs w:val="14"/>
              </w:rPr>
              <w:t>ARPU:</w:t>
            </w:r>
          </w:p>
        </w:tc>
        <w:tc>
          <w:tcPr>
            <w:tcW w:w="0" w:type="auto"/>
            <w:shd w:val="clear" w:color="auto" w:fill="auto"/>
            <w:tcMar>
              <w:top w:w="40" w:type="dxa"/>
              <w:left w:w="20" w:type="dxa"/>
              <w:bottom w:w="40" w:type="dxa"/>
              <w:right w:w="0" w:type="dxa"/>
            </w:tcMar>
          </w:tcPr>
          <w:p w14:paraId="0B2FB272" w14:textId="77777777" w:rsidR="007F1775" w:rsidRDefault="000F083E">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0B2FB273" w14:textId="77777777" w:rsidR="007F1775" w:rsidRDefault="000F083E">
            <w:pPr>
              <w:jc w:val="right"/>
              <w:textAlignment w:val="top"/>
            </w:pPr>
            <w:r>
              <w:rPr>
                <w:rFonts w:ascii="sans-serif" w:eastAsia="宋体" w:hAnsi="sans-serif" w:cs="sans-serif"/>
                <w:color w:val="000000"/>
                <w:sz w:val="14"/>
                <w:szCs w:val="14"/>
              </w:rPr>
              <w:t>34.18 </w:t>
            </w:r>
          </w:p>
        </w:tc>
        <w:tc>
          <w:tcPr>
            <w:tcW w:w="0" w:type="auto"/>
            <w:shd w:val="clear" w:color="auto" w:fill="auto"/>
            <w:tcMar>
              <w:top w:w="40" w:type="dxa"/>
              <w:left w:w="0" w:type="dxa"/>
              <w:bottom w:w="40" w:type="dxa"/>
              <w:right w:w="20" w:type="dxa"/>
            </w:tcMar>
          </w:tcPr>
          <w:p w14:paraId="0B2FB274" w14:textId="77777777" w:rsidR="007F1775" w:rsidRDefault="007F1775">
            <w:pPr>
              <w:jc w:val="right"/>
              <w:rPr>
                <w:rFonts w:ascii="宋体"/>
              </w:rPr>
            </w:pPr>
          </w:p>
        </w:tc>
        <w:tc>
          <w:tcPr>
            <w:tcW w:w="0" w:type="auto"/>
            <w:shd w:val="clear" w:color="auto" w:fill="auto"/>
            <w:tcMar>
              <w:top w:w="40" w:type="dxa"/>
              <w:left w:w="20" w:type="dxa"/>
              <w:bottom w:w="40" w:type="dxa"/>
              <w:right w:w="0" w:type="dxa"/>
            </w:tcMar>
          </w:tcPr>
          <w:p w14:paraId="0B2FB275" w14:textId="77777777" w:rsidR="007F1775" w:rsidRDefault="000F083E">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0B2FB276" w14:textId="77777777" w:rsidR="007F1775" w:rsidRDefault="000F083E">
            <w:pPr>
              <w:jc w:val="right"/>
              <w:textAlignment w:val="top"/>
            </w:pPr>
            <w:r>
              <w:rPr>
                <w:rFonts w:ascii="sans-serif" w:eastAsia="宋体" w:hAnsi="sans-serif" w:cs="sans-serif"/>
                <w:color w:val="000000"/>
                <w:sz w:val="14"/>
                <w:szCs w:val="14"/>
              </w:rPr>
              <w:t>36.49 </w:t>
            </w:r>
          </w:p>
        </w:tc>
        <w:tc>
          <w:tcPr>
            <w:tcW w:w="0" w:type="auto"/>
            <w:shd w:val="clear" w:color="auto" w:fill="auto"/>
            <w:tcMar>
              <w:top w:w="40" w:type="dxa"/>
              <w:left w:w="0" w:type="dxa"/>
              <w:bottom w:w="40" w:type="dxa"/>
              <w:right w:w="20" w:type="dxa"/>
            </w:tcMar>
          </w:tcPr>
          <w:p w14:paraId="0B2FB277" w14:textId="77777777" w:rsidR="007F1775" w:rsidRDefault="007F1775">
            <w:pPr>
              <w:jc w:val="right"/>
              <w:rPr>
                <w:rFonts w:ascii="宋体"/>
              </w:rPr>
            </w:pPr>
          </w:p>
        </w:tc>
        <w:tc>
          <w:tcPr>
            <w:tcW w:w="0" w:type="auto"/>
            <w:shd w:val="clear" w:color="auto" w:fill="auto"/>
            <w:tcMar>
              <w:top w:w="40" w:type="dxa"/>
              <w:left w:w="20" w:type="dxa"/>
              <w:bottom w:w="40" w:type="dxa"/>
              <w:right w:w="0" w:type="dxa"/>
            </w:tcMar>
          </w:tcPr>
          <w:p w14:paraId="0B2FB278" w14:textId="77777777" w:rsidR="007F1775" w:rsidRDefault="000F083E">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0B2FB279" w14:textId="77777777" w:rsidR="007F1775" w:rsidRDefault="000F083E">
            <w:pPr>
              <w:jc w:val="right"/>
              <w:textAlignment w:val="top"/>
            </w:pPr>
            <w:r>
              <w:rPr>
                <w:rFonts w:ascii="sans-serif" w:eastAsia="宋体" w:hAnsi="sans-serif" w:cs="sans-serif"/>
                <w:color w:val="000000"/>
                <w:sz w:val="14"/>
                <w:szCs w:val="14"/>
              </w:rPr>
              <w:t>39.63 </w:t>
            </w:r>
          </w:p>
        </w:tc>
        <w:tc>
          <w:tcPr>
            <w:tcW w:w="0" w:type="auto"/>
            <w:shd w:val="clear" w:color="auto" w:fill="auto"/>
            <w:tcMar>
              <w:top w:w="40" w:type="dxa"/>
              <w:left w:w="0" w:type="dxa"/>
              <w:bottom w:w="40" w:type="dxa"/>
              <w:right w:w="20" w:type="dxa"/>
            </w:tcMar>
          </w:tcPr>
          <w:p w14:paraId="0B2FB27A" w14:textId="77777777" w:rsidR="007F1775" w:rsidRDefault="007F1775">
            <w:pPr>
              <w:jc w:val="right"/>
              <w:rPr>
                <w:rFonts w:ascii="宋体"/>
              </w:rPr>
            </w:pPr>
          </w:p>
        </w:tc>
        <w:tc>
          <w:tcPr>
            <w:tcW w:w="0" w:type="auto"/>
            <w:shd w:val="clear" w:color="auto" w:fill="auto"/>
            <w:tcMar>
              <w:top w:w="40" w:type="dxa"/>
              <w:left w:w="20" w:type="dxa"/>
              <w:bottom w:w="40" w:type="dxa"/>
              <w:right w:w="0" w:type="dxa"/>
            </w:tcMar>
          </w:tcPr>
          <w:p w14:paraId="0B2FB27B" w14:textId="77777777" w:rsidR="007F1775" w:rsidRDefault="000F083E">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0B2FB27C" w14:textId="77777777" w:rsidR="007F1775" w:rsidRDefault="000F083E">
            <w:pPr>
              <w:jc w:val="right"/>
              <w:textAlignment w:val="top"/>
            </w:pPr>
            <w:r>
              <w:rPr>
                <w:rFonts w:ascii="sans-serif" w:eastAsia="宋体" w:hAnsi="sans-serif" w:cs="sans-serif"/>
                <w:color w:val="000000"/>
                <w:sz w:val="14"/>
                <w:szCs w:val="14"/>
              </w:rPr>
              <w:t>53.56 </w:t>
            </w:r>
          </w:p>
        </w:tc>
        <w:tc>
          <w:tcPr>
            <w:tcW w:w="0" w:type="auto"/>
            <w:shd w:val="clear" w:color="auto" w:fill="auto"/>
            <w:tcMar>
              <w:top w:w="40" w:type="dxa"/>
              <w:left w:w="0" w:type="dxa"/>
              <w:bottom w:w="40" w:type="dxa"/>
              <w:right w:w="20" w:type="dxa"/>
            </w:tcMar>
          </w:tcPr>
          <w:p w14:paraId="0B2FB27D" w14:textId="77777777" w:rsidR="007F1775" w:rsidRDefault="007F1775">
            <w:pPr>
              <w:jc w:val="right"/>
              <w:rPr>
                <w:rFonts w:ascii="宋体"/>
              </w:rPr>
            </w:pPr>
          </w:p>
        </w:tc>
        <w:tc>
          <w:tcPr>
            <w:tcW w:w="0" w:type="auto"/>
            <w:shd w:val="clear" w:color="auto" w:fill="auto"/>
            <w:tcMar>
              <w:top w:w="40" w:type="dxa"/>
              <w:left w:w="20" w:type="dxa"/>
              <w:bottom w:w="40" w:type="dxa"/>
              <w:right w:w="0" w:type="dxa"/>
            </w:tcMar>
          </w:tcPr>
          <w:p w14:paraId="0B2FB27E" w14:textId="77777777" w:rsidR="007F1775" w:rsidRDefault="000F083E">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0B2FB27F" w14:textId="77777777" w:rsidR="007F1775" w:rsidRDefault="000F083E">
            <w:pPr>
              <w:jc w:val="right"/>
              <w:textAlignment w:val="top"/>
            </w:pPr>
            <w:r>
              <w:rPr>
                <w:rFonts w:ascii="sans-serif" w:eastAsia="宋体" w:hAnsi="sans-serif" w:cs="sans-serif"/>
                <w:color w:val="000000"/>
                <w:sz w:val="14"/>
                <w:szCs w:val="14"/>
              </w:rPr>
              <w:t>48.03 </w:t>
            </w:r>
          </w:p>
        </w:tc>
        <w:tc>
          <w:tcPr>
            <w:tcW w:w="0" w:type="auto"/>
            <w:shd w:val="clear" w:color="auto" w:fill="auto"/>
            <w:tcMar>
              <w:top w:w="40" w:type="dxa"/>
              <w:left w:w="0" w:type="dxa"/>
              <w:bottom w:w="40" w:type="dxa"/>
              <w:right w:w="20" w:type="dxa"/>
            </w:tcMar>
          </w:tcPr>
          <w:p w14:paraId="0B2FB280" w14:textId="77777777" w:rsidR="007F1775" w:rsidRDefault="007F1775">
            <w:pPr>
              <w:jc w:val="right"/>
              <w:rPr>
                <w:rFonts w:ascii="宋体"/>
              </w:rPr>
            </w:pPr>
          </w:p>
        </w:tc>
        <w:tc>
          <w:tcPr>
            <w:tcW w:w="0" w:type="auto"/>
            <w:shd w:val="clear" w:color="auto" w:fill="auto"/>
            <w:tcMar>
              <w:top w:w="40" w:type="dxa"/>
              <w:left w:w="20" w:type="dxa"/>
              <w:bottom w:w="40" w:type="dxa"/>
              <w:right w:w="0" w:type="dxa"/>
            </w:tcMar>
          </w:tcPr>
          <w:p w14:paraId="0B2FB281" w14:textId="77777777" w:rsidR="007F1775" w:rsidRDefault="000F083E">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0B2FB282" w14:textId="77777777" w:rsidR="007F1775" w:rsidRDefault="000F083E">
            <w:pPr>
              <w:jc w:val="right"/>
              <w:textAlignment w:val="top"/>
            </w:pPr>
            <w:r>
              <w:rPr>
                <w:rFonts w:ascii="sans-serif" w:eastAsia="宋体" w:hAnsi="sans-serif" w:cs="sans-serif"/>
                <w:color w:val="000000"/>
                <w:sz w:val="14"/>
                <w:szCs w:val="14"/>
              </w:rPr>
              <w:t>53.01 </w:t>
            </w:r>
          </w:p>
        </w:tc>
        <w:tc>
          <w:tcPr>
            <w:tcW w:w="0" w:type="auto"/>
            <w:shd w:val="clear" w:color="auto" w:fill="auto"/>
            <w:tcMar>
              <w:top w:w="40" w:type="dxa"/>
              <w:left w:w="0" w:type="dxa"/>
              <w:bottom w:w="40" w:type="dxa"/>
              <w:right w:w="20" w:type="dxa"/>
            </w:tcMar>
          </w:tcPr>
          <w:p w14:paraId="0B2FB283" w14:textId="77777777" w:rsidR="007F1775" w:rsidRDefault="007F1775">
            <w:pPr>
              <w:jc w:val="right"/>
              <w:rPr>
                <w:rFonts w:ascii="宋体"/>
              </w:rPr>
            </w:pPr>
          </w:p>
        </w:tc>
        <w:tc>
          <w:tcPr>
            <w:tcW w:w="0" w:type="auto"/>
            <w:shd w:val="clear" w:color="auto" w:fill="auto"/>
            <w:tcMar>
              <w:top w:w="40" w:type="dxa"/>
              <w:left w:w="20" w:type="dxa"/>
              <w:bottom w:w="40" w:type="dxa"/>
              <w:right w:w="0" w:type="dxa"/>
            </w:tcMar>
          </w:tcPr>
          <w:p w14:paraId="0B2FB284" w14:textId="77777777" w:rsidR="007F1775" w:rsidRDefault="000F083E">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0B2FB285" w14:textId="77777777" w:rsidR="007F1775" w:rsidRDefault="000F083E">
            <w:pPr>
              <w:jc w:val="right"/>
              <w:textAlignment w:val="top"/>
            </w:pPr>
            <w:r>
              <w:rPr>
                <w:rFonts w:ascii="sans-serif" w:eastAsia="宋体" w:hAnsi="sans-serif" w:cs="sans-serif"/>
                <w:color w:val="000000"/>
                <w:sz w:val="14"/>
                <w:szCs w:val="14"/>
              </w:rPr>
              <w:t>52.34 </w:t>
            </w:r>
          </w:p>
        </w:tc>
        <w:tc>
          <w:tcPr>
            <w:tcW w:w="0" w:type="auto"/>
            <w:shd w:val="clear" w:color="auto" w:fill="auto"/>
            <w:tcMar>
              <w:top w:w="40" w:type="dxa"/>
              <w:left w:w="0" w:type="dxa"/>
              <w:bottom w:w="40" w:type="dxa"/>
              <w:right w:w="20" w:type="dxa"/>
            </w:tcMar>
          </w:tcPr>
          <w:p w14:paraId="0B2FB286" w14:textId="77777777" w:rsidR="007F1775" w:rsidRDefault="007F1775">
            <w:pPr>
              <w:jc w:val="right"/>
              <w:rPr>
                <w:rFonts w:ascii="宋体"/>
              </w:rPr>
            </w:pPr>
          </w:p>
        </w:tc>
        <w:tc>
          <w:tcPr>
            <w:tcW w:w="0" w:type="auto"/>
            <w:shd w:val="clear" w:color="auto" w:fill="auto"/>
            <w:tcMar>
              <w:top w:w="40" w:type="dxa"/>
              <w:left w:w="20" w:type="dxa"/>
              <w:bottom w:w="40" w:type="dxa"/>
              <w:right w:w="0" w:type="dxa"/>
            </w:tcMar>
          </w:tcPr>
          <w:p w14:paraId="0B2FB287" w14:textId="77777777" w:rsidR="007F1775" w:rsidRDefault="000F083E">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0B2FB288" w14:textId="77777777" w:rsidR="007F1775" w:rsidRDefault="000F083E">
            <w:pPr>
              <w:jc w:val="right"/>
              <w:textAlignment w:val="top"/>
            </w:pPr>
            <w:r>
              <w:rPr>
                <w:rFonts w:ascii="sans-serif" w:eastAsia="宋体" w:hAnsi="sans-serif" w:cs="sans-serif"/>
                <w:color w:val="000000"/>
                <w:sz w:val="14"/>
                <w:szCs w:val="14"/>
              </w:rPr>
              <w:t>60.57 </w:t>
            </w:r>
          </w:p>
        </w:tc>
        <w:tc>
          <w:tcPr>
            <w:tcW w:w="0" w:type="auto"/>
            <w:shd w:val="clear" w:color="auto" w:fill="auto"/>
            <w:tcMar>
              <w:top w:w="40" w:type="dxa"/>
              <w:left w:w="0" w:type="dxa"/>
              <w:bottom w:w="40" w:type="dxa"/>
              <w:right w:w="20" w:type="dxa"/>
            </w:tcMar>
          </w:tcPr>
          <w:p w14:paraId="0B2FB289" w14:textId="77777777" w:rsidR="007F1775" w:rsidRDefault="007F1775">
            <w:pPr>
              <w:jc w:val="right"/>
              <w:rPr>
                <w:rFonts w:ascii="宋体"/>
              </w:rPr>
            </w:pPr>
          </w:p>
        </w:tc>
        <w:tc>
          <w:tcPr>
            <w:tcW w:w="0" w:type="auto"/>
            <w:shd w:val="clear" w:color="auto" w:fill="auto"/>
            <w:tcMar>
              <w:top w:w="40" w:type="dxa"/>
              <w:left w:w="20" w:type="dxa"/>
              <w:bottom w:w="40" w:type="dxa"/>
              <w:right w:w="0" w:type="dxa"/>
            </w:tcMar>
          </w:tcPr>
          <w:p w14:paraId="0B2FB28A" w14:textId="77777777" w:rsidR="007F1775" w:rsidRDefault="000F083E">
            <w:pPr>
              <w:textAlignment w:val="top"/>
            </w:pPr>
            <w:r>
              <w:rPr>
                <w:rFonts w:ascii="sans-serif" w:eastAsia="宋体" w:hAnsi="sans-serif" w:cs="sans-serif"/>
                <w:color w:val="000000"/>
                <w:sz w:val="14"/>
                <w:szCs w:val="14"/>
              </w:rPr>
              <w:t>$</w:t>
            </w:r>
          </w:p>
        </w:tc>
        <w:tc>
          <w:tcPr>
            <w:tcW w:w="0" w:type="auto"/>
            <w:shd w:val="clear" w:color="auto" w:fill="auto"/>
            <w:tcMar>
              <w:top w:w="40" w:type="dxa"/>
              <w:left w:w="0" w:type="dxa"/>
              <w:bottom w:w="40" w:type="dxa"/>
              <w:right w:w="0" w:type="dxa"/>
            </w:tcMar>
          </w:tcPr>
          <w:p w14:paraId="0B2FB28B" w14:textId="77777777" w:rsidR="007F1775" w:rsidRDefault="000F083E">
            <w:pPr>
              <w:jc w:val="right"/>
              <w:textAlignment w:val="top"/>
            </w:pPr>
            <w:r>
              <w:rPr>
                <w:rFonts w:ascii="sans-serif" w:eastAsia="宋体" w:hAnsi="sans-serif" w:cs="sans-serif"/>
                <w:color w:val="000000"/>
                <w:sz w:val="14"/>
                <w:szCs w:val="14"/>
              </w:rPr>
              <w:t>48.29 </w:t>
            </w:r>
          </w:p>
        </w:tc>
        <w:tc>
          <w:tcPr>
            <w:tcW w:w="0" w:type="auto"/>
            <w:shd w:val="clear" w:color="auto" w:fill="auto"/>
            <w:tcMar>
              <w:top w:w="40" w:type="dxa"/>
              <w:left w:w="0" w:type="dxa"/>
              <w:bottom w:w="40" w:type="dxa"/>
              <w:right w:w="20" w:type="dxa"/>
            </w:tcMar>
          </w:tcPr>
          <w:p w14:paraId="0B2FB28C" w14:textId="77777777" w:rsidR="007F1775" w:rsidRDefault="007F1775">
            <w:pPr>
              <w:jc w:val="right"/>
              <w:rPr>
                <w:rFonts w:ascii="宋体"/>
              </w:rPr>
            </w:pPr>
          </w:p>
        </w:tc>
        <w:tc>
          <w:tcPr>
            <w:tcW w:w="0" w:type="auto"/>
            <w:gridSpan w:val="3"/>
            <w:shd w:val="clear" w:color="auto" w:fill="auto"/>
            <w:tcMar>
              <w:top w:w="40" w:type="dxa"/>
              <w:left w:w="20" w:type="dxa"/>
              <w:bottom w:w="40" w:type="dxa"/>
              <w:right w:w="20" w:type="dxa"/>
            </w:tcMar>
          </w:tcPr>
          <w:p w14:paraId="0B2FB28D" w14:textId="77777777" w:rsidR="007F1775" w:rsidRDefault="000F083E">
            <w:pPr>
              <w:jc w:val="center"/>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0B2FB28E" w14:textId="77777777" w:rsidR="007F1775" w:rsidRDefault="000F083E">
            <w:pPr>
              <w:jc w:val="center"/>
              <w:textAlignment w:val="top"/>
            </w:pPr>
            <w:r>
              <w:rPr>
                <w:rFonts w:ascii="sans-serif" w:eastAsia="宋体" w:hAnsi="sans-serif" w:cs="sans-serif"/>
                <w:color w:val="000000"/>
                <w:sz w:val="14"/>
                <w:szCs w:val="14"/>
              </w:rPr>
              <w:t>$10.64</w:t>
            </w:r>
          </w:p>
        </w:tc>
        <w:tc>
          <w:tcPr>
            <w:tcW w:w="0" w:type="auto"/>
            <w:gridSpan w:val="3"/>
            <w:shd w:val="clear" w:color="auto" w:fill="auto"/>
            <w:tcMar>
              <w:top w:w="40" w:type="dxa"/>
              <w:left w:w="20" w:type="dxa"/>
              <w:bottom w:w="40" w:type="dxa"/>
              <w:right w:w="20" w:type="dxa"/>
            </w:tcMar>
          </w:tcPr>
          <w:p w14:paraId="0B2FB28F" w14:textId="77777777" w:rsidR="007F1775" w:rsidRDefault="000F083E">
            <w:pPr>
              <w:jc w:val="center"/>
              <w:textAlignment w:val="top"/>
            </w:pPr>
            <w:r>
              <w:rPr>
                <w:rFonts w:ascii="sans-serif" w:eastAsia="宋体" w:hAnsi="sans-serif" w:cs="sans-serif"/>
                <w:color w:val="000000"/>
                <w:sz w:val="14"/>
                <w:szCs w:val="14"/>
              </w:rPr>
              <w:t>$11.03</w:t>
            </w:r>
          </w:p>
        </w:tc>
        <w:tc>
          <w:tcPr>
            <w:tcW w:w="0" w:type="auto"/>
            <w:gridSpan w:val="3"/>
            <w:shd w:val="clear" w:color="auto" w:fill="auto"/>
            <w:tcMar>
              <w:top w:w="40" w:type="dxa"/>
              <w:left w:w="20" w:type="dxa"/>
              <w:bottom w:w="40" w:type="dxa"/>
              <w:right w:w="20" w:type="dxa"/>
            </w:tcMar>
          </w:tcPr>
          <w:p w14:paraId="0B2FB290" w14:textId="77777777" w:rsidR="007F1775" w:rsidRDefault="000F083E">
            <w:pPr>
              <w:jc w:val="center"/>
              <w:textAlignment w:val="top"/>
            </w:pPr>
            <w:r>
              <w:rPr>
                <w:rFonts w:ascii="sans-serif" w:eastAsia="宋体" w:hAnsi="sans-serif" w:cs="sans-serif"/>
                <w:color w:val="000000"/>
                <w:sz w:val="14"/>
                <w:szCs w:val="14"/>
              </w:rPr>
              <w:t>$12.41</w:t>
            </w:r>
          </w:p>
        </w:tc>
        <w:tc>
          <w:tcPr>
            <w:tcW w:w="0" w:type="auto"/>
            <w:gridSpan w:val="3"/>
            <w:shd w:val="clear" w:color="auto" w:fill="auto"/>
            <w:tcMar>
              <w:top w:w="40" w:type="dxa"/>
              <w:left w:w="20" w:type="dxa"/>
              <w:bottom w:w="40" w:type="dxa"/>
              <w:right w:w="20" w:type="dxa"/>
            </w:tcMar>
          </w:tcPr>
          <w:p w14:paraId="0B2FB291" w14:textId="77777777" w:rsidR="007F1775" w:rsidRDefault="000F083E">
            <w:pPr>
              <w:jc w:val="center"/>
              <w:textAlignment w:val="top"/>
            </w:pPr>
            <w:r>
              <w:rPr>
                <w:rFonts w:ascii="sans-serif" w:eastAsia="宋体" w:hAnsi="sans-serif" w:cs="sans-serif"/>
                <w:color w:val="000000"/>
                <w:sz w:val="14"/>
                <w:szCs w:val="14"/>
              </w:rPr>
              <w:t>$16.87</w:t>
            </w:r>
          </w:p>
        </w:tc>
        <w:tc>
          <w:tcPr>
            <w:tcW w:w="0" w:type="auto"/>
            <w:gridSpan w:val="3"/>
            <w:shd w:val="clear" w:color="auto" w:fill="auto"/>
            <w:tcMar>
              <w:top w:w="40" w:type="dxa"/>
              <w:left w:w="20" w:type="dxa"/>
              <w:bottom w:w="40" w:type="dxa"/>
              <w:right w:w="20" w:type="dxa"/>
            </w:tcMar>
          </w:tcPr>
          <w:p w14:paraId="0B2FB292" w14:textId="77777777" w:rsidR="007F1775" w:rsidRDefault="000F083E">
            <w:pPr>
              <w:jc w:val="center"/>
              <w:textAlignment w:val="top"/>
            </w:pPr>
            <w:r>
              <w:rPr>
                <w:rFonts w:ascii="sans-serif" w:eastAsia="宋体" w:hAnsi="sans-serif" w:cs="sans-serif"/>
                <w:color w:val="000000"/>
                <w:sz w:val="14"/>
                <w:szCs w:val="14"/>
              </w:rPr>
              <w:t>$15.49</w:t>
            </w:r>
          </w:p>
        </w:tc>
        <w:tc>
          <w:tcPr>
            <w:tcW w:w="0" w:type="auto"/>
            <w:gridSpan w:val="3"/>
            <w:shd w:val="clear" w:color="auto" w:fill="auto"/>
            <w:tcMar>
              <w:top w:w="40" w:type="dxa"/>
              <w:left w:w="20" w:type="dxa"/>
              <w:bottom w:w="40" w:type="dxa"/>
              <w:right w:w="20" w:type="dxa"/>
            </w:tcMar>
          </w:tcPr>
          <w:p w14:paraId="0B2FB293" w14:textId="77777777" w:rsidR="007F1775" w:rsidRDefault="000F083E">
            <w:pPr>
              <w:jc w:val="center"/>
              <w:textAlignment w:val="top"/>
            </w:pPr>
            <w:r>
              <w:rPr>
                <w:rFonts w:ascii="sans-serif" w:eastAsia="宋体" w:hAnsi="sans-serif" w:cs="sans-serif"/>
                <w:color w:val="000000"/>
                <w:sz w:val="14"/>
                <w:szCs w:val="14"/>
              </w:rPr>
              <w:t>$17.23</w:t>
            </w:r>
          </w:p>
        </w:tc>
        <w:tc>
          <w:tcPr>
            <w:tcW w:w="0" w:type="auto"/>
            <w:gridSpan w:val="3"/>
            <w:shd w:val="clear" w:color="auto" w:fill="auto"/>
            <w:tcMar>
              <w:top w:w="40" w:type="dxa"/>
              <w:left w:w="20" w:type="dxa"/>
              <w:bottom w:w="40" w:type="dxa"/>
              <w:right w:w="20" w:type="dxa"/>
            </w:tcMar>
          </w:tcPr>
          <w:p w14:paraId="0B2FB294" w14:textId="77777777" w:rsidR="007F1775" w:rsidRDefault="000F083E">
            <w:pPr>
              <w:jc w:val="center"/>
              <w:textAlignment w:val="top"/>
            </w:pPr>
            <w:r>
              <w:rPr>
                <w:rFonts w:ascii="sans-serif" w:eastAsia="宋体" w:hAnsi="sans-serif" w:cs="sans-serif"/>
                <w:color w:val="000000"/>
                <w:sz w:val="14"/>
                <w:szCs w:val="14"/>
              </w:rPr>
              <w:t>$16.50</w:t>
            </w:r>
          </w:p>
        </w:tc>
        <w:tc>
          <w:tcPr>
            <w:tcW w:w="0" w:type="auto"/>
            <w:gridSpan w:val="3"/>
            <w:shd w:val="clear" w:color="auto" w:fill="auto"/>
            <w:tcMar>
              <w:top w:w="40" w:type="dxa"/>
              <w:left w:w="20" w:type="dxa"/>
              <w:bottom w:w="40" w:type="dxa"/>
              <w:right w:w="20" w:type="dxa"/>
            </w:tcMar>
          </w:tcPr>
          <w:p w14:paraId="0B2FB295" w14:textId="77777777" w:rsidR="007F1775" w:rsidRDefault="000F083E">
            <w:pPr>
              <w:jc w:val="center"/>
              <w:textAlignment w:val="top"/>
            </w:pPr>
            <w:r>
              <w:rPr>
                <w:rFonts w:ascii="sans-serif" w:eastAsia="宋体" w:hAnsi="sans-serif" w:cs="sans-serif"/>
                <w:color w:val="000000"/>
                <w:sz w:val="14"/>
                <w:szCs w:val="14"/>
              </w:rPr>
              <w:t>$19.68</w:t>
            </w:r>
          </w:p>
        </w:tc>
        <w:tc>
          <w:tcPr>
            <w:tcW w:w="0" w:type="auto"/>
            <w:gridSpan w:val="3"/>
            <w:shd w:val="clear" w:color="auto" w:fill="auto"/>
            <w:tcMar>
              <w:top w:w="40" w:type="dxa"/>
              <w:left w:w="20" w:type="dxa"/>
              <w:bottom w:w="40" w:type="dxa"/>
              <w:right w:w="20" w:type="dxa"/>
            </w:tcMar>
          </w:tcPr>
          <w:p w14:paraId="0B2FB296" w14:textId="77777777" w:rsidR="007F1775" w:rsidRDefault="000F083E">
            <w:pPr>
              <w:jc w:val="center"/>
              <w:textAlignment w:val="top"/>
            </w:pPr>
            <w:r>
              <w:rPr>
                <w:rFonts w:ascii="sans-serif" w:eastAsia="宋体" w:hAnsi="sans-serif" w:cs="sans-serif"/>
                <w:color w:val="000000"/>
                <w:sz w:val="14"/>
                <w:szCs w:val="14"/>
              </w:rPr>
              <w:t>$15.35</w:t>
            </w:r>
          </w:p>
        </w:tc>
      </w:tr>
    </w:tbl>
    <w:p w14:paraId="0B2FB298" w14:textId="77777777" w:rsidR="007F1775" w:rsidRDefault="000F083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/Meta Platforms/./Inline X</w:instrText>
      </w:r>
      <w:r>
        <w:rPr>
          <w:rFonts w:ascii="宋体" w:eastAsia="宋体" w:hAnsi="宋体" w:cs="宋体"/>
        </w:rPr>
        <w:instrText xml:space="preserve">BRL Viewer3_files/meta-20220331_g20.jpg"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A8" wp14:editId="0B2FBFA9">
            <wp:extent cx="304800" cy="304800"/>
            <wp:effectExtent l="0" t="0" r="0" b="0"/>
            <wp:docPr id="41" name="图片 8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7"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AA" wp14:editId="0B2FBFAB">
            <wp:extent cx="304800" cy="304800"/>
            <wp:effectExtent l="0" t="0" r="0" b="0"/>
            <wp:docPr id="46" name="图片 88"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8" descr="IMG_2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9900" w:type="dxa"/>
        <w:jc w:val="center"/>
        <w:tblCellMar>
          <w:top w:w="15" w:type="dxa"/>
          <w:left w:w="15" w:type="dxa"/>
          <w:bottom w:w="15" w:type="dxa"/>
          <w:right w:w="15" w:type="dxa"/>
        </w:tblCellMar>
        <w:tblLook w:val="04A0" w:firstRow="1" w:lastRow="0" w:firstColumn="1" w:lastColumn="0" w:noHBand="0" w:noVBand="1"/>
      </w:tblPr>
      <w:tblGrid>
        <w:gridCol w:w="37"/>
        <w:gridCol w:w="428"/>
        <w:gridCol w:w="37"/>
        <w:gridCol w:w="37"/>
        <w:gridCol w:w="419"/>
        <w:gridCol w:w="36"/>
        <w:gridCol w:w="36"/>
        <w:gridCol w:w="419"/>
        <w:gridCol w:w="36"/>
        <w:gridCol w:w="36"/>
        <w:gridCol w:w="419"/>
        <w:gridCol w:w="36"/>
        <w:gridCol w:w="36"/>
        <w:gridCol w:w="419"/>
        <w:gridCol w:w="36"/>
        <w:gridCol w:w="36"/>
        <w:gridCol w:w="419"/>
        <w:gridCol w:w="36"/>
        <w:gridCol w:w="36"/>
        <w:gridCol w:w="419"/>
        <w:gridCol w:w="36"/>
        <w:gridCol w:w="36"/>
        <w:gridCol w:w="453"/>
        <w:gridCol w:w="36"/>
        <w:gridCol w:w="36"/>
        <w:gridCol w:w="419"/>
        <w:gridCol w:w="36"/>
        <w:gridCol w:w="36"/>
        <w:gridCol w:w="419"/>
        <w:gridCol w:w="36"/>
        <w:gridCol w:w="36"/>
        <w:gridCol w:w="453"/>
        <w:gridCol w:w="36"/>
        <w:gridCol w:w="36"/>
        <w:gridCol w:w="419"/>
        <w:gridCol w:w="36"/>
        <w:gridCol w:w="36"/>
        <w:gridCol w:w="419"/>
        <w:gridCol w:w="36"/>
        <w:gridCol w:w="36"/>
        <w:gridCol w:w="419"/>
        <w:gridCol w:w="36"/>
        <w:gridCol w:w="36"/>
        <w:gridCol w:w="419"/>
        <w:gridCol w:w="36"/>
        <w:gridCol w:w="36"/>
        <w:gridCol w:w="419"/>
        <w:gridCol w:w="36"/>
        <w:gridCol w:w="36"/>
        <w:gridCol w:w="419"/>
        <w:gridCol w:w="36"/>
        <w:gridCol w:w="36"/>
        <w:gridCol w:w="419"/>
        <w:gridCol w:w="36"/>
        <w:gridCol w:w="36"/>
        <w:gridCol w:w="419"/>
        <w:gridCol w:w="36"/>
        <w:gridCol w:w="36"/>
        <w:gridCol w:w="419"/>
        <w:gridCol w:w="36"/>
      </w:tblGrid>
      <w:tr w:rsidR="007F1775" w14:paraId="0B2FB2D5" w14:textId="77777777">
        <w:trPr>
          <w:jc w:val="center"/>
        </w:trPr>
        <w:tc>
          <w:tcPr>
            <w:tcW w:w="20" w:type="dxa"/>
            <w:shd w:val="clear" w:color="auto" w:fill="auto"/>
            <w:vAlign w:val="bottom"/>
          </w:tcPr>
          <w:p w14:paraId="0B2FB299" w14:textId="77777777" w:rsidR="007F1775" w:rsidRDefault="007F1775">
            <w:pPr>
              <w:rPr>
                <w:rFonts w:ascii="宋体"/>
              </w:rPr>
            </w:pPr>
          </w:p>
        </w:tc>
        <w:tc>
          <w:tcPr>
            <w:tcW w:w="455" w:type="dxa"/>
            <w:shd w:val="clear" w:color="auto" w:fill="auto"/>
            <w:vAlign w:val="bottom"/>
          </w:tcPr>
          <w:p w14:paraId="0B2FB29A" w14:textId="77777777" w:rsidR="007F1775" w:rsidRDefault="007F1775">
            <w:pPr>
              <w:rPr>
                <w:rFonts w:ascii="宋体"/>
              </w:rPr>
            </w:pPr>
          </w:p>
        </w:tc>
        <w:tc>
          <w:tcPr>
            <w:tcW w:w="20" w:type="dxa"/>
            <w:shd w:val="clear" w:color="auto" w:fill="auto"/>
            <w:vAlign w:val="bottom"/>
          </w:tcPr>
          <w:p w14:paraId="0B2FB29B" w14:textId="77777777" w:rsidR="007F1775" w:rsidRDefault="007F1775">
            <w:pPr>
              <w:rPr>
                <w:rFonts w:ascii="宋体"/>
              </w:rPr>
            </w:pPr>
          </w:p>
        </w:tc>
        <w:tc>
          <w:tcPr>
            <w:tcW w:w="20" w:type="dxa"/>
            <w:shd w:val="clear" w:color="auto" w:fill="auto"/>
            <w:vAlign w:val="bottom"/>
          </w:tcPr>
          <w:p w14:paraId="0B2FB29C" w14:textId="77777777" w:rsidR="007F1775" w:rsidRDefault="007F1775">
            <w:pPr>
              <w:rPr>
                <w:rFonts w:ascii="宋体"/>
              </w:rPr>
            </w:pPr>
          </w:p>
        </w:tc>
        <w:tc>
          <w:tcPr>
            <w:tcW w:w="455" w:type="dxa"/>
            <w:shd w:val="clear" w:color="auto" w:fill="auto"/>
            <w:vAlign w:val="bottom"/>
          </w:tcPr>
          <w:p w14:paraId="0B2FB29D" w14:textId="77777777" w:rsidR="007F1775" w:rsidRDefault="007F1775">
            <w:pPr>
              <w:rPr>
                <w:rFonts w:ascii="宋体"/>
              </w:rPr>
            </w:pPr>
          </w:p>
        </w:tc>
        <w:tc>
          <w:tcPr>
            <w:tcW w:w="20" w:type="dxa"/>
            <w:shd w:val="clear" w:color="auto" w:fill="auto"/>
            <w:vAlign w:val="bottom"/>
          </w:tcPr>
          <w:p w14:paraId="0B2FB29E" w14:textId="77777777" w:rsidR="007F1775" w:rsidRDefault="007F1775">
            <w:pPr>
              <w:rPr>
                <w:rFonts w:ascii="宋体"/>
              </w:rPr>
            </w:pPr>
          </w:p>
        </w:tc>
        <w:tc>
          <w:tcPr>
            <w:tcW w:w="20" w:type="dxa"/>
            <w:shd w:val="clear" w:color="auto" w:fill="auto"/>
            <w:vAlign w:val="bottom"/>
          </w:tcPr>
          <w:p w14:paraId="0B2FB29F" w14:textId="77777777" w:rsidR="007F1775" w:rsidRDefault="007F1775">
            <w:pPr>
              <w:rPr>
                <w:rFonts w:ascii="宋体"/>
              </w:rPr>
            </w:pPr>
          </w:p>
        </w:tc>
        <w:tc>
          <w:tcPr>
            <w:tcW w:w="455" w:type="dxa"/>
            <w:shd w:val="clear" w:color="auto" w:fill="auto"/>
            <w:vAlign w:val="bottom"/>
          </w:tcPr>
          <w:p w14:paraId="0B2FB2A0" w14:textId="77777777" w:rsidR="007F1775" w:rsidRDefault="007F1775">
            <w:pPr>
              <w:rPr>
                <w:rFonts w:ascii="宋体"/>
              </w:rPr>
            </w:pPr>
          </w:p>
        </w:tc>
        <w:tc>
          <w:tcPr>
            <w:tcW w:w="20" w:type="dxa"/>
            <w:shd w:val="clear" w:color="auto" w:fill="auto"/>
            <w:vAlign w:val="bottom"/>
          </w:tcPr>
          <w:p w14:paraId="0B2FB2A1" w14:textId="77777777" w:rsidR="007F1775" w:rsidRDefault="007F1775">
            <w:pPr>
              <w:rPr>
                <w:rFonts w:ascii="宋体"/>
              </w:rPr>
            </w:pPr>
          </w:p>
        </w:tc>
        <w:tc>
          <w:tcPr>
            <w:tcW w:w="20" w:type="dxa"/>
            <w:shd w:val="clear" w:color="auto" w:fill="auto"/>
            <w:vAlign w:val="bottom"/>
          </w:tcPr>
          <w:p w14:paraId="0B2FB2A2" w14:textId="77777777" w:rsidR="007F1775" w:rsidRDefault="007F1775">
            <w:pPr>
              <w:rPr>
                <w:rFonts w:ascii="宋体"/>
              </w:rPr>
            </w:pPr>
          </w:p>
        </w:tc>
        <w:tc>
          <w:tcPr>
            <w:tcW w:w="455" w:type="dxa"/>
            <w:shd w:val="clear" w:color="auto" w:fill="auto"/>
            <w:vAlign w:val="bottom"/>
          </w:tcPr>
          <w:p w14:paraId="0B2FB2A3" w14:textId="77777777" w:rsidR="007F1775" w:rsidRDefault="007F1775">
            <w:pPr>
              <w:rPr>
                <w:rFonts w:ascii="宋体"/>
              </w:rPr>
            </w:pPr>
          </w:p>
        </w:tc>
        <w:tc>
          <w:tcPr>
            <w:tcW w:w="20" w:type="dxa"/>
            <w:shd w:val="clear" w:color="auto" w:fill="auto"/>
            <w:vAlign w:val="bottom"/>
          </w:tcPr>
          <w:p w14:paraId="0B2FB2A4" w14:textId="77777777" w:rsidR="007F1775" w:rsidRDefault="007F1775">
            <w:pPr>
              <w:rPr>
                <w:rFonts w:ascii="宋体"/>
              </w:rPr>
            </w:pPr>
          </w:p>
        </w:tc>
        <w:tc>
          <w:tcPr>
            <w:tcW w:w="20" w:type="dxa"/>
            <w:shd w:val="clear" w:color="auto" w:fill="auto"/>
            <w:vAlign w:val="bottom"/>
          </w:tcPr>
          <w:p w14:paraId="0B2FB2A5" w14:textId="77777777" w:rsidR="007F1775" w:rsidRDefault="007F1775">
            <w:pPr>
              <w:rPr>
                <w:rFonts w:ascii="宋体"/>
              </w:rPr>
            </w:pPr>
          </w:p>
        </w:tc>
        <w:tc>
          <w:tcPr>
            <w:tcW w:w="455" w:type="dxa"/>
            <w:shd w:val="clear" w:color="auto" w:fill="auto"/>
            <w:vAlign w:val="bottom"/>
          </w:tcPr>
          <w:p w14:paraId="0B2FB2A6" w14:textId="77777777" w:rsidR="007F1775" w:rsidRDefault="007F1775">
            <w:pPr>
              <w:rPr>
                <w:rFonts w:ascii="宋体"/>
              </w:rPr>
            </w:pPr>
          </w:p>
        </w:tc>
        <w:tc>
          <w:tcPr>
            <w:tcW w:w="20" w:type="dxa"/>
            <w:shd w:val="clear" w:color="auto" w:fill="auto"/>
            <w:vAlign w:val="bottom"/>
          </w:tcPr>
          <w:p w14:paraId="0B2FB2A7" w14:textId="77777777" w:rsidR="007F1775" w:rsidRDefault="007F1775">
            <w:pPr>
              <w:rPr>
                <w:rFonts w:ascii="宋体"/>
              </w:rPr>
            </w:pPr>
          </w:p>
        </w:tc>
        <w:tc>
          <w:tcPr>
            <w:tcW w:w="20" w:type="dxa"/>
            <w:shd w:val="clear" w:color="auto" w:fill="auto"/>
            <w:vAlign w:val="bottom"/>
          </w:tcPr>
          <w:p w14:paraId="0B2FB2A8" w14:textId="77777777" w:rsidR="007F1775" w:rsidRDefault="007F1775">
            <w:pPr>
              <w:rPr>
                <w:rFonts w:ascii="宋体"/>
              </w:rPr>
            </w:pPr>
          </w:p>
        </w:tc>
        <w:tc>
          <w:tcPr>
            <w:tcW w:w="455" w:type="dxa"/>
            <w:shd w:val="clear" w:color="auto" w:fill="auto"/>
            <w:vAlign w:val="bottom"/>
          </w:tcPr>
          <w:p w14:paraId="0B2FB2A9" w14:textId="77777777" w:rsidR="007F1775" w:rsidRDefault="007F1775">
            <w:pPr>
              <w:rPr>
                <w:rFonts w:ascii="宋体"/>
              </w:rPr>
            </w:pPr>
          </w:p>
        </w:tc>
        <w:tc>
          <w:tcPr>
            <w:tcW w:w="20" w:type="dxa"/>
            <w:shd w:val="clear" w:color="auto" w:fill="auto"/>
            <w:vAlign w:val="bottom"/>
          </w:tcPr>
          <w:p w14:paraId="0B2FB2AA" w14:textId="77777777" w:rsidR="007F1775" w:rsidRDefault="007F1775">
            <w:pPr>
              <w:rPr>
                <w:rFonts w:ascii="宋体"/>
              </w:rPr>
            </w:pPr>
          </w:p>
        </w:tc>
        <w:tc>
          <w:tcPr>
            <w:tcW w:w="20" w:type="dxa"/>
            <w:shd w:val="clear" w:color="auto" w:fill="auto"/>
            <w:vAlign w:val="bottom"/>
          </w:tcPr>
          <w:p w14:paraId="0B2FB2AB" w14:textId="77777777" w:rsidR="007F1775" w:rsidRDefault="007F1775">
            <w:pPr>
              <w:rPr>
                <w:rFonts w:ascii="宋体"/>
              </w:rPr>
            </w:pPr>
          </w:p>
        </w:tc>
        <w:tc>
          <w:tcPr>
            <w:tcW w:w="455" w:type="dxa"/>
            <w:shd w:val="clear" w:color="auto" w:fill="auto"/>
            <w:vAlign w:val="bottom"/>
          </w:tcPr>
          <w:p w14:paraId="0B2FB2AC" w14:textId="77777777" w:rsidR="007F1775" w:rsidRDefault="007F1775">
            <w:pPr>
              <w:rPr>
                <w:rFonts w:ascii="宋体"/>
              </w:rPr>
            </w:pPr>
          </w:p>
        </w:tc>
        <w:tc>
          <w:tcPr>
            <w:tcW w:w="20" w:type="dxa"/>
            <w:shd w:val="clear" w:color="auto" w:fill="auto"/>
            <w:vAlign w:val="bottom"/>
          </w:tcPr>
          <w:p w14:paraId="0B2FB2AD" w14:textId="77777777" w:rsidR="007F1775" w:rsidRDefault="007F1775">
            <w:pPr>
              <w:rPr>
                <w:rFonts w:ascii="宋体"/>
              </w:rPr>
            </w:pPr>
          </w:p>
        </w:tc>
        <w:tc>
          <w:tcPr>
            <w:tcW w:w="20" w:type="dxa"/>
            <w:shd w:val="clear" w:color="auto" w:fill="auto"/>
            <w:vAlign w:val="bottom"/>
          </w:tcPr>
          <w:p w14:paraId="0B2FB2AE" w14:textId="77777777" w:rsidR="007F1775" w:rsidRDefault="007F1775">
            <w:pPr>
              <w:rPr>
                <w:rFonts w:ascii="宋体"/>
              </w:rPr>
            </w:pPr>
          </w:p>
        </w:tc>
        <w:tc>
          <w:tcPr>
            <w:tcW w:w="455" w:type="dxa"/>
            <w:shd w:val="clear" w:color="auto" w:fill="auto"/>
            <w:vAlign w:val="bottom"/>
          </w:tcPr>
          <w:p w14:paraId="0B2FB2AF" w14:textId="77777777" w:rsidR="007F1775" w:rsidRDefault="007F1775">
            <w:pPr>
              <w:rPr>
                <w:rFonts w:ascii="宋体"/>
              </w:rPr>
            </w:pPr>
          </w:p>
        </w:tc>
        <w:tc>
          <w:tcPr>
            <w:tcW w:w="20" w:type="dxa"/>
            <w:shd w:val="clear" w:color="auto" w:fill="auto"/>
            <w:vAlign w:val="bottom"/>
          </w:tcPr>
          <w:p w14:paraId="0B2FB2B0" w14:textId="77777777" w:rsidR="007F1775" w:rsidRDefault="007F1775">
            <w:pPr>
              <w:rPr>
                <w:rFonts w:ascii="宋体"/>
              </w:rPr>
            </w:pPr>
          </w:p>
        </w:tc>
        <w:tc>
          <w:tcPr>
            <w:tcW w:w="20" w:type="dxa"/>
            <w:shd w:val="clear" w:color="auto" w:fill="auto"/>
            <w:vAlign w:val="bottom"/>
          </w:tcPr>
          <w:p w14:paraId="0B2FB2B1" w14:textId="77777777" w:rsidR="007F1775" w:rsidRDefault="007F1775">
            <w:pPr>
              <w:rPr>
                <w:rFonts w:ascii="宋体"/>
              </w:rPr>
            </w:pPr>
          </w:p>
        </w:tc>
        <w:tc>
          <w:tcPr>
            <w:tcW w:w="455" w:type="dxa"/>
            <w:shd w:val="clear" w:color="auto" w:fill="auto"/>
            <w:vAlign w:val="bottom"/>
          </w:tcPr>
          <w:p w14:paraId="0B2FB2B2" w14:textId="77777777" w:rsidR="007F1775" w:rsidRDefault="007F1775">
            <w:pPr>
              <w:rPr>
                <w:rFonts w:ascii="宋体"/>
              </w:rPr>
            </w:pPr>
          </w:p>
        </w:tc>
        <w:tc>
          <w:tcPr>
            <w:tcW w:w="20" w:type="dxa"/>
            <w:shd w:val="clear" w:color="auto" w:fill="auto"/>
            <w:vAlign w:val="bottom"/>
          </w:tcPr>
          <w:p w14:paraId="0B2FB2B3" w14:textId="77777777" w:rsidR="007F1775" w:rsidRDefault="007F1775">
            <w:pPr>
              <w:rPr>
                <w:rFonts w:ascii="宋体"/>
              </w:rPr>
            </w:pPr>
          </w:p>
        </w:tc>
        <w:tc>
          <w:tcPr>
            <w:tcW w:w="20" w:type="dxa"/>
            <w:shd w:val="clear" w:color="auto" w:fill="auto"/>
            <w:vAlign w:val="bottom"/>
          </w:tcPr>
          <w:p w14:paraId="0B2FB2B4" w14:textId="77777777" w:rsidR="007F1775" w:rsidRDefault="007F1775">
            <w:pPr>
              <w:rPr>
                <w:rFonts w:ascii="宋体"/>
              </w:rPr>
            </w:pPr>
          </w:p>
        </w:tc>
        <w:tc>
          <w:tcPr>
            <w:tcW w:w="455" w:type="dxa"/>
            <w:shd w:val="clear" w:color="auto" w:fill="auto"/>
            <w:vAlign w:val="bottom"/>
          </w:tcPr>
          <w:p w14:paraId="0B2FB2B5" w14:textId="77777777" w:rsidR="007F1775" w:rsidRDefault="007F1775">
            <w:pPr>
              <w:rPr>
                <w:rFonts w:ascii="宋体"/>
              </w:rPr>
            </w:pPr>
          </w:p>
        </w:tc>
        <w:tc>
          <w:tcPr>
            <w:tcW w:w="20" w:type="dxa"/>
            <w:shd w:val="clear" w:color="auto" w:fill="auto"/>
            <w:vAlign w:val="bottom"/>
          </w:tcPr>
          <w:p w14:paraId="0B2FB2B6" w14:textId="77777777" w:rsidR="007F1775" w:rsidRDefault="007F1775">
            <w:pPr>
              <w:rPr>
                <w:rFonts w:ascii="宋体"/>
              </w:rPr>
            </w:pPr>
          </w:p>
        </w:tc>
        <w:tc>
          <w:tcPr>
            <w:tcW w:w="20" w:type="dxa"/>
            <w:shd w:val="clear" w:color="auto" w:fill="auto"/>
            <w:vAlign w:val="bottom"/>
          </w:tcPr>
          <w:p w14:paraId="0B2FB2B7" w14:textId="77777777" w:rsidR="007F1775" w:rsidRDefault="007F1775">
            <w:pPr>
              <w:rPr>
                <w:rFonts w:ascii="宋体"/>
              </w:rPr>
            </w:pPr>
          </w:p>
        </w:tc>
        <w:tc>
          <w:tcPr>
            <w:tcW w:w="455" w:type="dxa"/>
            <w:shd w:val="clear" w:color="auto" w:fill="auto"/>
            <w:vAlign w:val="bottom"/>
          </w:tcPr>
          <w:p w14:paraId="0B2FB2B8" w14:textId="77777777" w:rsidR="007F1775" w:rsidRDefault="007F1775">
            <w:pPr>
              <w:rPr>
                <w:rFonts w:ascii="宋体"/>
              </w:rPr>
            </w:pPr>
          </w:p>
        </w:tc>
        <w:tc>
          <w:tcPr>
            <w:tcW w:w="20" w:type="dxa"/>
            <w:shd w:val="clear" w:color="auto" w:fill="auto"/>
            <w:vAlign w:val="bottom"/>
          </w:tcPr>
          <w:p w14:paraId="0B2FB2B9" w14:textId="77777777" w:rsidR="007F1775" w:rsidRDefault="007F1775">
            <w:pPr>
              <w:rPr>
                <w:rFonts w:ascii="宋体"/>
              </w:rPr>
            </w:pPr>
          </w:p>
        </w:tc>
        <w:tc>
          <w:tcPr>
            <w:tcW w:w="20" w:type="dxa"/>
            <w:shd w:val="clear" w:color="auto" w:fill="auto"/>
            <w:vAlign w:val="bottom"/>
          </w:tcPr>
          <w:p w14:paraId="0B2FB2BA" w14:textId="77777777" w:rsidR="007F1775" w:rsidRDefault="007F1775">
            <w:pPr>
              <w:rPr>
                <w:rFonts w:ascii="宋体"/>
              </w:rPr>
            </w:pPr>
          </w:p>
        </w:tc>
        <w:tc>
          <w:tcPr>
            <w:tcW w:w="455" w:type="dxa"/>
            <w:shd w:val="clear" w:color="auto" w:fill="auto"/>
            <w:vAlign w:val="bottom"/>
          </w:tcPr>
          <w:p w14:paraId="0B2FB2BB" w14:textId="77777777" w:rsidR="007F1775" w:rsidRDefault="007F1775">
            <w:pPr>
              <w:rPr>
                <w:rFonts w:ascii="宋体"/>
              </w:rPr>
            </w:pPr>
          </w:p>
        </w:tc>
        <w:tc>
          <w:tcPr>
            <w:tcW w:w="20" w:type="dxa"/>
            <w:shd w:val="clear" w:color="auto" w:fill="auto"/>
            <w:vAlign w:val="bottom"/>
          </w:tcPr>
          <w:p w14:paraId="0B2FB2BC" w14:textId="77777777" w:rsidR="007F1775" w:rsidRDefault="007F1775">
            <w:pPr>
              <w:rPr>
                <w:rFonts w:ascii="宋体"/>
              </w:rPr>
            </w:pPr>
          </w:p>
        </w:tc>
        <w:tc>
          <w:tcPr>
            <w:tcW w:w="20" w:type="dxa"/>
            <w:shd w:val="clear" w:color="auto" w:fill="auto"/>
            <w:vAlign w:val="bottom"/>
          </w:tcPr>
          <w:p w14:paraId="0B2FB2BD" w14:textId="77777777" w:rsidR="007F1775" w:rsidRDefault="007F1775">
            <w:pPr>
              <w:rPr>
                <w:rFonts w:ascii="宋体"/>
              </w:rPr>
            </w:pPr>
          </w:p>
        </w:tc>
        <w:tc>
          <w:tcPr>
            <w:tcW w:w="455" w:type="dxa"/>
            <w:shd w:val="clear" w:color="auto" w:fill="auto"/>
            <w:vAlign w:val="bottom"/>
          </w:tcPr>
          <w:p w14:paraId="0B2FB2BE" w14:textId="77777777" w:rsidR="007F1775" w:rsidRDefault="007F1775">
            <w:pPr>
              <w:rPr>
                <w:rFonts w:ascii="宋体"/>
              </w:rPr>
            </w:pPr>
          </w:p>
        </w:tc>
        <w:tc>
          <w:tcPr>
            <w:tcW w:w="20" w:type="dxa"/>
            <w:shd w:val="clear" w:color="auto" w:fill="auto"/>
            <w:vAlign w:val="bottom"/>
          </w:tcPr>
          <w:p w14:paraId="0B2FB2BF" w14:textId="77777777" w:rsidR="007F1775" w:rsidRDefault="007F1775">
            <w:pPr>
              <w:rPr>
                <w:rFonts w:ascii="宋体"/>
              </w:rPr>
            </w:pPr>
          </w:p>
        </w:tc>
        <w:tc>
          <w:tcPr>
            <w:tcW w:w="20" w:type="dxa"/>
            <w:shd w:val="clear" w:color="auto" w:fill="auto"/>
            <w:vAlign w:val="bottom"/>
          </w:tcPr>
          <w:p w14:paraId="0B2FB2C0" w14:textId="77777777" w:rsidR="007F1775" w:rsidRDefault="007F1775">
            <w:pPr>
              <w:rPr>
                <w:rFonts w:ascii="宋体"/>
              </w:rPr>
            </w:pPr>
          </w:p>
        </w:tc>
        <w:tc>
          <w:tcPr>
            <w:tcW w:w="455" w:type="dxa"/>
            <w:shd w:val="clear" w:color="auto" w:fill="auto"/>
            <w:vAlign w:val="bottom"/>
          </w:tcPr>
          <w:p w14:paraId="0B2FB2C1" w14:textId="77777777" w:rsidR="007F1775" w:rsidRDefault="007F1775">
            <w:pPr>
              <w:rPr>
                <w:rFonts w:ascii="宋体"/>
              </w:rPr>
            </w:pPr>
          </w:p>
        </w:tc>
        <w:tc>
          <w:tcPr>
            <w:tcW w:w="20" w:type="dxa"/>
            <w:shd w:val="clear" w:color="auto" w:fill="auto"/>
            <w:vAlign w:val="bottom"/>
          </w:tcPr>
          <w:p w14:paraId="0B2FB2C2" w14:textId="77777777" w:rsidR="007F1775" w:rsidRDefault="007F1775">
            <w:pPr>
              <w:rPr>
                <w:rFonts w:ascii="宋体"/>
              </w:rPr>
            </w:pPr>
          </w:p>
        </w:tc>
        <w:tc>
          <w:tcPr>
            <w:tcW w:w="20" w:type="dxa"/>
            <w:shd w:val="clear" w:color="auto" w:fill="auto"/>
            <w:vAlign w:val="bottom"/>
          </w:tcPr>
          <w:p w14:paraId="0B2FB2C3" w14:textId="77777777" w:rsidR="007F1775" w:rsidRDefault="007F1775">
            <w:pPr>
              <w:rPr>
                <w:rFonts w:ascii="宋体"/>
              </w:rPr>
            </w:pPr>
          </w:p>
        </w:tc>
        <w:tc>
          <w:tcPr>
            <w:tcW w:w="455" w:type="dxa"/>
            <w:shd w:val="clear" w:color="auto" w:fill="auto"/>
            <w:vAlign w:val="bottom"/>
          </w:tcPr>
          <w:p w14:paraId="0B2FB2C4" w14:textId="77777777" w:rsidR="007F1775" w:rsidRDefault="007F1775">
            <w:pPr>
              <w:rPr>
                <w:rFonts w:ascii="宋体"/>
              </w:rPr>
            </w:pPr>
          </w:p>
        </w:tc>
        <w:tc>
          <w:tcPr>
            <w:tcW w:w="20" w:type="dxa"/>
            <w:shd w:val="clear" w:color="auto" w:fill="auto"/>
            <w:vAlign w:val="bottom"/>
          </w:tcPr>
          <w:p w14:paraId="0B2FB2C5" w14:textId="77777777" w:rsidR="007F1775" w:rsidRDefault="007F1775">
            <w:pPr>
              <w:rPr>
                <w:rFonts w:ascii="宋体"/>
              </w:rPr>
            </w:pPr>
          </w:p>
        </w:tc>
        <w:tc>
          <w:tcPr>
            <w:tcW w:w="20" w:type="dxa"/>
            <w:shd w:val="clear" w:color="auto" w:fill="auto"/>
            <w:vAlign w:val="bottom"/>
          </w:tcPr>
          <w:p w14:paraId="0B2FB2C6" w14:textId="77777777" w:rsidR="007F1775" w:rsidRDefault="007F1775">
            <w:pPr>
              <w:rPr>
                <w:rFonts w:ascii="宋体"/>
              </w:rPr>
            </w:pPr>
          </w:p>
        </w:tc>
        <w:tc>
          <w:tcPr>
            <w:tcW w:w="455" w:type="dxa"/>
            <w:shd w:val="clear" w:color="auto" w:fill="auto"/>
            <w:vAlign w:val="bottom"/>
          </w:tcPr>
          <w:p w14:paraId="0B2FB2C7" w14:textId="77777777" w:rsidR="007F1775" w:rsidRDefault="007F1775">
            <w:pPr>
              <w:rPr>
                <w:rFonts w:ascii="宋体"/>
              </w:rPr>
            </w:pPr>
          </w:p>
        </w:tc>
        <w:tc>
          <w:tcPr>
            <w:tcW w:w="20" w:type="dxa"/>
            <w:shd w:val="clear" w:color="auto" w:fill="auto"/>
            <w:vAlign w:val="bottom"/>
          </w:tcPr>
          <w:p w14:paraId="0B2FB2C8" w14:textId="77777777" w:rsidR="007F1775" w:rsidRDefault="007F1775">
            <w:pPr>
              <w:rPr>
                <w:rFonts w:ascii="宋体"/>
              </w:rPr>
            </w:pPr>
          </w:p>
        </w:tc>
        <w:tc>
          <w:tcPr>
            <w:tcW w:w="20" w:type="dxa"/>
            <w:shd w:val="clear" w:color="auto" w:fill="auto"/>
            <w:vAlign w:val="bottom"/>
          </w:tcPr>
          <w:p w14:paraId="0B2FB2C9" w14:textId="77777777" w:rsidR="007F1775" w:rsidRDefault="007F1775">
            <w:pPr>
              <w:rPr>
                <w:rFonts w:ascii="宋体"/>
              </w:rPr>
            </w:pPr>
          </w:p>
        </w:tc>
        <w:tc>
          <w:tcPr>
            <w:tcW w:w="455" w:type="dxa"/>
            <w:shd w:val="clear" w:color="auto" w:fill="auto"/>
            <w:vAlign w:val="bottom"/>
          </w:tcPr>
          <w:p w14:paraId="0B2FB2CA" w14:textId="77777777" w:rsidR="007F1775" w:rsidRDefault="007F1775">
            <w:pPr>
              <w:rPr>
                <w:rFonts w:ascii="宋体"/>
              </w:rPr>
            </w:pPr>
          </w:p>
        </w:tc>
        <w:tc>
          <w:tcPr>
            <w:tcW w:w="20" w:type="dxa"/>
            <w:shd w:val="clear" w:color="auto" w:fill="auto"/>
            <w:vAlign w:val="bottom"/>
          </w:tcPr>
          <w:p w14:paraId="0B2FB2CB" w14:textId="77777777" w:rsidR="007F1775" w:rsidRDefault="007F1775">
            <w:pPr>
              <w:rPr>
                <w:rFonts w:ascii="宋体"/>
              </w:rPr>
            </w:pPr>
          </w:p>
        </w:tc>
        <w:tc>
          <w:tcPr>
            <w:tcW w:w="20" w:type="dxa"/>
            <w:shd w:val="clear" w:color="auto" w:fill="auto"/>
            <w:vAlign w:val="bottom"/>
          </w:tcPr>
          <w:p w14:paraId="0B2FB2CC" w14:textId="77777777" w:rsidR="007F1775" w:rsidRDefault="007F1775">
            <w:pPr>
              <w:rPr>
                <w:rFonts w:ascii="宋体"/>
              </w:rPr>
            </w:pPr>
          </w:p>
        </w:tc>
        <w:tc>
          <w:tcPr>
            <w:tcW w:w="455" w:type="dxa"/>
            <w:shd w:val="clear" w:color="auto" w:fill="auto"/>
            <w:vAlign w:val="bottom"/>
          </w:tcPr>
          <w:p w14:paraId="0B2FB2CD" w14:textId="77777777" w:rsidR="007F1775" w:rsidRDefault="007F1775">
            <w:pPr>
              <w:rPr>
                <w:rFonts w:ascii="宋体"/>
              </w:rPr>
            </w:pPr>
          </w:p>
        </w:tc>
        <w:tc>
          <w:tcPr>
            <w:tcW w:w="20" w:type="dxa"/>
            <w:shd w:val="clear" w:color="auto" w:fill="auto"/>
            <w:vAlign w:val="bottom"/>
          </w:tcPr>
          <w:p w14:paraId="0B2FB2CE" w14:textId="77777777" w:rsidR="007F1775" w:rsidRDefault="007F1775">
            <w:pPr>
              <w:rPr>
                <w:rFonts w:ascii="宋体"/>
              </w:rPr>
            </w:pPr>
          </w:p>
        </w:tc>
        <w:tc>
          <w:tcPr>
            <w:tcW w:w="20" w:type="dxa"/>
            <w:shd w:val="clear" w:color="auto" w:fill="auto"/>
            <w:vAlign w:val="bottom"/>
          </w:tcPr>
          <w:p w14:paraId="0B2FB2CF" w14:textId="77777777" w:rsidR="007F1775" w:rsidRDefault="007F1775">
            <w:pPr>
              <w:rPr>
                <w:rFonts w:ascii="宋体"/>
              </w:rPr>
            </w:pPr>
          </w:p>
        </w:tc>
        <w:tc>
          <w:tcPr>
            <w:tcW w:w="455" w:type="dxa"/>
            <w:shd w:val="clear" w:color="auto" w:fill="auto"/>
            <w:vAlign w:val="bottom"/>
          </w:tcPr>
          <w:p w14:paraId="0B2FB2D0" w14:textId="77777777" w:rsidR="007F1775" w:rsidRDefault="007F1775">
            <w:pPr>
              <w:rPr>
                <w:rFonts w:ascii="宋体"/>
              </w:rPr>
            </w:pPr>
          </w:p>
        </w:tc>
        <w:tc>
          <w:tcPr>
            <w:tcW w:w="20" w:type="dxa"/>
            <w:shd w:val="clear" w:color="auto" w:fill="auto"/>
            <w:vAlign w:val="bottom"/>
          </w:tcPr>
          <w:p w14:paraId="0B2FB2D1" w14:textId="77777777" w:rsidR="007F1775" w:rsidRDefault="007F1775">
            <w:pPr>
              <w:rPr>
                <w:rFonts w:ascii="宋体"/>
              </w:rPr>
            </w:pPr>
          </w:p>
        </w:tc>
        <w:tc>
          <w:tcPr>
            <w:tcW w:w="20" w:type="dxa"/>
            <w:shd w:val="clear" w:color="auto" w:fill="auto"/>
            <w:vAlign w:val="bottom"/>
          </w:tcPr>
          <w:p w14:paraId="0B2FB2D2" w14:textId="77777777" w:rsidR="007F1775" w:rsidRDefault="007F1775">
            <w:pPr>
              <w:rPr>
                <w:rFonts w:ascii="宋体"/>
              </w:rPr>
            </w:pPr>
          </w:p>
        </w:tc>
        <w:tc>
          <w:tcPr>
            <w:tcW w:w="455" w:type="dxa"/>
            <w:shd w:val="clear" w:color="auto" w:fill="auto"/>
            <w:vAlign w:val="bottom"/>
          </w:tcPr>
          <w:p w14:paraId="0B2FB2D3" w14:textId="77777777" w:rsidR="007F1775" w:rsidRDefault="007F1775">
            <w:pPr>
              <w:rPr>
                <w:rFonts w:ascii="宋体"/>
              </w:rPr>
            </w:pPr>
          </w:p>
        </w:tc>
        <w:tc>
          <w:tcPr>
            <w:tcW w:w="20" w:type="dxa"/>
            <w:shd w:val="clear" w:color="auto" w:fill="auto"/>
            <w:vAlign w:val="bottom"/>
          </w:tcPr>
          <w:p w14:paraId="0B2FB2D4" w14:textId="77777777" w:rsidR="007F1775" w:rsidRDefault="007F1775">
            <w:pPr>
              <w:rPr>
                <w:rFonts w:ascii="宋体"/>
              </w:rPr>
            </w:pPr>
          </w:p>
        </w:tc>
      </w:tr>
      <w:tr w:rsidR="007F1775" w14:paraId="0B2FB2EA" w14:textId="77777777">
        <w:trPr>
          <w:trHeight w:val="180"/>
          <w:jc w:val="center"/>
        </w:trPr>
        <w:tc>
          <w:tcPr>
            <w:tcW w:w="0" w:type="auto"/>
            <w:gridSpan w:val="3"/>
            <w:shd w:val="clear" w:color="auto" w:fill="auto"/>
            <w:tcMar>
              <w:top w:w="40" w:type="dxa"/>
              <w:left w:w="20" w:type="dxa"/>
              <w:bottom w:w="40" w:type="dxa"/>
              <w:right w:w="20" w:type="dxa"/>
            </w:tcMar>
          </w:tcPr>
          <w:p w14:paraId="0B2FB2D6" w14:textId="77777777" w:rsidR="007F1775" w:rsidRDefault="000F083E">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0B2FB2D7" w14:textId="77777777" w:rsidR="007F1775" w:rsidRDefault="000F083E">
            <w:pPr>
              <w:jc w:val="center"/>
              <w:textAlignment w:val="top"/>
            </w:pPr>
            <w:r>
              <w:rPr>
                <w:rFonts w:ascii="sans-serif" w:eastAsia="宋体" w:hAnsi="sans-serif" w:cs="sans-serif"/>
                <w:color w:val="000000"/>
                <w:sz w:val="14"/>
                <w:szCs w:val="14"/>
              </w:rPr>
              <w:t>$3.06</w:t>
            </w:r>
          </w:p>
        </w:tc>
        <w:tc>
          <w:tcPr>
            <w:tcW w:w="0" w:type="auto"/>
            <w:gridSpan w:val="3"/>
            <w:shd w:val="clear" w:color="auto" w:fill="auto"/>
            <w:tcMar>
              <w:top w:w="40" w:type="dxa"/>
              <w:left w:w="20" w:type="dxa"/>
              <w:bottom w:w="40" w:type="dxa"/>
              <w:right w:w="20" w:type="dxa"/>
            </w:tcMar>
          </w:tcPr>
          <w:p w14:paraId="0B2FB2D8" w14:textId="77777777" w:rsidR="007F1775" w:rsidRDefault="000F083E">
            <w:pPr>
              <w:jc w:val="center"/>
              <w:textAlignment w:val="top"/>
            </w:pPr>
            <w:r>
              <w:rPr>
                <w:rFonts w:ascii="sans-serif" w:eastAsia="宋体" w:hAnsi="sans-serif" w:cs="sans-serif"/>
                <w:color w:val="000000"/>
                <w:sz w:val="14"/>
                <w:szCs w:val="14"/>
              </w:rPr>
              <w:t>$2.99</w:t>
            </w:r>
          </w:p>
        </w:tc>
        <w:tc>
          <w:tcPr>
            <w:tcW w:w="0" w:type="auto"/>
            <w:gridSpan w:val="3"/>
            <w:shd w:val="clear" w:color="auto" w:fill="auto"/>
            <w:tcMar>
              <w:top w:w="40" w:type="dxa"/>
              <w:left w:w="20" w:type="dxa"/>
              <w:bottom w:w="40" w:type="dxa"/>
              <w:right w:w="20" w:type="dxa"/>
            </w:tcMar>
          </w:tcPr>
          <w:p w14:paraId="0B2FB2D9" w14:textId="77777777" w:rsidR="007F1775" w:rsidRDefault="000F083E">
            <w:pPr>
              <w:jc w:val="center"/>
              <w:textAlignment w:val="top"/>
            </w:pPr>
            <w:r>
              <w:rPr>
                <w:rFonts w:ascii="sans-serif" w:eastAsia="宋体" w:hAnsi="sans-serif" w:cs="sans-serif"/>
                <w:color w:val="000000"/>
                <w:sz w:val="14"/>
                <w:szCs w:val="14"/>
              </w:rPr>
              <w:t>$3.67</w:t>
            </w:r>
          </w:p>
        </w:tc>
        <w:tc>
          <w:tcPr>
            <w:tcW w:w="0" w:type="auto"/>
            <w:gridSpan w:val="3"/>
            <w:shd w:val="clear" w:color="auto" w:fill="auto"/>
            <w:tcMar>
              <w:top w:w="40" w:type="dxa"/>
              <w:left w:w="20" w:type="dxa"/>
              <w:bottom w:w="40" w:type="dxa"/>
              <w:right w:w="20" w:type="dxa"/>
            </w:tcMar>
          </w:tcPr>
          <w:p w14:paraId="0B2FB2DA" w14:textId="77777777" w:rsidR="007F1775" w:rsidRDefault="000F083E">
            <w:pPr>
              <w:jc w:val="center"/>
              <w:textAlignment w:val="top"/>
            </w:pPr>
            <w:r>
              <w:rPr>
                <w:rFonts w:ascii="sans-serif" w:eastAsia="宋体" w:hAnsi="sans-serif" w:cs="sans-serif"/>
                <w:color w:val="000000"/>
                <w:sz w:val="14"/>
                <w:szCs w:val="14"/>
              </w:rPr>
              <w:t>$4.05</w:t>
            </w:r>
          </w:p>
        </w:tc>
        <w:tc>
          <w:tcPr>
            <w:tcW w:w="0" w:type="auto"/>
            <w:gridSpan w:val="3"/>
            <w:shd w:val="clear" w:color="auto" w:fill="auto"/>
            <w:tcMar>
              <w:top w:w="40" w:type="dxa"/>
              <w:left w:w="20" w:type="dxa"/>
              <w:bottom w:w="40" w:type="dxa"/>
              <w:right w:w="20" w:type="dxa"/>
            </w:tcMar>
          </w:tcPr>
          <w:p w14:paraId="0B2FB2DB" w14:textId="77777777" w:rsidR="007F1775" w:rsidRDefault="000F083E">
            <w:pPr>
              <w:textAlignment w:val="top"/>
            </w:pPr>
            <w:r>
              <w:rPr>
                <w:rFonts w:ascii="sans-serif" w:eastAsia="宋体" w:hAnsi="sans-serif" w:cs="sans-serif"/>
                <w:color w:val="000000"/>
                <w:sz w:val="14"/>
                <w:szCs w:val="14"/>
              </w:rPr>
              <w:t>$3.94</w:t>
            </w:r>
          </w:p>
        </w:tc>
        <w:tc>
          <w:tcPr>
            <w:tcW w:w="0" w:type="auto"/>
            <w:gridSpan w:val="3"/>
            <w:shd w:val="clear" w:color="auto" w:fill="auto"/>
            <w:tcMar>
              <w:top w:w="40" w:type="dxa"/>
              <w:left w:w="20" w:type="dxa"/>
              <w:bottom w:w="40" w:type="dxa"/>
              <w:right w:w="20" w:type="dxa"/>
            </w:tcMar>
          </w:tcPr>
          <w:p w14:paraId="0B2FB2DC" w14:textId="77777777" w:rsidR="007F1775" w:rsidRDefault="000F083E">
            <w:pPr>
              <w:textAlignment w:val="top"/>
            </w:pPr>
            <w:r>
              <w:rPr>
                <w:rFonts w:ascii="sans-serif" w:eastAsia="宋体" w:hAnsi="sans-serif" w:cs="sans-serif"/>
                <w:color w:val="000000"/>
                <w:sz w:val="14"/>
                <w:szCs w:val="14"/>
              </w:rPr>
              <w:t>$4.16</w:t>
            </w:r>
          </w:p>
        </w:tc>
        <w:tc>
          <w:tcPr>
            <w:tcW w:w="0" w:type="auto"/>
            <w:gridSpan w:val="3"/>
            <w:shd w:val="clear" w:color="auto" w:fill="auto"/>
            <w:tcMar>
              <w:top w:w="40" w:type="dxa"/>
              <w:left w:w="20" w:type="dxa"/>
              <w:bottom w:w="40" w:type="dxa"/>
              <w:right w:w="20" w:type="dxa"/>
            </w:tcMar>
          </w:tcPr>
          <w:p w14:paraId="0B2FB2DD" w14:textId="77777777" w:rsidR="007F1775" w:rsidRDefault="000F083E">
            <w:pPr>
              <w:textAlignment w:val="top"/>
            </w:pPr>
            <w:r>
              <w:rPr>
                <w:rFonts w:ascii="sans-serif" w:eastAsia="宋体" w:hAnsi="sans-serif" w:cs="sans-serif"/>
                <w:color w:val="000000"/>
                <w:sz w:val="14"/>
                <w:szCs w:val="14"/>
              </w:rPr>
              <w:t>$4.30</w:t>
            </w:r>
          </w:p>
        </w:tc>
        <w:tc>
          <w:tcPr>
            <w:tcW w:w="0" w:type="auto"/>
            <w:gridSpan w:val="3"/>
            <w:shd w:val="clear" w:color="auto" w:fill="auto"/>
            <w:tcMar>
              <w:top w:w="40" w:type="dxa"/>
              <w:left w:w="20" w:type="dxa"/>
              <w:bottom w:w="40" w:type="dxa"/>
              <w:right w:w="20" w:type="dxa"/>
            </w:tcMar>
          </w:tcPr>
          <w:p w14:paraId="0B2FB2DE" w14:textId="77777777" w:rsidR="007F1775" w:rsidRDefault="000F083E">
            <w:pPr>
              <w:textAlignment w:val="top"/>
            </w:pPr>
            <w:r>
              <w:rPr>
                <w:rFonts w:ascii="sans-serif" w:eastAsia="宋体" w:hAnsi="sans-serif" w:cs="sans-serif"/>
                <w:color w:val="000000"/>
                <w:sz w:val="14"/>
                <w:szCs w:val="14"/>
              </w:rPr>
              <w:t>$4.89</w:t>
            </w:r>
          </w:p>
        </w:tc>
        <w:tc>
          <w:tcPr>
            <w:tcW w:w="0" w:type="auto"/>
            <w:gridSpan w:val="3"/>
            <w:shd w:val="clear" w:color="auto" w:fill="auto"/>
            <w:tcMar>
              <w:top w:w="40" w:type="dxa"/>
              <w:left w:w="20" w:type="dxa"/>
              <w:bottom w:w="40" w:type="dxa"/>
              <w:right w:w="20" w:type="dxa"/>
            </w:tcMar>
          </w:tcPr>
          <w:p w14:paraId="0B2FB2DF" w14:textId="77777777" w:rsidR="007F1775" w:rsidRDefault="000F083E">
            <w:pPr>
              <w:textAlignment w:val="top"/>
            </w:pPr>
            <w:r>
              <w:rPr>
                <w:rFonts w:ascii="sans-serif" w:eastAsia="宋体" w:hAnsi="sans-serif" w:cs="sans-serif"/>
                <w:color w:val="000000"/>
                <w:sz w:val="14"/>
                <w:szCs w:val="14"/>
              </w:rPr>
              <w:t>$4.47</w:t>
            </w:r>
          </w:p>
        </w:tc>
        <w:tc>
          <w:tcPr>
            <w:tcW w:w="0" w:type="auto"/>
            <w:gridSpan w:val="3"/>
            <w:shd w:val="clear" w:color="auto" w:fill="auto"/>
            <w:tcMar>
              <w:top w:w="40" w:type="dxa"/>
              <w:left w:w="20" w:type="dxa"/>
              <w:bottom w:w="40" w:type="dxa"/>
              <w:right w:w="20" w:type="dxa"/>
            </w:tcMar>
          </w:tcPr>
          <w:p w14:paraId="0B2FB2E0" w14:textId="77777777" w:rsidR="007F1775" w:rsidRDefault="000F083E">
            <w:pPr>
              <w:jc w:val="right"/>
              <w:textAlignment w:val="top"/>
            </w:pPr>
            <w:r>
              <w:rPr>
                <w:rFonts w:ascii="sans-serif" w:eastAsia="宋体" w:hAnsi="sans-serif" w:cs="sans-serif"/>
                <w:color w:val="000000"/>
                <w:sz w:val="14"/>
                <w:szCs w:val="14"/>
              </w:rPr>
              <w:t>ARPU:</w:t>
            </w:r>
          </w:p>
        </w:tc>
        <w:tc>
          <w:tcPr>
            <w:tcW w:w="0" w:type="auto"/>
            <w:gridSpan w:val="3"/>
            <w:shd w:val="clear" w:color="auto" w:fill="auto"/>
            <w:tcMar>
              <w:top w:w="40" w:type="dxa"/>
              <w:left w:w="20" w:type="dxa"/>
              <w:bottom w:w="40" w:type="dxa"/>
              <w:right w:w="20" w:type="dxa"/>
            </w:tcMar>
          </w:tcPr>
          <w:p w14:paraId="0B2FB2E1" w14:textId="77777777" w:rsidR="007F1775" w:rsidRDefault="000F083E">
            <w:pPr>
              <w:jc w:val="center"/>
              <w:textAlignment w:val="top"/>
            </w:pPr>
            <w:r>
              <w:rPr>
                <w:rFonts w:ascii="sans-serif" w:eastAsia="宋体" w:hAnsi="sans-serif" w:cs="sans-serif"/>
                <w:color w:val="000000"/>
                <w:sz w:val="14"/>
                <w:szCs w:val="14"/>
              </w:rPr>
              <w:t>$1.99</w:t>
            </w:r>
          </w:p>
        </w:tc>
        <w:tc>
          <w:tcPr>
            <w:tcW w:w="0" w:type="auto"/>
            <w:gridSpan w:val="3"/>
            <w:shd w:val="clear" w:color="auto" w:fill="auto"/>
            <w:tcMar>
              <w:top w:w="40" w:type="dxa"/>
              <w:left w:w="20" w:type="dxa"/>
              <w:bottom w:w="40" w:type="dxa"/>
              <w:right w:w="20" w:type="dxa"/>
            </w:tcMar>
          </w:tcPr>
          <w:p w14:paraId="0B2FB2E2" w14:textId="77777777" w:rsidR="007F1775" w:rsidRDefault="000F083E">
            <w:pPr>
              <w:jc w:val="center"/>
              <w:textAlignment w:val="top"/>
            </w:pPr>
            <w:r>
              <w:rPr>
                <w:rFonts w:ascii="sans-serif" w:eastAsia="宋体" w:hAnsi="sans-serif" w:cs="sans-serif"/>
                <w:color w:val="000000"/>
                <w:sz w:val="14"/>
                <w:szCs w:val="14"/>
              </w:rPr>
              <w:t>$1.78</w:t>
            </w:r>
          </w:p>
        </w:tc>
        <w:tc>
          <w:tcPr>
            <w:tcW w:w="0" w:type="auto"/>
            <w:gridSpan w:val="3"/>
            <w:shd w:val="clear" w:color="auto" w:fill="auto"/>
            <w:tcMar>
              <w:top w:w="40" w:type="dxa"/>
              <w:left w:w="20" w:type="dxa"/>
              <w:bottom w:w="40" w:type="dxa"/>
              <w:right w:w="20" w:type="dxa"/>
            </w:tcMar>
          </w:tcPr>
          <w:p w14:paraId="0B2FB2E3" w14:textId="77777777" w:rsidR="007F1775" w:rsidRDefault="000F083E">
            <w:pPr>
              <w:jc w:val="center"/>
              <w:textAlignment w:val="top"/>
            </w:pPr>
            <w:r>
              <w:rPr>
                <w:rFonts w:ascii="sans-serif" w:eastAsia="宋体" w:hAnsi="sans-serif" w:cs="sans-serif"/>
                <w:color w:val="000000"/>
                <w:sz w:val="14"/>
                <w:szCs w:val="14"/>
              </w:rPr>
              <w:t>$2.22</w:t>
            </w:r>
          </w:p>
        </w:tc>
        <w:tc>
          <w:tcPr>
            <w:tcW w:w="0" w:type="auto"/>
            <w:gridSpan w:val="3"/>
            <w:shd w:val="clear" w:color="auto" w:fill="auto"/>
            <w:tcMar>
              <w:top w:w="40" w:type="dxa"/>
              <w:left w:w="20" w:type="dxa"/>
              <w:bottom w:w="40" w:type="dxa"/>
              <w:right w:w="20" w:type="dxa"/>
            </w:tcMar>
          </w:tcPr>
          <w:p w14:paraId="0B2FB2E4" w14:textId="77777777" w:rsidR="007F1775" w:rsidRDefault="000F083E">
            <w:pPr>
              <w:textAlignment w:val="top"/>
            </w:pPr>
            <w:r>
              <w:rPr>
                <w:rFonts w:ascii="sans-serif" w:eastAsia="宋体" w:hAnsi="sans-serif" w:cs="sans-serif"/>
                <w:color w:val="000000"/>
                <w:sz w:val="14"/>
                <w:szCs w:val="14"/>
              </w:rPr>
              <w:t>$2.77</w:t>
            </w:r>
          </w:p>
        </w:tc>
        <w:tc>
          <w:tcPr>
            <w:tcW w:w="0" w:type="auto"/>
            <w:gridSpan w:val="3"/>
            <w:shd w:val="clear" w:color="auto" w:fill="auto"/>
            <w:tcMar>
              <w:top w:w="40" w:type="dxa"/>
              <w:left w:w="20" w:type="dxa"/>
              <w:bottom w:w="40" w:type="dxa"/>
              <w:right w:w="20" w:type="dxa"/>
            </w:tcMar>
          </w:tcPr>
          <w:p w14:paraId="0B2FB2E5" w14:textId="77777777" w:rsidR="007F1775" w:rsidRDefault="000F083E">
            <w:pPr>
              <w:textAlignment w:val="top"/>
            </w:pPr>
            <w:r>
              <w:rPr>
                <w:rFonts w:ascii="sans-serif" w:eastAsia="宋体" w:hAnsi="sans-serif" w:cs="sans-serif"/>
                <w:color w:val="000000"/>
                <w:sz w:val="14"/>
                <w:szCs w:val="14"/>
              </w:rPr>
              <w:t>$2.64</w:t>
            </w:r>
          </w:p>
        </w:tc>
        <w:tc>
          <w:tcPr>
            <w:tcW w:w="0" w:type="auto"/>
            <w:gridSpan w:val="3"/>
            <w:shd w:val="clear" w:color="auto" w:fill="auto"/>
            <w:tcMar>
              <w:top w:w="40" w:type="dxa"/>
              <w:left w:w="20" w:type="dxa"/>
              <w:bottom w:w="40" w:type="dxa"/>
              <w:right w:w="20" w:type="dxa"/>
            </w:tcMar>
          </w:tcPr>
          <w:p w14:paraId="0B2FB2E6" w14:textId="77777777" w:rsidR="007F1775" w:rsidRDefault="000F083E">
            <w:pPr>
              <w:textAlignment w:val="top"/>
            </w:pPr>
            <w:r>
              <w:rPr>
                <w:rFonts w:ascii="sans-serif" w:eastAsia="宋体" w:hAnsi="sans-serif" w:cs="sans-serif"/>
                <w:color w:val="000000"/>
                <w:sz w:val="14"/>
                <w:szCs w:val="14"/>
              </w:rPr>
              <w:t>$3.05</w:t>
            </w:r>
          </w:p>
        </w:tc>
        <w:tc>
          <w:tcPr>
            <w:tcW w:w="0" w:type="auto"/>
            <w:gridSpan w:val="3"/>
            <w:shd w:val="clear" w:color="auto" w:fill="auto"/>
            <w:tcMar>
              <w:top w:w="40" w:type="dxa"/>
              <w:left w:w="20" w:type="dxa"/>
              <w:bottom w:w="40" w:type="dxa"/>
              <w:right w:w="20" w:type="dxa"/>
            </w:tcMar>
          </w:tcPr>
          <w:p w14:paraId="0B2FB2E7" w14:textId="77777777" w:rsidR="007F1775" w:rsidRDefault="000F083E">
            <w:pPr>
              <w:textAlignment w:val="top"/>
            </w:pPr>
            <w:r>
              <w:rPr>
                <w:rFonts w:ascii="sans-serif" w:eastAsia="宋体" w:hAnsi="sans-serif" w:cs="sans-serif"/>
                <w:color w:val="000000"/>
                <w:sz w:val="14"/>
                <w:szCs w:val="14"/>
              </w:rPr>
              <w:t>$3.14</w:t>
            </w:r>
          </w:p>
        </w:tc>
        <w:tc>
          <w:tcPr>
            <w:tcW w:w="0" w:type="auto"/>
            <w:gridSpan w:val="3"/>
            <w:shd w:val="clear" w:color="auto" w:fill="auto"/>
            <w:tcMar>
              <w:top w:w="40" w:type="dxa"/>
              <w:left w:w="20" w:type="dxa"/>
              <w:bottom w:w="40" w:type="dxa"/>
              <w:right w:w="20" w:type="dxa"/>
            </w:tcMar>
          </w:tcPr>
          <w:p w14:paraId="0B2FB2E8" w14:textId="77777777" w:rsidR="007F1775" w:rsidRDefault="000F083E">
            <w:pPr>
              <w:textAlignment w:val="top"/>
            </w:pPr>
            <w:r>
              <w:rPr>
                <w:rFonts w:ascii="sans-serif" w:eastAsia="宋体" w:hAnsi="sans-serif" w:cs="sans-serif"/>
                <w:color w:val="000000"/>
                <w:sz w:val="14"/>
                <w:szCs w:val="14"/>
              </w:rPr>
              <w:t>$3.43</w:t>
            </w:r>
          </w:p>
        </w:tc>
        <w:tc>
          <w:tcPr>
            <w:tcW w:w="0" w:type="auto"/>
            <w:gridSpan w:val="3"/>
            <w:shd w:val="clear" w:color="auto" w:fill="auto"/>
            <w:tcMar>
              <w:top w:w="40" w:type="dxa"/>
              <w:left w:w="20" w:type="dxa"/>
              <w:bottom w:w="40" w:type="dxa"/>
              <w:right w:w="20" w:type="dxa"/>
            </w:tcMar>
          </w:tcPr>
          <w:p w14:paraId="0B2FB2E9" w14:textId="77777777" w:rsidR="007F1775" w:rsidRDefault="000F083E">
            <w:pPr>
              <w:textAlignment w:val="top"/>
            </w:pPr>
            <w:r>
              <w:rPr>
                <w:rFonts w:ascii="sans-serif" w:eastAsia="宋体" w:hAnsi="sans-serif" w:cs="sans-serif"/>
                <w:color w:val="000000"/>
                <w:sz w:val="14"/>
                <w:szCs w:val="14"/>
              </w:rPr>
              <w:t>$3.14</w:t>
            </w:r>
          </w:p>
        </w:tc>
      </w:tr>
      <w:tr w:rsidR="007F1775" w14:paraId="0B2FB2FF" w14:textId="77777777">
        <w:trPr>
          <w:trHeight w:val="180"/>
          <w:jc w:val="center"/>
        </w:trPr>
        <w:tc>
          <w:tcPr>
            <w:tcW w:w="0" w:type="auto"/>
            <w:gridSpan w:val="3"/>
            <w:shd w:val="clear" w:color="auto" w:fill="auto"/>
            <w:tcMar>
              <w:top w:w="0" w:type="dxa"/>
              <w:left w:w="20" w:type="dxa"/>
              <w:bottom w:w="0" w:type="dxa"/>
              <w:right w:w="20" w:type="dxa"/>
            </w:tcMar>
            <w:vAlign w:val="bottom"/>
          </w:tcPr>
          <w:p w14:paraId="0B2FB2E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E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E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E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E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2FE" w14:textId="77777777" w:rsidR="007F1775" w:rsidRDefault="007F1775">
            <w:pPr>
              <w:rPr>
                <w:rFonts w:ascii="宋体"/>
              </w:rPr>
            </w:pPr>
          </w:p>
        </w:tc>
      </w:tr>
      <w:tr w:rsidR="007F1775" w14:paraId="0B2FB311" w14:textId="77777777">
        <w:trPr>
          <w:trHeight w:val="360"/>
          <w:jc w:val="center"/>
        </w:trPr>
        <w:tc>
          <w:tcPr>
            <w:tcW w:w="0" w:type="auto"/>
            <w:gridSpan w:val="3"/>
            <w:shd w:val="clear" w:color="auto" w:fill="auto"/>
            <w:tcMar>
              <w:top w:w="0" w:type="dxa"/>
              <w:left w:w="20" w:type="dxa"/>
              <w:bottom w:w="0" w:type="dxa"/>
              <w:right w:w="20" w:type="dxa"/>
            </w:tcMar>
            <w:vAlign w:val="bottom"/>
          </w:tcPr>
          <w:p w14:paraId="0B2FB30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7" w14:textId="77777777" w:rsidR="007F1775" w:rsidRDefault="000F083E">
            <w:pPr>
              <w:pBdr>
                <w:top w:val="none" w:sz="0" w:space="0" w:color="auto"/>
                <w:left w:val="none" w:sz="0" w:space="0" w:color="auto"/>
                <w:bottom w:val="none" w:sz="0" w:space="0" w:color="auto"/>
                <w:right w:val="none" w:sz="0" w:space="0" w:color="auto"/>
              </w:pBd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AC" wp14:editId="0B2FBFAD">
                  <wp:extent cx="304800" cy="304800"/>
                  <wp:effectExtent l="0" t="0" r="0" b="0"/>
                  <wp:docPr id="30" name="图片 8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9"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6"/>
            <w:shd w:val="clear" w:color="auto" w:fill="auto"/>
            <w:tcMar>
              <w:top w:w="40" w:type="dxa"/>
              <w:left w:w="20" w:type="dxa"/>
              <w:bottom w:w="40" w:type="dxa"/>
              <w:right w:w="20" w:type="dxa"/>
            </w:tcMar>
            <w:vAlign w:val="center"/>
          </w:tcPr>
          <w:p w14:paraId="0B2FB308" w14:textId="77777777" w:rsidR="007F1775" w:rsidRDefault="000F083E">
            <w:pPr>
              <w:textAlignment w:val="center"/>
            </w:pPr>
            <w:r>
              <w:rPr>
                <w:rFonts w:ascii="Times New Roman" w:eastAsia="宋体" w:hAnsi="Times New Roman"/>
                <w:color w:val="000000"/>
                <w:sz w:val="16"/>
                <w:szCs w:val="16"/>
              </w:rPr>
              <w:t>Ad Revenue</w:t>
            </w:r>
          </w:p>
        </w:tc>
        <w:tc>
          <w:tcPr>
            <w:tcW w:w="0" w:type="auto"/>
            <w:gridSpan w:val="3"/>
            <w:shd w:val="clear" w:color="auto" w:fill="auto"/>
            <w:tcMar>
              <w:top w:w="0" w:type="dxa"/>
              <w:left w:w="20" w:type="dxa"/>
              <w:bottom w:w="0" w:type="dxa"/>
              <w:right w:w="20" w:type="dxa"/>
            </w:tcMar>
            <w:vAlign w:val="bottom"/>
          </w:tcPr>
          <w:p w14:paraId="0B2FB309" w14:textId="77777777" w:rsidR="007F1775" w:rsidRDefault="000F083E">
            <w:pPr>
              <w:pBdr>
                <w:top w:val="none" w:sz="0" w:space="0" w:color="auto"/>
                <w:left w:val="none" w:sz="0" w:space="0" w:color="auto"/>
                <w:bottom w:val="none" w:sz="0" w:space="0" w:color="auto"/>
                <w:right w:val="none" w:sz="0" w:space="0" w:color="auto"/>
              </w:pBdr>
              <w:jc w:val="right"/>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/Meta Platforms/./Inline XBRL Viewer3_files/meta-20220331_g6.jpg"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0B2FBFAE" wp14:editId="0B2FBFAF">
                  <wp:extent cx="304800" cy="304800"/>
                  <wp:effectExtent l="0" t="0" r="0" b="0"/>
                  <wp:docPr id="31" name="图片 90"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0"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9"/>
            <w:shd w:val="clear" w:color="auto" w:fill="auto"/>
            <w:tcMar>
              <w:top w:w="40" w:type="dxa"/>
              <w:left w:w="20" w:type="dxa"/>
              <w:bottom w:w="40" w:type="dxa"/>
              <w:right w:w="20" w:type="dxa"/>
            </w:tcMar>
            <w:vAlign w:val="center"/>
          </w:tcPr>
          <w:p w14:paraId="0B2FB30A" w14:textId="77777777" w:rsidR="007F1775" w:rsidRDefault="000F083E">
            <w:pPr>
              <w:textAlignment w:val="center"/>
            </w:pPr>
            <w:r>
              <w:rPr>
                <w:rFonts w:ascii="Times New Roman" w:eastAsia="宋体" w:hAnsi="Times New Roman"/>
                <w:color w:val="000000"/>
                <w:sz w:val="16"/>
                <w:szCs w:val="16"/>
              </w:rPr>
              <w:t>Non-Ad Revenue</w:t>
            </w:r>
          </w:p>
        </w:tc>
        <w:tc>
          <w:tcPr>
            <w:tcW w:w="0" w:type="auto"/>
            <w:gridSpan w:val="3"/>
            <w:shd w:val="clear" w:color="auto" w:fill="auto"/>
            <w:tcMar>
              <w:top w:w="0" w:type="dxa"/>
              <w:left w:w="20" w:type="dxa"/>
              <w:bottom w:w="0" w:type="dxa"/>
              <w:right w:w="20" w:type="dxa"/>
            </w:tcMar>
            <w:vAlign w:val="bottom"/>
          </w:tcPr>
          <w:p w14:paraId="0B2FB30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0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310" w14:textId="77777777" w:rsidR="007F1775" w:rsidRDefault="007F1775">
            <w:pPr>
              <w:rPr>
                <w:rFonts w:ascii="宋体"/>
              </w:rPr>
            </w:pPr>
          </w:p>
        </w:tc>
      </w:tr>
    </w:tbl>
    <w:p w14:paraId="0B2FB312" w14:textId="77777777" w:rsidR="007F1775" w:rsidRDefault="007F1775">
      <w:pPr>
        <w:jc w:val="center"/>
      </w:pPr>
    </w:p>
    <w:p w14:paraId="0B2FB313" w14:textId="77777777" w:rsidR="007F1775" w:rsidRDefault="000F083E">
      <w:pPr>
        <w:jc w:val="center"/>
      </w:pPr>
      <w:r>
        <w:rPr>
          <w:rFonts w:ascii="Times New Roman" w:eastAsia="宋体" w:hAnsi="Times New Roman"/>
          <w:color w:val="000000"/>
          <w:sz w:val="20"/>
          <w:szCs w:val="20"/>
        </w:rPr>
        <w:t>35</w:t>
      </w:r>
    </w:p>
    <w:p w14:paraId="0B2FB314" w14:textId="77777777" w:rsidR="007F1775" w:rsidRDefault="000F083E">
      <w:r>
        <w:pict w14:anchorId="0B2FBFB0">
          <v:rect id="_x0000_i1059" style="width:415.3pt;height:1.5pt" o:hralign="center" o:hrstd="t" o:hr="t" fillcolor="#a0a0a0" stroked="f"/>
        </w:pict>
      </w:r>
    </w:p>
    <w:p w14:paraId="0B2FB315" w14:textId="77777777" w:rsidR="007F1775" w:rsidRDefault="007F1775"/>
    <w:p w14:paraId="0B2FB316" w14:textId="77777777" w:rsidR="007F1775" w:rsidRDefault="007F1775"/>
    <w:p w14:paraId="0B2FB317" w14:textId="77777777" w:rsidR="007F1775" w:rsidRDefault="000F083E">
      <w:hyperlink r:id="rId113" w:anchor="iea70e328caa94cefb76a9db6ed6338fc_7" w:history="1">
        <w:r>
          <w:rPr>
            <w:rStyle w:val="a5"/>
            <w:rFonts w:ascii="Times New Roman" w:eastAsia="宋体" w:hAnsi="Times New Roman"/>
            <w:sz w:val="20"/>
            <w:szCs w:val="20"/>
          </w:rPr>
          <w:t>Table of Contents</w:t>
        </w:r>
      </w:hyperlink>
    </w:p>
    <w:p w14:paraId="0B2FB318" w14:textId="77777777" w:rsidR="007F1775" w:rsidRDefault="007F1775">
      <w:pPr>
        <w:pBdr>
          <w:left w:val="none" w:sz="0" w:space="0" w:color="auto"/>
          <w:right w:val="none" w:sz="0" w:space="0" w:color="auto"/>
        </w:pBdr>
        <w:ind w:firstLine="540"/>
        <w:jc w:val="center"/>
      </w:pPr>
    </w:p>
    <w:p w14:paraId="0B2FB319" w14:textId="77777777" w:rsidR="007F1775" w:rsidRDefault="000F083E">
      <w:pPr>
        <w:pBdr>
          <w:left w:val="none" w:sz="0" w:space="0" w:color="auto"/>
        </w:pBdr>
        <w:jc w:val="both"/>
      </w:pPr>
      <w:r>
        <w:rPr>
          <w:rFonts w:ascii="Times New Roman" w:eastAsia="宋体" w:hAnsi="Times New Roman"/>
          <w:i/>
          <w:iCs/>
          <w:color w:val="000000"/>
          <w:sz w:val="16"/>
          <w:szCs w:val="16"/>
        </w:rPr>
        <w:t>Note: Non-advertising revenue includes RL revenue generated from the delivery of con</w:t>
      </w:r>
      <w:r>
        <w:rPr>
          <w:rFonts w:ascii="Times New Roman" w:eastAsia="宋体" w:hAnsi="Times New Roman"/>
          <w:i/>
          <w:iCs/>
          <w:color w:val="000000"/>
          <w:sz w:val="16"/>
          <w:szCs w:val="16"/>
        </w:rPr>
        <w:t xml:space="preserve">sumer hardware products and FoA Other revenue, which consists of net fees we receive from developers using our Payments infrastructure and revenue from various other sources. </w:t>
      </w:r>
    </w:p>
    <w:p w14:paraId="0B2FB31A" w14:textId="77777777" w:rsidR="007F1775" w:rsidRDefault="007F1775">
      <w:pPr>
        <w:pBdr>
          <w:left w:val="none" w:sz="0" w:space="0" w:color="auto"/>
        </w:pBdr>
        <w:jc w:val="both"/>
      </w:pPr>
    </w:p>
    <w:p w14:paraId="0B2FB31B" w14:textId="77777777" w:rsidR="007F1775" w:rsidRDefault="000F083E">
      <w:pPr>
        <w:pBdr>
          <w:left w:val="none" w:sz="0" w:space="0" w:color="auto"/>
        </w:pBdr>
        <w:jc w:val="both"/>
      </w:pPr>
      <w:r>
        <w:rPr>
          <w:rFonts w:ascii="Times New Roman" w:eastAsia="宋体" w:hAnsi="Times New Roman"/>
          <w:i/>
          <w:iCs/>
          <w:color w:val="000000"/>
          <w:sz w:val="16"/>
          <w:szCs w:val="16"/>
        </w:rPr>
        <w:t>Our revenue by user geography in the charts above is geographically apportioned</w:t>
      </w:r>
      <w:r>
        <w:rPr>
          <w:rFonts w:ascii="Times New Roman" w:eastAsia="宋体" w:hAnsi="Times New Roman"/>
          <w:i/>
          <w:iCs/>
          <w:color w:val="000000"/>
          <w:sz w:val="16"/>
          <w:szCs w:val="16"/>
        </w:rPr>
        <w:t xml:space="preserve"> based on our estimation of the geographic location of our users when they perform a revenue-generating activity. This allocation differs from our revenue disaggregated by geography disclosure in Note 2 — Revenue in our condensed consolidated financial sta</w:t>
      </w:r>
      <w:r>
        <w:rPr>
          <w:rFonts w:ascii="Times New Roman" w:eastAsia="宋体" w:hAnsi="Times New Roman"/>
          <w:i/>
          <w:iCs/>
          <w:color w:val="000000"/>
          <w:sz w:val="16"/>
          <w:szCs w:val="16"/>
        </w:rPr>
        <w:t>tements included in Part I, Item 1, "Financial Statements" where revenue is geographically apportioned based on the addresses of our customers.</w:t>
      </w:r>
    </w:p>
    <w:p w14:paraId="0B2FB31C" w14:textId="77777777" w:rsidR="007F1775" w:rsidRDefault="007F1775">
      <w:pPr>
        <w:pBdr>
          <w:left w:val="none" w:sz="0" w:space="0" w:color="auto"/>
        </w:pBdr>
        <w:jc w:val="both"/>
      </w:pPr>
    </w:p>
    <w:p w14:paraId="0B2FB31D" w14:textId="77777777" w:rsidR="007F1775" w:rsidRDefault="000F083E">
      <w:pPr>
        <w:ind w:firstLine="540"/>
        <w:jc w:val="both"/>
      </w:pPr>
      <w:r>
        <w:rPr>
          <w:rFonts w:ascii="Times New Roman" w:eastAsia="宋体" w:hAnsi="Times New Roman"/>
          <w:color w:val="000000"/>
          <w:sz w:val="20"/>
          <w:szCs w:val="20"/>
        </w:rPr>
        <w:t>During the first quarter of 2022, worldwide ARPU was $9.54, an increase of 3% from the first quarter of 2021. O</w:t>
      </w:r>
      <w:r>
        <w:rPr>
          <w:rFonts w:ascii="Times New Roman" w:eastAsia="宋体" w:hAnsi="Times New Roman"/>
          <w:color w:val="000000"/>
          <w:sz w:val="20"/>
          <w:szCs w:val="20"/>
        </w:rPr>
        <w:t>ver this period, ARPU increased by 19% in Rest of World, 13% in Asia-Pacific and 1% in United States &amp; Canada, and decreased by 1% in Europe. In addition, user growth was more rapid in geographies with relatively lower ARPU, such as Asia-Pacific and Rest o</w:t>
      </w:r>
      <w:r>
        <w:rPr>
          <w:rFonts w:ascii="Times New Roman" w:eastAsia="宋体" w:hAnsi="Times New Roman"/>
          <w:color w:val="000000"/>
          <w:sz w:val="20"/>
          <w:szCs w:val="20"/>
        </w:rPr>
        <w:t>f World. We expect that user growth in the future will be primarily concentrated in those regions where ARPU is relatively lower, such that worldwide ARPU may continue to increase at a slower rate relative to ARPU in any geographic region, or potentially d</w:t>
      </w:r>
      <w:r>
        <w:rPr>
          <w:rFonts w:ascii="Times New Roman" w:eastAsia="宋体" w:hAnsi="Times New Roman"/>
          <w:color w:val="000000"/>
          <w:sz w:val="20"/>
          <w:szCs w:val="20"/>
        </w:rPr>
        <w:t>ecrease even if ARPU increases in each geographic region.</w:t>
      </w:r>
    </w:p>
    <w:p w14:paraId="0B2FB31E" w14:textId="77777777" w:rsidR="007F1775" w:rsidRDefault="000F083E">
      <w:pPr>
        <w:jc w:val="center"/>
      </w:pPr>
      <w:r>
        <w:rPr>
          <w:rFonts w:ascii="Times New Roman" w:eastAsia="宋体" w:hAnsi="Times New Roman"/>
          <w:color w:val="000000"/>
          <w:sz w:val="20"/>
          <w:szCs w:val="20"/>
        </w:rPr>
        <w:t>36</w:t>
      </w:r>
    </w:p>
    <w:p w14:paraId="0B2FB31F" w14:textId="77777777" w:rsidR="007F1775" w:rsidRDefault="000F083E">
      <w:r>
        <w:pict w14:anchorId="0B2FBFB1">
          <v:rect id="_x0000_i1060" style="width:415.3pt;height:1.5pt" o:hralign="center" o:hrstd="t" o:hr="t" fillcolor="#a0a0a0" stroked="f"/>
        </w:pict>
      </w:r>
    </w:p>
    <w:p w14:paraId="0B2FB320" w14:textId="77777777" w:rsidR="007F1775" w:rsidRDefault="007F1775"/>
    <w:p w14:paraId="0B2FB321" w14:textId="77777777" w:rsidR="007F1775" w:rsidRDefault="007F1775"/>
    <w:p w14:paraId="0B2FB322" w14:textId="77777777" w:rsidR="007F1775" w:rsidRDefault="000F083E">
      <w:hyperlink r:id="rId114" w:anchor="iea70e328caa94cefb76a9db6ed6338fc_7" w:history="1">
        <w:r>
          <w:rPr>
            <w:rStyle w:val="a5"/>
            <w:rFonts w:ascii="Times New Roman" w:eastAsia="宋体" w:hAnsi="Times New Roman"/>
            <w:sz w:val="20"/>
            <w:szCs w:val="20"/>
          </w:rPr>
          <w:t>Table of Contents</w:t>
        </w:r>
      </w:hyperlink>
    </w:p>
    <w:p w14:paraId="0B2FB323" w14:textId="77777777" w:rsidR="007F1775" w:rsidRDefault="000F083E">
      <w:r>
        <w:rPr>
          <w:rFonts w:ascii="Times New Roman" w:eastAsia="宋体" w:hAnsi="Times New Roman"/>
          <w:b/>
          <w:bCs/>
          <w:color w:val="000000"/>
          <w:sz w:val="20"/>
          <w:szCs w:val="20"/>
        </w:rPr>
        <w:t xml:space="preserve">Components of </w:t>
      </w:r>
      <w:r>
        <w:rPr>
          <w:rFonts w:ascii="Times New Roman" w:eastAsia="宋体" w:hAnsi="Times New Roman"/>
          <w:b/>
          <w:bCs/>
          <w:color w:val="000000"/>
          <w:sz w:val="20"/>
          <w:szCs w:val="20"/>
        </w:rPr>
        <w:t>Results of Operations</w:t>
      </w:r>
    </w:p>
    <w:p w14:paraId="0B2FB324" w14:textId="77777777" w:rsidR="007F1775" w:rsidRDefault="007F1775"/>
    <w:p w14:paraId="0B2FB325" w14:textId="77777777" w:rsidR="007F1775" w:rsidRDefault="000F083E">
      <w:r>
        <w:rPr>
          <w:rFonts w:ascii="Times New Roman" w:eastAsia="宋体" w:hAnsi="Times New Roman"/>
          <w:b/>
          <w:bCs/>
          <w:color w:val="000000"/>
          <w:sz w:val="20"/>
          <w:szCs w:val="20"/>
        </w:rPr>
        <w:t>Revenue</w:t>
      </w:r>
    </w:p>
    <w:p w14:paraId="0B2FB326" w14:textId="77777777" w:rsidR="007F1775" w:rsidRDefault="007F1775"/>
    <w:p w14:paraId="0B2FB327" w14:textId="77777777" w:rsidR="007F1775" w:rsidRDefault="000F083E">
      <w:pPr>
        <w:ind w:firstLine="540"/>
        <w:jc w:val="both"/>
      </w:pPr>
      <w:r>
        <w:rPr>
          <w:rFonts w:ascii="Times New Roman" w:eastAsia="宋体" w:hAnsi="Times New Roman"/>
          <w:b/>
          <w:bCs/>
          <w:i/>
          <w:iCs/>
          <w:color w:val="000000"/>
          <w:sz w:val="20"/>
          <w:szCs w:val="20"/>
          <w:shd w:val="clear" w:color="auto" w:fill="FFFFFF"/>
        </w:rPr>
        <w:t>Family of Apps (FoA)</w:t>
      </w:r>
    </w:p>
    <w:p w14:paraId="0B2FB328" w14:textId="77777777" w:rsidR="007F1775" w:rsidRDefault="007F1775">
      <w:pPr>
        <w:jc w:val="both"/>
      </w:pPr>
    </w:p>
    <w:p w14:paraId="0B2FB329" w14:textId="77777777" w:rsidR="007F1775" w:rsidRDefault="000F083E">
      <w:pPr>
        <w:ind w:firstLine="540"/>
        <w:jc w:val="both"/>
      </w:pPr>
      <w:r>
        <w:rPr>
          <w:rFonts w:ascii="Times New Roman" w:eastAsia="宋体" w:hAnsi="Times New Roman"/>
          <w:b/>
          <w:bCs/>
          <w:i/>
          <w:iCs/>
          <w:color w:val="000000"/>
          <w:sz w:val="20"/>
          <w:szCs w:val="20"/>
        </w:rPr>
        <w:t>Advertising</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We generate substantially all of our revenue from advertising. Our advertising revenue is generated by displaying ad products on Facebook, Instagram, Messenger, and third-party affiliated websites or mobile applications. Marketers pay for ad products eithe</w:t>
      </w:r>
      <w:r>
        <w:rPr>
          <w:rFonts w:ascii="Times New Roman" w:eastAsia="宋体" w:hAnsi="Times New Roman"/>
          <w:color w:val="000000"/>
          <w:sz w:val="20"/>
          <w:szCs w:val="20"/>
        </w:rPr>
        <w:t xml:space="preserve">r directly or through their relationships with advertising agencies or resellers, based on the number of impressions delivered or the number of actions, such as clicks, taken by users. </w:t>
      </w:r>
    </w:p>
    <w:p w14:paraId="0B2FB32A" w14:textId="77777777" w:rsidR="007F1775" w:rsidRDefault="007F1775">
      <w:pPr>
        <w:ind w:firstLine="540"/>
        <w:jc w:val="both"/>
      </w:pPr>
    </w:p>
    <w:p w14:paraId="0B2FB32B" w14:textId="77777777" w:rsidR="007F1775" w:rsidRDefault="000F083E">
      <w:pPr>
        <w:ind w:firstLine="540"/>
        <w:jc w:val="both"/>
      </w:pPr>
      <w:r>
        <w:rPr>
          <w:rFonts w:ascii="Times New Roman" w:eastAsia="宋体" w:hAnsi="Times New Roman"/>
          <w:color w:val="000000"/>
          <w:sz w:val="20"/>
          <w:szCs w:val="20"/>
        </w:rPr>
        <w:t xml:space="preserve">We recognize revenue from the display of impression-based ads in the </w:t>
      </w:r>
      <w:r>
        <w:rPr>
          <w:rFonts w:ascii="Times New Roman" w:eastAsia="宋体" w:hAnsi="Times New Roman"/>
          <w:color w:val="000000"/>
          <w:sz w:val="20"/>
          <w:szCs w:val="20"/>
        </w:rPr>
        <w:t>contracted period in which the impressions are delivered. Impressions are considered delivered when an ad is displayed to a user. We recognize revenue from the delivery of action-based ads in the period in which a user takes the action the marketer contrac</w:t>
      </w:r>
      <w:r>
        <w:rPr>
          <w:rFonts w:ascii="Times New Roman" w:eastAsia="宋体" w:hAnsi="Times New Roman"/>
          <w:color w:val="000000"/>
          <w:sz w:val="20"/>
          <w:szCs w:val="20"/>
        </w:rPr>
        <w:t>ted for. The number of ads we show is subject to methodological changes as we continue to evolve our ads business and the structure of our ads products. We calculate price per ad as total advertising revenue divided by the number of ads delivered, represen</w:t>
      </w:r>
      <w:r>
        <w:rPr>
          <w:rFonts w:ascii="Times New Roman" w:eastAsia="宋体" w:hAnsi="Times New Roman"/>
          <w:color w:val="000000"/>
          <w:sz w:val="20"/>
          <w:szCs w:val="20"/>
        </w:rPr>
        <w:t>ting the effective price paid per impression by a marketer regardless of their desired objective such as impression or action. For advertising revenue arrangements where we are not the principal, we recognize revenue on a net basis.</w:t>
      </w:r>
    </w:p>
    <w:p w14:paraId="0B2FB32C" w14:textId="77777777" w:rsidR="007F1775" w:rsidRDefault="007F1775">
      <w:pPr>
        <w:ind w:firstLine="540"/>
        <w:jc w:val="both"/>
      </w:pPr>
    </w:p>
    <w:p w14:paraId="0B2FB32D" w14:textId="77777777" w:rsidR="007F1775" w:rsidRDefault="000F083E">
      <w:pPr>
        <w:ind w:firstLine="540"/>
        <w:jc w:val="both"/>
      </w:pPr>
      <w:r>
        <w:rPr>
          <w:rFonts w:ascii="Times New Roman" w:eastAsia="宋体" w:hAnsi="Times New Roman"/>
          <w:b/>
          <w:bCs/>
          <w:i/>
          <w:iCs/>
          <w:color w:val="000000"/>
          <w:sz w:val="20"/>
          <w:szCs w:val="20"/>
        </w:rPr>
        <w:t>Other revenue</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Other r</w:t>
      </w:r>
      <w:r>
        <w:rPr>
          <w:rFonts w:ascii="Times New Roman" w:eastAsia="宋体" w:hAnsi="Times New Roman"/>
          <w:color w:val="000000"/>
          <w:sz w:val="20"/>
          <w:szCs w:val="20"/>
        </w:rPr>
        <w:t>evenue consists of net fees we receive from developers using our Payments infrastructure and revenue from various other sources.</w:t>
      </w:r>
    </w:p>
    <w:p w14:paraId="0B2FB32E" w14:textId="77777777" w:rsidR="007F1775" w:rsidRDefault="007F1775">
      <w:pPr>
        <w:ind w:firstLine="540"/>
        <w:jc w:val="both"/>
      </w:pPr>
    </w:p>
    <w:p w14:paraId="0B2FB32F" w14:textId="77777777" w:rsidR="007F1775" w:rsidRDefault="000F083E">
      <w:pPr>
        <w:ind w:firstLine="540"/>
        <w:jc w:val="both"/>
      </w:pPr>
      <w:r>
        <w:rPr>
          <w:rFonts w:ascii="Times New Roman" w:eastAsia="宋体" w:hAnsi="Times New Roman"/>
          <w:b/>
          <w:bCs/>
          <w:i/>
          <w:iCs/>
          <w:color w:val="000000"/>
          <w:sz w:val="20"/>
          <w:szCs w:val="20"/>
          <w:shd w:val="clear" w:color="auto" w:fill="FFFFFF"/>
        </w:rPr>
        <w:t>Reality Labs (RL)</w:t>
      </w:r>
    </w:p>
    <w:p w14:paraId="0B2FB330" w14:textId="77777777" w:rsidR="007F1775" w:rsidRDefault="007F1775">
      <w:pPr>
        <w:jc w:val="both"/>
      </w:pPr>
    </w:p>
    <w:p w14:paraId="0B2FB331" w14:textId="77777777" w:rsidR="007F1775" w:rsidRDefault="000F083E">
      <w:pPr>
        <w:ind w:firstLine="540"/>
        <w:jc w:val="both"/>
      </w:pPr>
      <w:r>
        <w:rPr>
          <w:rFonts w:ascii="Times New Roman" w:eastAsia="宋体" w:hAnsi="Times New Roman"/>
          <w:color w:val="000000"/>
          <w:sz w:val="20"/>
          <w:szCs w:val="20"/>
          <w:shd w:val="clear" w:color="auto" w:fill="FFFFFF"/>
        </w:rPr>
        <w:t xml:space="preserve">RL revenue is generated from the delivery of consumer hardware products, such as </w:t>
      </w:r>
      <w:r>
        <w:rPr>
          <w:rFonts w:ascii="Times New Roman" w:eastAsia="宋体" w:hAnsi="Times New Roman"/>
          <w:color w:val="000000"/>
          <w:sz w:val="20"/>
          <w:szCs w:val="20"/>
        </w:rPr>
        <w:t>Meta Quest</w:t>
      </w:r>
      <w:r>
        <w:rPr>
          <w:rFonts w:ascii="Times New Roman" w:eastAsia="宋体" w:hAnsi="Times New Roman"/>
          <w:color w:val="000000"/>
          <w:sz w:val="20"/>
          <w:szCs w:val="20"/>
          <w:shd w:val="clear" w:color="auto" w:fill="FFFFFF"/>
        </w:rPr>
        <w:t>, Facebook Porta</w:t>
      </w:r>
      <w:r>
        <w:rPr>
          <w:rFonts w:ascii="Times New Roman" w:eastAsia="宋体" w:hAnsi="Times New Roman"/>
          <w:color w:val="000000"/>
          <w:sz w:val="20"/>
          <w:szCs w:val="20"/>
          <w:shd w:val="clear" w:color="auto" w:fill="FFFFFF"/>
        </w:rPr>
        <w:t>l, and wearables, and related software and content.</w:t>
      </w:r>
    </w:p>
    <w:p w14:paraId="0B2FB332" w14:textId="77777777" w:rsidR="007F1775" w:rsidRDefault="007F1775">
      <w:pPr>
        <w:ind w:firstLine="540"/>
        <w:jc w:val="both"/>
      </w:pPr>
    </w:p>
    <w:p w14:paraId="0B2FB333" w14:textId="77777777" w:rsidR="007F1775" w:rsidRDefault="000F083E">
      <w:r>
        <w:rPr>
          <w:rFonts w:ascii="Times New Roman" w:eastAsia="宋体" w:hAnsi="Times New Roman"/>
          <w:b/>
          <w:bCs/>
          <w:color w:val="000000"/>
          <w:sz w:val="20"/>
          <w:szCs w:val="20"/>
        </w:rPr>
        <w:t>Cost of Revenue and Operating Expenses</w:t>
      </w:r>
    </w:p>
    <w:p w14:paraId="0B2FB334" w14:textId="77777777" w:rsidR="007F1775" w:rsidRDefault="007F1775"/>
    <w:p w14:paraId="0B2FB335" w14:textId="77777777" w:rsidR="007F1775" w:rsidRDefault="000F083E">
      <w:pPr>
        <w:ind w:firstLine="540"/>
        <w:jc w:val="both"/>
      </w:pPr>
      <w:r>
        <w:rPr>
          <w:rFonts w:ascii="Times New Roman" w:eastAsia="宋体" w:hAnsi="Times New Roman"/>
          <w:b/>
          <w:bCs/>
          <w:i/>
          <w:iCs/>
          <w:color w:val="000000"/>
          <w:sz w:val="20"/>
          <w:szCs w:val="20"/>
        </w:rPr>
        <w:t>Cost of revenue.</w:t>
      </w:r>
      <w:r>
        <w:rPr>
          <w:rFonts w:ascii="Times New Roman" w:eastAsia="宋体" w:hAnsi="Times New Roman"/>
          <w:color w:val="000000"/>
          <w:sz w:val="20"/>
          <w:szCs w:val="20"/>
        </w:rPr>
        <w:t xml:space="preserve"> Our cost of revenue consists primarily of expenses associated with the delivery and distribution of our products. These include expenses related to the operation of our data centers and technical infrastructure, such as depreciation expense from servers, </w:t>
      </w:r>
      <w:r>
        <w:rPr>
          <w:rFonts w:ascii="Times New Roman" w:eastAsia="宋体" w:hAnsi="Times New Roman"/>
          <w:color w:val="000000"/>
          <w:sz w:val="20"/>
          <w:szCs w:val="20"/>
        </w:rPr>
        <w:t>network infrastructure and buildings, as well as payroll and related expenses which include share-based compensation for employees on our operations teams, and energy and bandwidth costs. Cost of revenue also includes costs associated with partner arrangem</w:t>
      </w:r>
      <w:r>
        <w:rPr>
          <w:rFonts w:ascii="Times New Roman" w:eastAsia="宋体" w:hAnsi="Times New Roman"/>
          <w:color w:val="000000"/>
          <w:sz w:val="20"/>
          <w:szCs w:val="20"/>
        </w:rPr>
        <w:t>ents, including traffic acquisition costs and credit card and other fees related to processing customer transactions; RL cost of products sold; and content costs.</w:t>
      </w:r>
    </w:p>
    <w:p w14:paraId="0B2FB336" w14:textId="77777777" w:rsidR="007F1775" w:rsidRDefault="007F1775">
      <w:pPr>
        <w:ind w:firstLine="540"/>
        <w:jc w:val="both"/>
      </w:pPr>
    </w:p>
    <w:p w14:paraId="0B2FB337" w14:textId="77777777" w:rsidR="007F1775" w:rsidRDefault="000F083E">
      <w:pPr>
        <w:ind w:firstLine="540"/>
        <w:jc w:val="both"/>
      </w:pPr>
      <w:r>
        <w:rPr>
          <w:rFonts w:ascii="Times New Roman" w:eastAsia="宋体" w:hAnsi="Times New Roman"/>
          <w:b/>
          <w:bCs/>
          <w:i/>
          <w:iCs/>
          <w:color w:val="000000"/>
          <w:sz w:val="20"/>
          <w:szCs w:val="20"/>
        </w:rPr>
        <w:t>Research and development.</w:t>
      </w:r>
      <w:r>
        <w:rPr>
          <w:rFonts w:ascii="Times New Roman" w:eastAsia="宋体" w:hAnsi="Times New Roman"/>
          <w:color w:val="000000"/>
          <w:sz w:val="20"/>
          <w:szCs w:val="20"/>
        </w:rPr>
        <w:t xml:space="preserve"> Research and development expenses consist primarily of payroll and</w:t>
      </w:r>
      <w:r>
        <w:rPr>
          <w:rFonts w:ascii="Times New Roman" w:eastAsia="宋体" w:hAnsi="Times New Roman"/>
          <w:color w:val="000000"/>
          <w:sz w:val="20"/>
          <w:szCs w:val="20"/>
        </w:rPr>
        <w:t xml:space="preserve"> related expenses which include share-based compensation, facilities-related costs for employees on our engineering and technical teams who are responsible for developing new products as well as improving existing products, and professional services.</w:t>
      </w:r>
    </w:p>
    <w:p w14:paraId="0B2FB338" w14:textId="77777777" w:rsidR="007F1775" w:rsidRDefault="007F1775">
      <w:pPr>
        <w:ind w:firstLine="540"/>
        <w:jc w:val="both"/>
      </w:pPr>
    </w:p>
    <w:p w14:paraId="0B2FB339" w14:textId="77777777" w:rsidR="007F1775" w:rsidRDefault="000F083E">
      <w:pPr>
        <w:ind w:firstLine="540"/>
        <w:jc w:val="both"/>
      </w:pPr>
      <w:r>
        <w:rPr>
          <w:rFonts w:ascii="Times New Roman" w:eastAsia="宋体" w:hAnsi="Times New Roman"/>
          <w:b/>
          <w:bCs/>
          <w:i/>
          <w:iCs/>
          <w:color w:val="000000"/>
          <w:sz w:val="20"/>
          <w:szCs w:val="20"/>
        </w:rPr>
        <w:t>Mark</w:t>
      </w:r>
      <w:r>
        <w:rPr>
          <w:rFonts w:ascii="Times New Roman" w:eastAsia="宋体" w:hAnsi="Times New Roman"/>
          <w:b/>
          <w:bCs/>
          <w:i/>
          <w:iCs/>
          <w:color w:val="000000"/>
          <w:sz w:val="20"/>
          <w:szCs w:val="20"/>
        </w:rPr>
        <w:t>eting and sales.</w:t>
      </w:r>
      <w:r>
        <w:rPr>
          <w:rFonts w:ascii="Times New Roman" w:eastAsia="宋体" w:hAnsi="Times New Roman"/>
          <w:color w:val="000000"/>
          <w:sz w:val="20"/>
          <w:szCs w:val="20"/>
        </w:rPr>
        <w:t xml:space="preserve"> Marketing and sales expenses consist primarily of marketing and promotional expenses and payroll and related expenses which include share-based compensation for our employees engaged in sales, sales support, marketing, business development</w:t>
      </w:r>
      <w:r>
        <w:rPr>
          <w:rFonts w:ascii="Times New Roman" w:eastAsia="宋体" w:hAnsi="Times New Roman"/>
          <w:color w:val="000000"/>
          <w:sz w:val="20"/>
          <w:szCs w:val="20"/>
        </w:rPr>
        <w:t>, and customer service functions. Our marketing and sales expenses also include professional services such as content reviewers to support our community and product operations.</w:t>
      </w:r>
    </w:p>
    <w:p w14:paraId="0B2FB33A" w14:textId="77777777" w:rsidR="007F1775" w:rsidRDefault="007F1775">
      <w:pPr>
        <w:ind w:firstLine="540"/>
        <w:jc w:val="both"/>
      </w:pPr>
    </w:p>
    <w:p w14:paraId="0B2FB33B" w14:textId="77777777" w:rsidR="007F1775" w:rsidRDefault="000F083E">
      <w:pPr>
        <w:ind w:firstLine="540"/>
        <w:jc w:val="both"/>
      </w:pPr>
      <w:r>
        <w:rPr>
          <w:rFonts w:ascii="Times New Roman" w:eastAsia="宋体" w:hAnsi="Times New Roman"/>
          <w:b/>
          <w:bCs/>
          <w:i/>
          <w:iCs/>
          <w:color w:val="000000"/>
          <w:sz w:val="20"/>
          <w:szCs w:val="20"/>
        </w:rPr>
        <w:t>General and administrative.</w:t>
      </w:r>
      <w:r>
        <w:rPr>
          <w:rFonts w:ascii="Times New Roman" w:eastAsia="宋体" w:hAnsi="Times New Roman"/>
          <w:color w:val="000000"/>
          <w:sz w:val="20"/>
          <w:szCs w:val="20"/>
        </w:rPr>
        <w:t xml:space="preserve"> General and administrative expenses consist primar</w:t>
      </w:r>
      <w:r>
        <w:rPr>
          <w:rFonts w:ascii="Times New Roman" w:eastAsia="宋体" w:hAnsi="Times New Roman"/>
          <w:color w:val="000000"/>
          <w:sz w:val="20"/>
          <w:szCs w:val="20"/>
        </w:rPr>
        <w:t xml:space="preserve">ily of legal-related costs, which include accruals for estimated fines, settlements, or other losses in connection with legal and related matters, as well as other legal fees; payroll and related expenses which include share-based compensation for certain </w:t>
      </w:r>
      <w:r>
        <w:rPr>
          <w:rFonts w:ascii="Times New Roman" w:eastAsia="宋体" w:hAnsi="Times New Roman"/>
          <w:color w:val="000000"/>
          <w:sz w:val="20"/>
          <w:szCs w:val="20"/>
        </w:rPr>
        <w:t>of our executives as well as our legal, finance, human resources, corporate communications and policy, and other administrative employees; other taxes, such as digital services taxes, other tax levies, and gross receipts taxes; and professional services.</w:t>
      </w:r>
    </w:p>
    <w:p w14:paraId="0B2FB33C" w14:textId="77777777" w:rsidR="007F1775" w:rsidRDefault="007F1775"/>
    <w:p w14:paraId="0B2FB33D" w14:textId="77777777" w:rsidR="007F1775" w:rsidRDefault="000F083E">
      <w:pPr>
        <w:jc w:val="center"/>
      </w:pPr>
      <w:r>
        <w:rPr>
          <w:rFonts w:ascii="Times New Roman" w:eastAsia="宋体" w:hAnsi="Times New Roman"/>
          <w:color w:val="000000"/>
          <w:sz w:val="20"/>
          <w:szCs w:val="20"/>
        </w:rPr>
        <w:t>37</w:t>
      </w:r>
    </w:p>
    <w:p w14:paraId="0B2FB33E" w14:textId="77777777" w:rsidR="007F1775" w:rsidRDefault="000F083E">
      <w:r>
        <w:pict w14:anchorId="0B2FBFB2">
          <v:rect id="_x0000_i1061" style="width:415.3pt;height:1.5pt" o:hralign="center" o:hrstd="t" o:hr="t" fillcolor="#a0a0a0" stroked="f"/>
        </w:pict>
      </w:r>
    </w:p>
    <w:p w14:paraId="0B2FB33F" w14:textId="77777777" w:rsidR="007F1775" w:rsidRDefault="007F1775"/>
    <w:p w14:paraId="0B2FB340" w14:textId="77777777" w:rsidR="007F1775" w:rsidRDefault="007F1775"/>
    <w:p w14:paraId="0B2FB341" w14:textId="77777777" w:rsidR="007F1775" w:rsidRDefault="000F083E">
      <w:hyperlink r:id="rId115" w:anchor="iea70e328caa94cefb76a9db6ed6338fc_7" w:history="1">
        <w:r>
          <w:rPr>
            <w:rStyle w:val="a5"/>
            <w:rFonts w:ascii="Times New Roman" w:eastAsia="宋体" w:hAnsi="Times New Roman"/>
            <w:sz w:val="20"/>
            <w:szCs w:val="20"/>
          </w:rPr>
          <w:t>Table of Contents</w:t>
        </w:r>
      </w:hyperlink>
    </w:p>
    <w:p w14:paraId="0B2FB342" w14:textId="77777777" w:rsidR="007F1775" w:rsidRDefault="000F083E">
      <w:r>
        <w:rPr>
          <w:rFonts w:ascii="Times New Roman" w:eastAsia="宋体" w:hAnsi="Times New Roman"/>
          <w:b/>
          <w:bCs/>
          <w:color w:val="000000"/>
          <w:sz w:val="20"/>
          <w:szCs w:val="20"/>
        </w:rPr>
        <w:t>Results of Operations</w:t>
      </w:r>
    </w:p>
    <w:p w14:paraId="0B2FB343" w14:textId="77777777" w:rsidR="007F1775" w:rsidRDefault="007F1775"/>
    <w:p w14:paraId="0B2FB344" w14:textId="77777777" w:rsidR="007F1775" w:rsidRDefault="000F083E">
      <w:pPr>
        <w:ind w:firstLine="540"/>
        <w:jc w:val="both"/>
      </w:pPr>
      <w:r>
        <w:rPr>
          <w:rFonts w:ascii="Times New Roman" w:eastAsia="宋体" w:hAnsi="Times New Roman"/>
          <w:color w:val="000000"/>
          <w:sz w:val="20"/>
          <w:szCs w:val="20"/>
        </w:rPr>
        <w:t xml:space="preserve">The following table sets forth our condensed </w:t>
      </w:r>
      <w:r>
        <w:rPr>
          <w:rFonts w:ascii="Times New Roman" w:eastAsia="宋体" w:hAnsi="Times New Roman"/>
          <w:color w:val="000000"/>
          <w:sz w:val="20"/>
          <w:szCs w:val="20"/>
        </w:rPr>
        <w:t>consolidated statements of income data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287"/>
        <w:gridCol w:w="38"/>
        <w:gridCol w:w="120"/>
        <w:gridCol w:w="1150"/>
        <w:gridCol w:w="36"/>
        <w:gridCol w:w="36"/>
        <w:gridCol w:w="36"/>
        <w:gridCol w:w="36"/>
        <w:gridCol w:w="120"/>
        <w:gridCol w:w="1113"/>
        <w:gridCol w:w="36"/>
        <w:gridCol w:w="36"/>
        <w:gridCol w:w="36"/>
        <w:gridCol w:w="36"/>
        <w:gridCol w:w="36"/>
        <w:gridCol w:w="36"/>
        <w:gridCol w:w="36"/>
        <w:gridCol w:w="36"/>
        <w:gridCol w:w="36"/>
      </w:tblGrid>
      <w:tr w:rsidR="007F1775" w14:paraId="0B2FB355" w14:textId="77777777">
        <w:tc>
          <w:tcPr>
            <w:tcW w:w="50" w:type="pct"/>
            <w:shd w:val="clear" w:color="auto" w:fill="auto"/>
            <w:vAlign w:val="bottom"/>
          </w:tcPr>
          <w:p w14:paraId="0B2FB345" w14:textId="77777777" w:rsidR="007F1775" w:rsidRDefault="007F1775">
            <w:pPr>
              <w:rPr>
                <w:rFonts w:ascii="宋体"/>
              </w:rPr>
            </w:pPr>
          </w:p>
        </w:tc>
        <w:tc>
          <w:tcPr>
            <w:tcW w:w="3315" w:type="pct"/>
            <w:shd w:val="clear" w:color="auto" w:fill="auto"/>
            <w:vAlign w:val="bottom"/>
          </w:tcPr>
          <w:p w14:paraId="0B2FB346" w14:textId="77777777" w:rsidR="007F1775" w:rsidRDefault="007F1775">
            <w:pPr>
              <w:rPr>
                <w:rFonts w:ascii="宋体"/>
              </w:rPr>
            </w:pPr>
          </w:p>
        </w:tc>
        <w:tc>
          <w:tcPr>
            <w:tcW w:w="5" w:type="pct"/>
            <w:shd w:val="clear" w:color="auto" w:fill="auto"/>
            <w:vAlign w:val="bottom"/>
          </w:tcPr>
          <w:p w14:paraId="0B2FB347" w14:textId="77777777" w:rsidR="007F1775" w:rsidRDefault="007F1775">
            <w:pPr>
              <w:rPr>
                <w:rFonts w:ascii="宋体"/>
              </w:rPr>
            </w:pPr>
          </w:p>
        </w:tc>
        <w:tc>
          <w:tcPr>
            <w:tcW w:w="50" w:type="pct"/>
            <w:shd w:val="clear" w:color="auto" w:fill="auto"/>
            <w:vAlign w:val="bottom"/>
          </w:tcPr>
          <w:p w14:paraId="0B2FB348" w14:textId="77777777" w:rsidR="007F1775" w:rsidRDefault="007F1775">
            <w:pPr>
              <w:rPr>
                <w:rFonts w:ascii="宋体"/>
              </w:rPr>
            </w:pPr>
          </w:p>
        </w:tc>
        <w:tc>
          <w:tcPr>
            <w:tcW w:w="741" w:type="pct"/>
            <w:shd w:val="clear" w:color="auto" w:fill="auto"/>
            <w:vAlign w:val="bottom"/>
          </w:tcPr>
          <w:p w14:paraId="0B2FB349" w14:textId="77777777" w:rsidR="007F1775" w:rsidRDefault="007F1775">
            <w:pPr>
              <w:rPr>
                <w:rFonts w:ascii="宋体"/>
              </w:rPr>
            </w:pPr>
          </w:p>
        </w:tc>
        <w:tc>
          <w:tcPr>
            <w:tcW w:w="5" w:type="pct"/>
            <w:shd w:val="clear" w:color="auto" w:fill="auto"/>
            <w:vAlign w:val="bottom"/>
          </w:tcPr>
          <w:p w14:paraId="0B2FB34A" w14:textId="77777777" w:rsidR="007F1775" w:rsidRDefault="007F1775">
            <w:pPr>
              <w:rPr>
                <w:rFonts w:ascii="宋体"/>
              </w:rPr>
            </w:pPr>
          </w:p>
        </w:tc>
        <w:tc>
          <w:tcPr>
            <w:tcW w:w="5" w:type="pct"/>
            <w:shd w:val="clear" w:color="auto" w:fill="auto"/>
            <w:vAlign w:val="bottom"/>
          </w:tcPr>
          <w:p w14:paraId="0B2FB34B" w14:textId="77777777" w:rsidR="007F1775" w:rsidRDefault="007F1775">
            <w:pPr>
              <w:rPr>
                <w:rFonts w:ascii="宋体"/>
              </w:rPr>
            </w:pPr>
          </w:p>
        </w:tc>
        <w:tc>
          <w:tcPr>
            <w:tcW w:w="27" w:type="pct"/>
            <w:shd w:val="clear" w:color="auto" w:fill="auto"/>
            <w:vAlign w:val="bottom"/>
          </w:tcPr>
          <w:p w14:paraId="0B2FB34C" w14:textId="77777777" w:rsidR="007F1775" w:rsidRDefault="007F1775">
            <w:pPr>
              <w:rPr>
                <w:rFonts w:ascii="宋体"/>
              </w:rPr>
            </w:pPr>
          </w:p>
        </w:tc>
        <w:tc>
          <w:tcPr>
            <w:tcW w:w="5" w:type="pct"/>
            <w:shd w:val="clear" w:color="auto" w:fill="auto"/>
            <w:vAlign w:val="bottom"/>
          </w:tcPr>
          <w:p w14:paraId="0B2FB34D" w14:textId="77777777" w:rsidR="007F1775" w:rsidRDefault="007F1775">
            <w:pPr>
              <w:rPr>
                <w:rFonts w:ascii="宋体"/>
              </w:rPr>
            </w:pPr>
          </w:p>
        </w:tc>
        <w:tc>
          <w:tcPr>
            <w:tcW w:w="50" w:type="pct"/>
            <w:shd w:val="clear" w:color="auto" w:fill="auto"/>
            <w:vAlign w:val="bottom"/>
          </w:tcPr>
          <w:p w14:paraId="0B2FB34E" w14:textId="77777777" w:rsidR="007F1775" w:rsidRDefault="007F1775">
            <w:pPr>
              <w:rPr>
                <w:rFonts w:ascii="宋体"/>
              </w:rPr>
            </w:pPr>
          </w:p>
        </w:tc>
        <w:tc>
          <w:tcPr>
            <w:tcW w:w="741" w:type="pct"/>
            <w:shd w:val="clear" w:color="auto" w:fill="auto"/>
            <w:vAlign w:val="bottom"/>
          </w:tcPr>
          <w:p w14:paraId="0B2FB34F" w14:textId="77777777" w:rsidR="007F1775" w:rsidRDefault="007F1775">
            <w:pPr>
              <w:rPr>
                <w:rFonts w:ascii="宋体"/>
              </w:rPr>
            </w:pPr>
          </w:p>
        </w:tc>
        <w:tc>
          <w:tcPr>
            <w:tcW w:w="5" w:type="pct"/>
            <w:shd w:val="clear" w:color="auto" w:fill="auto"/>
            <w:vAlign w:val="bottom"/>
          </w:tcPr>
          <w:p w14:paraId="0B2FB350" w14:textId="77777777" w:rsidR="007F1775" w:rsidRDefault="007F1775">
            <w:pPr>
              <w:rPr>
                <w:rFonts w:ascii="宋体"/>
              </w:rPr>
            </w:pPr>
          </w:p>
        </w:tc>
        <w:tc>
          <w:tcPr>
            <w:tcW w:w="0" w:type="auto"/>
            <w:shd w:val="clear" w:color="auto" w:fill="auto"/>
            <w:vAlign w:val="bottom"/>
          </w:tcPr>
          <w:p w14:paraId="0B2FB351" w14:textId="77777777" w:rsidR="007F1775" w:rsidRDefault="007F1775">
            <w:pPr>
              <w:rPr>
                <w:rFonts w:ascii="宋体"/>
                <w:vanish/>
              </w:rPr>
            </w:pPr>
          </w:p>
        </w:tc>
        <w:tc>
          <w:tcPr>
            <w:tcW w:w="0" w:type="auto"/>
            <w:shd w:val="clear" w:color="auto" w:fill="auto"/>
            <w:vAlign w:val="bottom"/>
          </w:tcPr>
          <w:p w14:paraId="0B2FB352" w14:textId="77777777" w:rsidR="007F1775" w:rsidRDefault="007F1775">
            <w:pPr>
              <w:rPr>
                <w:rFonts w:ascii="宋体"/>
                <w:vanish/>
              </w:rPr>
            </w:pPr>
          </w:p>
        </w:tc>
        <w:tc>
          <w:tcPr>
            <w:tcW w:w="0" w:type="auto"/>
            <w:gridSpan w:val="3"/>
            <w:shd w:val="clear" w:color="auto" w:fill="auto"/>
            <w:vAlign w:val="bottom"/>
          </w:tcPr>
          <w:p w14:paraId="0B2FB353" w14:textId="77777777" w:rsidR="007F1775" w:rsidRDefault="007F1775">
            <w:pPr>
              <w:rPr>
                <w:rFonts w:ascii="宋体"/>
                <w:vanish/>
              </w:rPr>
            </w:pPr>
          </w:p>
        </w:tc>
        <w:tc>
          <w:tcPr>
            <w:tcW w:w="0" w:type="auto"/>
            <w:gridSpan w:val="3"/>
            <w:shd w:val="clear" w:color="auto" w:fill="auto"/>
            <w:vAlign w:val="bottom"/>
          </w:tcPr>
          <w:p w14:paraId="0B2FB354" w14:textId="77777777" w:rsidR="007F1775" w:rsidRDefault="007F1775">
            <w:pPr>
              <w:rPr>
                <w:rFonts w:ascii="宋体"/>
                <w:vanish/>
              </w:rPr>
            </w:pPr>
          </w:p>
        </w:tc>
      </w:tr>
      <w:tr w:rsidR="007F1775" w14:paraId="0B2FB360" w14:textId="77777777">
        <w:tc>
          <w:tcPr>
            <w:tcW w:w="0" w:type="auto"/>
            <w:gridSpan w:val="3"/>
            <w:shd w:val="clear" w:color="auto" w:fill="auto"/>
            <w:tcMar>
              <w:top w:w="0" w:type="dxa"/>
              <w:left w:w="20" w:type="dxa"/>
              <w:bottom w:w="0" w:type="dxa"/>
              <w:right w:w="20" w:type="dxa"/>
            </w:tcMar>
            <w:vAlign w:val="bottom"/>
          </w:tcPr>
          <w:p w14:paraId="0B2FB356" w14:textId="77777777" w:rsidR="007F1775" w:rsidRDefault="007F1775">
            <w:pPr>
              <w:rPr>
                <w:rFonts w:ascii="宋体"/>
              </w:rPr>
            </w:pPr>
          </w:p>
        </w:tc>
        <w:tc>
          <w:tcPr>
            <w:tcW w:w="0" w:type="auto"/>
            <w:gridSpan w:val="9"/>
            <w:shd w:val="clear" w:color="auto" w:fill="auto"/>
            <w:tcMar>
              <w:top w:w="40" w:type="dxa"/>
              <w:left w:w="20" w:type="dxa"/>
              <w:bottom w:w="40" w:type="dxa"/>
              <w:right w:w="20" w:type="dxa"/>
            </w:tcMar>
            <w:vAlign w:val="bottom"/>
          </w:tcPr>
          <w:p w14:paraId="0B2FB357"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B358" w14:textId="77777777" w:rsidR="007F1775" w:rsidRDefault="007F1775">
            <w:pPr>
              <w:rPr>
                <w:rFonts w:ascii="宋体"/>
                <w:vanish/>
              </w:rPr>
            </w:pPr>
          </w:p>
        </w:tc>
        <w:tc>
          <w:tcPr>
            <w:tcW w:w="0" w:type="auto"/>
            <w:shd w:val="clear" w:color="auto" w:fill="auto"/>
            <w:vAlign w:val="bottom"/>
          </w:tcPr>
          <w:p w14:paraId="0B2FB359" w14:textId="77777777" w:rsidR="007F1775" w:rsidRDefault="007F1775">
            <w:pPr>
              <w:rPr>
                <w:rFonts w:ascii="宋体"/>
                <w:vanish/>
              </w:rPr>
            </w:pPr>
          </w:p>
        </w:tc>
        <w:tc>
          <w:tcPr>
            <w:tcW w:w="0" w:type="auto"/>
            <w:shd w:val="clear" w:color="auto" w:fill="auto"/>
            <w:vAlign w:val="bottom"/>
          </w:tcPr>
          <w:p w14:paraId="0B2FB35A" w14:textId="77777777" w:rsidR="007F1775" w:rsidRDefault="007F1775">
            <w:pPr>
              <w:rPr>
                <w:rFonts w:ascii="宋体"/>
              </w:rPr>
            </w:pPr>
          </w:p>
        </w:tc>
        <w:tc>
          <w:tcPr>
            <w:tcW w:w="0" w:type="auto"/>
            <w:shd w:val="clear" w:color="auto" w:fill="auto"/>
            <w:vAlign w:val="bottom"/>
          </w:tcPr>
          <w:p w14:paraId="0B2FB35B" w14:textId="77777777" w:rsidR="007F1775" w:rsidRDefault="007F1775">
            <w:pPr>
              <w:rPr>
                <w:rFonts w:ascii="宋体"/>
              </w:rPr>
            </w:pPr>
          </w:p>
        </w:tc>
        <w:tc>
          <w:tcPr>
            <w:tcW w:w="0" w:type="auto"/>
            <w:shd w:val="clear" w:color="auto" w:fill="auto"/>
            <w:vAlign w:val="bottom"/>
          </w:tcPr>
          <w:p w14:paraId="0B2FB35C" w14:textId="77777777" w:rsidR="007F1775" w:rsidRDefault="007F1775">
            <w:pPr>
              <w:rPr>
                <w:rFonts w:ascii="宋体"/>
              </w:rPr>
            </w:pPr>
          </w:p>
        </w:tc>
        <w:tc>
          <w:tcPr>
            <w:tcW w:w="0" w:type="auto"/>
            <w:shd w:val="clear" w:color="auto" w:fill="auto"/>
            <w:vAlign w:val="bottom"/>
          </w:tcPr>
          <w:p w14:paraId="0B2FB35D" w14:textId="77777777" w:rsidR="007F1775" w:rsidRDefault="007F1775">
            <w:pPr>
              <w:rPr>
                <w:rFonts w:ascii="宋体"/>
              </w:rPr>
            </w:pPr>
          </w:p>
        </w:tc>
        <w:tc>
          <w:tcPr>
            <w:tcW w:w="0" w:type="auto"/>
            <w:shd w:val="clear" w:color="auto" w:fill="auto"/>
            <w:vAlign w:val="bottom"/>
          </w:tcPr>
          <w:p w14:paraId="0B2FB35E" w14:textId="77777777" w:rsidR="007F1775" w:rsidRDefault="007F1775">
            <w:pPr>
              <w:rPr>
                <w:rFonts w:ascii="宋体"/>
              </w:rPr>
            </w:pPr>
          </w:p>
        </w:tc>
        <w:tc>
          <w:tcPr>
            <w:tcW w:w="0" w:type="auto"/>
            <w:shd w:val="clear" w:color="auto" w:fill="auto"/>
            <w:vAlign w:val="bottom"/>
          </w:tcPr>
          <w:p w14:paraId="0B2FB35F" w14:textId="77777777" w:rsidR="007F1775" w:rsidRDefault="007F1775">
            <w:pPr>
              <w:rPr>
                <w:rFonts w:ascii="宋体"/>
              </w:rPr>
            </w:pPr>
          </w:p>
        </w:tc>
      </w:tr>
      <w:tr w:rsidR="007F1775" w14:paraId="0B2FB369" w14:textId="77777777">
        <w:tc>
          <w:tcPr>
            <w:tcW w:w="0" w:type="auto"/>
            <w:gridSpan w:val="3"/>
            <w:shd w:val="clear" w:color="auto" w:fill="auto"/>
            <w:tcMar>
              <w:top w:w="40" w:type="dxa"/>
              <w:left w:w="20" w:type="dxa"/>
              <w:bottom w:w="40" w:type="dxa"/>
              <w:right w:w="20" w:type="dxa"/>
            </w:tcMar>
            <w:vAlign w:val="bottom"/>
          </w:tcPr>
          <w:p w14:paraId="0B2FB361"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362"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363"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364"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B365" w14:textId="77777777" w:rsidR="007F1775" w:rsidRDefault="007F1775">
            <w:pPr>
              <w:rPr>
                <w:rFonts w:ascii="宋体"/>
                <w:vanish/>
              </w:rPr>
            </w:pPr>
          </w:p>
        </w:tc>
        <w:tc>
          <w:tcPr>
            <w:tcW w:w="0" w:type="auto"/>
            <w:shd w:val="clear" w:color="auto" w:fill="auto"/>
            <w:vAlign w:val="bottom"/>
          </w:tcPr>
          <w:p w14:paraId="0B2FB366" w14:textId="77777777" w:rsidR="007F1775" w:rsidRDefault="007F1775">
            <w:pPr>
              <w:rPr>
                <w:rFonts w:ascii="宋体"/>
                <w:vanish/>
              </w:rPr>
            </w:pPr>
          </w:p>
        </w:tc>
        <w:tc>
          <w:tcPr>
            <w:tcW w:w="0" w:type="auto"/>
            <w:gridSpan w:val="3"/>
            <w:shd w:val="clear" w:color="auto" w:fill="auto"/>
            <w:vAlign w:val="bottom"/>
          </w:tcPr>
          <w:p w14:paraId="0B2FB367" w14:textId="77777777" w:rsidR="007F1775" w:rsidRDefault="007F1775">
            <w:pPr>
              <w:rPr>
                <w:rFonts w:ascii="宋体"/>
                <w:vanish/>
              </w:rPr>
            </w:pPr>
          </w:p>
        </w:tc>
        <w:tc>
          <w:tcPr>
            <w:tcW w:w="0" w:type="auto"/>
            <w:gridSpan w:val="3"/>
            <w:shd w:val="clear" w:color="auto" w:fill="auto"/>
            <w:vAlign w:val="bottom"/>
          </w:tcPr>
          <w:p w14:paraId="0B2FB368" w14:textId="77777777" w:rsidR="007F1775" w:rsidRDefault="007F1775">
            <w:pPr>
              <w:rPr>
                <w:rFonts w:ascii="宋体"/>
                <w:vanish/>
              </w:rPr>
            </w:pPr>
          </w:p>
        </w:tc>
      </w:tr>
      <w:tr w:rsidR="007F1775" w14:paraId="0B2FB376" w14:textId="77777777">
        <w:tc>
          <w:tcPr>
            <w:tcW w:w="0" w:type="auto"/>
            <w:gridSpan w:val="3"/>
            <w:shd w:val="clear" w:color="auto" w:fill="CCEEFF"/>
            <w:tcMar>
              <w:top w:w="40" w:type="dxa"/>
              <w:left w:w="20" w:type="dxa"/>
              <w:bottom w:w="40" w:type="dxa"/>
              <w:right w:w="20" w:type="dxa"/>
            </w:tcMar>
          </w:tcPr>
          <w:p w14:paraId="0B2FB36A" w14:textId="77777777" w:rsidR="007F1775" w:rsidRDefault="000F083E">
            <w:pPr>
              <w:textAlignment w:val="top"/>
            </w:pPr>
            <w:r>
              <w:rPr>
                <w:rFonts w:ascii="Times New Roman" w:eastAsia="宋体" w:hAnsi="Times New Roman"/>
                <w:color w:val="000000"/>
                <w:sz w:val="20"/>
                <w:szCs w:val="20"/>
              </w:rPr>
              <w:t>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B36B"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B36C" w14:textId="77777777" w:rsidR="007F1775" w:rsidRDefault="000F083E">
            <w:pPr>
              <w:jc w:val="right"/>
              <w:textAlignment w:val="bottom"/>
            </w:pPr>
            <w:r>
              <w:rPr>
                <w:rFonts w:ascii="Times New Roman" w:eastAsia="宋体" w:hAnsi="Times New Roman"/>
                <w:color w:val="000000"/>
                <w:sz w:val="20"/>
                <w:szCs w:val="20"/>
              </w:rPr>
              <w:t>27,908 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36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36E"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B36F"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B370" w14:textId="77777777" w:rsidR="007F1775" w:rsidRDefault="000F083E">
            <w:pPr>
              <w:jc w:val="right"/>
              <w:textAlignment w:val="bottom"/>
            </w:pPr>
            <w:r>
              <w:rPr>
                <w:rFonts w:ascii="Times New Roman" w:eastAsia="宋体" w:hAnsi="Times New Roman"/>
                <w:color w:val="000000"/>
                <w:sz w:val="20"/>
                <w:szCs w:val="20"/>
              </w:rPr>
              <w:t>26,171 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371" w14:textId="77777777" w:rsidR="007F1775" w:rsidRDefault="007F1775">
            <w:pPr>
              <w:jc w:val="right"/>
              <w:rPr>
                <w:rFonts w:ascii="宋体"/>
              </w:rPr>
            </w:pPr>
          </w:p>
        </w:tc>
        <w:tc>
          <w:tcPr>
            <w:tcW w:w="0" w:type="auto"/>
            <w:shd w:val="clear" w:color="auto" w:fill="auto"/>
            <w:vAlign w:val="bottom"/>
          </w:tcPr>
          <w:p w14:paraId="0B2FB372" w14:textId="77777777" w:rsidR="007F1775" w:rsidRDefault="007F1775">
            <w:pPr>
              <w:rPr>
                <w:rFonts w:ascii="宋体"/>
                <w:vanish/>
              </w:rPr>
            </w:pPr>
          </w:p>
        </w:tc>
        <w:tc>
          <w:tcPr>
            <w:tcW w:w="0" w:type="auto"/>
            <w:shd w:val="clear" w:color="auto" w:fill="auto"/>
            <w:vAlign w:val="bottom"/>
          </w:tcPr>
          <w:p w14:paraId="0B2FB373" w14:textId="77777777" w:rsidR="007F1775" w:rsidRDefault="007F1775">
            <w:pPr>
              <w:rPr>
                <w:rFonts w:ascii="宋体"/>
                <w:vanish/>
              </w:rPr>
            </w:pPr>
          </w:p>
        </w:tc>
        <w:tc>
          <w:tcPr>
            <w:tcW w:w="0" w:type="auto"/>
            <w:gridSpan w:val="3"/>
            <w:shd w:val="clear" w:color="auto" w:fill="auto"/>
            <w:vAlign w:val="bottom"/>
          </w:tcPr>
          <w:p w14:paraId="0B2FB374" w14:textId="77777777" w:rsidR="007F1775" w:rsidRDefault="007F1775">
            <w:pPr>
              <w:rPr>
                <w:rFonts w:ascii="宋体"/>
                <w:vanish/>
              </w:rPr>
            </w:pPr>
          </w:p>
        </w:tc>
        <w:tc>
          <w:tcPr>
            <w:tcW w:w="0" w:type="auto"/>
            <w:gridSpan w:val="3"/>
            <w:shd w:val="clear" w:color="auto" w:fill="auto"/>
            <w:vAlign w:val="bottom"/>
          </w:tcPr>
          <w:p w14:paraId="0B2FB375" w14:textId="77777777" w:rsidR="007F1775" w:rsidRDefault="007F1775">
            <w:pPr>
              <w:rPr>
                <w:rFonts w:ascii="宋体"/>
                <w:vanish/>
              </w:rPr>
            </w:pPr>
          </w:p>
        </w:tc>
      </w:tr>
      <w:tr w:rsidR="007F1775" w14:paraId="0B2FB37F" w14:textId="77777777">
        <w:tc>
          <w:tcPr>
            <w:tcW w:w="0" w:type="auto"/>
            <w:gridSpan w:val="3"/>
            <w:shd w:val="clear" w:color="auto" w:fill="FFFFFF"/>
            <w:tcMar>
              <w:top w:w="40" w:type="dxa"/>
              <w:left w:w="20" w:type="dxa"/>
              <w:bottom w:w="40" w:type="dxa"/>
              <w:right w:w="20" w:type="dxa"/>
            </w:tcMar>
          </w:tcPr>
          <w:p w14:paraId="0B2FB377" w14:textId="77777777" w:rsidR="007F1775" w:rsidRDefault="000F083E">
            <w:pPr>
              <w:textAlignment w:val="top"/>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0B2FB378"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379"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37A" w14:textId="77777777" w:rsidR="007F1775" w:rsidRDefault="007F1775">
            <w:pPr>
              <w:rPr>
                <w:rFonts w:ascii="宋体"/>
              </w:rPr>
            </w:pPr>
          </w:p>
        </w:tc>
        <w:tc>
          <w:tcPr>
            <w:tcW w:w="0" w:type="auto"/>
            <w:shd w:val="clear" w:color="auto" w:fill="auto"/>
            <w:vAlign w:val="bottom"/>
          </w:tcPr>
          <w:p w14:paraId="0B2FB37B" w14:textId="77777777" w:rsidR="007F1775" w:rsidRDefault="007F1775">
            <w:pPr>
              <w:rPr>
                <w:rFonts w:ascii="宋体"/>
                <w:vanish/>
              </w:rPr>
            </w:pPr>
          </w:p>
        </w:tc>
        <w:tc>
          <w:tcPr>
            <w:tcW w:w="0" w:type="auto"/>
            <w:shd w:val="clear" w:color="auto" w:fill="auto"/>
            <w:vAlign w:val="bottom"/>
          </w:tcPr>
          <w:p w14:paraId="0B2FB37C" w14:textId="77777777" w:rsidR="007F1775" w:rsidRDefault="007F1775">
            <w:pPr>
              <w:rPr>
                <w:rFonts w:ascii="宋体"/>
                <w:vanish/>
              </w:rPr>
            </w:pPr>
          </w:p>
        </w:tc>
        <w:tc>
          <w:tcPr>
            <w:tcW w:w="0" w:type="auto"/>
            <w:gridSpan w:val="3"/>
            <w:shd w:val="clear" w:color="auto" w:fill="auto"/>
            <w:vAlign w:val="bottom"/>
          </w:tcPr>
          <w:p w14:paraId="0B2FB37D" w14:textId="77777777" w:rsidR="007F1775" w:rsidRDefault="007F1775">
            <w:pPr>
              <w:rPr>
                <w:rFonts w:ascii="宋体"/>
                <w:vanish/>
              </w:rPr>
            </w:pPr>
          </w:p>
        </w:tc>
        <w:tc>
          <w:tcPr>
            <w:tcW w:w="0" w:type="auto"/>
            <w:gridSpan w:val="3"/>
            <w:shd w:val="clear" w:color="auto" w:fill="auto"/>
            <w:vAlign w:val="bottom"/>
          </w:tcPr>
          <w:p w14:paraId="0B2FB37E" w14:textId="77777777" w:rsidR="007F1775" w:rsidRDefault="007F1775">
            <w:pPr>
              <w:rPr>
                <w:rFonts w:ascii="宋体"/>
                <w:vanish/>
              </w:rPr>
            </w:pPr>
          </w:p>
        </w:tc>
      </w:tr>
      <w:tr w:rsidR="007F1775" w14:paraId="0B2FB38A" w14:textId="77777777">
        <w:tc>
          <w:tcPr>
            <w:tcW w:w="0" w:type="auto"/>
            <w:gridSpan w:val="3"/>
            <w:shd w:val="clear" w:color="auto" w:fill="CCEEFF"/>
            <w:tcMar>
              <w:top w:w="40" w:type="dxa"/>
              <w:left w:w="200" w:type="dxa"/>
              <w:bottom w:w="40" w:type="dxa"/>
              <w:right w:w="20" w:type="dxa"/>
            </w:tcMar>
          </w:tcPr>
          <w:p w14:paraId="0B2FB380" w14:textId="77777777" w:rsidR="007F1775" w:rsidRDefault="000F083E">
            <w:pPr>
              <w:textAlignment w:val="top"/>
            </w:pPr>
            <w:r>
              <w:rPr>
                <w:rFonts w:ascii="Times New Roman" w:eastAsia="宋体" w:hAnsi="Times New Roman"/>
                <w:color w:val="000000"/>
                <w:sz w:val="20"/>
                <w:szCs w:val="20"/>
              </w:rPr>
              <w:t>Cost of revenue</w:t>
            </w:r>
          </w:p>
        </w:tc>
        <w:tc>
          <w:tcPr>
            <w:tcW w:w="0" w:type="auto"/>
            <w:gridSpan w:val="2"/>
            <w:shd w:val="clear" w:color="auto" w:fill="CCEEFF"/>
            <w:tcMar>
              <w:top w:w="40" w:type="dxa"/>
              <w:left w:w="20" w:type="dxa"/>
              <w:bottom w:w="40" w:type="dxa"/>
              <w:right w:w="0" w:type="dxa"/>
            </w:tcMar>
            <w:vAlign w:val="bottom"/>
          </w:tcPr>
          <w:p w14:paraId="0B2FB381" w14:textId="77777777" w:rsidR="007F1775" w:rsidRDefault="000F083E">
            <w:pPr>
              <w:jc w:val="right"/>
              <w:textAlignment w:val="bottom"/>
            </w:pPr>
            <w:r>
              <w:rPr>
                <w:rFonts w:ascii="Times New Roman" w:eastAsia="宋体" w:hAnsi="Times New Roman"/>
                <w:color w:val="000000"/>
                <w:sz w:val="20"/>
                <w:szCs w:val="20"/>
              </w:rPr>
              <w:t>6,005 </w:t>
            </w:r>
          </w:p>
        </w:tc>
        <w:tc>
          <w:tcPr>
            <w:tcW w:w="0" w:type="auto"/>
            <w:shd w:val="clear" w:color="auto" w:fill="CCEEFF"/>
            <w:tcMar>
              <w:top w:w="40" w:type="dxa"/>
              <w:left w:w="0" w:type="dxa"/>
              <w:bottom w:w="40" w:type="dxa"/>
              <w:right w:w="20" w:type="dxa"/>
            </w:tcMar>
            <w:vAlign w:val="bottom"/>
          </w:tcPr>
          <w:p w14:paraId="0B2FB38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383"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384" w14:textId="77777777" w:rsidR="007F1775" w:rsidRDefault="000F083E">
            <w:pPr>
              <w:jc w:val="right"/>
              <w:textAlignment w:val="bottom"/>
            </w:pPr>
            <w:r>
              <w:rPr>
                <w:rFonts w:ascii="Times New Roman" w:eastAsia="宋体" w:hAnsi="Times New Roman"/>
                <w:color w:val="000000"/>
                <w:sz w:val="20"/>
                <w:szCs w:val="20"/>
              </w:rPr>
              <w:t>5,131 </w:t>
            </w:r>
          </w:p>
        </w:tc>
        <w:tc>
          <w:tcPr>
            <w:tcW w:w="0" w:type="auto"/>
            <w:shd w:val="clear" w:color="auto" w:fill="CCEEFF"/>
            <w:tcMar>
              <w:top w:w="40" w:type="dxa"/>
              <w:left w:w="0" w:type="dxa"/>
              <w:bottom w:w="40" w:type="dxa"/>
              <w:right w:w="20" w:type="dxa"/>
            </w:tcMar>
            <w:vAlign w:val="bottom"/>
          </w:tcPr>
          <w:p w14:paraId="0B2FB385" w14:textId="77777777" w:rsidR="007F1775" w:rsidRDefault="007F1775">
            <w:pPr>
              <w:jc w:val="right"/>
              <w:rPr>
                <w:rFonts w:ascii="宋体"/>
              </w:rPr>
            </w:pPr>
          </w:p>
        </w:tc>
        <w:tc>
          <w:tcPr>
            <w:tcW w:w="0" w:type="auto"/>
            <w:shd w:val="clear" w:color="auto" w:fill="auto"/>
            <w:vAlign w:val="bottom"/>
          </w:tcPr>
          <w:p w14:paraId="0B2FB386" w14:textId="77777777" w:rsidR="007F1775" w:rsidRDefault="007F1775">
            <w:pPr>
              <w:rPr>
                <w:rFonts w:ascii="宋体"/>
                <w:vanish/>
              </w:rPr>
            </w:pPr>
          </w:p>
        </w:tc>
        <w:tc>
          <w:tcPr>
            <w:tcW w:w="0" w:type="auto"/>
            <w:shd w:val="clear" w:color="auto" w:fill="auto"/>
            <w:vAlign w:val="bottom"/>
          </w:tcPr>
          <w:p w14:paraId="0B2FB387" w14:textId="77777777" w:rsidR="007F1775" w:rsidRDefault="007F1775">
            <w:pPr>
              <w:rPr>
                <w:rFonts w:ascii="宋体"/>
                <w:vanish/>
              </w:rPr>
            </w:pPr>
          </w:p>
        </w:tc>
        <w:tc>
          <w:tcPr>
            <w:tcW w:w="0" w:type="auto"/>
            <w:gridSpan w:val="3"/>
            <w:shd w:val="clear" w:color="auto" w:fill="auto"/>
            <w:vAlign w:val="bottom"/>
          </w:tcPr>
          <w:p w14:paraId="0B2FB388" w14:textId="77777777" w:rsidR="007F1775" w:rsidRDefault="007F1775">
            <w:pPr>
              <w:rPr>
                <w:rFonts w:ascii="宋体"/>
                <w:vanish/>
              </w:rPr>
            </w:pPr>
          </w:p>
        </w:tc>
        <w:tc>
          <w:tcPr>
            <w:tcW w:w="0" w:type="auto"/>
            <w:gridSpan w:val="3"/>
            <w:shd w:val="clear" w:color="auto" w:fill="auto"/>
            <w:vAlign w:val="bottom"/>
          </w:tcPr>
          <w:p w14:paraId="0B2FB389" w14:textId="77777777" w:rsidR="007F1775" w:rsidRDefault="007F1775">
            <w:pPr>
              <w:rPr>
                <w:rFonts w:ascii="宋体"/>
                <w:vanish/>
              </w:rPr>
            </w:pPr>
          </w:p>
        </w:tc>
      </w:tr>
      <w:tr w:rsidR="007F1775" w14:paraId="0B2FB395" w14:textId="77777777">
        <w:tc>
          <w:tcPr>
            <w:tcW w:w="0" w:type="auto"/>
            <w:gridSpan w:val="3"/>
            <w:shd w:val="clear" w:color="auto" w:fill="FFFFFF"/>
            <w:tcMar>
              <w:top w:w="40" w:type="dxa"/>
              <w:left w:w="200" w:type="dxa"/>
              <w:bottom w:w="40" w:type="dxa"/>
              <w:right w:w="20" w:type="dxa"/>
            </w:tcMar>
          </w:tcPr>
          <w:p w14:paraId="0B2FB38B" w14:textId="77777777" w:rsidR="007F1775" w:rsidRDefault="000F083E">
            <w:pPr>
              <w:textAlignment w:val="top"/>
            </w:pPr>
            <w:r>
              <w:rPr>
                <w:rFonts w:ascii="Times New Roman" w:eastAsia="宋体" w:hAnsi="Times New Roman"/>
                <w:color w:val="000000"/>
                <w:sz w:val="20"/>
                <w:szCs w:val="20"/>
              </w:rPr>
              <w:t xml:space="preserve">Research and </w:t>
            </w:r>
            <w:r>
              <w:rPr>
                <w:rFonts w:ascii="Times New Roman" w:eastAsia="宋体" w:hAnsi="Times New Roman"/>
                <w:color w:val="000000"/>
                <w:sz w:val="20"/>
                <w:szCs w:val="20"/>
              </w:rPr>
              <w:t>development</w:t>
            </w:r>
          </w:p>
        </w:tc>
        <w:tc>
          <w:tcPr>
            <w:tcW w:w="0" w:type="auto"/>
            <w:gridSpan w:val="2"/>
            <w:shd w:val="clear" w:color="auto" w:fill="FFFFFF"/>
            <w:tcMar>
              <w:top w:w="40" w:type="dxa"/>
              <w:left w:w="20" w:type="dxa"/>
              <w:bottom w:w="40" w:type="dxa"/>
              <w:right w:w="0" w:type="dxa"/>
            </w:tcMar>
            <w:vAlign w:val="bottom"/>
          </w:tcPr>
          <w:p w14:paraId="0B2FB38C" w14:textId="77777777" w:rsidR="007F1775" w:rsidRDefault="000F083E">
            <w:pPr>
              <w:jc w:val="right"/>
              <w:textAlignment w:val="bottom"/>
            </w:pPr>
            <w:r>
              <w:rPr>
                <w:rFonts w:ascii="Times New Roman" w:eastAsia="宋体" w:hAnsi="Times New Roman"/>
                <w:color w:val="000000"/>
                <w:sz w:val="20"/>
                <w:szCs w:val="20"/>
              </w:rPr>
              <w:t>7,707 </w:t>
            </w:r>
          </w:p>
        </w:tc>
        <w:tc>
          <w:tcPr>
            <w:tcW w:w="0" w:type="auto"/>
            <w:shd w:val="clear" w:color="auto" w:fill="FFFFFF"/>
            <w:tcMar>
              <w:top w:w="40" w:type="dxa"/>
              <w:left w:w="0" w:type="dxa"/>
              <w:bottom w:w="40" w:type="dxa"/>
              <w:right w:w="20" w:type="dxa"/>
            </w:tcMar>
            <w:vAlign w:val="bottom"/>
          </w:tcPr>
          <w:p w14:paraId="0B2FB38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38E"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38F" w14:textId="77777777" w:rsidR="007F1775" w:rsidRDefault="000F083E">
            <w:pPr>
              <w:jc w:val="right"/>
              <w:textAlignment w:val="bottom"/>
            </w:pPr>
            <w:r>
              <w:rPr>
                <w:rFonts w:ascii="Times New Roman" w:eastAsia="宋体" w:hAnsi="Times New Roman"/>
                <w:color w:val="000000"/>
                <w:sz w:val="20"/>
                <w:szCs w:val="20"/>
              </w:rPr>
              <w:t>5,197 </w:t>
            </w:r>
          </w:p>
        </w:tc>
        <w:tc>
          <w:tcPr>
            <w:tcW w:w="0" w:type="auto"/>
            <w:shd w:val="clear" w:color="auto" w:fill="FFFFFF"/>
            <w:tcMar>
              <w:top w:w="40" w:type="dxa"/>
              <w:left w:w="0" w:type="dxa"/>
              <w:bottom w:w="40" w:type="dxa"/>
              <w:right w:w="20" w:type="dxa"/>
            </w:tcMar>
            <w:vAlign w:val="bottom"/>
          </w:tcPr>
          <w:p w14:paraId="0B2FB390" w14:textId="77777777" w:rsidR="007F1775" w:rsidRDefault="007F1775">
            <w:pPr>
              <w:jc w:val="right"/>
              <w:rPr>
                <w:rFonts w:ascii="宋体"/>
              </w:rPr>
            </w:pPr>
          </w:p>
        </w:tc>
        <w:tc>
          <w:tcPr>
            <w:tcW w:w="0" w:type="auto"/>
            <w:shd w:val="clear" w:color="auto" w:fill="auto"/>
            <w:vAlign w:val="bottom"/>
          </w:tcPr>
          <w:p w14:paraId="0B2FB391" w14:textId="77777777" w:rsidR="007F1775" w:rsidRDefault="007F1775">
            <w:pPr>
              <w:rPr>
                <w:rFonts w:ascii="宋体"/>
                <w:vanish/>
              </w:rPr>
            </w:pPr>
          </w:p>
        </w:tc>
        <w:tc>
          <w:tcPr>
            <w:tcW w:w="0" w:type="auto"/>
            <w:shd w:val="clear" w:color="auto" w:fill="auto"/>
            <w:vAlign w:val="bottom"/>
          </w:tcPr>
          <w:p w14:paraId="0B2FB392" w14:textId="77777777" w:rsidR="007F1775" w:rsidRDefault="007F1775">
            <w:pPr>
              <w:rPr>
                <w:rFonts w:ascii="宋体"/>
                <w:vanish/>
              </w:rPr>
            </w:pPr>
          </w:p>
        </w:tc>
        <w:tc>
          <w:tcPr>
            <w:tcW w:w="0" w:type="auto"/>
            <w:gridSpan w:val="3"/>
            <w:shd w:val="clear" w:color="auto" w:fill="auto"/>
            <w:vAlign w:val="bottom"/>
          </w:tcPr>
          <w:p w14:paraId="0B2FB393" w14:textId="77777777" w:rsidR="007F1775" w:rsidRDefault="007F1775">
            <w:pPr>
              <w:rPr>
                <w:rFonts w:ascii="宋体"/>
                <w:vanish/>
              </w:rPr>
            </w:pPr>
          </w:p>
        </w:tc>
        <w:tc>
          <w:tcPr>
            <w:tcW w:w="0" w:type="auto"/>
            <w:gridSpan w:val="3"/>
            <w:shd w:val="clear" w:color="auto" w:fill="auto"/>
            <w:vAlign w:val="bottom"/>
          </w:tcPr>
          <w:p w14:paraId="0B2FB394" w14:textId="77777777" w:rsidR="007F1775" w:rsidRDefault="007F1775">
            <w:pPr>
              <w:rPr>
                <w:rFonts w:ascii="宋体"/>
                <w:vanish/>
              </w:rPr>
            </w:pPr>
          </w:p>
        </w:tc>
      </w:tr>
      <w:tr w:rsidR="007F1775" w14:paraId="0B2FB3A0" w14:textId="77777777">
        <w:tc>
          <w:tcPr>
            <w:tcW w:w="0" w:type="auto"/>
            <w:gridSpan w:val="3"/>
            <w:shd w:val="clear" w:color="auto" w:fill="CCEEFF"/>
            <w:tcMar>
              <w:top w:w="40" w:type="dxa"/>
              <w:left w:w="200" w:type="dxa"/>
              <w:bottom w:w="40" w:type="dxa"/>
              <w:right w:w="20" w:type="dxa"/>
            </w:tcMar>
          </w:tcPr>
          <w:p w14:paraId="0B2FB396" w14:textId="77777777" w:rsidR="007F1775" w:rsidRDefault="000F083E">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0B2FB397" w14:textId="77777777" w:rsidR="007F1775" w:rsidRDefault="000F083E">
            <w:pPr>
              <w:jc w:val="right"/>
              <w:textAlignment w:val="bottom"/>
            </w:pPr>
            <w:r>
              <w:rPr>
                <w:rFonts w:ascii="Times New Roman" w:eastAsia="宋体" w:hAnsi="Times New Roman"/>
                <w:color w:val="000000"/>
                <w:sz w:val="20"/>
                <w:szCs w:val="20"/>
              </w:rPr>
              <w:t>3,312 </w:t>
            </w:r>
          </w:p>
        </w:tc>
        <w:tc>
          <w:tcPr>
            <w:tcW w:w="0" w:type="auto"/>
            <w:shd w:val="clear" w:color="auto" w:fill="CCEEFF"/>
            <w:tcMar>
              <w:top w:w="40" w:type="dxa"/>
              <w:left w:w="0" w:type="dxa"/>
              <w:bottom w:w="40" w:type="dxa"/>
              <w:right w:w="20" w:type="dxa"/>
            </w:tcMar>
            <w:vAlign w:val="bottom"/>
          </w:tcPr>
          <w:p w14:paraId="0B2FB39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399"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39A" w14:textId="77777777" w:rsidR="007F1775" w:rsidRDefault="000F083E">
            <w:pPr>
              <w:jc w:val="right"/>
              <w:textAlignment w:val="bottom"/>
            </w:pPr>
            <w:r>
              <w:rPr>
                <w:rFonts w:ascii="Times New Roman" w:eastAsia="宋体" w:hAnsi="Times New Roman"/>
                <w:color w:val="000000"/>
                <w:sz w:val="20"/>
                <w:szCs w:val="20"/>
              </w:rPr>
              <w:t>2,843 </w:t>
            </w:r>
          </w:p>
        </w:tc>
        <w:tc>
          <w:tcPr>
            <w:tcW w:w="0" w:type="auto"/>
            <w:shd w:val="clear" w:color="auto" w:fill="CCEEFF"/>
            <w:tcMar>
              <w:top w:w="40" w:type="dxa"/>
              <w:left w:w="0" w:type="dxa"/>
              <w:bottom w:w="40" w:type="dxa"/>
              <w:right w:w="20" w:type="dxa"/>
            </w:tcMar>
            <w:vAlign w:val="bottom"/>
          </w:tcPr>
          <w:p w14:paraId="0B2FB39B" w14:textId="77777777" w:rsidR="007F1775" w:rsidRDefault="007F1775">
            <w:pPr>
              <w:jc w:val="right"/>
              <w:rPr>
                <w:rFonts w:ascii="宋体"/>
              </w:rPr>
            </w:pPr>
          </w:p>
        </w:tc>
        <w:tc>
          <w:tcPr>
            <w:tcW w:w="0" w:type="auto"/>
            <w:shd w:val="clear" w:color="auto" w:fill="auto"/>
            <w:vAlign w:val="bottom"/>
          </w:tcPr>
          <w:p w14:paraId="0B2FB39C" w14:textId="77777777" w:rsidR="007F1775" w:rsidRDefault="007F1775">
            <w:pPr>
              <w:rPr>
                <w:rFonts w:ascii="宋体"/>
                <w:vanish/>
              </w:rPr>
            </w:pPr>
          </w:p>
        </w:tc>
        <w:tc>
          <w:tcPr>
            <w:tcW w:w="0" w:type="auto"/>
            <w:shd w:val="clear" w:color="auto" w:fill="auto"/>
            <w:vAlign w:val="bottom"/>
          </w:tcPr>
          <w:p w14:paraId="0B2FB39D" w14:textId="77777777" w:rsidR="007F1775" w:rsidRDefault="007F1775">
            <w:pPr>
              <w:rPr>
                <w:rFonts w:ascii="宋体"/>
                <w:vanish/>
              </w:rPr>
            </w:pPr>
          </w:p>
        </w:tc>
        <w:tc>
          <w:tcPr>
            <w:tcW w:w="0" w:type="auto"/>
            <w:gridSpan w:val="3"/>
            <w:shd w:val="clear" w:color="auto" w:fill="auto"/>
            <w:vAlign w:val="bottom"/>
          </w:tcPr>
          <w:p w14:paraId="0B2FB39E" w14:textId="77777777" w:rsidR="007F1775" w:rsidRDefault="007F1775">
            <w:pPr>
              <w:rPr>
                <w:rFonts w:ascii="宋体"/>
                <w:vanish/>
              </w:rPr>
            </w:pPr>
          </w:p>
        </w:tc>
        <w:tc>
          <w:tcPr>
            <w:tcW w:w="0" w:type="auto"/>
            <w:gridSpan w:val="3"/>
            <w:shd w:val="clear" w:color="auto" w:fill="auto"/>
            <w:vAlign w:val="bottom"/>
          </w:tcPr>
          <w:p w14:paraId="0B2FB39F" w14:textId="77777777" w:rsidR="007F1775" w:rsidRDefault="007F1775">
            <w:pPr>
              <w:rPr>
                <w:rFonts w:ascii="宋体"/>
                <w:vanish/>
              </w:rPr>
            </w:pPr>
          </w:p>
        </w:tc>
      </w:tr>
      <w:tr w:rsidR="007F1775" w14:paraId="0B2FB3AB" w14:textId="77777777">
        <w:tc>
          <w:tcPr>
            <w:tcW w:w="0" w:type="auto"/>
            <w:gridSpan w:val="3"/>
            <w:shd w:val="clear" w:color="auto" w:fill="FFFFFF"/>
            <w:tcMar>
              <w:top w:w="40" w:type="dxa"/>
              <w:left w:w="200" w:type="dxa"/>
              <w:bottom w:w="40" w:type="dxa"/>
              <w:right w:w="20" w:type="dxa"/>
            </w:tcMar>
          </w:tcPr>
          <w:p w14:paraId="0B2FB3A1" w14:textId="77777777" w:rsidR="007F1775" w:rsidRDefault="000F083E">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B2FB3A2" w14:textId="77777777" w:rsidR="007F1775" w:rsidRDefault="000F083E">
            <w:pPr>
              <w:jc w:val="right"/>
              <w:textAlignment w:val="bottom"/>
            </w:pPr>
            <w:r>
              <w:rPr>
                <w:rFonts w:ascii="Times New Roman" w:eastAsia="宋体" w:hAnsi="Times New Roman"/>
                <w:color w:val="000000"/>
                <w:sz w:val="20"/>
                <w:szCs w:val="20"/>
              </w:rPr>
              <w:t>2,360 </w:t>
            </w:r>
          </w:p>
        </w:tc>
        <w:tc>
          <w:tcPr>
            <w:tcW w:w="0" w:type="auto"/>
            <w:shd w:val="clear" w:color="auto" w:fill="FFFFFF"/>
            <w:tcMar>
              <w:top w:w="40" w:type="dxa"/>
              <w:left w:w="0" w:type="dxa"/>
              <w:bottom w:w="40" w:type="dxa"/>
              <w:right w:w="20" w:type="dxa"/>
            </w:tcMar>
            <w:vAlign w:val="bottom"/>
          </w:tcPr>
          <w:p w14:paraId="0B2FB3A3"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3A4"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3A5" w14:textId="77777777" w:rsidR="007F1775" w:rsidRDefault="000F083E">
            <w:pPr>
              <w:jc w:val="right"/>
              <w:textAlignment w:val="bottom"/>
            </w:pPr>
            <w:r>
              <w:rPr>
                <w:rFonts w:ascii="Times New Roman" w:eastAsia="宋体" w:hAnsi="Times New Roman"/>
                <w:color w:val="000000"/>
                <w:sz w:val="20"/>
                <w:szCs w:val="20"/>
              </w:rPr>
              <w:t>1,622 </w:t>
            </w:r>
          </w:p>
        </w:tc>
        <w:tc>
          <w:tcPr>
            <w:tcW w:w="0" w:type="auto"/>
            <w:shd w:val="clear" w:color="auto" w:fill="FFFFFF"/>
            <w:tcMar>
              <w:top w:w="40" w:type="dxa"/>
              <w:left w:w="0" w:type="dxa"/>
              <w:bottom w:w="40" w:type="dxa"/>
              <w:right w:w="20" w:type="dxa"/>
            </w:tcMar>
            <w:vAlign w:val="bottom"/>
          </w:tcPr>
          <w:p w14:paraId="0B2FB3A6" w14:textId="77777777" w:rsidR="007F1775" w:rsidRDefault="007F1775">
            <w:pPr>
              <w:jc w:val="right"/>
              <w:rPr>
                <w:rFonts w:ascii="宋体"/>
              </w:rPr>
            </w:pPr>
          </w:p>
        </w:tc>
        <w:tc>
          <w:tcPr>
            <w:tcW w:w="0" w:type="auto"/>
            <w:shd w:val="clear" w:color="auto" w:fill="auto"/>
            <w:vAlign w:val="bottom"/>
          </w:tcPr>
          <w:p w14:paraId="0B2FB3A7" w14:textId="77777777" w:rsidR="007F1775" w:rsidRDefault="007F1775">
            <w:pPr>
              <w:rPr>
                <w:rFonts w:ascii="宋体"/>
                <w:vanish/>
              </w:rPr>
            </w:pPr>
          </w:p>
        </w:tc>
        <w:tc>
          <w:tcPr>
            <w:tcW w:w="0" w:type="auto"/>
            <w:shd w:val="clear" w:color="auto" w:fill="auto"/>
            <w:vAlign w:val="bottom"/>
          </w:tcPr>
          <w:p w14:paraId="0B2FB3A8" w14:textId="77777777" w:rsidR="007F1775" w:rsidRDefault="007F1775">
            <w:pPr>
              <w:rPr>
                <w:rFonts w:ascii="宋体"/>
                <w:vanish/>
              </w:rPr>
            </w:pPr>
          </w:p>
        </w:tc>
        <w:tc>
          <w:tcPr>
            <w:tcW w:w="0" w:type="auto"/>
            <w:gridSpan w:val="3"/>
            <w:shd w:val="clear" w:color="auto" w:fill="auto"/>
            <w:vAlign w:val="bottom"/>
          </w:tcPr>
          <w:p w14:paraId="0B2FB3A9" w14:textId="77777777" w:rsidR="007F1775" w:rsidRDefault="007F1775">
            <w:pPr>
              <w:rPr>
                <w:rFonts w:ascii="宋体"/>
                <w:vanish/>
              </w:rPr>
            </w:pPr>
          </w:p>
        </w:tc>
        <w:tc>
          <w:tcPr>
            <w:tcW w:w="0" w:type="auto"/>
            <w:gridSpan w:val="3"/>
            <w:shd w:val="clear" w:color="auto" w:fill="auto"/>
            <w:vAlign w:val="bottom"/>
          </w:tcPr>
          <w:p w14:paraId="0B2FB3AA" w14:textId="77777777" w:rsidR="007F1775" w:rsidRDefault="007F1775">
            <w:pPr>
              <w:rPr>
                <w:rFonts w:ascii="宋体"/>
                <w:vanish/>
              </w:rPr>
            </w:pPr>
          </w:p>
        </w:tc>
      </w:tr>
      <w:tr w:rsidR="007F1775" w14:paraId="0B2FB3B6" w14:textId="77777777">
        <w:tc>
          <w:tcPr>
            <w:tcW w:w="0" w:type="auto"/>
            <w:gridSpan w:val="3"/>
            <w:shd w:val="clear" w:color="auto" w:fill="CCEEFF"/>
            <w:tcMar>
              <w:top w:w="40" w:type="dxa"/>
              <w:left w:w="380" w:type="dxa"/>
              <w:bottom w:w="40" w:type="dxa"/>
              <w:right w:w="20" w:type="dxa"/>
            </w:tcMar>
          </w:tcPr>
          <w:p w14:paraId="0B2FB3AC" w14:textId="77777777" w:rsidR="007F1775" w:rsidRDefault="000F083E">
            <w:pPr>
              <w:textAlignment w:val="top"/>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B3AD" w14:textId="77777777" w:rsidR="007F1775" w:rsidRDefault="000F083E">
            <w:pPr>
              <w:jc w:val="right"/>
              <w:textAlignment w:val="bottom"/>
            </w:pPr>
            <w:r>
              <w:rPr>
                <w:rFonts w:ascii="Times New Roman" w:eastAsia="宋体" w:hAnsi="Times New Roman"/>
                <w:color w:val="000000"/>
                <w:sz w:val="20"/>
                <w:szCs w:val="20"/>
              </w:rPr>
              <w:t>19,384 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3A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3AF"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B3B0" w14:textId="77777777" w:rsidR="007F1775" w:rsidRDefault="000F083E">
            <w:pPr>
              <w:jc w:val="right"/>
              <w:textAlignment w:val="bottom"/>
            </w:pPr>
            <w:r>
              <w:rPr>
                <w:rFonts w:ascii="Times New Roman" w:eastAsia="宋体" w:hAnsi="Times New Roman"/>
                <w:color w:val="000000"/>
                <w:sz w:val="20"/>
                <w:szCs w:val="20"/>
              </w:rPr>
              <w:t>14,793 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3B1" w14:textId="77777777" w:rsidR="007F1775" w:rsidRDefault="007F1775">
            <w:pPr>
              <w:jc w:val="right"/>
              <w:rPr>
                <w:rFonts w:ascii="宋体"/>
              </w:rPr>
            </w:pPr>
          </w:p>
        </w:tc>
        <w:tc>
          <w:tcPr>
            <w:tcW w:w="0" w:type="auto"/>
            <w:shd w:val="clear" w:color="auto" w:fill="auto"/>
            <w:vAlign w:val="bottom"/>
          </w:tcPr>
          <w:p w14:paraId="0B2FB3B2" w14:textId="77777777" w:rsidR="007F1775" w:rsidRDefault="007F1775">
            <w:pPr>
              <w:rPr>
                <w:rFonts w:ascii="宋体"/>
                <w:vanish/>
              </w:rPr>
            </w:pPr>
          </w:p>
        </w:tc>
        <w:tc>
          <w:tcPr>
            <w:tcW w:w="0" w:type="auto"/>
            <w:shd w:val="clear" w:color="auto" w:fill="auto"/>
            <w:vAlign w:val="bottom"/>
          </w:tcPr>
          <w:p w14:paraId="0B2FB3B3" w14:textId="77777777" w:rsidR="007F1775" w:rsidRDefault="007F1775">
            <w:pPr>
              <w:rPr>
                <w:rFonts w:ascii="宋体"/>
                <w:vanish/>
              </w:rPr>
            </w:pPr>
          </w:p>
        </w:tc>
        <w:tc>
          <w:tcPr>
            <w:tcW w:w="0" w:type="auto"/>
            <w:gridSpan w:val="3"/>
            <w:shd w:val="clear" w:color="auto" w:fill="auto"/>
            <w:vAlign w:val="bottom"/>
          </w:tcPr>
          <w:p w14:paraId="0B2FB3B4" w14:textId="77777777" w:rsidR="007F1775" w:rsidRDefault="007F1775">
            <w:pPr>
              <w:rPr>
                <w:rFonts w:ascii="宋体"/>
                <w:vanish/>
              </w:rPr>
            </w:pPr>
          </w:p>
        </w:tc>
        <w:tc>
          <w:tcPr>
            <w:tcW w:w="0" w:type="auto"/>
            <w:gridSpan w:val="3"/>
            <w:shd w:val="clear" w:color="auto" w:fill="auto"/>
            <w:vAlign w:val="bottom"/>
          </w:tcPr>
          <w:p w14:paraId="0B2FB3B5" w14:textId="77777777" w:rsidR="007F1775" w:rsidRDefault="007F1775">
            <w:pPr>
              <w:rPr>
                <w:rFonts w:ascii="宋体"/>
                <w:vanish/>
              </w:rPr>
            </w:pPr>
          </w:p>
        </w:tc>
      </w:tr>
      <w:tr w:rsidR="007F1775" w14:paraId="0B2FB3C1" w14:textId="77777777">
        <w:tc>
          <w:tcPr>
            <w:tcW w:w="0" w:type="auto"/>
            <w:gridSpan w:val="3"/>
            <w:shd w:val="clear" w:color="auto" w:fill="FFFFFF"/>
            <w:tcMar>
              <w:top w:w="40" w:type="dxa"/>
              <w:left w:w="20" w:type="dxa"/>
              <w:bottom w:w="40" w:type="dxa"/>
              <w:right w:w="20" w:type="dxa"/>
            </w:tcMar>
          </w:tcPr>
          <w:p w14:paraId="0B2FB3B7" w14:textId="77777777" w:rsidR="007F1775" w:rsidRDefault="000F083E">
            <w:pPr>
              <w:textAlignment w:val="top"/>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B3B8" w14:textId="77777777" w:rsidR="007F1775" w:rsidRDefault="000F083E">
            <w:pPr>
              <w:jc w:val="right"/>
              <w:textAlignment w:val="bottom"/>
            </w:pPr>
            <w:r>
              <w:rPr>
                <w:rFonts w:ascii="Times New Roman" w:eastAsia="宋体" w:hAnsi="Times New Roman"/>
                <w:color w:val="000000"/>
                <w:sz w:val="20"/>
                <w:szCs w:val="20"/>
              </w:rPr>
              <w:t>8,524 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B3B9"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3BA"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B3BB" w14:textId="77777777" w:rsidR="007F1775" w:rsidRDefault="000F083E">
            <w:pPr>
              <w:jc w:val="right"/>
              <w:textAlignment w:val="bottom"/>
            </w:pPr>
            <w:r>
              <w:rPr>
                <w:rFonts w:ascii="Times New Roman" w:eastAsia="宋体" w:hAnsi="Times New Roman"/>
                <w:color w:val="000000"/>
                <w:sz w:val="20"/>
                <w:szCs w:val="20"/>
              </w:rPr>
              <w:t>11,378 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B3BC" w14:textId="77777777" w:rsidR="007F1775" w:rsidRDefault="007F1775">
            <w:pPr>
              <w:jc w:val="right"/>
              <w:rPr>
                <w:rFonts w:ascii="宋体"/>
              </w:rPr>
            </w:pPr>
          </w:p>
        </w:tc>
        <w:tc>
          <w:tcPr>
            <w:tcW w:w="0" w:type="auto"/>
            <w:shd w:val="clear" w:color="auto" w:fill="auto"/>
            <w:vAlign w:val="bottom"/>
          </w:tcPr>
          <w:p w14:paraId="0B2FB3BD" w14:textId="77777777" w:rsidR="007F1775" w:rsidRDefault="007F1775">
            <w:pPr>
              <w:rPr>
                <w:rFonts w:ascii="宋体"/>
                <w:vanish/>
              </w:rPr>
            </w:pPr>
          </w:p>
        </w:tc>
        <w:tc>
          <w:tcPr>
            <w:tcW w:w="0" w:type="auto"/>
            <w:shd w:val="clear" w:color="auto" w:fill="auto"/>
            <w:vAlign w:val="bottom"/>
          </w:tcPr>
          <w:p w14:paraId="0B2FB3BE" w14:textId="77777777" w:rsidR="007F1775" w:rsidRDefault="007F1775">
            <w:pPr>
              <w:rPr>
                <w:rFonts w:ascii="宋体"/>
                <w:vanish/>
              </w:rPr>
            </w:pPr>
          </w:p>
        </w:tc>
        <w:tc>
          <w:tcPr>
            <w:tcW w:w="0" w:type="auto"/>
            <w:gridSpan w:val="3"/>
            <w:shd w:val="clear" w:color="auto" w:fill="auto"/>
            <w:vAlign w:val="bottom"/>
          </w:tcPr>
          <w:p w14:paraId="0B2FB3BF" w14:textId="77777777" w:rsidR="007F1775" w:rsidRDefault="007F1775">
            <w:pPr>
              <w:rPr>
                <w:rFonts w:ascii="宋体"/>
                <w:vanish/>
              </w:rPr>
            </w:pPr>
          </w:p>
        </w:tc>
        <w:tc>
          <w:tcPr>
            <w:tcW w:w="0" w:type="auto"/>
            <w:gridSpan w:val="3"/>
            <w:shd w:val="clear" w:color="auto" w:fill="auto"/>
            <w:vAlign w:val="bottom"/>
          </w:tcPr>
          <w:p w14:paraId="0B2FB3C0" w14:textId="77777777" w:rsidR="007F1775" w:rsidRDefault="007F1775">
            <w:pPr>
              <w:rPr>
                <w:rFonts w:ascii="宋体"/>
                <w:vanish/>
              </w:rPr>
            </w:pPr>
          </w:p>
        </w:tc>
      </w:tr>
      <w:tr w:rsidR="007F1775" w14:paraId="0B2FB3CC" w14:textId="77777777">
        <w:tc>
          <w:tcPr>
            <w:tcW w:w="0" w:type="auto"/>
            <w:gridSpan w:val="3"/>
            <w:shd w:val="clear" w:color="auto" w:fill="CCEEFF"/>
            <w:tcMar>
              <w:top w:w="40" w:type="dxa"/>
              <w:left w:w="20" w:type="dxa"/>
              <w:bottom w:w="40" w:type="dxa"/>
              <w:right w:w="20" w:type="dxa"/>
            </w:tcMar>
          </w:tcPr>
          <w:p w14:paraId="0B2FB3C2" w14:textId="77777777" w:rsidR="007F1775" w:rsidRDefault="000F083E">
            <w:pPr>
              <w:textAlignment w:val="top"/>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0B2FB3C3" w14:textId="77777777" w:rsidR="007F1775" w:rsidRDefault="000F083E">
            <w:pPr>
              <w:jc w:val="right"/>
              <w:textAlignment w:val="bottom"/>
            </w:pPr>
            <w:r>
              <w:rPr>
                <w:rFonts w:ascii="Times New Roman" w:eastAsia="宋体" w:hAnsi="Times New Roman"/>
                <w:color w:val="000000"/>
                <w:sz w:val="20"/>
                <w:szCs w:val="20"/>
              </w:rPr>
              <w:t>384 </w:t>
            </w:r>
          </w:p>
        </w:tc>
        <w:tc>
          <w:tcPr>
            <w:tcW w:w="0" w:type="auto"/>
            <w:shd w:val="clear" w:color="auto" w:fill="CCEEFF"/>
            <w:tcMar>
              <w:top w:w="40" w:type="dxa"/>
              <w:left w:w="0" w:type="dxa"/>
              <w:bottom w:w="40" w:type="dxa"/>
              <w:right w:w="20" w:type="dxa"/>
            </w:tcMar>
            <w:vAlign w:val="bottom"/>
          </w:tcPr>
          <w:p w14:paraId="0B2FB3C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3C5"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3C6" w14:textId="77777777" w:rsidR="007F1775" w:rsidRDefault="000F083E">
            <w:pPr>
              <w:jc w:val="right"/>
              <w:textAlignment w:val="bottom"/>
            </w:pPr>
            <w:r>
              <w:rPr>
                <w:rFonts w:ascii="Times New Roman" w:eastAsia="宋体" w:hAnsi="Times New Roman"/>
                <w:color w:val="000000"/>
                <w:sz w:val="20"/>
                <w:szCs w:val="20"/>
              </w:rPr>
              <w:t>125 </w:t>
            </w:r>
          </w:p>
        </w:tc>
        <w:tc>
          <w:tcPr>
            <w:tcW w:w="0" w:type="auto"/>
            <w:shd w:val="clear" w:color="auto" w:fill="CCEEFF"/>
            <w:tcMar>
              <w:top w:w="40" w:type="dxa"/>
              <w:left w:w="0" w:type="dxa"/>
              <w:bottom w:w="40" w:type="dxa"/>
              <w:right w:w="20" w:type="dxa"/>
            </w:tcMar>
            <w:vAlign w:val="bottom"/>
          </w:tcPr>
          <w:p w14:paraId="0B2FB3C7" w14:textId="77777777" w:rsidR="007F1775" w:rsidRDefault="007F1775">
            <w:pPr>
              <w:jc w:val="right"/>
              <w:rPr>
                <w:rFonts w:ascii="宋体"/>
              </w:rPr>
            </w:pPr>
          </w:p>
        </w:tc>
        <w:tc>
          <w:tcPr>
            <w:tcW w:w="0" w:type="auto"/>
            <w:shd w:val="clear" w:color="auto" w:fill="auto"/>
            <w:vAlign w:val="bottom"/>
          </w:tcPr>
          <w:p w14:paraId="0B2FB3C8" w14:textId="77777777" w:rsidR="007F1775" w:rsidRDefault="007F1775">
            <w:pPr>
              <w:rPr>
                <w:rFonts w:ascii="宋体"/>
                <w:vanish/>
              </w:rPr>
            </w:pPr>
          </w:p>
        </w:tc>
        <w:tc>
          <w:tcPr>
            <w:tcW w:w="0" w:type="auto"/>
            <w:shd w:val="clear" w:color="auto" w:fill="auto"/>
            <w:vAlign w:val="bottom"/>
          </w:tcPr>
          <w:p w14:paraId="0B2FB3C9" w14:textId="77777777" w:rsidR="007F1775" w:rsidRDefault="007F1775">
            <w:pPr>
              <w:rPr>
                <w:rFonts w:ascii="宋体"/>
                <w:vanish/>
              </w:rPr>
            </w:pPr>
          </w:p>
        </w:tc>
        <w:tc>
          <w:tcPr>
            <w:tcW w:w="0" w:type="auto"/>
            <w:gridSpan w:val="3"/>
            <w:shd w:val="clear" w:color="auto" w:fill="auto"/>
            <w:vAlign w:val="bottom"/>
          </w:tcPr>
          <w:p w14:paraId="0B2FB3CA" w14:textId="77777777" w:rsidR="007F1775" w:rsidRDefault="007F1775">
            <w:pPr>
              <w:rPr>
                <w:rFonts w:ascii="宋体"/>
                <w:vanish/>
              </w:rPr>
            </w:pPr>
          </w:p>
        </w:tc>
        <w:tc>
          <w:tcPr>
            <w:tcW w:w="0" w:type="auto"/>
            <w:gridSpan w:val="3"/>
            <w:shd w:val="clear" w:color="auto" w:fill="auto"/>
            <w:vAlign w:val="bottom"/>
          </w:tcPr>
          <w:p w14:paraId="0B2FB3CB" w14:textId="77777777" w:rsidR="007F1775" w:rsidRDefault="007F1775">
            <w:pPr>
              <w:rPr>
                <w:rFonts w:ascii="宋体"/>
                <w:vanish/>
              </w:rPr>
            </w:pPr>
          </w:p>
        </w:tc>
      </w:tr>
      <w:tr w:rsidR="007F1775" w14:paraId="0B2FB3D7" w14:textId="77777777">
        <w:tc>
          <w:tcPr>
            <w:tcW w:w="0" w:type="auto"/>
            <w:gridSpan w:val="3"/>
            <w:shd w:val="clear" w:color="auto" w:fill="FFFFFF"/>
            <w:tcMar>
              <w:top w:w="40" w:type="dxa"/>
              <w:left w:w="20" w:type="dxa"/>
              <w:bottom w:w="40" w:type="dxa"/>
              <w:right w:w="20" w:type="dxa"/>
            </w:tcMar>
          </w:tcPr>
          <w:p w14:paraId="0B2FB3CD" w14:textId="77777777" w:rsidR="007F1775" w:rsidRDefault="000F083E">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B3CE" w14:textId="77777777" w:rsidR="007F1775" w:rsidRDefault="000F083E">
            <w:pPr>
              <w:jc w:val="right"/>
              <w:textAlignment w:val="bottom"/>
            </w:pPr>
            <w:r>
              <w:rPr>
                <w:rFonts w:ascii="Times New Roman" w:eastAsia="宋体" w:hAnsi="Times New Roman"/>
                <w:color w:val="000000"/>
                <w:sz w:val="20"/>
                <w:szCs w:val="20"/>
              </w:rPr>
              <w:t>8,908 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B3CF"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3D0"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B3D1" w14:textId="77777777" w:rsidR="007F1775" w:rsidRDefault="000F083E">
            <w:pPr>
              <w:jc w:val="right"/>
              <w:textAlignment w:val="bottom"/>
            </w:pPr>
            <w:r>
              <w:rPr>
                <w:rFonts w:ascii="Times New Roman" w:eastAsia="宋体" w:hAnsi="Times New Roman"/>
                <w:color w:val="000000"/>
                <w:sz w:val="20"/>
                <w:szCs w:val="20"/>
              </w:rPr>
              <w:t>11,503 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B3D2" w14:textId="77777777" w:rsidR="007F1775" w:rsidRDefault="007F1775">
            <w:pPr>
              <w:jc w:val="right"/>
              <w:rPr>
                <w:rFonts w:ascii="宋体"/>
              </w:rPr>
            </w:pPr>
          </w:p>
        </w:tc>
        <w:tc>
          <w:tcPr>
            <w:tcW w:w="0" w:type="auto"/>
            <w:shd w:val="clear" w:color="auto" w:fill="auto"/>
            <w:vAlign w:val="bottom"/>
          </w:tcPr>
          <w:p w14:paraId="0B2FB3D3" w14:textId="77777777" w:rsidR="007F1775" w:rsidRDefault="007F1775">
            <w:pPr>
              <w:rPr>
                <w:rFonts w:ascii="宋体"/>
                <w:vanish/>
              </w:rPr>
            </w:pPr>
          </w:p>
        </w:tc>
        <w:tc>
          <w:tcPr>
            <w:tcW w:w="0" w:type="auto"/>
            <w:shd w:val="clear" w:color="auto" w:fill="auto"/>
            <w:vAlign w:val="bottom"/>
          </w:tcPr>
          <w:p w14:paraId="0B2FB3D4" w14:textId="77777777" w:rsidR="007F1775" w:rsidRDefault="007F1775">
            <w:pPr>
              <w:rPr>
                <w:rFonts w:ascii="宋体"/>
                <w:vanish/>
              </w:rPr>
            </w:pPr>
          </w:p>
        </w:tc>
        <w:tc>
          <w:tcPr>
            <w:tcW w:w="0" w:type="auto"/>
            <w:gridSpan w:val="3"/>
            <w:shd w:val="clear" w:color="auto" w:fill="auto"/>
            <w:vAlign w:val="bottom"/>
          </w:tcPr>
          <w:p w14:paraId="0B2FB3D5" w14:textId="77777777" w:rsidR="007F1775" w:rsidRDefault="007F1775">
            <w:pPr>
              <w:rPr>
                <w:rFonts w:ascii="宋体"/>
                <w:vanish/>
              </w:rPr>
            </w:pPr>
          </w:p>
        </w:tc>
        <w:tc>
          <w:tcPr>
            <w:tcW w:w="0" w:type="auto"/>
            <w:gridSpan w:val="3"/>
            <w:shd w:val="clear" w:color="auto" w:fill="auto"/>
            <w:vAlign w:val="bottom"/>
          </w:tcPr>
          <w:p w14:paraId="0B2FB3D6" w14:textId="77777777" w:rsidR="007F1775" w:rsidRDefault="007F1775">
            <w:pPr>
              <w:rPr>
                <w:rFonts w:ascii="宋体"/>
                <w:vanish/>
              </w:rPr>
            </w:pPr>
          </w:p>
        </w:tc>
      </w:tr>
      <w:tr w:rsidR="007F1775" w14:paraId="0B2FB3E2" w14:textId="77777777">
        <w:tc>
          <w:tcPr>
            <w:tcW w:w="0" w:type="auto"/>
            <w:gridSpan w:val="3"/>
            <w:shd w:val="clear" w:color="auto" w:fill="CCEEFF"/>
            <w:tcMar>
              <w:top w:w="40" w:type="dxa"/>
              <w:left w:w="20" w:type="dxa"/>
              <w:bottom w:w="40" w:type="dxa"/>
              <w:right w:w="20" w:type="dxa"/>
            </w:tcMar>
          </w:tcPr>
          <w:p w14:paraId="0B2FB3D8" w14:textId="77777777" w:rsidR="007F1775" w:rsidRDefault="000F083E">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0B2FB3D9" w14:textId="77777777" w:rsidR="007F1775" w:rsidRDefault="000F083E">
            <w:pPr>
              <w:jc w:val="right"/>
              <w:textAlignment w:val="bottom"/>
            </w:pPr>
            <w:r>
              <w:rPr>
                <w:rFonts w:ascii="Times New Roman" w:eastAsia="宋体" w:hAnsi="Times New Roman"/>
                <w:color w:val="000000"/>
                <w:sz w:val="20"/>
                <w:szCs w:val="20"/>
              </w:rPr>
              <w:t>1,443 </w:t>
            </w:r>
          </w:p>
        </w:tc>
        <w:tc>
          <w:tcPr>
            <w:tcW w:w="0" w:type="auto"/>
            <w:shd w:val="clear" w:color="auto" w:fill="CCEEFF"/>
            <w:tcMar>
              <w:top w:w="40" w:type="dxa"/>
              <w:left w:w="0" w:type="dxa"/>
              <w:bottom w:w="40" w:type="dxa"/>
              <w:right w:w="20" w:type="dxa"/>
            </w:tcMar>
            <w:vAlign w:val="bottom"/>
          </w:tcPr>
          <w:p w14:paraId="0B2FB3D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3DB"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3DC" w14:textId="77777777" w:rsidR="007F1775" w:rsidRDefault="000F083E">
            <w:pPr>
              <w:jc w:val="right"/>
              <w:textAlignment w:val="bottom"/>
            </w:pPr>
            <w:r>
              <w:rPr>
                <w:rFonts w:ascii="Times New Roman" w:eastAsia="宋体" w:hAnsi="Times New Roman"/>
                <w:color w:val="000000"/>
                <w:sz w:val="20"/>
                <w:szCs w:val="20"/>
              </w:rPr>
              <w:t>2,006 </w:t>
            </w:r>
          </w:p>
        </w:tc>
        <w:tc>
          <w:tcPr>
            <w:tcW w:w="0" w:type="auto"/>
            <w:shd w:val="clear" w:color="auto" w:fill="CCEEFF"/>
            <w:tcMar>
              <w:top w:w="40" w:type="dxa"/>
              <w:left w:w="0" w:type="dxa"/>
              <w:bottom w:w="40" w:type="dxa"/>
              <w:right w:w="20" w:type="dxa"/>
            </w:tcMar>
            <w:vAlign w:val="bottom"/>
          </w:tcPr>
          <w:p w14:paraId="0B2FB3DD" w14:textId="77777777" w:rsidR="007F1775" w:rsidRDefault="007F1775">
            <w:pPr>
              <w:jc w:val="right"/>
              <w:rPr>
                <w:rFonts w:ascii="宋体"/>
              </w:rPr>
            </w:pPr>
          </w:p>
        </w:tc>
        <w:tc>
          <w:tcPr>
            <w:tcW w:w="0" w:type="auto"/>
            <w:shd w:val="clear" w:color="auto" w:fill="auto"/>
            <w:vAlign w:val="bottom"/>
          </w:tcPr>
          <w:p w14:paraId="0B2FB3DE" w14:textId="77777777" w:rsidR="007F1775" w:rsidRDefault="007F1775">
            <w:pPr>
              <w:rPr>
                <w:rFonts w:ascii="宋体"/>
                <w:vanish/>
              </w:rPr>
            </w:pPr>
          </w:p>
        </w:tc>
        <w:tc>
          <w:tcPr>
            <w:tcW w:w="0" w:type="auto"/>
            <w:shd w:val="clear" w:color="auto" w:fill="auto"/>
            <w:vAlign w:val="bottom"/>
          </w:tcPr>
          <w:p w14:paraId="0B2FB3DF" w14:textId="77777777" w:rsidR="007F1775" w:rsidRDefault="007F1775">
            <w:pPr>
              <w:rPr>
                <w:rFonts w:ascii="宋体"/>
                <w:vanish/>
              </w:rPr>
            </w:pPr>
          </w:p>
        </w:tc>
        <w:tc>
          <w:tcPr>
            <w:tcW w:w="0" w:type="auto"/>
            <w:gridSpan w:val="3"/>
            <w:shd w:val="clear" w:color="auto" w:fill="auto"/>
            <w:vAlign w:val="bottom"/>
          </w:tcPr>
          <w:p w14:paraId="0B2FB3E0" w14:textId="77777777" w:rsidR="007F1775" w:rsidRDefault="007F1775">
            <w:pPr>
              <w:rPr>
                <w:rFonts w:ascii="宋体"/>
                <w:vanish/>
              </w:rPr>
            </w:pPr>
          </w:p>
        </w:tc>
        <w:tc>
          <w:tcPr>
            <w:tcW w:w="0" w:type="auto"/>
            <w:gridSpan w:val="3"/>
            <w:shd w:val="clear" w:color="auto" w:fill="auto"/>
            <w:vAlign w:val="bottom"/>
          </w:tcPr>
          <w:p w14:paraId="0B2FB3E1" w14:textId="77777777" w:rsidR="007F1775" w:rsidRDefault="007F1775">
            <w:pPr>
              <w:rPr>
                <w:rFonts w:ascii="宋体"/>
                <w:vanish/>
              </w:rPr>
            </w:pPr>
          </w:p>
        </w:tc>
      </w:tr>
      <w:tr w:rsidR="007F1775" w14:paraId="0B2FB3EF" w14:textId="77777777">
        <w:tc>
          <w:tcPr>
            <w:tcW w:w="0" w:type="auto"/>
            <w:gridSpan w:val="3"/>
            <w:shd w:val="clear" w:color="auto" w:fill="FFFFFF"/>
            <w:tcMar>
              <w:top w:w="40" w:type="dxa"/>
              <w:left w:w="20" w:type="dxa"/>
              <w:bottom w:w="40" w:type="dxa"/>
              <w:right w:w="20" w:type="dxa"/>
            </w:tcMar>
          </w:tcPr>
          <w:p w14:paraId="0B2FB3E3" w14:textId="77777777" w:rsidR="007F1775" w:rsidRDefault="000F083E">
            <w:pPr>
              <w:textAlignment w:val="top"/>
            </w:pPr>
            <w:r>
              <w:rPr>
                <w:rFonts w:ascii="Times New Roman" w:eastAsia="宋体" w:hAnsi="Times New Roman"/>
                <w:color w:val="000000"/>
                <w:sz w:val="20"/>
                <w:szCs w:val="20"/>
              </w:rPr>
              <w:t>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B3E4"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B3E5" w14:textId="77777777" w:rsidR="007F1775" w:rsidRDefault="000F083E">
            <w:pPr>
              <w:jc w:val="right"/>
              <w:textAlignment w:val="bottom"/>
            </w:pPr>
            <w:r>
              <w:rPr>
                <w:rFonts w:ascii="Times New Roman" w:eastAsia="宋体" w:hAnsi="Times New Roman"/>
                <w:color w:val="000000"/>
                <w:sz w:val="20"/>
                <w:szCs w:val="20"/>
              </w:rPr>
              <w:t>7,465 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B3E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3E7"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B3E8"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B3E9" w14:textId="77777777" w:rsidR="007F1775" w:rsidRDefault="000F083E">
            <w:pPr>
              <w:jc w:val="right"/>
              <w:textAlignment w:val="bottom"/>
            </w:pPr>
            <w:r>
              <w:rPr>
                <w:rFonts w:ascii="Times New Roman" w:eastAsia="宋体" w:hAnsi="Times New Roman"/>
                <w:color w:val="000000"/>
                <w:sz w:val="20"/>
                <w:szCs w:val="20"/>
              </w:rPr>
              <w:t>9,497 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B3EA" w14:textId="77777777" w:rsidR="007F1775" w:rsidRDefault="007F1775">
            <w:pPr>
              <w:jc w:val="right"/>
              <w:rPr>
                <w:rFonts w:ascii="宋体"/>
              </w:rPr>
            </w:pPr>
          </w:p>
        </w:tc>
        <w:tc>
          <w:tcPr>
            <w:tcW w:w="0" w:type="auto"/>
            <w:shd w:val="clear" w:color="auto" w:fill="auto"/>
            <w:vAlign w:val="bottom"/>
          </w:tcPr>
          <w:p w14:paraId="0B2FB3EB" w14:textId="77777777" w:rsidR="007F1775" w:rsidRDefault="007F1775">
            <w:pPr>
              <w:rPr>
                <w:rFonts w:ascii="宋体"/>
                <w:vanish/>
              </w:rPr>
            </w:pPr>
          </w:p>
        </w:tc>
        <w:tc>
          <w:tcPr>
            <w:tcW w:w="0" w:type="auto"/>
            <w:shd w:val="clear" w:color="auto" w:fill="auto"/>
            <w:vAlign w:val="bottom"/>
          </w:tcPr>
          <w:p w14:paraId="0B2FB3EC" w14:textId="77777777" w:rsidR="007F1775" w:rsidRDefault="007F1775">
            <w:pPr>
              <w:rPr>
                <w:rFonts w:ascii="宋体"/>
                <w:vanish/>
              </w:rPr>
            </w:pPr>
          </w:p>
        </w:tc>
        <w:tc>
          <w:tcPr>
            <w:tcW w:w="0" w:type="auto"/>
            <w:gridSpan w:val="3"/>
            <w:shd w:val="clear" w:color="auto" w:fill="auto"/>
            <w:vAlign w:val="bottom"/>
          </w:tcPr>
          <w:p w14:paraId="0B2FB3ED" w14:textId="77777777" w:rsidR="007F1775" w:rsidRDefault="007F1775">
            <w:pPr>
              <w:rPr>
                <w:rFonts w:ascii="宋体"/>
                <w:vanish/>
              </w:rPr>
            </w:pPr>
          </w:p>
        </w:tc>
        <w:tc>
          <w:tcPr>
            <w:tcW w:w="0" w:type="auto"/>
            <w:gridSpan w:val="3"/>
            <w:shd w:val="clear" w:color="auto" w:fill="auto"/>
            <w:vAlign w:val="bottom"/>
          </w:tcPr>
          <w:p w14:paraId="0B2FB3EE" w14:textId="77777777" w:rsidR="007F1775" w:rsidRDefault="007F1775">
            <w:pPr>
              <w:rPr>
                <w:rFonts w:ascii="宋体"/>
                <w:vanish/>
              </w:rPr>
            </w:pPr>
          </w:p>
        </w:tc>
      </w:tr>
    </w:tbl>
    <w:p w14:paraId="0B2FB3F0" w14:textId="77777777" w:rsidR="007F1775" w:rsidRDefault="007F1775"/>
    <w:p w14:paraId="0B2FB3F1" w14:textId="77777777" w:rsidR="007F1775" w:rsidRDefault="000F083E">
      <w:pPr>
        <w:ind w:firstLine="540"/>
        <w:jc w:val="both"/>
      </w:pPr>
      <w:r>
        <w:rPr>
          <w:rFonts w:ascii="Times New Roman" w:eastAsia="宋体" w:hAnsi="Times New Roman"/>
          <w:color w:val="000000"/>
          <w:sz w:val="20"/>
          <w:szCs w:val="20"/>
        </w:rPr>
        <w:t>The follow</w:t>
      </w:r>
      <w:r>
        <w:rPr>
          <w:rFonts w:ascii="Times New Roman" w:eastAsia="宋体" w:hAnsi="Times New Roman"/>
          <w:color w:val="000000"/>
          <w:sz w:val="20"/>
          <w:szCs w:val="20"/>
        </w:rPr>
        <w:t>ing table sets forth our condensed consolidated statements of income data (as a 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249"/>
        <w:gridCol w:w="38"/>
        <w:gridCol w:w="37"/>
        <w:gridCol w:w="1109"/>
        <w:gridCol w:w="188"/>
        <w:gridCol w:w="36"/>
        <w:gridCol w:w="36"/>
        <w:gridCol w:w="36"/>
        <w:gridCol w:w="37"/>
        <w:gridCol w:w="1054"/>
        <w:gridCol w:w="188"/>
        <w:gridCol w:w="36"/>
        <w:gridCol w:w="36"/>
        <w:gridCol w:w="36"/>
        <w:gridCol w:w="36"/>
        <w:gridCol w:w="36"/>
        <w:gridCol w:w="36"/>
        <w:gridCol w:w="36"/>
        <w:gridCol w:w="36"/>
      </w:tblGrid>
      <w:tr w:rsidR="007F1775" w14:paraId="0B2FB402" w14:textId="77777777">
        <w:tc>
          <w:tcPr>
            <w:tcW w:w="50" w:type="pct"/>
            <w:shd w:val="clear" w:color="auto" w:fill="auto"/>
            <w:vAlign w:val="bottom"/>
          </w:tcPr>
          <w:p w14:paraId="0B2FB3F2" w14:textId="77777777" w:rsidR="007F1775" w:rsidRDefault="007F1775">
            <w:pPr>
              <w:rPr>
                <w:rFonts w:ascii="宋体"/>
              </w:rPr>
            </w:pPr>
          </w:p>
        </w:tc>
        <w:tc>
          <w:tcPr>
            <w:tcW w:w="3315" w:type="pct"/>
            <w:shd w:val="clear" w:color="auto" w:fill="auto"/>
            <w:vAlign w:val="bottom"/>
          </w:tcPr>
          <w:p w14:paraId="0B2FB3F3" w14:textId="77777777" w:rsidR="007F1775" w:rsidRDefault="007F1775">
            <w:pPr>
              <w:rPr>
                <w:rFonts w:ascii="宋体"/>
              </w:rPr>
            </w:pPr>
          </w:p>
        </w:tc>
        <w:tc>
          <w:tcPr>
            <w:tcW w:w="5" w:type="pct"/>
            <w:shd w:val="clear" w:color="auto" w:fill="auto"/>
            <w:vAlign w:val="bottom"/>
          </w:tcPr>
          <w:p w14:paraId="0B2FB3F4" w14:textId="77777777" w:rsidR="007F1775" w:rsidRDefault="007F1775">
            <w:pPr>
              <w:rPr>
                <w:rFonts w:ascii="宋体"/>
              </w:rPr>
            </w:pPr>
          </w:p>
        </w:tc>
        <w:tc>
          <w:tcPr>
            <w:tcW w:w="50" w:type="pct"/>
            <w:shd w:val="clear" w:color="auto" w:fill="auto"/>
            <w:vAlign w:val="bottom"/>
          </w:tcPr>
          <w:p w14:paraId="0B2FB3F5" w14:textId="77777777" w:rsidR="007F1775" w:rsidRDefault="007F1775">
            <w:pPr>
              <w:rPr>
                <w:rFonts w:ascii="宋体"/>
              </w:rPr>
            </w:pPr>
          </w:p>
        </w:tc>
        <w:tc>
          <w:tcPr>
            <w:tcW w:w="741" w:type="pct"/>
            <w:shd w:val="clear" w:color="auto" w:fill="auto"/>
            <w:vAlign w:val="bottom"/>
          </w:tcPr>
          <w:p w14:paraId="0B2FB3F6" w14:textId="77777777" w:rsidR="007F1775" w:rsidRDefault="007F1775">
            <w:pPr>
              <w:rPr>
                <w:rFonts w:ascii="宋体"/>
              </w:rPr>
            </w:pPr>
          </w:p>
        </w:tc>
        <w:tc>
          <w:tcPr>
            <w:tcW w:w="5" w:type="pct"/>
            <w:shd w:val="clear" w:color="auto" w:fill="auto"/>
            <w:vAlign w:val="bottom"/>
          </w:tcPr>
          <w:p w14:paraId="0B2FB3F7" w14:textId="77777777" w:rsidR="007F1775" w:rsidRDefault="007F1775">
            <w:pPr>
              <w:rPr>
                <w:rFonts w:ascii="宋体"/>
              </w:rPr>
            </w:pPr>
          </w:p>
        </w:tc>
        <w:tc>
          <w:tcPr>
            <w:tcW w:w="5" w:type="pct"/>
            <w:shd w:val="clear" w:color="auto" w:fill="auto"/>
            <w:vAlign w:val="bottom"/>
          </w:tcPr>
          <w:p w14:paraId="0B2FB3F8" w14:textId="77777777" w:rsidR="007F1775" w:rsidRDefault="007F1775">
            <w:pPr>
              <w:rPr>
                <w:rFonts w:ascii="宋体"/>
              </w:rPr>
            </w:pPr>
          </w:p>
        </w:tc>
        <w:tc>
          <w:tcPr>
            <w:tcW w:w="27" w:type="pct"/>
            <w:shd w:val="clear" w:color="auto" w:fill="auto"/>
            <w:vAlign w:val="bottom"/>
          </w:tcPr>
          <w:p w14:paraId="0B2FB3F9" w14:textId="77777777" w:rsidR="007F1775" w:rsidRDefault="007F1775">
            <w:pPr>
              <w:rPr>
                <w:rFonts w:ascii="宋体"/>
              </w:rPr>
            </w:pPr>
          </w:p>
        </w:tc>
        <w:tc>
          <w:tcPr>
            <w:tcW w:w="5" w:type="pct"/>
            <w:shd w:val="clear" w:color="auto" w:fill="auto"/>
            <w:vAlign w:val="bottom"/>
          </w:tcPr>
          <w:p w14:paraId="0B2FB3FA" w14:textId="77777777" w:rsidR="007F1775" w:rsidRDefault="007F1775">
            <w:pPr>
              <w:rPr>
                <w:rFonts w:ascii="宋体"/>
              </w:rPr>
            </w:pPr>
          </w:p>
        </w:tc>
        <w:tc>
          <w:tcPr>
            <w:tcW w:w="50" w:type="pct"/>
            <w:shd w:val="clear" w:color="auto" w:fill="auto"/>
            <w:vAlign w:val="bottom"/>
          </w:tcPr>
          <w:p w14:paraId="0B2FB3FB" w14:textId="77777777" w:rsidR="007F1775" w:rsidRDefault="007F1775">
            <w:pPr>
              <w:rPr>
                <w:rFonts w:ascii="宋体"/>
              </w:rPr>
            </w:pPr>
          </w:p>
        </w:tc>
        <w:tc>
          <w:tcPr>
            <w:tcW w:w="741" w:type="pct"/>
            <w:shd w:val="clear" w:color="auto" w:fill="auto"/>
            <w:vAlign w:val="bottom"/>
          </w:tcPr>
          <w:p w14:paraId="0B2FB3FC" w14:textId="77777777" w:rsidR="007F1775" w:rsidRDefault="007F1775">
            <w:pPr>
              <w:rPr>
                <w:rFonts w:ascii="宋体"/>
              </w:rPr>
            </w:pPr>
          </w:p>
        </w:tc>
        <w:tc>
          <w:tcPr>
            <w:tcW w:w="5" w:type="pct"/>
            <w:shd w:val="clear" w:color="auto" w:fill="auto"/>
            <w:vAlign w:val="bottom"/>
          </w:tcPr>
          <w:p w14:paraId="0B2FB3FD" w14:textId="77777777" w:rsidR="007F1775" w:rsidRDefault="007F1775">
            <w:pPr>
              <w:rPr>
                <w:rFonts w:ascii="宋体"/>
              </w:rPr>
            </w:pPr>
          </w:p>
        </w:tc>
        <w:tc>
          <w:tcPr>
            <w:tcW w:w="0" w:type="auto"/>
            <w:shd w:val="clear" w:color="auto" w:fill="auto"/>
            <w:vAlign w:val="bottom"/>
          </w:tcPr>
          <w:p w14:paraId="0B2FB3FE" w14:textId="77777777" w:rsidR="007F1775" w:rsidRDefault="007F1775">
            <w:pPr>
              <w:rPr>
                <w:rFonts w:ascii="宋体"/>
                <w:vanish/>
              </w:rPr>
            </w:pPr>
          </w:p>
        </w:tc>
        <w:tc>
          <w:tcPr>
            <w:tcW w:w="0" w:type="auto"/>
            <w:shd w:val="clear" w:color="auto" w:fill="auto"/>
            <w:vAlign w:val="bottom"/>
          </w:tcPr>
          <w:p w14:paraId="0B2FB3FF" w14:textId="77777777" w:rsidR="007F1775" w:rsidRDefault="007F1775">
            <w:pPr>
              <w:rPr>
                <w:rFonts w:ascii="宋体"/>
                <w:vanish/>
              </w:rPr>
            </w:pPr>
          </w:p>
        </w:tc>
        <w:tc>
          <w:tcPr>
            <w:tcW w:w="0" w:type="auto"/>
            <w:gridSpan w:val="3"/>
            <w:shd w:val="clear" w:color="auto" w:fill="auto"/>
            <w:vAlign w:val="bottom"/>
          </w:tcPr>
          <w:p w14:paraId="0B2FB400" w14:textId="77777777" w:rsidR="007F1775" w:rsidRDefault="007F1775">
            <w:pPr>
              <w:rPr>
                <w:rFonts w:ascii="宋体"/>
                <w:vanish/>
              </w:rPr>
            </w:pPr>
          </w:p>
        </w:tc>
        <w:tc>
          <w:tcPr>
            <w:tcW w:w="0" w:type="auto"/>
            <w:gridSpan w:val="3"/>
            <w:shd w:val="clear" w:color="auto" w:fill="auto"/>
            <w:vAlign w:val="bottom"/>
          </w:tcPr>
          <w:p w14:paraId="0B2FB401" w14:textId="77777777" w:rsidR="007F1775" w:rsidRDefault="007F1775">
            <w:pPr>
              <w:rPr>
                <w:rFonts w:ascii="宋体"/>
                <w:vanish/>
              </w:rPr>
            </w:pPr>
          </w:p>
        </w:tc>
      </w:tr>
      <w:tr w:rsidR="007F1775" w14:paraId="0B2FB40D" w14:textId="77777777">
        <w:tc>
          <w:tcPr>
            <w:tcW w:w="0" w:type="auto"/>
            <w:gridSpan w:val="3"/>
            <w:shd w:val="clear" w:color="auto" w:fill="auto"/>
            <w:tcMar>
              <w:top w:w="40" w:type="dxa"/>
              <w:left w:w="20" w:type="dxa"/>
              <w:bottom w:w="40" w:type="dxa"/>
              <w:right w:w="20" w:type="dxa"/>
            </w:tcMar>
            <w:vAlign w:val="bottom"/>
          </w:tcPr>
          <w:p w14:paraId="0B2FB403"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404"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B405" w14:textId="77777777" w:rsidR="007F1775" w:rsidRDefault="007F1775">
            <w:pPr>
              <w:rPr>
                <w:rFonts w:ascii="宋体"/>
                <w:vanish/>
              </w:rPr>
            </w:pPr>
          </w:p>
        </w:tc>
        <w:tc>
          <w:tcPr>
            <w:tcW w:w="0" w:type="auto"/>
            <w:shd w:val="clear" w:color="auto" w:fill="auto"/>
            <w:vAlign w:val="bottom"/>
          </w:tcPr>
          <w:p w14:paraId="0B2FB406" w14:textId="77777777" w:rsidR="007F1775" w:rsidRDefault="007F1775">
            <w:pPr>
              <w:rPr>
                <w:rFonts w:ascii="宋体"/>
                <w:vanish/>
              </w:rPr>
            </w:pPr>
          </w:p>
        </w:tc>
        <w:tc>
          <w:tcPr>
            <w:tcW w:w="0" w:type="auto"/>
            <w:shd w:val="clear" w:color="auto" w:fill="auto"/>
            <w:vAlign w:val="bottom"/>
          </w:tcPr>
          <w:p w14:paraId="0B2FB407" w14:textId="77777777" w:rsidR="007F1775" w:rsidRDefault="007F1775">
            <w:pPr>
              <w:rPr>
                <w:rFonts w:ascii="宋体"/>
              </w:rPr>
            </w:pPr>
          </w:p>
        </w:tc>
        <w:tc>
          <w:tcPr>
            <w:tcW w:w="0" w:type="auto"/>
            <w:shd w:val="clear" w:color="auto" w:fill="auto"/>
            <w:vAlign w:val="bottom"/>
          </w:tcPr>
          <w:p w14:paraId="0B2FB408" w14:textId="77777777" w:rsidR="007F1775" w:rsidRDefault="007F1775">
            <w:pPr>
              <w:rPr>
                <w:rFonts w:ascii="宋体"/>
              </w:rPr>
            </w:pPr>
          </w:p>
        </w:tc>
        <w:tc>
          <w:tcPr>
            <w:tcW w:w="0" w:type="auto"/>
            <w:shd w:val="clear" w:color="auto" w:fill="auto"/>
            <w:vAlign w:val="bottom"/>
          </w:tcPr>
          <w:p w14:paraId="0B2FB409" w14:textId="77777777" w:rsidR="007F1775" w:rsidRDefault="007F1775">
            <w:pPr>
              <w:rPr>
                <w:rFonts w:ascii="宋体"/>
              </w:rPr>
            </w:pPr>
          </w:p>
        </w:tc>
        <w:tc>
          <w:tcPr>
            <w:tcW w:w="0" w:type="auto"/>
            <w:shd w:val="clear" w:color="auto" w:fill="auto"/>
            <w:vAlign w:val="bottom"/>
          </w:tcPr>
          <w:p w14:paraId="0B2FB40A" w14:textId="77777777" w:rsidR="007F1775" w:rsidRDefault="007F1775">
            <w:pPr>
              <w:rPr>
                <w:rFonts w:ascii="宋体"/>
              </w:rPr>
            </w:pPr>
          </w:p>
        </w:tc>
        <w:tc>
          <w:tcPr>
            <w:tcW w:w="0" w:type="auto"/>
            <w:shd w:val="clear" w:color="auto" w:fill="auto"/>
            <w:vAlign w:val="bottom"/>
          </w:tcPr>
          <w:p w14:paraId="0B2FB40B" w14:textId="77777777" w:rsidR="007F1775" w:rsidRDefault="007F1775">
            <w:pPr>
              <w:rPr>
                <w:rFonts w:ascii="宋体"/>
              </w:rPr>
            </w:pPr>
          </w:p>
        </w:tc>
        <w:tc>
          <w:tcPr>
            <w:tcW w:w="0" w:type="auto"/>
            <w:shd w:val="clear" w:color="auto" w:fill="auto"/>
            <w:vAlign w:val="bottom"/>
          </w:tcPr>
          <w:p w14:paraId="0B2FB40C" w14:textId="77777777" w:rsidR="007F1775" w:rsidRDefault="007F1775">
            <w:pPr>
              <w:rPr>
                <w:rFonts w:ascii="宋体"/>
              </w:rPr>
            </w:pPr>
          </w:p>
        </w:tc>
      </w:tr>
      <w:tr w:rsidR="007F1775" w14:paraId="0B2FB416" w14:textId="77777777">
        <w:tc>
          <w:tcPr>
            <w:tcW w:w="0" w:type="auto"/>
            <w:gridSpan w:val="3"/>
            <w:shd w:val="clear" w:color="auto" w:fill="auto"/>
            <w:tcMar>
              <w:top w:w="40" w:type="dxa"/>
              <w:left w:w="20" w:type="dxa"/>
              <w:bottom w:w="40" w:type="dxa"/>
              <w:right w:w="20" w:type="dxa"/>
            </w:tcMar>
            <w:vAlign w:val="bottom"/>
          </w:tcPr>
          <w:p w14:paraId="0B2FB40E"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40F"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410"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411"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B412" w14:textId="77777777" w:rsidR="007F1775" w:rsidRDefault="007F1775">
            <w:pPr>
              <w:rPr>
                <w:rFonts w:ascii="宋体"/>
                <w:vanish/>
              </w:rPr>
            </w:pPr>
          </w:p>
        </w:tc>
        <w:tc>
          <w:tcPr>
            <w:tcW w:w="0" w:type="auto"/>
            <w:shd w:val="clear" w:color="auto" w:fill="auto"/>
            <w:vAlign w:val="bottom"/>
          </w:tcPr>
          <w:p w14:paraId="0B2FB413" w14:textId="77777777" w:rsidR="007F1775" w:rsidRDefault="007F1775">
            <w:pPr>
              <w:rPr>
                <w:rFonts w:ascii="宋体"/>
                <w:vanish/>
              </w:rPr>
            </w:pPr>
          </w:p>
        </w:tc>
        <w:tc>
          <w:tcPr>
            <w:tcW w:w="0" w:type="auto"/>
            <w:gridSpan w:val="3"/>
            <w:shd w:val="clear" w:color="auto" w:fill="auto"/>
            <w:vAlign w:val="bottom"/>
          </w:tcPr>
          <w:p w14:paraId="0B2FB414" w14:textId="77777777" w:rsidR="007F1775" w:rsidRDefault="007F1775">
            <w:pPr>
              <w:rPr>
                <w:rFonts w:ascii="宋体"/>
                <w:vanish/>
              </w:rPr>
            </w:pPr>
          </w:p>
        </w:tc>
        <w:tc>
          <w:tcPr>
            <w:tcW w:w="0" w:type="auto"/>
            <w:gridSpan w:val="3"/>
            <w:shd w:val="clear" w:color="auto" w:fill="auto"/>
            <w:vAlign w:val="bottom"/>
          </w:tcPr>
          <w:p w14:paraId="0B2FB415" w14:textId="77777777" w:rsidR="007F1775" w:rsidRDefault="007F1775">
            <w:pPr>
              <w:rPr>
                <w:rFonts w:ascii="宋体"/>
                <w:vanish/>
              </w:rPr>
            </w:pPr>
          </w:p>
        </w:tc>
      </w:tr>
      <w:tr w:rsidR="007F1775" w14:paraId="0B2FB421" w14:textId="77777777">
        <w:tc>
          <w:tcPr>
            <w:tcW w:w="0" w:type="auto"/>
            <w:gridSpan w:val="3"/>
            <w:shd w:val="clear" w:color="auto" w:fill="CCEEFF"/>
            <w:tcMar>
              <w:top w:w="40" w:type="dxa"/>
              <w:left w:w="20" w:type="dxa"/>
              <w:bottom w:w="40" w:type="dxa"/>
              <w:right w:w="20" w:type="dxa"/>
            </w:tcMar>
          </w:tcPr>
          <w:p w14:paraId="0B2FB417" w14:textId="77777777" w:rsidR="007F1775" w:rsidRDefault="000F083E">
            <w:pPr>
              <w:textAlignment w:val="top"/>
            </w:pPr>
            <w:r>
              <w:rPr>
                <w:rFonts w:ascii="Times New Roman" w:eastAsia="宋体" w:hAnsi="Times New Roman"/>
                <w:color w:val="000000"/>
                <w:sz w:val="20"/>
                <w:szCs w:val="20"/>
              </w:rPr>
              <w:t>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B418" w14:textId="77777777" w:rsidR="007F1775" w:rsidRDefault="000F083E">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419"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B2FB41A"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B41B" w14:textId="77777777" w:rsidR="007F1775" w:rsidRDefault="000F083E">
            <w:pPr>
              <w:jc w:val="right"/>
              <w:textAlignment w:val="bottom"/>
            </w:pPr>
            <w:r>
              <w:rPr>
                <w:rFonts w:ascii="Times New Roman" w:eastAsia="宋体" w:hAnsi="Times New Roman"/>
                <w:color w:val="000000"/>
                <w:sz w:val="20"/>
                <w:szCs w:val="20"/>
              </w:rPr>
              <w:t>100 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41C"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41D" w14:textId="77777777" w:rsidR="007F1775" w:rsidRDefault="007F1775">
            <w:pPr>
              <w:rPr>
                <w:rFonts w:ascii="宋体"/>
                <w:vanish/>
              </w:rPr>
            </w:pPr>
          </w:p>
        </w:tc>
        <w:tc>
          <w:tcPr>
            <w:tcW w:w="0" w:type="auto"/>
            <w:shd w:val="clear" w:color="auto" w:fill="auto"/>
            <w:vAlign w:val="bottom"/>
          </w:tcPr>
          <w:p w14:paraId="0B2FB41E" w14:textId="77777777" w:rsidR="007F1775" w:rsidRDefault="007F1775">
            <w:pPr>
              <w:rPr>
                <w:rFonts w:ascii="宋体"/>
                <w:vanish/>
              </w:rPr>
            </w:pPr>
          </w:p>
        </w:tc>
        <w:tc>
          <w:tcPr>
            <w:tcW w:w="0" w:type="auto"/>
            <w:gridSpan w:val="3"/>
            <w:shd w:val="clear" w:color="auto" w:fill="auto"/>
            <w:vAlign w:val="bottom"/>
          </w:tcPr>
          <w:p w14:paraId="0B2FB41F" w14:textId="77777777" w:rsidR="007F1775" w:rsidRDefault="007F1775">
            <w:pPr>
              <w:rPr>
                <w:rFonts w:ascii="宋体"/>
                <w:vanish/>
              </w:rPr>
            </w:pPr>
          </w:p>
        </w:tc>
        <w:tc>
          <w:tcPr>
            <w:tcW w:w="0" w:type="auto"/>
            <w:gridSpan w:val="3"/>
            <w:shd w:val="clear" w:color="auto" w:fill="auto"/>
            <w:vAlign w:val="bottom"/>
          </w:tcPr>
          <w:p w14:paraId="0B2FB420" w14:textId="77777777" w:rsidR="007F1775" w:rsidRDefault="007F1775">
            <w:pPr>
              <w:rPr>
                <w:rFonts w:ascii="宋体"/>
                <w:vanish/>
              </w:rPr>
            </w:pPr>
          </w:p>
        </w:tc>
      </w:tr>
      <w:tr w:rsidR="007F1775" w14:paraId="0B2FB42A" w14:textId="77777777">
        <w:tc>
          <w:tcPr>
            <w:tcW w:w="0" w:type="auto"/>
            <w:gridSpan w:val="3"/>
            <w:shd w:val="clear" w:color="auto" w:fill="FFFFFF"/>
            <w:tcMar>
              <w:top w:w="40" w:type="dxa"/>
              <w:left w:w="20" w:type="dxa"/>
              <w:bottom w:w="40" w:type="dxa"/>
              <w:right w:w="20" w:type="dxa"/>
            </w:tcMar>
          </w:tcPr>
          <w:p w14:paraId="0B2FB422" w14:textId="77777777" w:rsidR="007F1775" w:rsidRDefault="000F083E">
            <w:pPr>
              <w:textAlignment w:val="top"/>
            </w:pPr>
            <w:r>
              <w:rPr>
                <w:rFonts w:ascii="Times New Roman" w:eastAsia="宋体" w:hAnsi="Times New Roman"/>
                <w:color w:val="000000"/>
                <w:sz w:val="20"/>
                <w:szCs w:val="20"/>
              </w:rPr>
              <w:t>Costs and expenses:</w:t>
            </w:r>
          </w:p>
        </w:tc>
        <w:tc>
          <w:tcPr>
            <w:tcW w:w="0" w:type="auto"/>
            <w:gridSpan w:val="3"/>
            <w:shd w:val="clear" w:color="auto" w:fill="FFFFFF"/>
            <w:tcMar>
              <w:top w:w="0" w:type="dxa"/>
              <w:left w:w="20" w:type="dxa"/>
              <w:bottom w:w="0" w:type="dxa"/>
              <w:right w:w="20" w:type="dxa"/>
            </w:tcMar>
            <w:vAlign w:val="bottom"/>
          </w:tcPr>
          <w:p w14:paraId="0B2FB423"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424"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425" w14:textId="77777777" w:rsidR="007F1775" w:rsidRDefault="007F1775">
            <w:pPr>
              <w:rPr>
                <w:rFonts w:ascii="宋体"/>
              </w:rPr>
            </w:pPr>
          </w:p>
        </w:tc>
        <w:tc>
          <w:tcPr>
            <w:tcW w:w="0" w:type="auto"/>
            <w:shd w:val="clear" w:color="auto" w:fill="auto"/>
            <w:vAlign w:val="bottom"/>
          </w:tcPr>
          <w:p w14:paraId="0B2FB426" w14:textId="77777777" w:rsidR="007F1775" w:rsidRDefault="007F1775">
            <w:pPr>
              <w:rPr>
                <w:rFonts w:ascii="宋体"/>
                <w:vanish/>
              </w:rPr>
            </w:pPr>
          </w:p>
        </w:tc>
        <w:tc>
          <w:tcPr>
            <w:tcW w:w="0" w:type="auto"/>
            <w:shd w:val="clear" w:color="auto" w:fill="auto"/>
            <w:vAlign w:val="bottom"/>
          </w:tcPr>
          <w:p w14:paraId="0B2FB427" w14:textId="77777777" w:rsidR="007F1775" w:rsidRDefault="007F1775">
            <w:pPr>
              <w:rPr>
                <w:rFonts w:ascii="宋体"/>
                <w:vanish/>
              </w:rPr>
            </w:pPr>
          </w:p>
        </w:tc>
        <w:tc>
          <w:tcPr>
            <w:tcW w:w="0" w:type="auto"/>
            <w:gridSpan w:val="3"/>
            <w:shd w:val="clear" w:color="auto" w:fill="auto"/>
            <w:vAlign w:val="bottom"/>
          </w:tcPr>
          <w:p w14:paraId="0B2FB428" w14:textId="77777777" w:rsidR="007F1775" w:rsidRDefault="007F1775">
            <w:pPr>
              <w:rPr>
                <w:rFonts w:ascii="宋体"/>
                <w:vanish/>
              </w:rPr>
            </w:pPr>
          </w:p>
        </w:tc>
        <w:tc>
          <w:tcPr>
            <w:tcW w:w="0" w:type="auto"/>
            <w:gridSpan w:val="3"/>
            <w:shd w:val="clear" w:color="auto" w:fill="auto"/>
            <w:vAlign w:val="bottom"/>
          </w:tcPr>
          <w:p w14:paraId="0B2FB429" w14:textId="77777777" w:rsidR="007F1775" w:rsidRDefault="007F1775">
            <w:pPr>
              <w:rPr>
                <w:rFonts w:ascii="宋体"/>
                <w:vanish/>
              </w:rPr>
            </w:pPr>
          </w:p>
        </w:tc>
      </w:tr>
      <w:tr w:rsidR="007F1775" w14:paraId="0B2FB435" w14:textId="77777777">
        <w:tc>
          <w:tcPr>
            <w:tcW w:w="0" w:type="auto"/>
            <w:gridSpan w:val="3"/>
            <w:shd w:val="clear" w:color="auto" w:fill="CCEEFF"/>
            <w:tcMar>
              <w:top w:w="40" w:type="dxa"/>
              <w:left w:w="200" w:type="dxa"/>
              <w:bottom w:w="40" w:type="dxa"/>
              <w:right w:w="20" w:type="dxa"/>
            </w:tcMar>
          </w:tcPr>
          <w:p w14:paraId="0B2FB42B" w14:textId="77777777" w:rsidR="007F1775" w:rsidRDefault="000F083E">
            <w:pPr>
              <w:textAlignment w:val="top"/>
            </w:pPr>
            <w:r>
              <w:rPr>
                <w:rFonts w:ascii="Times New Roman" w:eastAsia="宋体" w:hAnsi="Times New Roman"/>
                <w:color w:val="000000"/>
                <w:sz w:val="20"/>
                <w:szCs w:val="20"/>
              </w:rPr>
              <w:t xml:space="preserve">Cost of </w:t>
            </w:r>
            <w:r>
              <w:rPr>
                <w:rFonts w:ascii="Times New Roman" w:eastAsia="宋体" w:hAnsi="Times New Roman"/>
                <w:color w:val="000000"/>
                <w:sz w:val="20"/>
                <w:szCs w:val="20"/>
              </w:rPr>
              <w:t>revenue</w:t>
            </w:r>
          </w:p>
        </w:tc>
        <w:tc>
          <w:tcPr>
            <w:tcW w:w="0" w:type="auto"/>
            <w:gridSpan w:val="2"/>
            <w:shd w:val="clear" w:color="auto" w:fill="CCEEFF"/>
            <w:tcMar>
              <w:top w:w="40" w:type="dxa"/>
              <w:left w:w="20" w:type="dxa"/>
              <w:bottom w:w="40" w:type="dxa"/>
              <w:right w:w="0" w:type="dxa"/>
            </w:tcMar>
            <w:vAlign w:val="bottom"/>
          </w:tcPr>
          <w:p w14:paraId="0B2FB42C" w14:textId="77777777" w:rsidR="007F1775" w:rsidRDefault="000F083E">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0B2FB42D"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42E"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42F" w14:textId="77777777" w:rsidR="007F1775" w:rsidRDefault="000F083E">
            <w:pPr>
              <w:jc w:val="right"/>
              <w:textAlignment w:val="bottom"/>
            </w:pPr>
            <w:r>
              <w:rPr>
                <w:rFonts w:ascii="Times New Roman" w:eastAsia="宋体" w:hAnsi="Times New Roman"/>
                <w:color w:val="000000"/>
                <w:sz w:val="20"/>
                <w:szCs w:val="20"/>
              </w:rPr>
              <w:t>20 </w:t>
            </w:r>
          </w:p>
        </w:tc>
        <w:tc>
          <w:tcPr>
            <w:tcW w:w="0" w:type="auto"/>
            <w:shd w:val="clear" w:color="auto" w:fill="CCEEFF"/>
            <w:tcMar>
              <w:top w:w="40" w:type="dxa"/>
              <w:left w:w="0" w:type="dxa"/>
              <w:bottom w:w="40" w:type="dxa"/>
              <w:right w:w="20" w:type="dxa"/>
            </w:tcMar>
            <w:vAlign w:val="bottom"/>
          </w:tcPr>
          <w:p w14:paraId="0B2FB430" w14:textId="77777777" w:rsidR="007F1775" w:rsidRDefault="007F1775">
            <w:pPr>
              <w:jc w:val="right"/>
              <w:rPr>
                <w:rFonts w:ascii="宋体"/>
              </w:rPr>
            </w:pPr>
          </w:p>
        </w:tc>
        <w:tc>
          <w:tcPr>
            <w:tcW w:w="0" w:type="auto"/>
            <w:shd w:val="clear" w:color="auto" w:fill="auto"/>
            <w:vAlign w:val="bottom"/>
          </w:tcPr>
          <w:p w14:paraId="0B2FB431" w14:textId="77777777" w:rsidR="007F1775" w:rsidRDefault="007F1775">
            <w:pPr>
              <w:rPr>
                <w:rFonts w:ascii="宋体"/>
                <w:vanish/>
              </w:rPr>
            </w:pPr>
          </w:p>
        </w:tc>
        <w:tc>
          <w:tcPr>
            <w:tcW w:w="0" w:type="auto"/>
            <w:shd w:val="clear" w:color="auto" w:fill="auto"/>
            <w:vAlign w:val="bottom"/>
          </w:tcPr>
          <w:p w14:paraId="0B2FB432" w14:textId="77777777" w:rsidR="007F1775" w:rsidRDefault="007F1775">
            <w:pPr>
              <w:rPr>
                <w:rFonts w:ascii="宋体"/>
                <w:vanish/>
              </w:rPr>
            </w:pPr>
          </w:p>
        </w:tc>
        <w:tc>
          <w:tcPr>
            <w:tcW w:w="0" w:type="auto"/>
            <w:gridSpan w:val="3"/>
            <w:shd w:val="clear" w:color="auto" w:fill="auto"/>
            <w:vAlign w:val="bottom"/>
          </w:tcPr>
          <w:p w14:paraId="0B2FB433" w14:textId="77777777" w:rsidR="007F1775" w:rsidRDefault="007F1775">
            <w:pPr>
              <w:rPr>
                <w:rFonts w:ascii="宋体"/>
                <w:vanish/>
              </w:rPr>
            </w:pPr>
          </w:p>
        </w:tc>
        <w:tc>
          <w:tcPr>
            <w:tcW w:w="0" w:type="auto"/>
            <w:gridSpan w:val="3"/>
            <w:shd w:val="clear" w:color="auto" w:fill="auto"/>
            <w:vAlign w:val="bottom"/>
          </w:tcPr>
          <w:p w14:paraId="0B2FB434" w14:textId="77777777" w:rsidR="007F1775" w:rsidRDefault="007F1775">
            <w:pPr>
              <w:rPr>
                <w:rFonts w:ascii="宋体"/>
                <w:vanish/>
              </w:rPr>
            </w:pPr>
          </w:p>
        </w:tc>
      </w:tr>
      <w:tr w:rsidR="007F1775" w14:paraId="0B2FB440" w14:textId="77777777">
        <w:tc>
          <w:tcPr>
            <w:tcW w:w="0" w:type="auto"/>
            <w:gridSpan w:val="3"/>
            <w:shd w:val="clear" w:color="auto" w:fill="FFFFFF"/>
            <w:tcMar>
              <w:top w:w="40" w:type="dxa"/>
              <w:left w:w="200" w:type="dxa"/>
              <w:bottom w:w="40" w:type="dxa"/>
              <w:right w:w="20" w:type="dxa"/>
            </w:tcMar>
          </w:tcPr>
          <w:p w14:paraId="0B2FB436" w14:textId="77777777" w:rsidR="007F1775" w:rsidRDefault="000F083E">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B2FB437" w14:textId="77777777" w:rsidR="007F1775" w:rsidRDefault="000F083E">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0B2FB438"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439"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43A" w14:textId="77777777" w:rsidR="007F1775" w:rsidRDefault="000F083E">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0B2FB43B" w14:textId="77777777" w:rsidR="007F1775" w:rsidRDefault="007F1775">
            <w:pPr>
              <w:jc w:val="right"/>
              <w:rPr>
                <w:rFonts w:ascii="宋体"/>
              </w:rPr>
            </w:pPr>
          </w:p>
        </w:tc>
        <w:tc>
          <w:tcPr>
            <w:tcW w:w="0" w:type="auto"/>
            <w:shd w:val="clear" w:color="auto" w:fill="auto"/>
            <w:vAlign w:val="bottom"/>
          </w:tcPr>
          <w:p w14:paraId="0B2FB43C" w14:textId="77777777" w:rsidR="007F1775" w:rsidRDefault="007F1775">
            <w:pPr>
              <w:rPr>
                <w:rFonts w:ascii="宋体"/>
                <w:vanish/>
              </w:rPr>
            </w:pPr>
          </w:p>
        </w:tc>
        <w:tc>
          <w:tcPr>
            <w:tcW w:w="0" w:type="auto"/>
            <w:shd w:val="clear" w:color="auto" w:fill="auto"/>
            <w:vAlign w:val="bottom"/>
          </w:tcPr>
          <w:p w14:paraId="0B2FB43D" w14:textId="77777777" w:rsidR="007F1775" w:rsidRDefault="007F1775">
            <w:pPr>
              <w:rPr>
                <w:rFonts w:ascii="宋体"/>
                <w:vanish/>
              </w:rPr>
            </w:pPr>
          </w:p>
        </w:tc>
        <w:tc>
          <w:tcPr>
            <w:tcW w:w="0" w:type="auto"/>
            <w:gridSpan w:val="3"/>
            <w:shd w:val="clear" w:color="auto" w:fill="auto"/>
            <w:vAlign w:val="bottom"/>
          </w:tcPr>
          <w:p w14:paraId="0B2FB43E" w14:textId="77777777" w:rsidR="007F1775" w:rsidRDefault="007F1775">
            <w:pPr>
              <w:rPr>
                <w:rFonts w:ascii="宋体"/>
                <w:vanish/>
              </w:rPr>
            </w:pPr>
          </w:p>
        </w:tc>
        <w:tc>
          <w:tcPr>
            <w:tcW w:w="0" w:type="auto"/>
            <w:gridSpan w:val="3"/>
            <w:shd w:val="clear" w:color="auto" w:fill="auto"/>
            <w:vAlign w:val="bottom"/>
          </w:tcPr>
          <w:p w14:paraId="0B2FB43F" w14:textId="77777777" w:rsidR="007F1775" w:rsidRDefault="007F1775">
            <w:pPr>
              <w:rPr>
                <w:rFonts w:ascii="宋体"/>
                <w:vanish/>
              </w:rPr>
            </w:pPr>
          </w:p>
        </w:tc>
      </w:tr>
      <w:tr w:rsidR="007F1775" w14:paraId="0B2FB44B" w14:textId="77777777">
        <w:tc>
          <w:tcPr>
            <w:tcW w:w="0" w:type="auto"/>
            <w:gridSpan w:val="3"/>
            <w:shd w:val="clear" w:color="auto" w:fill="CCEEFF"/>
            <w:tcMar>
              <w:top w:w="40" w:type="dxa"/>
              <w:left w:w="200" w:type="dxa"/>
              <w:bottom w:w="40" w:type="dxa"/>
              <w:right w:w="20" w:type="dxa"/>
            </w:tcMar>
          </w:tcPr>
          <w:p w14:paraId="0B2FB441" w14:textId="77777777" w:rsidR="007F1775" w:rsidRDefault="000F083E">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0B2FB442" w14:textId="77777777" w:rsidR="007F1775" w:rsidRDefault="000F083E">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0B2FB44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444"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445" w14:textId="77777777" w:rsidR="007F1775" w:rsidRDefault="000F083E">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0B2FB446" w14:textId="77777777" w:rsidR="007F1775" w:rsidRDefault="007F1775">
            <w:pPr>
              <w:jc w:val="right"/>
              <w:rPr>
                <w:rFonts w:ascii="宋体"/>
              </w:rPr>
            </w:pPr>
          </w:p>
        </w:tc>
        <w:tc>
          <w:tcPr>
            <w:tcW w:w="0" w:type="auto"/>
            <w:shd w:val="clear" w:color="auto" w:fill="auto"/>
            <w:vAlign w:val="bottom"/>
          </w:tcPr>
          <w:p w14:paraId="0B2FB447" w14:textId="77777777" w:rsidR="007F1775" w:rsidRDefault="007F1775">
            <w:pPr>
              <w:rPr>
                <w:rFonts w:ascii="宋体"/>
                <w:vanish/>
              </w:rPr>
            </w:pPr>
          </w:p>
        </w:tc>
        <w:tc>
          <w:tcPr>
            <w:tcW w:w="0" w:type="auto"/>
            <w:shd w:val="clear" w:color="auto" w:fill="auto"/>
            <w:vAlign w:val="bottom"/>
          </w:tcPr>
          <w:p w14:paraId="0B2FB448" w14:textId="77777777" w:rsidR="007F1775" w:rsidRDefault="007F1775">
            <w:pPr>
              <w:rPr>
                <w:rFonts w:ascii="宋体"/>
                <w:vanish/>
              </w:rPr>
            </w:pPr>
          </w:p>
        </w:tc>
        <w:tc>
          <w:tcPr>
            <w:tcW w:w="0" w:type="auto"/>
            <w:gridSpan w:val="3"/>
            <w:shd w:val="clear" w:color="auto" w:fill="auto"/>
            <w:vAlign w:val="bottom"/>
          </w:tcPr>
          <w:p w14:paraId="0B2FB449" w14:textId="77777777" w:rsidR="007F1775" w:rsidRDefault="007F1775">
            <w:pPr>
              <w:rPr>
                <w:rFonts w:ascii="宋体"/>
                <w:vanish/>
              </w:rPr>
            </w:pPr>
          </w:p>
        </w:tc>
        <w:tc>
          <w:tcPr>
            <w:tcW w:w="0" w:type="auto"/>
            <w:gridSpan w:val="3"/>
            <w:shd w:val="clear" w:color="auto" w:fill="auto"/>
            <w:vAlign w:val="bottom"/>
          </w:tcPr>
          <w:p w14:paraId="0B2FB44A" w14:textId="77777777" w:rsidR="007F1775" w:rsidRDefault="007F1775">
            <w:pPr>
              <w:rPr>
                <w:rFonts w:ascii="宋体"/>
                <w:vanish/>
              </w:rPr>
            </w:pPr>
          </w:p>
        </w:tc>
      </w:tr>
      <w:tr w:rsidR="007F1775" w14:paraId="0B2FB456" w14:textId="77777777">
        <w:tc>
          <w:tcPr>
            <w:tcW w:w="0" w:type="auto"/>
            <w:gridSpan w:val="3"/>
            <w:shd w:val="clear" w:color="auto" w:fill="FFFFFF"/>
            <w:tcMar>
              <w:top w:w="40" w:type="dxa"/>
              <w:left w:w="200" w:type="dxa"/>
              <w:bottom w:w="40" w:type="dxa"/>
              <w:right w:w="20" w:type="dxa"/>
            </w:tcMar>
          </w:tcPr>
          <w:p w14:paraId="0B2FB44C" w14:textId="77777777" w:rsidR="007F1775" w:rsidRDefault="000F083E">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B2FB44D" w14:textId="77777777" w:rsidR="007F1775" w:rsidRDefault="000F083E">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B2FB44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44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450" w14:textId="77777777" w:rsidR="007F1775" w:rsidRDefault="000F083E">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0B2FB451" w14:textId="77777777" w:rsidR="007F1775" w:rsidRDefault="007F1775">
            <w:pPr>
              <w:jc w:val="right"/>
              <w:rPr>
                <w:rFonts w:ascii="宋体"/>
              </w:rPr>
            </w:pPr>
          </w:p>
        </w:tc>
        <w:tc>
          <w:tcPr>
            <w:tcW w:w="0" w:type="auto"/>
            <w:shd w:val="clear" w:color="auto" w:fill="auto"/>
            <w:vAlign w:val="bottom"/>
          </w:tcPr>
          <w:p w14:paraId="0B2FB452" w14:textId="77777777" w:rsidR="007F1775" w:rsidRDefault="007F1775">
            <w:pPr>
              <w:rPr>
                <w:rFonts w:ascii="宋体"/>
                <w:vanish/>
              </w:rPr>
            </w:pPr>
          </w:p>
        </w:tc>
        <w:tc>
          <w:tcPr>
            <w:tcW w:w="0" w:type="auto"/>
            <w:shd w:val="clear" w:color="auto" w:fill="auto"/>
            <w:vAlign w:val="bottom"/>
          </w:tcPr>
          <w:p w14:paraId="0B2FB453" w14:textId="77777777" w:rsidR="007F1775" w:rsidRDefault="007F1775">
            <w:pPr>
              <w:rPr>
                <w:rFonts w:ascii="宋体"/>
                <w:vanish/>
              </w:rPr>
            </w:pPr>
          </w:p>
        </w:tc>
        <w:tc>
          <w:tcPr>
            <w:tcW w:w="0" w:type="auto"/>
            <w:gridSpan w:val="3"/>
            <w:shd w:val="clear" w:color="auto" w:fill="auto"/>
            <w:vAlign w:val="bottom"/>
          </w:tcPr>
          <w:p w14:paraId="0B2FB454" w14:textId="77777777" w:rsidR="007F1775" w:rsidRDefault="007F1775">
            <w:pPr>
              <w:rPr>
                <w:rFonts w:ascii="宋体"/>
                <w:vanish/>
              </w:rPr>
            </w:pPr>
          </w:p>
        </w:tc>
        <w:tc>
          <w:tcPr>
            <w:tcW w:w="0" w:type="auto"/>
            <w:gridSpan w:val="3"/>
            <w:shd w:val="clear" w:color="auto" w:fill="auto"/>
            <w:vAlign w:val="bottom"/>
          </w:tcPr>
          <w:p w14:paraId="0B2FB455" w14:textId="77777777" w:rsidR="007F1775" w:rsidRDefault="007F1775">
            <w:pPr>
              <w:rPr>
                <w:rFonts w:ascii="宋体"/>
                <w:vanish/>
              </w:rPr>
            </w:pPr>
          </w:p>
        </w:tc>
      </w:tr>
      <w:tr w:rsidR="007F1775" w14:paraId="0B2FB461" w14:textId="77777777">
        <w:tc>
          <w:tcPr>
            <w:tcW w:w="0" w:type="auto"/>
            <w:gridSpan w:val="3"/>
            <w:shd w:val="clear" w:color="auto" w:fill="CCEEFF"/>
            <w:tcMar>
              <w:top w:w="40" w:type="dxa"/>
              <w:left w:w="380" w:type="dxa"/>
              <w:bottom w:w="40" w:type="dxa"/>
              <w:right w:w="20" w:type="dxa"/>
            </w:tcMar>
          </w:tcPr>
          <w:p w14:paraId="0B2FB457" w14:textId="77777777" w:rsidR="007F1775" w:rsidRDefault="000F083E">
            <w:pPr>
              <w:textAlignment w:val="top"/>
            </w:pPr>
            <w:r>
              <w:rPr>
                <w:rFonts w:ascii="Times New Roman" w:eastAsia="宋体" w:hAnsi="Times New Roman"/>
                <w:color w:val="000000"/>
                <w:sz w:val="20"/>
                <w:szCs w:val="20"/>
              </w:rPr>
              <w:t>Total costs and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B458" w14:textId="77777777" w:rsidR="007F1775" w:rsidRDefault="000F083E">
            <w:pPr>
              <w:jc w:val="right"/>
              <w:textAlignment w:val="bottom"/>
            </w:pPr>
            <w:r>
              <w:rPr>
                <w:rFonts w:ascii="Times New Roman" w:eastAsia="宋体" w:hAnsi="Times New Roman"/>
                <w:color w:val="000000"/>
                <w:sz w:val="20"/>
                <w:szCs w:val="20"/>
              </w:rPr>
              <w:t>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459"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45A"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B45B" w14:textId="77777777" w:rsidR="007F1775" w:rsidRDefault="000F083E">
            <w:pPr>
              <w:jc w:val="right"/>
              <w:textAlignment w:val="bottom"/>
            </w:pPr>
            <w:r>
              <w:rPr>
                <w:rFonts w:ascii="Times New Roman" w:eastAsia="宋体" w:hAnsi="Times New Roman"/>
                <w:color w:val="000000"/>
                <w:sz w:val="20"/>
                <w:szCs w:val="20"/>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45C" w14:textId="77777777" w:rsidR="007F1775" w:rsidRDefault="007F1775">
            <w:pPr>
              <w:jc w:val="right"/>
              <w:rPr>
                <w:rFonts w:ascii="宋体"/>
              </w:rPr>
            </w:pPr>
          </w:p>
        </w:tc>
        <w:tc>
          <w:tcPr>
            <w:tcW w:w="0" w:type="auto"/>
            <w:shd w:val="clear" w:color="auto" w:fill="auto"/>
            <w:vAlign w:val="bottom"/>
          </w:tcPr>
          <w:p w14:paraId="0B2FB45D" w14:textId="77777777" w:rsidR="007F1775" w:rsidRDefault="007F1775">
            <w:pPr>
              <w:rPr>
                <w:rFonts w:ascii="宋体"/>
                <w:vanish/>
              </w:rPr>
            </w:pPr>
          </w:p>
        </w:tc>
        <w:tc>
          <w:tcPr>
            <w:tcW w:w="0" w:type="auto"/>
            <w:shd w:val="clear" w:color="auto" w:fill="auto"/>
            <w:vAlign w:val="bottom"/>
          </w:tcPr>
          <w:p w14:paraId="0B2FB45E" w14:textId="77777777" w:rsidR="007F1775" w:rsidRDefault="007F1775">
            <w:pPr>
              <w:rPr>
                <w:rFonts w:ascii="宋体"/>
                <w:vanish/>
              </w:rPr>
            </w:pPr>
          </w:p>
        </w:tc>
        <w:tc>
          <w:tcPr>
            <w:tcW w:w="0" w:type="auto"/>
            <w:gridSpan w:val="3"/>
            <w:shd w:val="clear" w:color="auto" w:fill="auto"/>
            <w:vAlign w:val="bottom"/>
          </w:tcPr>
          <w:p w14:paraId="0B2FB45F" w14:textId="77777777" w:rsidR="007F1775" w:rsidRDefault="007F1775">
            <w:pPr>
              <w:rPr>
                <w:rFonts w:ascii="宋体"/>
                <w:vanish/>
              </w:rPr>
            </w:pPr>
          </w:p>
        </w:tc>
        <w:tc>
          <w:tcPr>
            <w:tcW w:w="0" w:type="auto"/>
            <w:gridSpan w:val="3"/>
            <w:shd w:val="clear" w:color="auto" w:fill="auto"/>
            <w:vAlign w:val="bottom"/>
          </w:tcPr>
          <w:p w14:paraId="0B2FB460" w14:textId="77777777" w:rsidR="007F1775" w:rsidRDefault="007F1775">
            <w:pPr>
              <w:rPr>
                <w:rFonts w:ascii="宋体"/>
                <w:vanish/>
              </w:rPr>
            </w:pPr>
          </w:p>
        </w:tc>
      </w:tr>
      <w:tr w:rsidR="007F1775" w14:paraId="0B2FB46C" w14:textId="77777777">
        <w:tc>
          <w:tcPr>
            <w:tcW w:w="0" w:type="auto"/>
            <w:gridSpan w:val="3"/>
            <w:shd w:val="clear" w:color="auto" w:fill="FFFFFF"/>
            <w:tcMar>
              <w:top w:w="40" w:type="dxa"/>
              <w:left w:w="20" w:type="dxa"/>
              <w:bottom w:w="40" w:type="dxa"/>
              <w:right w:w="20" w:type="dxa"/>
            </w:tcMar>
          </w:tcPr>
          <w:p w14:paraId="0B2FB462" w14:textId="77777777" w:rsidR="007F1775" w:rsidRDefault="000F083E">
            <w:pPr>
              <w:textAlignment w:val="top"/>
            </w:pPr>
            <w:r>
              <w:rPr>
                <w:rFonts w:ascii="Times New Roman" w:eastAsia="宋体" w:hAnsi="Times New Roman"/>
                <w:color w:val="000000"/>
                <w:sz w:val="20"/>
                <w:szCs w:val="20"/>
              </w:rPr>
              <w:t>Income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B463" w14:textId="77777777" w:rsidR="007F1775" w:rsidRDefault="000F083E">
            <w:pPr>
              <w:jc w:val="right"/>
              <w:textAlignment w:val="bottom"/>
            </w:pPr>
            <w:r>
              <w:rPr>
                <w:rFonts w:ascii="Times New Roman" w:eastAsia="宋体" w:hAnsi="Times New Roman"/>
                <w:color w:val="000000"/>
                <w:sz w:val="20"/>
                <w:szCs w:val="20"/>
              </w:rPr>
              <w:t>31 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B46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465"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B466" w14:textId="77777777" w:rsidR="007F1775" w:rsidRDefault="000F083E">
            <w:pPr>
              <w:jc w:val="right"/>
              <w:textAlignment w:val="bottom"/>
            </w:pPr>
            <w:r>
              <w:rPr>
                <w:rFonts w:ascii="Times New Roman" w:eastAsia="宋体" w:hAnsi="Times New Roman"/>
                <w:color w:val="000000"/>
                <w:sz w:val="20"/>
                <w:szCs w:val="20"/>
              </w:rPr>
              <w:t>43 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B467" w14:textId="77777777" w:rsidR="007F1775" w:rsidRDefault="007F1775">
            <w:pPr>
              <w:jc w:val="right"/>
              <w:rPr>
                <w:rFonts w:ascii="宋体"/>
              </w:rPr>
            </w:pPr>
          </w:p>
        </w:tc>
        <w:tc>
          <w:tcPr>
            <w:tcW w:w="0" w:type="auto"/>
            <w:shd w:val="clear" w:color="auto" w:fill="auto"/>
            <w:vAlign w:val="bottom"/>
          </w:tcPr>
          <w:p w14:paraId="0B2FB468" w14:textId="77777777" w:rsidR="007F1775" w:rsidRDefault="007F1775">
            <w:pPr>
              <w:rPr>
                <w:rFonts w:ascii="宋体"/>
                <w:vanish/>
              </w:rPr>
            </w:pPr>
          </w:p>
        </w:tc>
        <w:tc>
          <w:tcPr>
            <w:tcW w:w="0" w:type="auto"/>
            <w:shd w:val="clear" w:color="auto" w:fill="auto"/>
            <w:vAlign w:val="bottom"/>
          </w:tcPr>
          <w:p w14:paraId="0B2FB469" w14:textId="77777777" w:rsidR="007F1775" w:rsidRDefault="007F1775">
            <w:pPr>
              <w:rPr>
                <w:rFonts w:ascii="宋体"/>
                <w:vanish/>
              </w:rPr>
            </w:pPr>
          </w:p>
        </w:tc>
        <w:tc>
          <w:tcPr>
            <w:tcW w:w="0" w:type="auto"/>
            <w:gridSpan w:val="3"/>
            <w:shd w:val="clear" w:color="auto" w:fill="auto"/>
            <w:vAlign w:val="bottom"/>
          </w:tcPr>
          <w:p w14:paraId="0B2FB46A" w14:textId="77777777" w:rsidR="007F1775" w:rsidRDefault="007F1775">
            <w:pPr>
              <w:rPr>
                <w:rFonts w:ascii="宋体"/>
                <w:vanish/>
              </w:rPr>
            </w:pPr>
          </w:p>
        </w:tc>
        <w:tc>
          <w:tcPr>
            <w:tcW w:w="0" w:type="auto"/>
            <w:gridSpan w:val="3"/>
            <w:shd w:val="clear" w:color="auto" w:fill="auto"/>
            <w:vAlign w:val="bottom"/>
          </w:tcPr>
          <w:p w14:paraId="0B2FB46B" w14:textId="77777777" w:rsidR="007F1775" w:rsidRDefault="007F1775">
            <w:pPr>
              <w:rPr>
                <w:rFonts w:ascii="宋体"/>
                <w:vanish/>
              </w:rPr>
            </w:pPr>
          </w:p>
        </w:tc>
      </w:tr>
      <w:tr w:rsidR="007F1775" w14:paraId="0B2FB477" w14:textId="77777777">
        <w:tc>
          <w:tcPr>
            <w:tcW w:w="0" w:type="auto"/>
            <w:gridSpan w:val="3"/>
            <w:shd w:val="clear" w:color="auto" w:fill="CCEEFF"/>
            <w:tcMar>
              <w:top w:w="40" w:type="dxa"/>
              <w:left w:w="20" w:type="dxa"/>
              <w:bottom w:w="40" w:type="dxa"/>
              <w:right w:w="20" w:type="dxa"/>
            </w:tcMar>
          </w:tcPr>
          <w:p w14:paraId="0B2FB46D" w14:textId="77777777" w:rsidR="007F1775" w:rsidRDefault="000F083E">
            <w:pPr>
              <w:textAlignment w:val="top"/>
            </w:pPr>
            <w:r>
              <w:rPr>
                <w:rFonts w:ascii="Times New Roman" w:eastAsia="宋体" w:hAnsi="Times New Roman"/>
                <w:color w:val="000000"/>
                <w:sz w:val="20"/>
                <w:szCs w:val="20"/>
              </w:rPr>
              <w:t>Interest and other income, net</w:t>
            </w:r>
          </w:p>
        </w:tc>
        <w:tc>
          <w:tcPr>
            <w:tcW w:w="0" w:type="auto"/>
            <w:gridSpan w:val="2"/>
            <w:shd w:val="clear" w:color="auto" w:fill="CCEEFF"/>
            <w:tcMar>
              <w:top w:w="40" w:type="dxa"/>
              <w:left w:w="20" w:type="dxa"/>
              <w:bottom w:w="40" w:type="dxa"/>
              <w:right w:w="0" w:type="dxa"/>
            </w:tcMar>
            <w:vAlign w:val="bottom"/>
          </w:tcPr>
          <w:p w14:paraId="0B2FB46E" w14:textId="77777777" w:rsidR="007F1775" w:rsidRDefault="000F083E">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B2FB46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470"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471"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B2FB472" w14:textId="77777777" w:rsidR="007F1775" w:rsidRDefault="007F1775">
            <w:pPr>
              <w:jc w:val="right"/>
              <w:rPr>
                <w:rFonts w:ascii="宋体"/>
              </w:rPr>
            </w:pPr>
          </w:p>
        </w:tc>
        <w:tc>
          <w:tcPr>
            <w:tcW w:w="0" w:type="auto"/>
            <w:shd w:val="clear" w:color="auto" w:fill="auto"/>
            <w:vAlign w:val="bottom"/>
          </w:tcPr>
          <w:p w14:paraId="0B2FB473" w14:textId="77777777" w:rsidR="007F1775" w:rsidRDefault="007F1775">
            <w:pPr>
              <w:rPr>
                <w:rFonts w:ascii="宋体"/>
                <w:vanish/>
              </w:rPr>
            </w:pPr>
          </w:p>
        </w:tc>
        <w:tc>
          <w:tcPr>
            <w:tcW w:w="0" w:type="auto"/>
            <w:shd w:val="clear" w:color="auto" w:fill="auto"/>
            <w:vAlign w:val="bottom"/>
          </w:tcPr>
          <w:p w14:paraId="0B2FB474" w14:textId="77777777" w:rsidR="007F1775" w:rsidRDefault="007F1775">
            <w:pPr>
              <w:rPr>
                <w:rFonts w:ascii="宋体"/>
                <w:vanish/>
              </w:rPr>
            </w:pPr>
          </w:p>
        </w:tc>
        <w:tc>
          <w:tcPr>
            <w:tcW w:w="0" w:type="auto"/>
            <w:gridSpan w:val="3"/>
            <w:shd w:val="clear" w:color="auto" w:fill="auto"/>
            <w:vAlign w:val="bottom"/>
          </w:tcPr>
          <w:p w14:paraId="0B2FB475" w14:textId="77777777" w:rsidR="007F1775" w:rsidRDefault="007F1775">
            <w:pPr>
              <w:rPr>
                <w:rFonts w:ascii="宋体"/>
                <w:vanish/>
              </w:rPr>
            </w:pPr>
          </w:p>
        </w:tc>
        <w:tc>
          <w:tcPr>
            <w:tcW w:w="0" w:type="auto"/>
            <w:gridSpan w:val="3"/>
            <w:shd w:val="clear" w:color="auto" w:fill="auto"/>
            <w:vAlign w:val="bottom"/>
          </w:tcPr>
          <w:p w14:paraId="0B2FB476" w14:textId="77777777" w:rsidR="007F1775" w:rsidRDefault="007F1775">
            <w:pPr>
              <w:rPr>
                <w:rFonts w:ascii="宋体"/>
                <w:vanish/>
              </w:rPr>
            </w:pPr>
          </w:p>
        </w:tc>
      </w:tr>
      <w:tr w:rsidR="007F1775" w14:paraId="0B2FB482" w14:textId="77777777">
        <w:tc>
          <w:tcPr>
            <w:tcW w:w="0" w:type="auto"/>
            <w:gridSpan w:val="3"/>
            <w:shd w:val="clear" w:color="auto" w:fill="FFFFFF"/>
            <w:tcMar>
              <w:top w:w="40" w:type="dxa"/>
              <w:left w:w="20" w:type="dxa"/>
              <w:bottom w:w="40" w:type="dxa"/>
              <w:right w:w="20" w:type="dxa"/>
            </w:tcMar>
          </w:tcPr>
          <w:p w14:paraId="0B2FB478" w14:textId="77777777" w:rsidR="007F1775" w:rsidRDefault="000F083E">
            <w:pPr>
              <w:textAlignment w:val="top"/>
            </w:pPr>
            <w:r>
              <w:rPr>
                <w:rFonts w:ascii="Times New Roman" w:eastAsia="宋体" w:hAnsi="Times New Roman"/>
                <w:color w:val="000000"/>
                <w:sz w:val="20"/>
                <w:szCs w:val="20"/>
              </w:rPr>
              <w:t>Income before provision for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B479" w14:textId="77777777" w:rsidR="007F1775" w:rsidRDefault="000F083E">
            <w:pPr>
              <w:jc w:val="right"/>
              <w:textAlignment w:val="bottom"/>
            </w:pPr>
            <w:r>
              <w:rPr>
                <w:rFonts w:ascii="Times New Roman" w:eastAsia="宋体" w:hAnsi="Times New Roman"/>
                <w:color w:val="000000"/>
                <w:sz w:val="20"/>
                <w:szCs w:val="20"/>
              </w:rPr>
              <w:t>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B47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47B" w14:textId="77777777" w:rsidR="007F1775" w:rsidRDefault="007F177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B2FB47C" w14:textId="77777777" w:rsidR="007F1775" w:rsidRDefault="000F083E">
            <w:pPr>
              <w:jc w:val="right"/>
              <w:textAlignment w:val="bottom"/>
            </w:pPr>
            <w:r>
              <w:rPr>
                <w:rFonts w:ascii="Times New Roman" w:eastAsia="宋体" w:hAnsi="Times New Roman"/>
                <w:color w:val="000000"/>
                <w:sz w:val="20"/>
                <w:szCs w:val="20"/>
              </w:rPr>
              <w:t>44 </w:t>
            </w:r>
          </w:p>
        </w:tc>
        <w:tc>
          <w:tcPr>
            <w:tcW w:w="0" w:type="auto"/>
            <w:tcBorders>
              <w:top w:val="single" w:sz="8" w:space="0" w:color="000000"/>
            </w:tcBorders>
            <w:shd w:val="clear" w:color="auto" w:fill="FFFFFF"/>
            <w:tcMar>
              <w:top w:w="40" w:type="dxa"/>
              <w:left w:w="0" w:type="dxa"/>
              <w:bottom w:w="40" w:type="dxa"/>
              <w:right w:w="20" w:type="dxa"/>
            </w:tcMar>
            <w:vAlign w:val="bottom"/>
          </w:tcPr>
          <w:p w14:paraId="0B2FB47D" w14:textId="77777777" w:rsidR="007F1775" w:rsidRDefault="007F1775">
            <w:pPr>
              <w:jc w:val="right"/>
              <w:rPr>
                <w:rFonts w:ascii="宋体"/>
              </w:rPr>
            </w:pPr>
          </w:p>
        </w:tc>
        <w:tc>
          <w:tcPr>
            <w:tcW w:w="0" w:type="auto"/>
            <w:shd w:val="clear" w:color="auto" w:fill="auto"/>
            <w:vAlign w:val="bottom"/>
          </w:tcPr>
          <w:p w14:paraId="0B2FB47E" w14:textId="77777777" w:rsidR="007F1775" w:rsidRDefault="007F1775">
            <w:pPr>
              <w:rPr>
                <w:rFonts w:ascii="宋体"/>
                <w:vanish/>
              </w:rPr>
            </w:pPr>
          </w:p>
        </w:tc>
        <w:tc>
          <w:tcPr>
            <w:tcW w:w="0" w:type="auto"/>
            <w:shd w:val="clear" w:color="auto" w:fill="auto"/>
            <w:vAlign w:val="bottom"/>
          </w:tcPr>
          <w:p w14:paraId="0B2FB47F" w14:textId="77777777" w:rsidR="007F1775" w:rsidRDefault="007F1775">
            <w:pPr>
              <w:rPr>
                <w:rFonts w:ascii="宋体"/>
                <w:vanish/>
              </w:rPr>
            </w:pPr>
          </w:p>
        </w:tc>
        <w:tc>
          <w:tcPr>
            <w:tcW w:w="0" w:type="auto"/>
            <w:gridSpan w:val="3"/>
            <w:shd w:val="clear" w:color="auto" w:fill="auto"/>
            <w:vAlign w:val="bottom"/>
          </w:tcPr>
          <w:p w14:paraId="0B2FB480" w14:textId="77777777" w:rsidR="007F1775" w:rsidRDefault="007F1775">
            <w:pPr>
              <w:rPr>
                <w:rFonts w:ascii="宋体"/>
                <w:vanish/>
              </w:rPr>
            </w:pPr>
          </w:p>
        </w:tc>
        <w:tc>
          <w:tcPr>
            <w:tcW w:w="0" w:type="auto"/>
            <w:gridSpan w:val="3"/>
            <w:shd w:val="clear" w:color="auto" w:fill="auto"/>
            <w:vAlign w:val="bottom"/>
          </w:tcPr>
          <w:p w14:paraId="0B2FB481" w14:textId="77777777" w:rsidR="007F1775" w:rsidRDefault="007F1775">
            <w:pPr>
              <w:rPr>
                <w:rFonts w:ascii="宋体"/>
                <w:vanish/>
              </w:rPr>
            </w:pPr>
          </w:p>
        </w:tc>
      </w:tr>
      <w:tr w:rsidR="007F1775" w14:paraId="0B2FB48D" w14:textId="77777777">
        <w:tc>
          <w:tcPr>
            <w:tcW w:w="0" w:type="auto"/>
            <w:gridSpan w:val="3"/>
            <w:shd w:val="clear" w:color="auto" w:fill="CCEEFF"/>
            <w:tcMar>
              <w:top w:w="40" w:type="dxa"/>
              <w:left w:w="20" w:type="dxa"/>
              <w:bottom w:w="40" w:type="dxa"/>
              <w:right w:w="20" w:type="dxa"/>
            </w:tcMar>
          </w:tcPr>
          <w:p w14:paraId="0B2FB483" w14:textId="77777777" w:rsidR="007F1775" w:rsidRDefault="000F083E">
            <w:pPr>
              <w:textAlignment w:val="top"/>
            </w:pPr>
            <w:r>
              <w:rPr>
                <w:rFonts w:ascii="Times New Roman" w:eastAsia="宋体" w:hAnsi="Times New Roman"/>
                <w:color w:val="000000"/>
                <w:sz w:val="20"/>
                <w:szCs w:val="20"/>
              </w:rPr>
              <w:t>Provision for income taxes</w:t>
            </w:r>
          </w:p>
        </w:tc>
        <w:tc>
          <w:tcPr>
            <w:tcW w:w="0" w:type="auto"/>
            <w:gridSpan w:val="2"/>
            <w:shd w:val="clear" w:color="auto" w:fill="CCEEFF"/>
            <w:tcMar>
              <w:top w:w="40" w:type="dxa"/>
              <w:left w:w="20" w:type="dxa"/>
              <w:bottom w:w="40" w:type="dxa"/>
              <w:right w:w="0" w:type="dxa"/>
            </w:tcMar>
            <w:vAlign w:val="bottom"/>
          </w:tcPr>
          <w:p w14:paraId="0B2FB484" w14:textId="77777777" w:rsidR="007F1775" w:rsidRDefault="000F083E">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0B2FB48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486"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487" w14:textId="77777777" w:rsidR="007F1775" w:rsidRDefault="000F083E">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0B2FB488" w14:textId="77777777" w:rsidR="007F1775" w:rsidRDefault="007F1775">
            <w:pPr>
              <w:jc w:val="right"/>
              <w:rPr>
                <w:rFonts w:ascii="宋体"/>
              </w:rPr>
            </w:pPr>
          </w:p>
        </w:tc>
        <w:tc>
          <w:tcPr>
            <w:tcW w:w="0" w:type="auto"/>
            <w:shd w:val="clear" w:color="auto" w:fill="auto"/>
            <w:vAlign w:val="bottom"/>
          </w:tcPr>
          <w:p w14:paraId="0B2FB489" w14:textId="77777777" w:rsidR="007F1775" w:rsidRDefault="007F1775">
            <w:pPr>
              <w:rPr>
                <w:rFonts w:ascii="宋体"/>
                <w:vanish/>
              </w:rPr>
            </w:pPr>
          </w:p>
        </w:tc>
        <w:tc>
          <w:tcPr>
            <w:tcW w:w="0" w:type="auto"/>
            <w:shd w:val="clear" w:color="auto" w:fill="auto"/>
            <w:vAlign w:val="bottom"/>
          </w:tcPr>
          <w:p w14:paraId="0B2FB48A" w14:textId="77777777" w:rsidR="007F1775" w:rsidRDefault="007F1775">
            <w:pPr>
              <w:rPr>
                <w:rFonts w:ascii="宋体"/>
                <w:vanish/>
              </w:rPr>
            </w:pPr>
          </w:p>
        </w:tc>
        <w:tc>
          <w:tcPr>
            <w:tcW w:w="0" w:type="auto"/>
            <w:gridSpan w:val="3"/>
            <w:shd w:val="clear" w:color="auto" w:fill="auto"/>
            <w:vAlign w:val="bottom"/>
          </w:tcPr>
          <w:p w14:paraId="0B2FB48B" w14:textId="77777777" w:rsidR="007F1775" w:rsidRDefault="007F1775">
            <w:pPr>
              <w:rPr>
                <w:rFonts w:ascii="宋体"/>
                <w:vanish/>
              </w:rPr>
            </w:pPr>
          </w:p>
        </w:tc>
        <w:tc>
          <w:tcPr>
            <w:tcW w:w="0" w:type="auto"/>
            <w:gridSpan w:val="3"/>
            <w:shd w:val="clear" w:color="auto" w:fill="auto"/>
            <w:vAlign w:val="bottom"/>
          </w:tcPr>
          <w:p w14:paraId="0B2FB48C" w14:textId="77777777" w:rsidR="007F1775" w:rsidRDefault="007F1775">
            <w:pPr>
              <w:rPr>
                <w:rFonts w:ascii="宋体"/>
                <w:vanish/>
              </w:rPr>
            </w:pPr>
          </w:p>
        </w:tc>
      </w:tr>
      <w:tr w:rsidR="007F1775" w14:paraId="0B2FB498" w14:textId="77777777">
        <w:tc>
          <w:tcPr>
            <w:tcW w:w="0" w:type="auto"/>
            <w:gridSpan w:val="3"/>
            <w:shd w:val="clear" w:color="auto" w:fill="FFFFFF"/>
            <w:tcMar>
              <w:top w:w="40" w:type="dxa"/>
              <w:left w:w="20" w:type="dxa"/>
              <w:bottom w:w="40" w:type="dxa"/>
              <w:right w:w="20" w:type="dxa"/>
            </w:tcMar>
          </w:tcPr>
          <w:p w14:paraId="0B2FB48E" w14:textId="77777777" w:rsidR="007F1775" w:rsidRDefault="000F083E">
            <w:pPr>
              <w:textAlignment w:val="top"/>
            </w:pPr>
            <w:r>
              <w:rPr>
                <w:rFonts w:ascii="Times New Roman" w:eastAsia="宋体" w:hAnsi="Times New Roman"/>
                <w:color w:val="000000"/>
                <w:sz w:val="20"/>
                <w:szCs w:val="20"/>
              </w:rPr>
              <w:t>Net income</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B48F" w14:textId="77777777" w:rsidR="007F1775" w:rsidRDefault="000F083E">
            <w:pPr>
              <w:jc w:val="right"/>
              <w:textAlignment w:val="bottom"/>
            </w:pPr>
            <w:r>
              <w:rPr>
                <w:rFonts w:ascii="Times New Roman" w:eastAsia="宋体" w:hAnsi="Times New Roman"/>
                <w:color w:val="000000"/>
                <w:sz w:val="20"/>
                <w:szCs w:val="20"/>
              </w:rPr>
              <w:t>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B490"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B2FB491" w14:textId="77777777" w:rsidR="007F1775" w:rsidRDefault="007F177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B492" w14:textId="77777777" w:rsidR="007F1775" w:rsidRDefault="000F083E">
            <w:pPr>
              <w:jc w:val="right"/>
              <w:textAlignment w:val="bottom"/>
            </w:pPr>
            <w:r>
              <w:rPr>
                <w:rFonts w:ascii="Times New Roman" w:eastAsia="宋体" w:hAnsi="Times New Roman"/>
                <w:color w:val="000000"/>
                <w:sz w:val="20"/>
                <w:szCs w:val="20"/>
              </w:rPr>
              <w:t>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B493"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494" w14:textId="77777777" w:rsidR="007F1775" w:rsidRDefault="007F1775">
            <w:pPr>
              <w:rPr>
                <w:rFonts w:ascii="宋体"/>
                <w:vanish/>
              </w:rPr>
            </w:pPr>
          </w:p>
        </w:tc>
        <w:tc>
          <w:tcPr>
            <w:tcW w:w="0" w:type="auto"/>
            <w:shd w:val="clear" w:color="auto" w:fill="auto"/>
            <w:vAlign w:val="bottom"/>
          </w:tcPr>
          <w:p w14:paraId="0B2FB495" w14:textId="77777777" w:rsidR="007F1775" w:rsidRDefault="007F1775">
            <w:pPr>
              <w:rPr>
                <w:rFonts w:ascii="宋体"/>
                <w:vanish/>
              </w:rPr>
            </w:pPr>
          </w:p>
        </w:tc>
        <w:tc>
          <w:tcPr>
            <w:tcW w:w="0" w:type="auto"/>
            <w:gridSpan w:val="3"/>
            <w:shd w:val="clear" w:color="auto" w:fill="auto"/>
            <w:vAlign w:val="bottom"/>
          </w:tcPr>
          <w:p w14:paraId="0B2FB496" w14:textId="77777777" w:rsidR="007F1775" w:rsidRDefault="007F1775">
            <w:pPr>
              <w:rPr>
                <w:rFonts w:ascii="宋体"/>
                <w:vanish/>
              </w:rPr>
            </w:pPr>
          </w:p>
        </w:tc>
        <w:tc>
          <w:tcPr>
            <w:tcW w:w="0" w:type="auto"/>
            <w:gridSpan w:val="3"/>
            <w:shd w:val="clear" w:color="auto" w:fill="auto"/>
            <w:vAlign w:val="bottom"/>
          </w:tcPr>
          <w:p w14:paraId="0B2FB497" w14:textId="77777777" w:rsidR="007F1775" w:rsidRDefault="007F1775">
            <w:pPr>
              <w:rPr>
                <w:rFonts w:ascii="宋体"/>
                <w:vanish/>
              </w:rPr>
            </w:pPr>
          </w:p>
        </w:tc>
      </w:tr>
    </w:tbl>
    <w:p w14:paraId="0B2FB499" w14:textId="77777777" w:rsidR="007F1775" w:rsidRDefault="000F083E">
      <w:pPr>
        <w:spacing w:before="120"/>
      </w:pPr>
      <w:r>
        <w:rPr>
          <w:rFonts w:ascii="Times New Roman" w:eastAsia="宋体" w:hAnsi="Times New Roman"/>
          <w:color w:val="000000"/>
          <w:sz w:val="12"/>
          <w:szCs w:val="12"/>
        </w:rPr>
        <w:t>____________________________________</w:t>
      </w:r>
    </w:p>
    <w:p w14:paraId="0B2FB49A" w14:textId="77777777" w:rsidR="007F1775" w:rsidRDefault="000F083E">
      <w:pPr>
        <w:pBdr>
          <w:left w:val="none" w:sz="0" w:space="0" w:color="auto"/>
        </w:pBdr>
        <w:ind w:hanging="360"/>
        <w:jc w:val="both"/>
      </w:pPr>
      <w:r>
        <w:rPr>
          <w:rFonts w:ascii="Times New Roman" w:eastAsia="宋体" w:hAnsi="Times New Roman"/>
          <w:color w:val="000000"/>
          <w:sz w:val="18"/>
          <w:szCs w:val="18"/>
        </w:rPr>
        <w:t xml:space="preserve">(1)    Percentages have been rounded for presentation purposes and may </w:t>
      </w:r>
      <w:r>
        <w:rPr>
          <w:rFonts w:ascii="Times New Roman" w:eastAsia="宋体" w:hAnsi="Times New Roman"/>
          <w:color w:val="000000"/>
          <w:sz w:val="18"/>
          <w:szCs w:val="18"/>
        </w:rPr>
        <w:t>differ from unrounded results.</w:t>
      </w:r>
    </w:p>
    <w:p w14:paraId="0B2FB49B" w14:textId="77777777" w:rsidR="007F1775" w:rsidRDefault="007F1775">
      <w:pPr>
        <w:ind w:firstLine="540"/>
        <w:jc w:val="both"/>
      </w:pPr>
    </w:p>
    <w:p w14:paraId="0B2FB49C" w14:textId="77777777" w:rsidR="007F1775" w:rsidRDefault="000F083E">
      <w:pPr>
        <w:ind w:firstLine="540"/>
        <w:jc w:val="both"/>
      </w:pPr>
      <w:r>
        <w:rPr>
          <w:rFonts w:ascii="Times New Roman" w:eastAsia="宋体" w:hAnsi="Times New Roman"/>
          <w:color w:val="000000"/>
          <w:sz w:val="20"/>
          <w:szCs w:val="20"/>
        </w:rPr>
        <w:t>Share-based compensation expense included in costs and expenses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5287"/>
        <w:gridCol w:w="39"/>
        <w:gridCol w:w="120"/>
        <w:gridCol w:w="1149"/>
        <w:gridCol w:w="36"/>
        <w:gridCol w:w="36"/>
        <w:gridCol w:w="36"/>
        <w:gridCol w:w="36"/>
        <w:gridCol w:w="120"/>
        <w:gridCol w:w="1113"/>
        <w:gridCol w:w="36"/>
        <w:gridCol w:w="36"/>
        <w:gridCol w:w="36"/>
        <w:gridCol w:w="36"/>
        <w:gridCol w:w="36"/>
        <w:gridCol w:w="36"/>
        <w:gridCol w:w="36"/>
        <w:gridCol w:w="36"/>
        <w:gridCol w:w="36"/>
      </w:tblGrid>
      <w:tr w:rsidR="007F1775" w14:paraId="0B2FB4AD" w14:textId="77777777">
        <w:tc>
          <w:tcPr>
            <w:tcW w:w="50" w:type="pct"/>
            <w:shd w:val="clear" w:color="auto" w:fill="auto"/>
            <w:vAlign w:val="bottom"/>
          </w:tcPr>
          <w:p w14:paraId="0B2FB49D" w14:textId="77777777" w:rsidR="007F1775" w:rsidRDefault="007F1775">
            <w:pPr>
              <w:rPr>
                <w:rFonts w:ascii="宋体"/>
              </w:rPr>
            </w:pPr>
          </w:p>
        </w:tc>
        <w:tc>
          <w:tcPr>
            <w:tcW w:w="3315" w:type="pct"/>
            <w:shd w:val="clear" w:color="auto" w:fill="auto"/>
            <w:vAlign w:val="bottom"/>
          </w:tcPr>
          <w:p w14:paraId="0B2FB49E" w14:textId="77777777" w:rsidR="007F1775" w:rsidRDefault="007F1775">
            <w:pPr>
              <w:rPr>
                <w:rFonts w:ascii="宋体"/>
              </w:rPr>
            </w:pPr>
          </w:p>
        </w:tc>
        <w:tc>
          <w:tcPr>
            <w:tcW w:w="5" w:type="pct"/>
            <w:shd w:val="clear" w:color="auto" w:fill="auto"/>
            <w:vAlign w:val="bottom"/>
          </w:tcPr>
          <w:p w14:paraId="0B2FB49F" w14:textId="77777777" w:rsidR="007F1775" w:rsidRDefault="007F1775">
            <w:pPr>
              <w:rPr>
                <w:rFonts w:ascii="宋体"/>
              </w:rPr>
            </w:pPr>
          </w:p>
        </w:tc>
        <w:tc>
          <w:tcPr>
            <w:tcW w:w="50" w:type="pct"/>
            <w:shd w:val="clear" w:color="auto" w:fill="auto"/>
            <w:vAlign w:val="bottom"/>
          </w:tcPr>
          <w:p w14:paraId="0B2FB4A0" w14:textId="77777777" w:rsidR="007F1775" w:rsidRDefault="007F1775">
            <w:pPr>
              <w:rPr>
                <w:rFonts w:ascii="宋体"/>
              </w:rPr>
            </w:pPr>
          </w:p>
        </w:tc>
        <w:tc>
          <w:tcPr>
            <w:tcW w:w="741" w:type="pct"/>
            <w:shd w:val="clear" w:color="auto" w:fill="auto"/>
            <w:vAlign w:val="bottom"/>
          </w:tcPr>
          <w:p w14:paraId="0B2FB4A1" w14:textId="77777777" w:rsidR="007F1775" w:rsidRDefault="007F1775">
            <w:pPr>
              <w:rPr>
                <w:rFonts w:ascii="宋体"/>
              </w:rPr>
            </w:pPr>
          </w:p>
        </w:tc>
        <w:tc>
          <w:tcPr>
            <w:tcW w:w="5" w:type="pct"/>
            <w:shd w:val="clear" w:color="auto" w:fill="auto"/>
            <w:vAlign w:val="bottom"/>
          </w:tcPr>
          <w:p w14:paraId="0B2FB4A2" w14:textId="77777777" w:rsidR="007F1775" w:rsidRDefault="007F1775">
            <w:pPr>
              <w:rPr>
                <w:rFonts w:ascii="宋体"/>
              </w:rPr>
            </w:pPr>
          </w:p>
        </w:tc>
        <w:tc>
          <w:tcPr>
            <w:tcW w:w="5" w:type="pct"/>
            <w:shd w:val="clear" w:color="auto" w:fill="auto"/>
            <w:vAlign w:val="bottom"/>
          </w:tcPr>
          <w:p w14:paraId="0B2FB4A3" w14:textId="77777777" w:rsidR="007F1775" w:rsidRDefault="007F1775">
            <w:pPr>
              <w:rPr>
                <w:rFonts w:ascii="宋体"/>
              </w:rPr>
            </w:pPr>
          </w:p>
        </w:tc>
        <w:tc>
          <w:tcPr>
            <w:tcW w:w="27" w:type="pct"/>
            <w:shd w:val="clear" w:color="auto" w:fill="auto"/>
            <w:vAlign w:val="bottom"/>
          </w:tcPr>
          <w:p w14:paraId="0B2FB4A4" w14:textId="77777777" w:rsidR="007F1775" w:rsidRDefault="007F1775">
            <w:pPr>
              <w:rPr>
                <w:rFonts w:ascii="宋体"/>
              </w:rPr>
            </w:pPr>
          </w:p>
        </w:tc>
        <w:tc>
          <w:tcPr>
            <w:tcW w:w="5" w:type="pct"/>
            <w:shd w:val="clear" w:color="auto" w:fill="auto"/>
            <w:vAlign w:val="bottom"/>
          </w:tcPr>
          <w:p w14:paraId="0B2FB4A5" w14:textId="77777777" w:rsidR="007F1775" w:rsidRDefault="007F1775">
            <w:pPr>
              <w:rPr>
                <w:rFonts w:ascii="宋体"/>
              </w:rPr>
            </w:pPr>
          </w:p>
        </w:tc>
        <w:tc>
          <w:tcPr>
            <w:tcW w:w="50" w:type="pct"/>
            <w:shd w:val="clear" w:color="auto" w:fill="auto"/>
            <w:vAlign w:val="bottom"/>
          </w:tcPr>
          <w:p w14:paraId="0B2FB4A6" w14:textId="77777777" w:rsidR="007F1775" w:rsidRDefault="007F1775">
            <w:pPr>
              <w:rPr>
                <w:rFonts w:ascii="宋体"/>
              </w:rPr>
            </w:pPr>
          </w:p>
        </w:tc>
        <w:tc>
          <w:tcPr>
            <w:tcW w:w="741" w:type="pct"/>
            <w:shd w:val="clear" w:color="auto" w:fill="auto"/>
            <w:vAlign w:val="bottom"/>
          </w:tcPr>
          <w:p w14:paraId="0B2FB4A7" w14:textId="77777777" w:rsidR="007F1775" w:rsidRDefault="007F1775">
            <w:pPr>
              <w:rPr>
                <w:rFonts w:ascii="宋体"/>
              </w:rPr>
            </w:pPr>
          </w:p>
        </w:tc>
        <w:tc>
          <w:tcPr>
            <w:tcW w:w="5" w:type="pct"/>
            <w:shd w:val="clear" w:color="auto" w:fill="auto"/>
            <w:vAlign w:val="bottom"/>
          </w:tcPr>
          <w:p w14:paraId="0B2FB4A8" w14:textId="77777777" w:rsidR="007F1775" w:rsidRDefault="007F1775">
            <w:pPr>
              <w:rPr>
                <w:rFonts w:ascii="宋体"/>
              </w:rPr>
            </w:pPr>
          </w:p>
        </w:tc>
        <w:tc>
          <w:tcPr>
            <w:tcW w:w="0" w:type="auto"/>
            <w:shd w:val="clear" w:color="auto" w:fill="auto"/>
            <w:vAlign w:val="bottom"/>
          </w:tcPr>
          <w:p w14:paraId="0B2FB4A9" w14:textId="77777777" w:rsidR="007F1775" w:rsidRDefault="007F1775">
            <w:pPr>
              <w:rPr>
                <w:rFonts w:ascii="宋体"/>
                <w:vanish/>
              </w:rPr>
            </w:pPr>
          </w:p>
        </w:tc>
        <w:tc>
          <w:tcPr>
            <w:tcW w:w="0" w:type="auto"/>
            <w:shd w:val="clear" w:color="auto" w:fill="auto"/>
            <w:vAlign w:val="bottom"/>
          </w:tcPr>
          <w:p w14:paraId="0B2FB4AA" w14:textId="77777777" w:rsidR="007F1775" w:rsidRDefault="007F1775">
            <w:pPr>
              <w:rPr>
                <w:rFonts w:ascii="宋体"/>
                <w:vanish/>
              </w:rPr>
            </w:pPr>
          </w:p>
        </w:tc>
        <w:tc>
          <w:tcPr>
            <w:tcW w:w="0" w:type="auto"/>
            <w:gridSpan w:val="3"/>
            <w:shd w:val="clear" w:color="auto" w:fill="auto"/>
            <w:vAlign w:val="bottom"/>
          </w:tcPr>
          <w:p w14:paraId="0B2FB4AB" w14:textId="77777777" w:rsidR="007F1775" w:rsidRDefault="007F1775">
            <w:pPr>
              <w:rPr>
                <w:rFonts w:ascii="宋体"/>
                <w:vanish/>
              </w:rPr>
            </w:pPr>
          </w:p>
        </w:tc>
        <w:tc>
          <w:tcPr>
            <w:tcW w:w="0" w:type="auto"/>
            <w:gridSpan w:val="3"/>
            <w:shd w:val="clear" w:color="auto" w:fill="auto"/>
            <w:vAlign w:val="bottom"/>
          </w:tcPr>
          <w:p w14:paraId="0B2FB4AC" w14:textId="77777777" w:rsidR="007F1775" w:rsidRDefault="007F1775">
            <w:pPr>
              <w:rPr>
                <w:rFonts w:ascii="宋体"/>
                <w:vanish/>
              </w:rPr>
            </w:pPr>
          </w:p>
        </w:tc>
      </w:tr>
      <w:tr w:rsidR="007F1775" w14:paraId="0B2FB4B8" w14:textId="77777777">
        <w:tc>
          <w:tcPr>
            <w:tcW w:w="0" w:type="auto"/>
            <w:gridSpan w:val="3"/>
            <w:shd w:val="clear" w:color="auto" w:fill="auto"/>
            <w:tcMar>
              <w:top w:w="0" w:type="dxa"/>
              <w:left w:w="20" w:type="dxa"/>
              <w:bottom w:w="0" w:type="dxa"/>
              <w:right w:w="20" w:type="dxa"/>
            </w:tcMar>
            <w:vAlign w:val="bottom"/>
          </w:tcPr>
          <w:p w14:paraId="0B2FB4AE" w14:textId="77777777" w:rsidR="007F1775" w:rsidRDefault="007F1775">
            <w:pPr>
              <w:rPr>
                <w:rFonts w:ascii="宋体"/>
              </w:rPr>
            </w:pPr>
          </w:p>
        </w:tc>
        <w:tc>
          <w:tcPr>
            <w:tcW w:w="0" w:type="auto"/>
            <w:gridSpan w:val="9"/>
            <w:shd w:val="clear" w:color="auto" w:fill="auto"/>
            <w:tcMar>
              <w:top w:w="40" w:type="dxa"/>
              <w:left w:w="20" w:type="dxa"/>
              <w:bottom w:w="40" w:type="dxa"/>
              <w:right w:w="20" w:type="dxa"/>
            </w:tcMar>
            <w:vAlign w:val="bottom"/>
          </w:tcPr>
          <w:p w14:paraId="0B2FB4AF"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B4B0" w14:textId="77777777" w:rsidR="007F1775" w:rsidRDefault="007F1775">
            <w:pPr>
              <w:rPr>
                <w:rFonts w:ascii="宋体"/>
                <w:vanish/>
              </w:rPr>
            </w:pPr>
          </w:p>
        </w:tc>
        <w:tc>
          <w:tcPr>
            <w:tcW w:w="0" w:type="auto"/>
            <w:shd w:val="clear" w:color="auto" w:fill="auto"/>
            <w:vAlign w:val="bottom"/>
          </w:tcPr>
          <w:p w14:paraId="0B2FB4B1" w14:textId="77777777" w:rsidR="007F1775" w:rsidRDefault="007F1775">
            <w:pPr>
              <w:rPr>
                <w:rFonts w:ascii="宋体"/>
                <w:vanish/>
              </w:rPr>
            </w:pPr>
          </w:p>
        </w:tc>
        <w:tc>
          <w:tcPr>
            <w:tcW w:w="0" w:type="auto"/>
            <w:shd w:val="clear" w:color="auto" w:fill="auto"/>
            <w:vAlign w:val="bottom"/>
          </w:tcPr>
          <w:p w14:paraId="0B2FB4B2" w14:textId="77777777" w:rsidR="007F1775" w:rsidRDefault="007F1775">
            <w:pPr>
              <w:rPr>
                <w:rFonts w:ascii="宋体"/>
              </w:rPr>
            </w:pPr>
          </w:p>
        </w:tc>
        <w:tc>
          <w:tcPr>
            <w:tcW w:w="0" w:type="auto"/>
            <w:shd w:val="clear" w:color="auto" w:fill="auto"/>
            <w:vAlign w:val="bottom"/>
          </w:tcPr>
          <w:p w14:paraId="0B2FB4B3" w14:textId="77777777" w:rsidR="007F1775" w:rsidRDefault="007F1775">
            <w:pPr>
              <w:rPr>
                <w:rFonts w:ascii="宋体"/>
              </w:rPr>
            </w:pPr>
          </w:p>
        </w:tc>
        <w:tc>
          <w:tcPr>
            <w:tcW w:w="0" w:type="auto"/>
            <w:shd w:val="clear" w:color="auto" w:fill="auto"/>
            <w:vAlign w:val="bottom"/>
          </w:tcPr>
          <w:p w14:paraId="0B2FB4B4" w14:textId="77777777" w:rsidR="007F1775" w:rsidRDefault="007F1775">
            <w:pPr>
              <w:rPr>
                <w:rFonts w:ascii="宋体"/>
              </w:rPr>
            </w:pPr>
          </w:p>
        </w:tc>
        <w:tc>
          <w:tcPr>
            <w:tcW w:w="0" w:type="auto"/>
            <w:shd w:val="clear" w:color="auto" w:fill="auto"/>
            <w:vAlign w:val="bottom"/>
          </w:tcPr>
          <w:p w14:paraId="0B2FB4B5" w14:textId="77777777" w:rsidR="007F1775" w:rsidRDefault="007F1775">
            <w:pPr>
              <w:rPr>
                <w:rFonts w:ascii="宋体"/>
              </w:rPr>
            </w:pPr>
          </w:p>
        </w:tc>
        <w:tc>
          <w:tcPr>
            <w:tcW w:w="0" w:type="auto"/>
            <w:shd w:val="clear" w:color="auto" w:fill="auto"/>
            <w:vAlign w:val="bottom"/>
          </w:tcPr>
          <w:p w14:paraId="0B2FB4B6" w14:textId="77777777" w:rsidR="007F1775" w:rsidRDefault="007F1775">
            <w:pPr>
              <w:rPr>
                <w:rFonts w:ascii="宋体"/>
              </w:rPr>
            </w:pPr>
          </w:p>
        </w:tc>
        <w:tc>
          <w:tcPr>
            <w:tcW w:w="0" w:type="auto"/>
            <w:shd w:val="clear" w:color="auto" w:fill="auto"/>
            <w:vAlign w:val="bottom"/>
          </w:tcPr>
          <w:p w14:paraId="0B2FB4B7" w14:textId="77777777" w:rsidR="007F1775" w:rsidRDefault="007F1775">
            <w:pPr>
              <w:rPr>
                <w:rFonts w:ascii="宋体"/>
              </w:rPr>
            </w:pPr>
          </w:p>
        </w:tc>
      </w:tr>
      <w:tr w:rsidR="007F1775" w14:paraId="0B2FB4C1" w14:textId="77777777">
        <w:tc>
          <w:tcPr>
            <w:tcW w:w="0" w:type="auto"/>
            <w:gridSpan w:val="3"/>
            <w:shd w:val="clear" w:color="auto" w:fill="auto"/>
            <w:tcMar>
              <w:top w:w="0" w:type="dxa"/>
              <w:left w:w="20" w:type="dxa"/>
              <w:bottom w:w="0" w:type="dxa"/>
              <w:right w:w="20" w:type="dxa"/>
            </w:tcMar>
            <w:vAlign w:val="bottom"/>
          </w:tcPr>
          <w:p w14:paraId="0B2FB4B9"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4BA"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4BB"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4BC"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B4BD" w14:textId="77777777" w:rsidR="007F1775" w:rsidRDefault="007F1775">
            <w:pPr>
              <w:rPr>
                <w:rFonts w:ascii="宋体"/>
                <w:vanish/>
              </w:rPr>
            </w:pPr>
          </w:p>
        </w:tc>
        <w:tc>
          <w:tcPr>
            <w:tcW w:w="0" w:type="auto"/>
            <w:shd w:val="clear" w:color="auto" w:fill="auto"/>
            <w:vAlign w:val="bottom"/>
          </w:tcPr>
          <w:p w14:paraId="0B2FB4BE" w14:textId="77777777" w:rsidR="007F1775" w:rsidRDefault="007F1775">
            <w:pPr>
              <w:rPr>
                <w:rFonts w:ascii="宋体"/>
                <w:vanish/>
              </w:rPr>
            </w:pPr>
          </w:p>
        </w:tc>
        <w:tc>
          <w:tcPr>
            <w:tcW w:w="0" w:type="auto"/>
            <w:gridSpan w:val="3"/>
            <w:shd w:val="clear" w:color="auto" w:fill="auto"/>
            <w:vAlign w:val="bottom"/>
          </w:tcPr>
          <w:p w14:paraId="0B2FB4BF" w14:textId="77777777" w:rsidR="007F1775" w:rsidRDefault="007F1775">
            <w:pPr>
              <w:rPr>
                <w:rFonts w:ascii="宋体"/>
                <w:vanish/>
              </w:rPr>
            </w:pPr>
          </w:p>
        </w:tc>
        <w:tc>
          <w:tcPr>
            <w:tcW w:w="0" w:type="auto"/>
            <w:gridSpan w:val="3"/>
            <w:shd w:val="clear" w:color="auto" w:fill="auto"/>
            <w:vAlign w:val="bottom"/>
          </w:tcPr>
          <w:p w14:paraId="0B2FB4C0" w14:textId="77777777" w:rsidR="007F1775" w:rsidRDefault="007F1775">
            <w:pPr>
              <w:rPr>
                <w:rFonts w:ascii="宋体"/>
                <w:vanish/>
              </w:rPr>
            </w:pPr>
          </w:p>
        </w:tc>
      </w:tr>
      <w:tr w:rsidR="007F1775" w14:paraId="0B2FB4CE" w14:textId="77777777">
        <w:tc>
          <w:tcPr>
            <w:tcW w:w="0" w:type="auto"/>
            <w:gridSpan w:val="3"/>
            <w:shd w:val="clear" w:color="auto" w:fill="CCEEFF"/>
            <w:tcMar>
              <w:top w:w="40" w:type="dxa"/>
              <w:left w:w="20" w:type="dxa"/>
              <w:bottom w:w="40" w:type="dxa"/>
              <w:right w:w="20" w:type="dxa"/>
            </w:tcMar>
          </w:tcPr>
          <w:p w14:paraId="0B2FB4C2" w14:textId="77777777" w:rsidR="007F1775" w:rsidRDefault="000F083E">
            <w:pPr>
              <w:textAlignment w:val="top"/>
            </w:pPr>
            <w:r>
              <w:rPr>
                <w:rFonts w:ascii="Times New Roman" w:eastAsia="宋体" w:hAnsi="Times New Roman"/>
                <w:color w:val="000000"/>
                <w:sz w:val="20"/>
                <w:szCs w:val="20"/>
              </w:rPr>
              <w:t>Cost of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B4C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B4C4" w14:textId="77777777" w:rsidR="007F1775" w:rsidRDefault="000F083E">
            <w:pPr>
              <w:jc w:val="right"/>
              <w:textAlignment w:val="bottom"/>
            </w:pPr>
            <w:r>
              <w:rPr>
                <w:rFonts w:ascii="Times New Roman" w:eastAsia="宋体" w:hAnsi="Times New Roman"/>
                <w:color w:val="000000"/>
                <w:sz w:val="20"/>
                <w:szCs w:val="20"/>
              </w:rPr>
              <w:t>160 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4C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4C6"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B4C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B4C8" w14:textId="77777777" w:rsidR="007F1775" w:rsidRDefault="000F083E">
            <w:pPr>
              <w:jc w:val="right"/>
              <w:textAlignment w:val="bottom"/>
            </w:pPr>
            <w:r>
              <w:rPr>
                <w:rFonts w:ascii="Times New Roman" w:eastAsia="宋体" w:hAnsi="Times New Roman"/>
                <w:color w:val="000000"/>
                <w:sz w:val="20"/>
                <w:szCs w:val="20"/>
              </w:rPr>
              <w:t>118 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4C9" w14:textId="77777777" w:rsidR="007F1775" w:rsidRDefault="007F1775">
            <w:pPr>
              <w:jc w:val="right"/>
              <w:rPr>
                <w:rFonts w:ascii="宋体"/>
              </w:rPr>
            </w:pPr>
          </w:p>
        </w:tc>
        <w:tc>
          <w:tcPr>
            <w:tcW w:w="0" w:type="auto"/>
            <w:shd w:val="clear" w:color="auto" w:fill="auto"/>
            <w:vAlign w:val="bottom"/>
          </w:tcPr>
          <w:p w14:paraId="0B2FB4CA" w14:textId="77777777" w:rsidR="007F1775" w:rsidRDefault="007F1775">
            <w:pPr>
              <w:rPr>
                <w:rFonts w:ascii="宋体"/>
                <w:vanish/>
              </w:rPr>
            </w:pPr>
          </w:p>
        </w:tc>
        <w:tc>
          <w:tcPr>
            <w:tcW w:w="0" w:type="auto"/>
            <w:shd w:val="clear" w:color="auto" w:fill="auto"/>
            <w:vAlign w:val="bottom"/>
          </w:tcPr>
          <w:p w14:paraId="0B2FB4CB" w14:textId="77777777" w:rsidR="007F1775" w:rsidRDefault="007F1775">
            <w:pPr>
              <w:rPr>
                <w:rFonts w:ascii="宋体"/>
                <w:vanish/>
              </w:rPr>
            </w:pPr>
          </w:p>
        </w:tc>
        <w:tc>
          <w:tcPr>
            <w:tcW w:w="0" w:type="auto"/>
            <w:gridSpan w:val="3"/>
            <w:shd w:val="clear" w:color="auto" w:fill="auto"/>
            <w:vAlign w:val="bottom"/>
          </w:tcPr>
          <w:p w14:paraId="0B2FB4CC" w14:textId="77777777" w:rsidR="007F1775" w:rsidRDefault="007F1775">
            <w:pPr>
              <w:rPr>
                <w:rFonts w:ascii="宋体"/>
                <w:vanish/>
              </w:rPr>
            </w:pPr>
          </w:p>
        </w:tc>
        <w:tc>
          <w:tcPr>
            <w:tcW w:w="0" w:type="auto"/>
            <w:gridSpan w:val="3"/>
            <w:shd w:val="clear" w:color="auto" w:fill="auto"/>
            <w:vAlign w:val="bottom"/>
          </w:tcPr>
          <w:p w14:paraId="0B2FB4CD" w14:textId="77777777" w:rsidR="007F1775" w:rsidRDefault="007F1775">
            <w:pPr>
              <w:rPr>
                <w:rFonts w:ascii="宋体"/>
                <w:vanish/>
              </w:rPr>
            </w:pPr>
          </w:p>
        </w:tc>
      </w:tr>
      <w:tr w:rsidR="007F1775" w14:paraId="0B2FB4D9" w14:textId="77777777">
        <w:tc>
          <w:tcPr>
            <w:tcW w:w="0" w:type="auto"/>
            <w:gridSpan w:val="3"/>
            <w:shd w:val="clear" w:color="auto" w:fill="FFFFFF"/>
            <w:tcMar>
              <w:top w:w="40" w:type="dxa"/>
              <w:left w:w="20" w:type="dxa"/>
              <w:bottom w:w="40" w:type="dxa"/>
              <w:right w:w="20" w:type="dxa"/>
            </w:tcMar>
          </w:tcPr>
          <w:p w14:paraId="0B2FB4CF" w14:textId="77777777" w:rsidR="007F1775" w:rsidRDefault="000F083E">
            <w:pPr>
              <w:textAlignment w:val="top"/>
            </w:pPr>
            <w:r>
              <w:rPr>
                <w:rFonts w:ascii="Times New Roman" w:eastAsia="宋体" w:hAnsi="Times New Roman"/>
                <w:color w:val="000000"/>
                <w:sz w:val="20"/>
                <w:szCs w:val="20"/>
              </w:rPr>
              <w:t xml:space="preserve">Research and </w:t>
            </w:r>
            <w:r>
              <w:rPr>
                <w:rFonts w:ascii="Times New Roman" w:eastAsia="宋体" w:hAnsi="Times New Roman"/>
                <w:color w:val="000000"/>
                <w:sz w:val="20"/>
                <w:szCs w:val="20"/>
              </w:rPr>
              <w:t>development</w:t>
            </w:r>
          </w:p>
        </w:tc>
        <w:tc>
          <w:tcPr>
            <w:tcW w:w="0" w:type="auto"/>
            <w:gridSpan w:val="2"/>
            <w:shd w:val="clear" w:color="auto" w:fill="FFFFFF"/>
            <w:tcMar>
              <w:top w:w="40" w:type="dxa"/>
              <w:left w:w="20" w:type="dxa"/>
              <w:bottom w:w="40" w:type="dxa"/>
              <w:right w:w="0" w:type="dxa"/>
            </w:tcMar>
            <w:vAlign w:val="bottom"/>
          </w:tcPr>
          <w:p w14:paraId="0B2FB4D0" w14:textId="77777777" w:rsidR="007F1775" w:rsidRDefault="000F083E">
            <w:pPr>
              <w:jc w:val="right"/>
              <w:textAlignment w:val="bottom"/>
            </w:pPr>
            <w:r>
              <w:rPr>
                <w:rFonts w:ascii="Times New Roman" w:eastAsia="宋体" w:hAnsi="Times New Roman"/>
                <w:color w:val="000000"/>
                <w:sz w:val="20"/>
                <w:szCs w:val="20"/>
              </w:rPr>
              <w:t>1,941 </w:t>
            </w:r>
          </w:p>
        </w:tc>
        <w:tc>
          <w:tcPr>
            <w:tcW w:w="0" w:type="auto"/>
            <w:shd w:val="clear" w:color="auto" w:fill="FFFFFF"/>
            <w:tcMar>
              <w:top w:w="40" w:type="dxa"/>
              <w:left w:w="0" w:type="dxa"/>
              <w:bottom w:w="40" w:type="dxa"/>
              <w:right w:w="20" w:type="dxa"/>
            </w:tcMar>
            <w:vAlign w:val="bottom"/>
          </w:tcPr>
          <w:p w14:paraId="0B2FB4D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4D2"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4D3" w14:textId="77777777" w:rsidR="007F1775" w:rsidRDefault="000F083E">
            <w:pPr>
              <w:jc w:val="right"/>
              <w:textAlignment w:val="bottom"/>
            </w:pPr>
            <w:r>
              <w:rPr>
                <w:rFonts w:ascii="Times New Roman" w:eastAsia="宋体" w:hAnsi="Times New Roman"/>
                <w:color w:val="000000"/>
                <w:sz w:val="20"/>
                <w:szCs w:val="20"/>
              </w:rPr>
              <w:t>1,408 </w:t>
            </w:r>
          </w:p>
        </w:tc>
        <w:tc>
          <w:tcPr>
            <w:tcW w:w="0" w:type="auto"/>
            <w:shd w:val="clear" w:color="auto" w:fill="FFFFFF"/>
            <w:tcMar>
              <w:top w:w="40" w:type="dxa"/>
              <w:left w:w="0" w:type="dxa"/>
              <w:bottom w:w="40" w:type="dxa"/>
              <w:right w:w="20" w:type="dxa"/>
            </w:tcMar>
            <w:vAlign w:val="bottom"/>
          </w:tcPr>
          <w:p w14:paraId="0B2FB4D4" w14:textId="77777777" w:rsidR="007F1775" w:rsidRDefault="007F1775">
            <w:pPr>
              <w:jc w:val="right"/>
              <w:rPr>
                <w:rFonts w:ascii="宋体"/>
              </w:rPr>
            </w:pPr>
          </w:p>
        </w:tc>
        <w:tc>
          <w:tcPr>
            <w:tcW w:w="0" w:type="auto"/>
            <w:shd w:val="clear" w:color="auto" w:fill="auto"/>
            <w:vAlign w:val="bottom"/>
          </w:tcPr>
          <w:p w14:paraId="0B2FB4D5" w14:textId="77777777" w:rsidR="007F1775" w:rsidRDefault="007F1775">
            <w:pPr>
              <w:rPr>
                <w:rFonts w:ascii="宋体"/>
                <w:vanish/>
              </w:rPr>
            </w:pPr>
          </w:p>
        </w:tc>
        <w:tc>
          <w:tcPr>
            <w:tcW w:w="0" w:type="auto"/>
            <w:shd w:val="clear" w:color="auto" w:fill="auto"/>
            <w:vAlign w:val="bottom"/>
          </w:tcPr>
          <w:p w14:paraId="0B2FB4D6" w14:textId="77777777" w:rsidR="007F1775" w:rsidRDefault="007F1775">
            <w:pPr>
              <w:rPr>
                <w:rFonts w:ascii="宋体"/>
                <w:vanish/>
              </w:rPr>
            </w:pPr>
          </w:p>
        </w:tc>
        <w:tc>
          <w:tcPr>
            <w:tcW w:w="0" w:type="auto"/>
            <w:gridSpan w:val="3"/>
            <w:shd w:val="clear" w:color="auto" w:fill="auto"/>
            <w:vAlign w:val="bottom"/>
          </w:tcPr>
          <w:p w14:paraId="0B2FB4D7" w14:textId="77777777" w:rsidR="007F1775" w:rsidRDefault="007F1775">
            <w:pPr>
              <w:rPr>
                <w:rFonts w:ascii="宋体"/>
                <w:vanish/>
              </w:rPr>
            </w:pPr>
          </w:p>
        </w:tc>
        <w:tc>
          <w:tcPr>
            <w:tcW w:w="0" w:type="auto"/>
            <w:gridSpan w:val="3"/>
            <w:shd w:val="clear" w:color="auto" w:fill="auto"/>
            <w:vAlign w:val="bottom"/>
          </w:tcPr>
          <w:p w14:paraId="0B2FB4D8" w14:textId="77777777" w:rsidR="007F1775" w:rsidRDefault="007F1775">
            <w:pPr>
              <w:rPr>
                <w:rFonts w:ascii="宋体"/>
                <w:vanish/>
              </w:rPr>
            </w:pPr>
          </w:p>
        </w:tc>
      </w:tr>
      <w:tr w:rsidR="007F1775" w14:paraId="0B2FB4E4" w14:textId="77777777">
        <w:tc>
          <w:tcPr>
            <w:tcW w:w="0" w:type="auto"/>
            <w:gridSpan w:val="3"/>
            <w:shd w:val="clear" w:color="auto" w:fill="CCEEFF"/>
            <w:tcMar>
              <w:top w:w="40" w:type="dxa"/>
              <w:left w:w="20" w:type="dxa"/>
              <w:bottom w:w="40" w:type="dxa"/>
              <w:right w:w="20" w:type="dxa"/>
            </w:tcMar>
          </w:tcPr>
          <w:p w14:paraId="0B2FB4DA" w14:textId="77777777" w:rsidR="007F1775" w:rsidRDefault="000F083E">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0B2FB4DB" w14:textId="77777777" w:rsidR="007F1775" w:rsidRDefault="000F083E">
            <w:pPr>
              <w:jc w:val="right"/>
              <w:textAlignment w:val="bottom"/>
            </w:pPr>
            <w:r>
              <w:rPr>
                <w:rFonts w:ascii="Times New Roman" w:eastAsia="宋体" w:hAnsi="Times New Roman"/>
                <w:color w:val="000000"/>
                <w:sz w:val="20"/>
                <w:szCs w:val="20"/>
              </w:rPr>
              <w:t>216 </w:t>
            </w:r>
          </w:p>
        </w:tc>
        <w:tc>
          <w:tcPr>
            <w:tcW w:w="0" w:type="auto"/>
            <w:shd w:val="clear" w:color="auto" w:fill="CCEEFF"/>
            <w:tcMar>
              <w:top w:w="40" w:type="dxa"/>
              <w:left w:w="0" w:type="dxa"/>
              <w:bottom w:w="40" w:type="dxa"/>
              <w:right w:w="20" w:type="dxa"/>
            </w:tcMar>
            <w:vAlign w:val="bottom"/>
          </w:tcPr>
          <w:p w14:paraId="0B2FB4D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4DD"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4DE" w14:textId="77777777" w:rsidR="007F1775" w:rsidRDefault="000F083E">
            <w:pPr>
              <w:jc w:val="right"/>
              <w:textAlignment w:val="bottom"/>
            </w:pPr>
            <w:r>
              <w:rPr>
                <w:rFonts w:ascii="Times New Roman" w:eastAsia="宋体" w:hAnsi="Times New Roman"/>
                <w:color w:val="000000"/>
                <w:sz w:val="20"/>
                <w:szCs w:val="20"/>
              </w:rPr>
              <w:t>174 </w:t>
            </w:r>
          </w:p>
        </w:tc>
        <w:tc>
          <w:tcPr>
            <w:tcW w:w="0" w:type="auto"/>
            <w:shd w:val="clear" w:color="auto" w:fill="CCEEFF"/>
            <w:tcMar>
              <w:top w:w="40" w:type="dxa"/>
              <w:left w:w="0" w:type="dxa"/>
              <w:bottom w:w="40" w:type="dxa"/>
              <w:right w:w="20" w:type="dxa"/>
            </w:tcMar>
            <w:vAlign w:val="bottom"/>
          </w:tcPr>
          <w:p w14:paraId="0B2FB4DF" w14:textId="77777777" w:rsidR="007F1775" w:rsidRDefault="007F1775">
            <w:pPr>
              <w:jc w:val="right"/>
              <w:rPr>
                <w:rFonts w:ascii="宋体"/>
              </w:rPr>
            </w:pPr>
          </w:p>
        </w:tc>
        <w:tc>
          <w:tcPr>
            <w:tcW w:w="0" w:type="auto"/>
            <w:shd w:val="clear" w:color="auto" w:fill="auto"/>
            <w:vAlign w:val="bottom"/>
          </w:tcPr>
          <w:p w14:paraId="0B2FB4E0" w14:textId="77777777" w:rsidR="007F1775" w:rsidRDefault="007F1775">
            <w:pPr>
              <w:rPr>
                <w:rFonts w:ascii="宋体"/>
                <w:vanish/>
              </w:rPr>
            </w:pPr>
          </w:p>
        </w:tc>
        <w:tc>
          <w:tcPr>
            <w:tcW w:w="0" w:type="auto"/>
            <w:shd w:val="clear" w:color="auto" w:fill="auto"/>
            <w:vAlign w:val="bottom"/>
          </w:tcPr>
          <w:p w14:paraId="0B2FB4E1" w14:textId="77777777" w:rsidR="007F1775" w:rsidRDefault="007F1775">
            <w:pPr>
              <w:rPr>
                <w:rFonts w:ascii="宋体"/>
                <w:vanish/>
              </w:rPr>
            </w:pPr>
          </w:p>
        </w:tc>
        <w:tc>
          <w:tcPr>
            <w:tcW w:w="0" w:type="auto"/>
            <w:gridSpan w:val="3"/>
            <w:shd w:val="clear" w:color="auto" w:fill="auto"/>
            <w:vAlign w:val="bottom"/>
          </w:tcPr>
          <w:p w14:paraId="0B2FB4E2" w14:textId="77777777" w:rsidR="007F1775" w:rsidRDefault="007F1775">
            <w:pPr>
              <w:rPr>
                <w:rFonts w:ascii="宋体"/>
                <w:vanish/>
              </w:rPr>
            </w:pPr>
          </w:p>
        </w:tc>
        <w:tc>
          <w:tcPr>
            <w:tcW w:w="0" w:type="auto"/>
            <w:gridSpan w:val="3"/>
            <w:shd w:val="clear" w:color="auto" w:fill="auto"/>
            <w:vAlign w:val="bottom"/>
          </w:tcPr>
          <w:p w14:paraId="0B2FB4E3" w14:textId="77777777" w:rsidR="007F1775" w:rsidRDefault="007F1775">
            <w:pPr>
              <w:rPr>
                <w:rFonts w:ascii="宋体"/>
                <w:vanish/>
              </w:rPr>
            </w:pPr>
          </w:p>
        </w:tc>
      </w:tr>
      <w:tr w:rsidR="007F1775" w14:paraId="0B2FB4EF" w14:textId="77777777">
        <w:tc>
          <w:tcPr>
            <w:tcW w:w="0" w:type="auto"/>
            <w:gridSpan w:val="3"/>
            <w:shd w:val="clear" w:color="auto" w:fill="FFFFFF"/>
            <w:tcMar>
              <w:top w:w="40" w:type="dxa"/>
              <w:left w:w="20" w:type="dxa"/>
              <w:bottom w:w="40" w:type="dxa"/>
              <w:right w:w="20" w:type="dxa"/>
            </w:tcMar>
          </w:tcPr>
          <w:p w14:paraId="0B2FB4E5" w14:textId="77777777" w:rsidR="007F1775" w:rsidRDefault="000F083E">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B2FB4E6" w14:textId="77777777" w:rsidR="007F1775" w:rsidRDefault="000F083E">
            <w:pPr>
              <w:jc w:val="right"/>
              <w:textAlignment w:val="bottom"/>
            </w:pPr>
            <w:r>
              <w:rPr>
                <w:rFonts w:ascii="Times New Roman" w:eastAsia="宋体" w:hAnsi="Times New Roman"/>
                <w:color w:val="000000"/>
                <w:sz w:val="20"/>
                <w:szCs w:val="20"/>
              </w:rPr>
              <w:t>181 </w:t>
            </w:r>
          </w:p>
        </w:tc>
        <w:tc>
          <w:tcPr>
            <w:tcW w:w="0" w:type="auto"/>
            <w:shd w:val="clear" w:color="auto" w:fill="FFFFFF"/>
            <w:tcMar>
              <w:top w:w="40" w:type="dxa"/>
              <w:left w:w="0" w:type="dxa"/>
              <w:bottom w:w="40" w:type="dxa"/>
              <w:right w:w="20" w:type="dxa"/>
            </w:tcMar>
            <w:vAlign w:val="bottom"/>
          </w:tcPr>
          <w:p w14:paraId="0B2FB4E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4E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4E9" w14:textId="77777777" w:rsidR="007F1775" w:rsidRDefault="000F083E">
            <w:pPr>
              <w:jc w:val="right"/>
              <w:textAlignment w:val="bottom"/>
            </w:pPr>
            <w:r>
              <w:rPr>
                <w:rFonts w:ascii="Times New Roman" w:eastAsia="宋体" w:hAnsi="Times New Roman"/>
                <w:color w:val="000000"/>
                <w:sz w:val="20"/>
                <w:szCs w:val="20"/>
              </w:rPr>
              <w:t>130 </w:t>
            </w:r>
          </w:p>
        </w:tc>
        <w:tc>
          <w:tcPr>
            <w:tcW w:w="0" w:type="auto"/>
            <w:shd w:val="clear" w:color="auto" w:fill="FFFFFF"/>
            <w:tcMar>
              <w:top w:w="40" w:type="dxa"/>
              <w:left w:w="0" w:type="dxa"/>
              <w:bottom w:w="40" w:type="dxa"/>
              <w:right w:w="20" w:type="dxa"/>
            </w:tcMar>
            <w:vAlign w:val="bottom"/>
          </w:tcPr>
          <w:p w14:paraId="0B2FB4EA" w14:textId="77777777" w:rsidR="007F1775" w:rsidRDefault="007F1775">
            <w:pPr>
              <w:jc w:val="right"/>
              <w:rPr>
                <w:rFonts w:ascii="宋体"/>
              </w:rPr>
            </w:pPr>
          </w:p>
        </w:tc>
        <w:tc>
          <w:tcPr>
            <w:tcW w:w="0" w:type="auto"/>
            <w:shd w:val="clear" w:color="auto" w:fill="auto"/>
            <w:vAlign w:val="bottom"/>
          </w:tcPr>
          <w:p w14:paraId="0B2FB4EB" w14:textId="77777777" w:rsidR="007F1775" w:rsidRDefault="007F1775">
            <w:pPr>
              <w:rPr>
                <w:rFonts w:ascii="宋体"/>
                <w:vanish/>
              </w:rPr>
            </w:pPr>
          </w:p>
        </w:tc>
        <w:tc>
          <w:tcPr>
            <w:tcW w:w="0" w:type="auto"/>
            <w:shd w:val="clear" w:color="auto" w:fill="auto"/>
            <w:vAlign w:val="bottom"/>
          </w:tcPr>
          <w:p w14:paraId="0B2FB4EC" w14:textId="77777777" w:rsidR="007F1775" w:rsidRDefault="007F1775">
            <w:pPr>
              <w:rPr>
                <w:rFonts w:ascii="宋体"/>
                <w:vanish/>
              </w:rPr>
            </w:pPr>
          </w:p>
        </w:tc>
        <w:tc>
          <w:tcPr>
            <w:tcW w:w="0" w:type="auto"/>
            <w:gridSpan w:val="3"/>
            <w:shd w:val="clear" w:color="auto" w:fill="auto"/>
            <w:vAlign w:val="bottom"/>
          </w:tcPr>
          <w:p w14:paraId="0B2FB4ED" w14:textId="77777777" w:rsidR="007F1775" w:rsidRDefault="007F1775">
            <w:pPr>
              <w:rPr>
                <w:rFonts w:ascii="宋体"/>
                <w:vanish/>
              </w:rPr>
            </w:pPr>
          </w:p>
        </w:tc>
        <w:tc>
          <w:tcPr>
            <w:tcW w:w="0" w:type="auto"/>
            <w:gridSpan w:val="3"/>
            <w:shd w:val="clear" w:color="auto" w:fill="auto"/>
            <w:vAlign w:val="bottom"/>
          </w:tcPr>
          <w:p w14:paraId="0B2FB4EE" w14:textId="77777777" w:rsidR="007F1775" w:rsidRDefault="007F1775">
            <w:pPr>
              <w:rPr>
                <w:rFonts w:ascii="宋体"/>
                <w:vanish/>
              </w:rPr>
            </w:pPr>
          </w:p>
        </w:tc>
      </w:tr>
      <w:tr w:rsidR="007F1775" w14:paraId="0B2FB4FC" w14:textId="77777777">
        <w:tc>
          <w:tcPr>
            <w:tcW w:w="0" w:type="auto"/>
            <w:gridSpan w:val="3"/>
            <w:shd w:val="clear" w:color="auto" w:fill="CCEEFF"/>
            <w:tcMar>
              <w:top w:w="40" w:type="dxa"/>
              <w:left w:w="365" w:type="dxa"/>
              <w:bottom w:w="40" w:type="dxa"/>
              <w:right w:w="20" w:type="dxa"/>
            </w:tcMar>
          </w:tcPr>
          <w:p w14:paraId="0B2FB4F0" w14:textId="77777777" w:rsidR="007F1775" w:rsidRDefault="000F083E">
            <w:pPr>
              <w:textAlignment w:val="top"/>
            </w:pPr>
            <w:r>
              <w:rPr>
                <w:rFonts w:ascii="Times New Roman" w:eastAsia="宋体" w:hAnsi="Times New Roman"/>
                <w:color w:val="000000"/>
                <w:sz w:val="20"/>
                <w:szCs w:val="20"/>
              </w:rPr>
              <w:t>Total share-based compensation expense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B4F1"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B4F2" w14:textId="77777777" w:rsidR="007F1775" w:rsidRDefault="000F083E">
            <w:pPr>
              <w:jc w:val="right"/>
              <w:textAlignment w:val="bottom"/>
            </w:pPr>
            <w:r>
              <w:rPr>
                <w:rFonts w:ascii="Times New Roman" w:eastAsia="宋体" w:hAnsi="Times New Roman"/>
                <w:color w:val="000000"/>
                <w:sz w:val="20"/>
                <w:szCs w:val="20"/>
              </w:rPr>
              <w:t>2,498 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B4F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4F4"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B4F5"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B4F6" w14:textId="77777777" w:rsidR="007F1775" w:rsidRDefault="000F083E">
            <w:pPr>
              <w:jc w:val="right"/>
              <w:textAlignment w:val="bottom"/>
            </w:pPr>
            <w:r>
              <w:rPr>
                <w:rFonts w:ascii="Times New Roman" w:eastAsia="宋体" w:hAnsi="Times New Roman"/>
                <w:color w:val="000000"/>
                <w:sz w:val="20"/>
                <w:szCs w:val="20"/>
              </w:rPr>
              <w:t>1,830 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B4F7" w14:textId="77777777" w:rsidR="007F1775" w:rsidRDefault="007F1775">
            <w:pPr>
              <w:jc w:val="right"/>
              <w:rPr>
                <w:rFonts w:ascii="宋体"/>
              </w:rPr>
            </w:pPr>
          </w:p>
        </w:tc>
        <w:tc>
          <w:tcPr>
            <w:tcW w:w="0" w:type="auto"/>
            <w:shd w:val="clear" w:color="auto" w:fill="auto"/>
            <w:vAlign w:val="bottom"/>
          </w:tcPr>
          <w:p w14:paraId="0B2FB4F8" w14:textId="77777777" w:rsidR="007F1775" w:rsidRDefault="007F1775">
            <w:pPr>
              <w:rPr>
                <w:rFonts w:ascii="宋体"/>
                <w:vanish/>
              </w:rPr>
            </w:pPr>
          </w:p>
        </w:tc>
        <w:tc>
          <w:tcPr>
            <w:tcW w:w="0" w:type="auto"/>
            <w:shd w:val="clear" w:color="auto" w:fill="auto"/>
            <w:vAlign w:val="bottom"/>
          </w:tcPr>
          <w:p w14:paraId="0B2FB4F9" w14:textId="77777777" w:rsidR="007F1775" w:rsidRDefault="007F1775">
            <w:pPr>
              <w:rPr>
                <w:rFonts w:ascii="宋体"/>
                <w:vanish/>
              </w:rPr>
            </w:pPr>
          </w:p>
        </w:tc>
        <w:tc>
          <w:tcPr>
            <w:tcW w:w="0" w:type="auto"/>
            <w:gridSpan w:val="3"/>
            <w:shd w:val="clear" w:color="auto" w:fill="auto"/>
            <w:vAlign w:val="bottom"/>
          </w:tcPr>
          <w:p w14:paraId="0B2FB4FA" w14:textId="77777777" w:rsidR="007F1775" w:rsidRDefault="007F1775">
            <w:pPr>
              <w:rPr>
                <w:rFonts w:ascii="宋体"/>
                <w:vanish/>
              </w:rPr>
            </w:pPr>
          </w:p>
        </w:tc>
        <w:tc>
          <w:tcPr>
            <w:tcW w:w="0" w:type="auto"/>
            <w:gridSpan w:val="3"/>
            <w:shd w:val="clear" w:color="auto" w:fill="auto"/>
            <w:vAlign w:val="bottom"/>
          </w:tcPr>
          <w:p w14:paraId="0B2FB4FB" w14:textId="77777777" w:rsidR="007F1775" w:rsidRDefault="007F1775">
            <w:pPr>
              <w:rPr>
                <w:rFonts w:ascii="宋体"/>
                <w:vanish/>
              </w:rPr>
            </w:pPr>
          </w:p>
        </w:tc>
      </w:tr>
    </w:tbl>
    <w:p w14:paraId="0B2FB4FD" w14:textId="77777777" w:rsidR="007F1775" w:rsidRDefault="000F083E">
      <w:pPr>
        <w:jc w:val="center"/>
      </w:pPr>
      <w:r>
        <w:rPr>
          <w:rFonts w:ascii="Times New Roman" w:eastAsia="宋体" w:hAnsi="Times New Roman"/>
          <w:color w:val="000000"/>
          <w:sz w:val="20"/>
          <w:szCs w:val="20"/>
        </w:rPr>
        <w:t>38</w:t>
      </w:r>
    </w:p>
    <w:p w14:paraId="0B2FB4FE" w14:textId="77777777" w:rsidR="007F1775" w:rsidRDefault="000F083E">
      <w:r>
        <w:pict w14:anchorId="0B2FBFB3">
          <v:rect id="_x0000_i1062" style="width:415.3pt;height:1.5pt" o:hralign="center" o:hrstd="t" o:hr="t" fillcolor="#a0a0a0" stroked="f"/>
        </w:pict>
      </w:r>
    </w:p>
    <w:p w14:paraId="0B2FB4FF" w14:textId="77777777" w:rsidR="007F1775" w:rsidRDefault="007F1775"/>
    <w:p w14:paraId="0B2FB500" w14:textId="77777777" w:rsidR="007F1775" w:rsidRDefault="007F1775"/>
    <w:p w14:paraId="0B2FB501" w14:textId="77777777" w:rsidR="007F1775" w:rsidRDefault="000F083E">
      <w:hyperlink r:id="rId116" w:anchor="iea70e328caa94cefb76a9db6ed6338fc_7" w:history="1">
        <w:r>
          <w:rPr>
            <w:rStyle w:val="a5"/>
            <w:rFonts w:ascii="Times New Roman" w:eastAsia="宋体" w:hAnsi="Times New Roman"/>
            <w:sz w:val="20"/>
            <w:szCs w:val="20"/>
          </w:rPr>
          <w:t>Table of Contents</w:t>
        </w:r>
      </w:hyperlink>
    </w:p>
    <w:p w14:paraId="0B2FB502" w14:textId="77777777" w:rsidR="007F1775" w:rsidRDefault="007F1775">
      <w:pPr>
        <w:spacing w:before="180"/>
        <w:ind w:firstLine="540"/>
        <w:jc w:val="both"/>
      </w:pPr>
    </w:p>
    <w:p w14:paraId="0B2FB503" w14:textId="77777777" w:rsidR="007F1775" w:rsidRDefault="000F083E">
      <w:pPr>
        <w:spacing w:before="180"/>
        <w:ind w:firstLine="540"/>
        <w:jc w:val="both"/>
      </w:pPr>
      <w:r>
        <w:rPr>
          <w:rFonts w:ascii="Times New Roman" w:eastAsia="宋体" w:hAnsi="Times New Roman"/>
          <w:color w:val="000000"/>
          <w:sz w:val="20"/>
          <w:szCs w:val="20"/>
        </w:rPr>
        <w:t xml:space="preserve">Share-based compensation expense included in costs and expenses (as a </w:t>
      </w:r>
      <w:r>
        <w:rPr>
          <w:rFonts w:ascii="Times New Roman" w:eastAsia="宋体" w:hAnsi="Times New Roman"/>
          <w:color w:val="000000"/>
          <w:sz w:val="20"/>
          <w:szCs w:val="20"/>
        </w:rPr>
        <w:t>percentage of revenue)</w:t>
      </w:r>
      <w:r>
        <w:rPr>
          <w:rFonts w:ascii="Times New Roman" w:eastAsia="宋体" w:hAnsi="Times New Roman"/>
          <w:color w:val="000000"/>
          <w:sz w:val="13"/>
          <w:szCs w:val="13"/>
        </w:rPr>
        <w:t>(1)</w:t>
      </w:r>
      <w:r>
        <w:rPr>
          <w:rFonts w:ascii="Times New Roman" w:eastAsia="宋体" w:hAnsi="Times New Roman"/>
          <w:color w:val="000000"/>
          <w:sz w:val="20"/>
          <w:szCs w:val="20"/>
        </w:rPr>
        <w:t>:</w:t>
      </w:r>
      <w:r>
        <w:rPr>
          <w:rFonts w:ascii="Times New Roman" w:eastAsia="宋体" w:hAnsi="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249"/>
        <w:gridCol w:w="39"/>
        <w:gridCol w:w="37"/>
        <w:gridCol w:w="1109"/>
        <w:gridCol w:w="188"/>
        <w:gridCol w:w="36"/>
        <w:gridCol w:w="36"/>
        <w:gridCol w:w="36"/>
        <w:gridCol w:w="37"/>
        <w:gridCol w:w="1053"/>
        <w:gridCol w:w="188"/>
        <w:gridCol w:w="36"/>
        <w:gridCol w:w="36"/>
        <w:gridCol w:w="36"/>
        <w:gridCol w:w="36"/>
        <w:gridCol w:w="36"/>
        <w:gridCol w:w="36"/>
        <w:gridCol w:w="36"/>
        <w:gridCol w:w="36"/>
      </w:tblGrid>
      <w:tr w:rsidR="007F1775" w14:paraId="0B2FB514" w14:textId="77777777">
        <w:tc>
          <w:tcPr>
            <w:tcW w:w="50" w:type="pct"/>
            <w:shd w:val="clear" w:color="auto" w:fill="auto"/>
            <w:vAlign w:val="bottom"/>
          </w:tcPr>
          <w:p w14:paraId="0B2FB504" w14:textId="77777777" w:rsidR="007F1775" w:rsidRDefault="007F1775">
            <w:pPr>
              <w:rPr>
                <w:rFonts w:ascii="宋体"/>
              </w:rPr>
            </w:pPr>
          </w:p>
        </w:tc>
        <w:tc>
          <w:tcPr>
            <w:tcW w:w="3315" w:type="pct"/>
            <w:shd w:val="clear" w:color="auto" w:fill="auto"/>
            <w:vAlign w:val="bottom"/>
          </w:tcPr>
          <w:p w14:paraId="0B2FB505" w14:textId="77777777" w:rsidR="007F1775" w:rsidRDefault="007F1775">
            <w:pPr>
              <w:rPr>
                <w:rFonts w:ascii="宋体"/>
              </w:rPr>
            </w:pPr>
          </w:p>
        </w:tc>
        <w:tc>
          <w:tcPr>
            <w:tcW w:w="5" w:type="pct"/>
            <w:shd w:val="clear" w:color="auto" w:fill="auto"/>
            <w:vAlign w:val="bottom"/>
          </w:tcPr>
          <w:p w14:paraId="0B2FB506" w14:textId="77777777" w:rsidR="007F1775" w:rsidRDefault="007F1775">
            <w:pPr>
              <w:rPr>
                <w:rFonts w:ascii="宋体"/>
              </w:rPr>
            </w:pPr>
          </w:p>
        </w:tc>
        <w:tc>
          <w:tcPr>
            <w:tcW w:w="50" w:type="pct"/>
            <w:shd w:val="clear" w:color="auto" w:fill="auto"/>
            <w:vAlign w:val="bottom"/>
          </w:tcPr>
          <w:p w14:paraId="0B2FB507" w14:textId="77777777" w:rsidR="007F1775" w:rsidRDefault="007F1775">
            <w:pPr>
              <w:rPr>
                <w:rFonts w:ascii="宋体"/>
              </w:rPr>
            </w:pPr>
          </w:p>
        </w:tc>
        <w:tc>
          <w:tcPr>
            <w:tcW w:w="741" w:type="pct"/>
            <w:shd w:val="clear" w:color="auto" w:fill="auto"/>
            <w:vAlign w:val="bottom"/>
          </w:tcPr>
          <w:p w14:paraId="0B2FB508" w14:textId="77777777" w:rsidR="007F1775" w:rsidRDefault="007F1775">
            <w:pPr>
              <w:rPr>
                <w:rFonts w:ascii="宋体"/>
              </w:rPr>
            </w:pPr>
          </w:p>
        </w:tc>
        <w:tc>
          <w:tcPr>
            <w:tcW w:w="5" w:type="pct"/>
            <w:shd w:val="clear" w:color="auto" w:fill="auto"/>
            <w:vAlign w:val="bottom"/>
          </w:tcPr>
          <w:p w14:paraId="0B2FB509" w14:textId="77777777" w:rsidR="007F1775" w:rsidRDefault="007F1775">
            <w:pPr>
              <w:rPr>
                <w:rFonts w:ascii="宋体"/>
              </w:rPr>
            </w:pPr>
          </w:p>
        </w:tc>
        <w:tc>
          <w:tcPr>
            <w:tcW w:w="5" w:type="pct"/>
            <w:shd w:val="clear" w:color="auto" w:fill="auto"/>
            <w:vAlign w:val="bottom"/>
          </w:tcPr>
          <w:p w14:paraId="0B2FB50A" w14:textId="77777777" w:rsidR="007F1775" w:rsidRDefault="007F1775">
            <w:pPr>
              <w:rPr>
                <w:rFonts w:ascii="宋体"/>
              </w:rPr>
            </w:pPr>
          </w:p>
        </w:tc>
        <w:tc>
          <w:tcPr>
            <w:tcW w:w="27" w:type="pct"/>
            <w:shd w:val="clear" w:color="auto" w:fill="auto"/>
            <w:vAlign w:val="bottom"/>
          </w:tcPr>
          <w:p w14:paraId="0B2FB50B" w14:textId="77777777" w:rsidR="007F1775" w:rsidRDefault="007F1775">
            <w:pPr>
              <w:rPr>
                <w:rFonts w:ascii="宋体"/>
              </w:rPr>
            </w:pPr>
          </w:p>
        </w:tc>
        <w:tc>
          <w:tcPr>
            <w:tcW w:w="5" w:type="pct"/>
            <w:shd w:val="clear" w:color="auto" w:fill="auto"/>
            <w:vAlign w:val="bottom"/>
          </w:tcPr>
          <w:p w14:paraId="0B2FB50C" w14:textId="77777777" w:rsidR="007F1775" w:rsidRDefault="007F1775">
            <w:pPr>
              <w:rPr>
                <w:rFonts w:ascii="宋体"/>
              </w:rPr>
            </w:pPr>
          </w:p>
        </w:tc>
        <w:tc>
          <w:tcPr>
            <w:tcW w:w="50" w:type="pct"/>
            <w:shd w:val="clear" w:color="auto" w:fill="auto"/>
            <w:vAlign w:val="bottom"/>
          </w:tcPr>
          <w:p w14:paraId="0B2FB50D" w14:textId="77777777" w:rsidR="007F1775" w:rsidRDefault="007F1775">
            <w:pPr>
              <w:rPr>
                <w:rFonts w:ascii="宋体"/>
              </w:rPr>
            </w:pPr>
          </w:p>
        </w:tc>
        <w:tc>
          <w:tcPr>
            <w:tcW w:w="741" w:type="pct"/>
            <w:shd w:val="clear" w:color="auto" w:fill="auto"/>
            <w:vAlign w:val="bottom"/>
          </w:tcPr>
          <w:p w14:paraId="0B2FB50E" w14:textId="77777777" w:rsidR="007F1775" w:rsidRDefault="007F1775">
            <w:pPr>
              <w:rPr>
                <w:rFonts w:ascii="宋体"/>
              </w:rPr>
            </w:pPr>
          </w:p>
        </w:tc>
        <w:tc>
          <w:tcPr>
            <w:tcW w:w="5" w:type="pct"/>
            <w:shd w:val="clear" w:color="auto" w:fill="auto"/>
            <w:vAlign w:val="bottom"/>
          </w:tcPr>
          <w:p w14:paraId="0B2FB50F" w14:textId="77777777" w:rsidR="007F1775" w:rsidRDefault="007F1775">
            <w:pPr>
              <w:rPr>
                <w:rFonts w:ascii="宋体"/>
              </w:rPr>
            </w:pPr>
          </w:p>
        </w:tc>
        <w:tc>
          <w:tcPr>
            <w:tcW w:w="0" w:type="auto"/>
            <w:shd w:val="clear" w:color="auto" w:fill="auto"/>
            <w:vAlign w:val="bottom"/>
          </w:tcPr>
          <w:p w14:paraId="0B2FB510" w14:textId="77777777" w:rsidR="007F1775" w:rsidRDefault="007F1775">
            <w:pPr>
              <w:rPr>
                <w:rFonts w:ascii="宋体"/>
                <w:vanish/>
              </w:rPr>
            </w:pPr>
          </w:p>
        </w:tc>
        <w:tc>
          <w:tcPr>
            <w:tcW w:w="0" w:type="auto"/>
            <w:shd w:val="clear" w:color="auto" w:fill="auto"/>
            <w:vAlign w:val="bottom"/>
          </w:tcPr>
          <w:p w14:paraId="0B2FB511" w14:textId="77777777" w:rsidR="007F1775" w:rsidRDefault="007F1775">
            <w:pPr>
              <w:rPr>
                <w:rFonts w:ascii="宋体"/>
                <w:vanish/>
              </w:rPr>
            </w:pPr>
          </w:p>
        </w:tc>
        <w:tc>
          <w:tcPr>
            <w:tcW w:w="0" w:type="auto"/>
            <w:gridSpan w:val="3"/>
            <w:shd w:val="clear" w:color="auto" w:fill="auto"/>
            <w:vAlign w:val="bottom"/>
          </w:tcPr>
          <w:p w14:paraId="0B2FB512" w14:textId="77777777" w:rsidR="007F1775" w:rsidRDefault="007F1775">
            <w:pPr>
              <w:rPr>
                <w:rFonts w:ascii="宋体"/>
                <w:vanish/>
              </w:rPr>
            </w:pPr>
          </w:p>
        </w:tc>
        <w:tc>
          <w:tcPr>
            <w:tcW w:w="0" w:type="auto"/>
            <w:gridSpan w:val="3"/>
            <w:shd w:val="clear" w:color="auto" w:fill="auto"/>
            <w:vAlign w:val="bottom"/>
          </w:tcPr>
          <w:p w14:paraId="0B2FB513" w14:textId="77777777" w:rsidR="007F1775" w:rsidRDefault="007F1775">
            <w:pPr>
              <w:rPr>
                <w:rFonts w:ascii="宋体"/>
                <w:vanish/>
              </w:rPr>
            </w:pPr>
          </w:p>
        </w:tc>
      </w:tr>
      <w:tr w:rsidR="007F1775" w14:paraId="0B2FB51F" w14:textId="77777777">
        <w:tc>
          <w:tcPr>
            <w:tcW w:w="0" w:type="auto"/>
            <w:gridSpan w:val="3"/>
            <w:shd w:val="clear" w:color="auto" w:fill="auto"/>
            <w:tcMar>
              <w:top w:w="0" w:type="dxa"/>
              <w:left w:w="20" w:type="dxa"/>
              <w:bottom w:w="0" w:type="dxa"/>
              <w:right w:w="20" w:type="dxa"/>
            </w:tcMar>
            <w:vAlign w:val="bottom"/>
          </w:tcPr>
          <w:p w14:paraId="0B2FB515" w14:textId="77777777" w:rsidR="007F1775" w:rsidRDefault="007F1775">
            <w:pPr>
              <w:rPr>
                <w:rFonts w:ascii="宋体"/>
              </w:rPr>
            </w:pPr>
          </w:p>
        </w:tc>
        <w:tc>
          <w:tcPr>
            <w:tcW w:w="0" w:type="auto"/>
            <w:gridSpan w:val="9"/>
            <w:shd w:val="clear" w:color="auto" w:fill="auto"/>
            <w:tcMar>
              <w:top w:w="40" w:type="dxa"/>
              <w:left w:w="20" w:type="dxa"/>
              <w:bottom w:w="40" w:type="dxa"/>
              <w:right w:w="20" w:type="dxa"/>
            </w:tcMar>
            <w:vAlign w:val="bottom"/>
          </w:tcPr>
          <w:p w14:paraId="0B2FB516"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B517" w14:textId="77777777" w:rsidR="007F1775" w:rsidRDefault="007F1775">
            <w:pPr>
              <w:rPr>
                <w:rFonts w:ascii="宋体"/>
                <w:vanish/>
              </w:rPr>
            </w:pPr>
          </w:p>
        </w:tc>
        <w:tc>
          <w:tcPr>
            <w:tcW w:w="0" w:type="auto"/>
            <w:shd w:val="clear" w:color="auto" w:fill="auto"/>
            <w:vAlign w:val="bottom"/>
          </w:tcPr>
          <w:p w14:paraId="0B2FB518" w14:textId="77777777" w:rsidR="007F1775" w:rsidRDefault="007F1775">
            <w:pPr>
              <w:rPr>
                <w:rFonts w:ascii="宋体"/>
                <w:vanish/>
              </w:rPr>
            </w:pPr>
          </w:p>
        </w:tc>
        <w:tc>
          <w:tcPr>
            <w:tcW w:w="0" w:type="auto"/>
            <w:shd w:val="clear" w:color="auto" w:fill="auto"/>
            <w:vAlign w:val="bottom"/>
          </w:tcPr>
          <w:p w14:paraId="0B2FB519" w14:textId="77777777" w:rsidR="007F1775" w:rsidRDefault="007F1775">
            <w:pPr>
              <w:rPr>
                <w:rFonts w:ascii="宋体"/>
              </w:rPr>
            </w:pPr>
          </w:p>
        </w:tc>
        <w:tc>
          <w:tcPr>
            <w:tcW w:w="0" w:type="auto"/>
            <w:shd w:val="clear" w:color="auto" w:fill="auto"/>
            <w:vAlign w:val="bottom"/>
          </w:tcPr>
          <w:p w14:paraId="0B2FB51A" w14:textId="77777777" w:rsidR="007F1775" w:rsidRDefault="007F1775">
            <w:pPr>
              <w:rPr>
                <w:rFonts w:ascii="宋体"/>
              </w:rPr>
            </w:pPr>
          </w:p>
        </w:tc>
        <w:tc>
          <w:tcPr>
            <w:tcW w:w="0" w:type="auto"/>
            <w:shd w:val="clear" w:color="auto" w:fill="auto"/>
            <w:vAlign w:val="bottom"/>
          </w:tcPr>
          <w:p w14:paraId="0B2FB51B" w14:textId="77777777" w:rsidR="007F1775" w:rsidRDefault="007F1775">
            <w:pPr>
              <w:rPr>
                <w:rFonts w:ascii="宋体"/>
              </w:rPr>
            </w:pPr>
          </w:p>
        </w:tc>
        <w:tc>
          <w:tcPr>
            <w:tcW w:w="0" w:type="auto"/>
            <w:shd w:val="clear" w:color="auto" w:fill="auto"/>
            <w:vAlign w:val="bottom"/>
          </w:tcPr>
          <w:p w14:paraId="0B2FB51C" w14:textId="77777777" w:rsidR="007F1775" w:rsidRDefault="007F1775">
            <w:pPr>
              <w:rPr>
                <w:rFonts w:ascii="宋体"/>
              </w:rPr>
            </w:pPr>
          </w:p>
        </w:tc>
        <w:tc>
          <w:tcPr>
            <w:tcW w:w="0" w:type="auto"/>
            <w:shd w:val="clear" w:color="auto" w:fill="auto"/>
            <w:vAlign w:val="bottom"/>
          </w:tcPr>
          <w:p w14:paraId="0B2FB51D" w14:textId="77777777" w:rsidR="007F1775" w:rsidRDefault="007F1775">
            <w:pPr>
              <w:rPr>
                <w:rFonts w:ascii="宋体"/>
              </w:rPr>
            </w:pPr>
          </w:p>
        </w:tc>
        <w:tc>
          <w:tcPr>
            <w:tcW w:w="0" w:type="auto"/>
            <w:shd w:val="clear" w:color="auto" w:fill="auto"/>
            <w:vAlign w:val="bottom"/>
          </w:tcPr>
          <w:p w14:paraId="0B2FB51E" w14:textId="77777777" w:rsidR="007F1775" w:rsidRDefault="007F1775">
            <w:pPr>
              <w:rPr>
                <w:rFonts w:ascii="宋体"/>
              </w:rPr>
            </w:pPr>
          </w:p>
        </w:tc>
      </w:tr>
      <w:tr w:rsidR="007F1775" w14:paraId="0B2FB528" w14:textId="77777777">
        <w:tc>
          <w:tcPr>
            <w:tcW w:w="0" w:type="auto"/>
            <w:gridSpan w:val="3"/>
            <w:shd w:val="clear" w:color="auto" w:fill="auto"/>
            <w:tcMar>
              <w:top w:w="0" w:type="dxa"/>
              <w:left w:w="20" w:type="dxa"/>
              <w:bottom w:w="0" w:type="dxa"/>
              <w:right w:w="20" w:type="dxa"/>
            </w:tcMar>
            <w:vAlign w:val="bottom"/>
          </w:tcPr>
          <w:p w14:paraId="0B2FB520"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521"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522"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523"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B524" w14:textId="77777777" w:rsidR="007F1775" w:rsidRDefault="007F1775">
            <w:pPr>
              <w:rPr>
                <w:rFonts w:ascii="宋体"/>
                <w:vanish/>
              </w:rPr>
            </w:pPr>
          </w:p>
        </w:tc>
        <w:tc>
          <w:tcPr>
            <w:tcW w:w="0" w:type="auto"/>
            <w:shd w:val="clear" w:color="auto" w:fill="auto"/>
            <w:vAlign w:val="bottom"/>
          </w:tcPr>
          <w:p w14:paraId="0B2FB525" w14:textId="77777777" w:rsidR="007F1775" w:rsidRDefault="007F1775">
            <w:pPr>
              <w:rPr>
                <w:rFonts w:ascii="宋体"/>
                <w:vanish/>
              </w:rPr>
            </w:pPr>
          </w:p>
        </w:tc>
        <w:tc>
          <w:tcPr>
            <w:tcW w:w="0" w:type="auto"/>
            <w:gridSpan w:val="3"/>
            <w:shd w:val="clear" w:color="auto" w:fill="auto"/>
            <w:vAlign w:val="bottom"/>
          </w:tcPr>
          <w:p w14:paraId="0B2FB526" w14:textId="77777777" w:rsidR="007F1775" w:rsidRDefault="007F1775">
            <w:pPr>
              <w:rPr>
                <w:rFonts w:ascii="宋体"/>
                <w:vanish/>
              </w:rPr>
            </w:pPr>
          </w:p>
        </w:tc>
        <w:tc>
          <w:tcPr>
            <w:tcW w:w="0" w:type="auto"/>
            <w:gridSpan w:val="3"/>
            <w:shd w:val="clear" w:color="auto" w:fill="auto"/>
            <w:vAlign w:val="bottom"/>
          </w:tcPr>
          <w:p w14:paraId="0B2FB527" w14:textId="77777777" w:rsidR="007F1775" w:rsidRDefault="007F1775">
            <w:pPr>
              <w:rPr>
                <w:rFonts w:ascii="宋体"/>
                <w:vanish/>
              </w:rPr>
            </w:pPr>
          </w:p>
        </w:tc>
      </w:tr>
      <w:tr w:rsidR="007F1775" w14:paraId="0B2FB533" w14:textId="77777777">
        <w:tc>
          <w:tcPr>
            <w:tcW w:w="0" w:type="auto"/>
            <w:gridSpan w:val="3"/>
            <w:shd w:val="clear" w:color="auto" w:fill="CCEEFF"/>
            <w:tcMar>
              <w:top w:w="40" w:type="dxa"/>
              <w:left w:w="20" w:type="dxa"/>
              <w:bottom w:w="40" w:type="dxa"/>
              <w:right w:w="20" w:type="dxa"/>
            </w:tcMar>
          </w:tcPr>
          <w:p w14:paraId="0B2FB529" w14:textId="77777777" w:rsidR="007F1775" w:rsidRDefault="000F083E">
            <w:pPr>
              <w:textAlignment w:val="top"/>
            </w:pPr>
            <w:r>
              <w:rPr>
                <w:rFonts w:ascii="Times New Roman" w:eastAsia="宋体" w:hAnsi="Times New Roman"/>
                <w:color w:val="000000"/>
                <w:sz w:val="20"/>
                <w:szCs w:val="20"/>
              </w:rPr>
              <w:t>Cost of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B52A" w14:textId="77777777" w:rsidR="007F1775" w:rsidRDefault="000F083E">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52B"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B2FB52C"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B52D" w14:textId="77777777" w:rsidR="007F1775" w:rsidRDefault="000F083E">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52E"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52F" w14:textId="77777777" w:rsidR="007F1775" w:rsidRDefault="007F1775">
            <w:pPr>
              <w:rPr>
                <w:rFonts w:ascii="宋体"/>
                <w:vanish/>
              </w:rPr>
            </w:pPr>
          </w:p>
        </w:tc>
        <w:tc>
          <w:tcPr>
            <w:tcW w:w="0" w:type="auto"/>
            <w:shd w:val="clear" w:color="auto" w:fill="auto"/>
            <w:vAlign w:val="bottom"/>
          </w:tcPr>
          <w:p w14:paraId="0B2FB530" w14:textId="77777777" w:rsidR="007F1775" w:rsidRDefault="007F1775">
            <w:pPr>
              <w:rPr>
                <w:rFonts w:ascii="宋体"/>
                <w:vanish/>
              </w:rPr>
            </w:pPr>
          </w:p>
        </w:tc>
        <w:tc>
          <w:tcPr>
            <w:tcW w:w="0" w:type="auto"/>
            <w:gridSpan w:val="3"/>
            <w:shd w:val="clear" w:color="auto" w:fill="auto"/>
            <w:vAlign w:val="bottom"/>
          </w:tcPr>
          <w:p w14:paraId="0B2FB531" w14:textId="77777777" w:rsidR="007F1775" w:rsidRDefault="007F1775">
            <w:pPr>
              <w:rPr>
                <w:rFonts w:ascii="宋体"/>
                <w:vanish/>
              </w:rPr>
            </w:pPr>
          </w:p>
        </w:tc>
        <w:tc>
          <w:tcPr>
            <w:tcW w:w="0" w:type="auto"/>
            <w:gridSpan w:val="3"/>
            <w:shd w:val="clear" w:color="auto" w:fill="auto"/>
            <w:vAlign w:val="bottom"/>
          </w:tcPr>
          <w:p w14:paraId="0B2FB532" w14:textId="77777777" w:rsidR="007F1775" w:rsidRDefault="007F1775">
            <w:pPr>
              <w:rPr>
                <w:rFonts w:ascii="宋体"/>
                <w:vanish/>
              </w:rPr>
            </w:pPr>
          </w:p>
        </w:tc>
      </w:tr>
      <w:tr w:rsidR="007F1775" w14:paraId="0B2FB53E" w14:textId="77777777">
        <w:tc>
          <w:tcPr>
            <w:tcW w:w="0" w:type="auto"/>
            <w:gridSpan w:val="3"/>
            <w:shd w:val="clear" w:color="auto" w:fill="FFFFFF"/>
            <w:tcMar>
              <w:top w:w="40" w:type="dxa"/>
              <w:left w:w="20" w:type="dxa"/>
              <w:bottom w:w="40" w:type="dxa"/>
              <w:right w:w="20" w:type="dxa"/>
            </w:tcMar>
          </w:tcPr>
          <w:p w14:paraId="0B2FB534" w14:textId="77777777" w:rsidR="007F1775" w:rsidRDefault="000F083E">
            <w:pPr>
              <w:textAlignment w:val="top"/>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B2FB535" w14:textId="77777777" w:rsidR="007F1775" w:rsidRDefault="000F083E">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0B2FB536"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537"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538" w14:textId="77777777" w:rsidR="007F1775" w:rsidRDefault="000F083E">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0B2FB539" w14:textId="77777777" w:rsidR="007F1775" w:rsidRDefault="007F1775">
            <w:pPr>
              <w:jc w:val="right"/>
              <w:rPr>
                <w:rFonts w:ascii="宋体"/>
              </w:rPr>
            </w:pPr>
          </w:p>
        </w:tc>
        <w:tc>
          <w:tcPr>
            <w:tcW w:w="0" w:type="auto"/>
            <w:shd w:val="clear" w:color="auto" w:fill="auto"/>
            <w:vAlign w:val="bottom"/>
          </w:tcPr>
          <w:p w14:paraId="0B2FB53A" w14:textId="77777777" w:rsidR="007F1775" w:rsidRDefault="007F1775">
            <w:pPr>
              <w:rPr>
                <w:rFonts w:ascii="宋体"/>
                <w:vanish/>
              </w:rPr>
            </w:pPr>
          </w:p>
        </w:tc>
        <w:tc>
          <w:tcPr>
            <w:tcW w:w="0" w:type="auto"/>
            <w:shd w:val="clear" w:color="auto" w:fill="auto"/>
            <w:vAlign w:val="bottom"/>
          </w:tcPr>
          <w:p w14:paraId="0B2FB53B" w14:textId="77777777" w:rsidR="007F1775" w:rsidRDefault="007F1775">
            <w:pPr>
              <w:rPr>
                <w:rFonts w:ascii="宋体"/>
                <w:vanish/>
              </w:rPr>
            </w:pPr>
          </w:p>
        </w:tc>
        <w:tc>
          <w:tcPr>
            <w:tcW w:w="0" w:type="auto"/>
            <w:gridSpan w:val="3"/>
            <w:shd w:val="clear" w:color="auto" w:fill="auto"/>
            <w:vAlign w:val="bottom"/>
          </w:tcPr>
          <w:p w14:paraId="0B2FB53C" w14:textId="77777777" w:rsidR="007F1775" w:rsidRDefault="007F1775">
            <w:pPr>
              <w:rPr>
                <w:rFonts w:ascii="宋体"/>
                <w:vanish/>
              </w:rPr>
            </w:pPr>
          </w:p>
        </w:tc>
        <w:tc>
          <w:tcPr>
            <w:tcW w:w="0" w:type="auto"/>
            <w:gridSpan w:val="3"/>
            <w:shd w:val="clear" w:color="auto" w:fill="auto"/>
            <w:vAlign w:val="bottom"/>
          </w:tcPr>
          <w:p w14:paraId="0B2FB53D" w14:textId="77777777" w:rsidR="007F1775" w:rsidRDefault="007F1775">
            <w:pPr>
              <w:rPr>
                <w:rFonts w:ascii="宋体"/>
                <w:vanish/>
              </w:rPr>
            </w:pPr>
          </w:p>
        </w:tc>
      </w:tr>
      <w:tr w:rsidR="007F1775" w14:paraId="0B2FB549" w14:textId="77777777">
        <w:tc>
          <w:tcPr>
            <w:tcW w:w="0" w:type="auto"/>
            <w:gridSpan w:val="3"/>
            <w:shd w:val="clear" w:color="auto" w:fill="CCEEFF"/>
            <w:tcMar>
              <w:top w:w="40" w:type="dxa"/>
              <w:left w:w="20" w:type="dxa"/>
              <w:bottom w:w="40" w:type="dxa"/>
              <w:right w:w="20" w:type="dxa"/>
            </w:tcMar>
          </w:tcPr>
          <w:p w14:paraId="0B2FB53F" w14:textId="77777777" w:rsidR="007F1775" w:rsidRDefault="000F083E">
            <w:pPr>
              <w:textAlignment w:val="top"/>
            </w:pPr>
            <w:r>
              <w:rPr>
                <w:rFonts w:ascii="Times New Roman" w:eastAsia="宋体" w:hAnsi="Times New Roman"/>
                <w:color w:val="000000"/>
                <w:sz w:val="20"/>
                <w:szCs w:val="20"/>
              </w:rPr>
              <w:t>Marketing and sales</w:t>
            </w:r>
          </w:p>
        </w:tc>
        <w:tc>
          <w:tcPr>
            <w:tcW w:w="0" w:type="auto"/>
            <w:gridSpan w:val="2"/>
            <w:shd w:val="clear" w:color="auto" w:fill="CCEEFF"/>
            <w:tcMar>
              <w:top w:w="40" w:type="dxa"/>
              <w:left w:w="20" w:type="dxa"/>
              <w:bottom w:w="40" w:type="dxa"/>
              <w:right w:w="0" w:type="dxa"/>
            </w:tcMar>
            <w:vAlign w:val="bottom"/>
          </w:tcPr>
          <w:p w14:paraId="0B2FB540" w14:textId="77777777" w:rsidR="007F1775" w:rsidRDefault="000F083E">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B2FB541"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542"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543" w14:textId="77777777" w:rsidR="007F1775" w:rsidRDefault="000F083E">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B2FB544" w14:textId="77777777" w:rsidR="007F1775" w:rsidRDefault="007F1775">
            <w:pPr>
              <w:jc w:val="right"/>
              <w:rPr>
                <w:rFonts w:ascii="宋体"/>
              </w:rPr>
            </w:pPr>
          </w:p>
        </w:tc>
        <w:tc>
          <w:tcPr>
            <w:tcW w:w="0" w:type="auto"/>
            <w:shd w:val="clear" w:color="auto" w:fill="auto"/>
            <w:vAlign w:val="bottom"/>
          </w:tcPr>
          <w:p w14:paraId="0B2FB545" w14:textId="77777777" w:rsidR="007F1775" w:rsidRDefault="007F1775">
            <w:pPr>
              <w:rPr>
                <w:rFonts w:ascii="宋体"/>
                <w:vanish/>
              </w:rPr>
            </w:pPr>
          </w:p>
        </w:tc>
        <w:tc>
          <w:tcPr>
            <w:tcW w:w="0" w:type="auto"/>
            <w:shd w:val="clear" w:color="auto" w:fill="auto"/>
            <w:vAlign w:val="bottom"/>
          </w:tcPr>
          <w:p w14:paraId="0B2FB546" w14:textId="77777777" w:rsidR="007F1775" w:rsidRDefault="007F1775">
            <w:pPr>
              <w:rPr>
                <w:rFonts w:ascii="宋体"/>
                <w:vanish/>
              </w:rPr>
            </w:pPr>
          </w:p>
        </w:tc>
        <w:tc>
          <w:tcPr>
            <w:tcW w:w="0" w:type="auto"/>
            <w:gridSpan w:val="3"/>
            <w:shd w:val="clear" w:color="auto" w:fill="auto"/>
            <w:vAlign w:val="bottom"/>
          </w:tcPr>
          <w:p w14:paraId="0B2FB547" w14:textId="77777777" w:rsidR="007F1775" w:rsidRDefault="007F1775">
            <w:pPr>
              <w:rPr>
                <w:rFonts w:ascii="宋体"/>
                <w:vanish/>
              </w:rPr>
            </w:pPr>
          </w:p>
        </w:tc>
        <w:tc>
          <w:tcPr>
            <w:tcW w:w="0" w:type="auto"/>
            <w:gridSpan w:val="3"/>
            <w:shd w:val="clear" w:color="auto" w:fill="auto"/>
            <w:vAlign w:val="bottom"/>
          </w:tcPr>
          <w:p w14:paraId="0B2FB548" w14:textId="77777777" w:rsidR="007F1775" w:rsidRDefault="007F1775">
            <w:pPr>
              <w:rPr>
                <w:rFonts w:ascii="宋体"/>
                <w:vanish/>
              </w:rPr>
            </w:pPr>
          </w:p>
        </w:tc>
      </w:tr>
      <w:tr w:rsidR="007F1775" w14:paraId="0B2FB554" w14:textId="77777777">
        <w:tc>
          <w:tcPr>
            <w:tcW w:w="0" w:type="auto"/>
            <w:gridSpan w:val="3"/>
            <w:shd w:val="clear" w:color="auto" w:fill="FFFFFF"/>
            <w:tcMar>
              <w:top w:w="40" w:type="dxa"/>
              <w:left w:w="20" w:type="dxa"/>
              <w:bottom w:w="40" w:type="dxa"/>
              <w:right w:w="20" w:type="dxa"/>
            </w:tcMar>
          </w:tcPr>
          <w:p w14:paraId="0B2FB54A" w14:textId="77777777" w:rsidR="007F1775" w:rsidRDefault="000F083E">
            <w:pPr>
              <w:textAlignment w:val="top"/>
            </w:pPr>
            <w:r>
              <w:rPr>
                <w:rFonts w:ascii="Times New Roman" w:eastAsia="宋体" w:hAnsi="Times New Roman"/>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0B2FB54B" w14:textId="77777777" w:rsidR="007F1775" w:rsidRDefault="000F083E">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B2FB54C"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54D"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54E" w14:textId="77777777" w:rsidR="007F1775" w:rsidRDefault="000F083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B2FB54F" w14:textId="77777777" w:rsidR="007F1775" w:rsidRDefault="007F1775">
            <w:pPr>
              <w:jc w:val="right"/>
              <w:rPr>
                <w:rFonts w:ascii="宋体"/>
              </w:rPr>
            </w:pPr>
          </w:p>
        </w:tc>
        <w:tc>
          <w:tcPr>
            <w:tcW w:w="0" w:type="auto"/>
            <w:shd w:val="clear" w:color="auto" w:fill="auto"/>
            <w:vAlign w:val="bottom"/>
          </w:tcPr>
          <w:p w14:paraId="0B2FB550" w14:textId="77777777" w:rsidR="007F1775" w:rsidRDefault="007F1775">
            <w:pPr>
              <w:rPr>
                <w:rFonts w:ascii="宋体"/>
                <w:vanish/>
              </w:rPr>
            </w:pPr>
          </w:p>
        </w:tc>
        <w:tc>
          <w:tcPr>
            <w:tcW w:w="0" w:type="auto"/>
            <w:shd w:val="clear" w:color="auto" w:fill="auto"/>
            <w:vAlign w:val="bottom"/>
          </w:tcPr>
          <w:p w14:paraId="0B2FB551" w14:textId="77777777" w:rsidR="007F1775" w:rsidRDefault="007F1775">
            <w:pPr>
              <w:rPr>
                <w:rFonts w:ascii="宋体"/>
                <w:vanish/>
              </w:rPr>
            </w:pPr>
          </w:p>
        </w:tc>
        <w:tc>
          <w:tcPr>
            <w:tcW w:w="0" w:type="auto"/>
            <w:gridSpan w:val="3"/>
            <w:shd w:val="clear" w:color="auto" w:fill="auto"/>
            <w:vAlign w:val="bottom"/>
          </w:tcPr>
          <w:p w14:paraId="0B2FB552" w14:textId="77777777" w:rsidR="007F1775" w:rsidRDefault="007F1775">
            <w:pPr>
              <w:rPr>
                <w:rFonts w:ascii="宋体"/>
                <w:vanish/>
              </w:rPr>
            </w:pPr>
          </w:p>
        </w:tc>
        <w:tc>
          <w:tcPr>
            <w:tcW w:w="0" w:type="auto"/>
            <w:gridSpan w:val="3"/>
            <w:shd w:val="clear" w:color="auto" w:fill="auto"/>
            <w:vAlign w:val="bottom"/>
          </w:tcPr>
          <w:p w14:paraId="0B2FB553" w14:textId="77777777" w:rsidR="007F1775" w:rsidRDefault="007F1775">
            <w:pPr>
              <w:rPr>
                <w:rFonts w:ascii="宋体"/>
                <w:vanish/>
              </w:rPr>
            </w:pPr>
          </w:p>
        </w:tc>
      </w:tr>
      <w:tr w:rsidR="007F1775" w14:paraId="0B2FB55F" w14:textId="77777777">
        <w:tc>
          <w:tcPr>
            <w:tcW w:w="0" w:type="auto"/>
            <w:gridSpan w:val="3"/>
            <w:shd w:val="clear" w:color="auto" w:fill="CCEEFF"/>
            <w:tcMar>
              <w:top w:w="40" w:type="dxa"/>
              <w:left w:w="380" w:type="dxa"/>
              <w:bottom w:w="40" w:type="dxa"/>
              <w:right w:w="20" w:type="dxa"/>
            </w:tcMar>
          </w:tcPr>
          <w:p w14:paraId="0B2FB555" w14:textId="77777777" w:rsidR="007F1775" w:rsidRDefault="000F083E">
            <w:pPr>
              <w:textAlignment w:val="top"/>
            </w:pPr>
            <w:r>
              <w:rPr>
                <w:rFonts w:ascii="Times New Roman" w:eastAsia="宋体" w:hAnsi="Times New Roman"/>
                <w:color w:val="000000"/>
                <w:sz w:val="20"/>
                <w:szCs w:val="20"/>
              </w:rPr>
              <w:t>Total share-based compensation expense</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B556" w14:textId="77777777" w:rsidR="007F1775" w:rsidRDefault="000F083E">
            <w:pPr>
              <w:jc w:val="right"/>
              <w:textAlignment w:val="bottom"/>
            </w:pPr>
            <w:r>
              <w:rPr>
                <w:rFonts w:ascii="Times New Roman" w:eastAsia="宋体" w:hAnsi="Times New Roman"/>
                <w:color w:val="000000"/>
                <w:sz w:val="20"/>
                <w:szCs w:val="20"/>
              </w:rPr>
              <w:t>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B557"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B2FB558" w14:textId="77777777" w:rsidR="007F1775" w:rsidRDefault="007F1775">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B559" w14:textId="77777777" w:rsidR="007F1775" w:rsidRDefault="000F083E">
            <w:pPr>
              <w:jc w:val="right"/>
              <w:textAlignment w:val="bottom"/>
            </w:pPr>
            <w:r>
              <w:rPr>
                <w:rFonts w:ascii="Times New Roman" w:eastAsia="宋体" w:hAnsi="Times New Roman"/>
                <w:color w:val="000000"/>
                <w:sz w:val="20"/>
                <w:szCs w:val="20"/>
              </w:rPr>
              <w:t>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B55A"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55B" w14:textId="77777777" w:rsidR="007F1775" w:rsidRDefault="007F1775">
            <w:pPr>
              <w:rPr>
                <w:rFonts w:ascii="宋体"/>
                <w:vanish/>
              </w:rPr>
            </w:pPr>
          </w:p>
        </w:tc>
        <w:tc>
          <w:tcPr>
            <w:tcW w:w="0" w:type="auto"/>
            <w:shd w:val="clear" w:color="auto" w:fill="auto"/>
            <w:vAlign w:val="bottom"/>
          </w:tcPr>
          <w:p w14:paraId="0B2FB55C" w14:textId="77777777" w:rsidR="007F1775" w:rsidRDefault="007F1775">
            <w:pPr>
              <w:rPr>
                <w:rFonts w:ascii="宋体"/>
                <w:vanish/>
              </w:rPr>
            </w:pPr>
          </w:p>
        </w:tc>
        <w:tc>
          <w:tcPr>
            <w:tcW w:w="0" w:type="auto"/>
            <w:gridSpan w:val="3"/>
            <w:shd w:val="clear" w:color="auto" w:fill="auto"/>
            <w:vAlign w:val="bottom"/>
          </w:tcPr>
          <w:p w14:paraId="0B2FB55D" w14:textId="77777777" w:rsidR="007F1775" w:rsidRDefault="007F1775">
            <w:pPr>
              <w:rPr>
                <w:rFonts w:ascii="宋体"/>
                <w:vanish/>
              </w:rPr>
            </w:pPr>
          </w:p>
        </w:tc>
        <w:tc>
          <w:tcPr>
            <w:tcW w:w="0" w:type="auto"/>
            <w:gridSpan w:val="3"/>
            <w:shd w:val="clear" w:color="auto" w:fill="auto"/>
            <w:vAlign w:val="bottom"/>
          </w:tcPr>
          <w:p w14:paraId="0B2FB55E" w14:textId="77777777" w:rsidR="007F1775" w:rsidRDefault="007F1775">
            <w:pPr>
              <w:rPr>
                <w:rFonts w:ascii="宋体"/>
                <w:vanish/>
              </w:rPr>
            </w:pPr>
          </w:p>
        </w:tc>
      </w:tr>
    </w:tbl>
    <w:p w14:paraId="0B2FB560" w14:textId="77777777" w:rsidR="007F1775" w:rsidRDefault="000F083E">
      <w:pPr>
        <w:spacing w:before="120"/>
      </w:pPr>
      <w:r>
        <w:rPr>
          <w:rFonts w:ascii="Times New Roman" w:eastAsia="宋体" w:hAnsi="Times New Roman"/>
          <w:color w:val="000000"/>
          <w:sz w:val="12"/>
          <w:szCs w:val="12"/>
        </w:rPr>
        <w:t>____________________________________</w:t>
      </w:r>
    </w:p>
    <w:p w14:paraId="0B2FB561" w14:textId="77777777" w:rsidR="007F1775" w:rsidRDefault="000F083E">
      <w:pPr>
        <w:pBdr>
          <w:left w:val="none" w:sz="0" w:space="0" w:color="auto"/>
        </w:pBdr>
        <w:ind w:hanging="360"/>
        <w:jc w:val="both"/>
      </w:pPr>
      <w:r>
        <w:rPr>
          <w:rFonts w:ascii="Times New Roman" w:eastAsia="宋体" w:hAnsi="Times New Roman"/>
          <w:color w:val="000000"/>
          <w:sz w:val="18"/>
          <w:szCs w:val="18"/>
        </w:rPr>
        <w:t>(1)    Percentages have been rounded for presentation purposes and may differ from unrounded results.</w:t>
      </w:r>
    </w:p>
    <w:p w14:paraId="0B2FB562" w14:textId="77777777" w:rsidR="007F1775" w:rsidRDefault="007F1775"/>
    <w:p w14:paraId="0B2FB563" w14:textId="77777777" w:rsidR="007F1775" w:rsidRDefault="000F083E">
      <w:r>
        <w:rPr>
          <w:rFonts w:ascii="Times New Roman" w:eastAsia="宋体" w:hAnsi="Times New Roman"/>
          <w:b/>
          <w:bCs/>
          <w:i/>
          <w:iCs/>
          <w:color w:val="000000"/>
          <w:sz w:val="20"/>
          <w:szCs w:val="20"/>
        </w:rPr>
        <w:t>Revenue</w:t>
      </w:r>
    </w:p>
    <w:p w14:paraId="0B2FB564" w14:textId="77777777" w:rsidR="007F1775" w:rsidRDefault="007F1775">
      <w:pPr>
        <w:jc w:val="both"/>
      </w:pPr>
    </w:p>
    <w:p w14:paraId="0B2FB565" w14:textId="77777777" w:rsidR="007F1775" w:rsidRDefault="000F083E">
      <w:pPr>
        <w:ind w:firstLine="450"/>
        <w:jc w:val="both"/>
      </w:pPr>
      <w:r>
        <w:rPr>
          <w:rFonts w:ascii="Times New Roman" w:eastAsia="宋体" w:hAnsi="Times New Roman"/>
          <w:color w:val="000000"/>
          <w:sz w:val="20"/>
          <w:szCs w:val="20"/>
        </w:rPr>
        <w:t xml:space="preserve">The following table sets forth our revenue by </w:t>
      </w:r>
      <w:r>
        <w:rPr>
          <w:rFonts w:ascii="Times New Roman" w:eastAsia="宋体" w:hAnsi="Times New Roman"/>
          <w:color w:val="000000"/>
          <w:sz w:val="20"/>
          <w:szCs w:val="20"/>
        </w:rPr>
        <w:t>source and by segment. For comparative purposes, amounts in the prior period have been recast:</w:t>
      </w:r>
    </w:p>
    <w:tbl>
      <w:tblPr>
        <w:tblW w:w="4978" w:type="pct"/>
        <w:tblCellMar>
          <w:top w:w="15" w:type="dxa"/>
          <w:left w:w="15" w:type="dxa"/>
          <w:bottom w:w="15" w:type="dxa"/>
          <w:right w:w="15" w:type="dxa"/>
        </w:tblCellMar>
        <w:tblLook w:val="04A0" w:firstRow="1" w:lastRow="0" w:firstColumn="1" w:lastColumn="0" w:noHBand="0" w:noVBand="1"/>
      </w:tblPr>
      <w:tblGrid>
        <w:gridCol w:w="37"/>
        <w:gridCol w:w="4073"/>
        <w:gridCol w:w="36"/>
        <w:gridCol w:w="120"/>
        <w:gridCol w:w="1104"/>
        <w:gridCol w:w="36"/>
        <w:gridCol w:w="36"/>
        <w:gridCol w:w="36"/>
        <w:gridCol w:w="36"/>
        <w:gridCol w:w="120"/>
        <w:gridCol w:w="1104"/>
        <w:gridCol w:w="36"/>
        <w:gridCol w:w="36"/>
        <w:gridCol w:w="36"/>
        <w:gridCol w:w="36"/>
        <w:gridCol w:w="40"/>
        <w:gridCol w:w="830"/>
        <w:gridCol w:w="187"/>
        <w:gridCol w:w="36"/>
        <w:gridCol w:w="36"/>
        <w:gridCol w:w="36"/>
        <w:gridCol w:w="36"/>
        <w:gridCol w:w="36"/>
        <w:gridCol w:w="36"/>
        <w:gridCol w:w="36"/>
        <w:gridCol w:w="36"/>
        <w:gridCol w:w="36"/>
        <w:gridCol w:w="36"/>
      </w:tblGrid>
      <w:tr w:rsidR="007F1775" w14:paraId="0B2FB57E" w14:textId="77777777">
        <w:tc>
          <w:tcPr>
            <w:tcW w:w="50" w:type="pct"/>
            <w:shd w:val="clear" w:color="auto" w:fill="auto"/>
            <w:vAlign w:val="bottom"/>
          </w:tcPr>
          <w:p w14:paraId="0B2FB566" w14:textId="77777777" w:rsidR="007F1775" w:rsidRDefault="007F1775">
            <w:pPr>
              <w:rPr>
                <w:rFonts w:ascii="宋体"/>
              </w:rPr>
            </w:pPr>
          </w:p>
        </w:tc>
        <w:tc>
          <w:tcPr>
            <w:tcW w:w="2635" w:type="pct"/>
            <w:shd w:val="clear" w:color="auto" w:fill="auto"/>
            <w:vAlign w:val="bottom"/>
          </w:tcPr>
          <w:p w14:paraId="0B2FB567" w14:textId="77777777" w:rsidR="007F1775" w:rsidRDefault="007F1775">
            <w:pPr>
              <w:rPr>
                <w:rFonts w:ascii="宋体"/>
              </w:rPr>
            </w:pPr>
          </w:p>
        </w:tc>
        <w:tc>
          <w:tcPr>
            <w:tcW w:w="5" w:type="pct"/>
            <w:shd w:val="clear" w:color="auto" w:fill="auto"/>
            <w:vAlign w:val="bottom"/>
          </w:tcPr>
          <w:p w14:paraId="0B2FB568" w14:textId="77777777" w:rsidR="007F1775" w:rsidRDefault="007F1775">
            <w:pPr>
              <w:rPr>
                <w:rFonts w:ascii="宋体"/>
              </w:rPr>
            </w:pPr>
          </w:p>
        </w:tc>
        <w:tc>
          <w:tcPr>
            <w:tcW w:w="50" w:type="pct"/>
            <w:shd w:val="clear" w:color="auto" w:fill="auto"/>
            <w:vAlign w:val="bottom"/>
          </w:tcPr>
          <w:p w14:paraId="0B2FB569" w14:textId="77777777" w:rsidR="007F1775" w:rsidRDefault="007F1775">
            <w:pPr>
              <w:rPr>
                <w:rFonts w:ascii="宋体"/>
              </w:rPr>
            </w:pPr>
          </w:p>
        </w:tc>
        <w:tc>
          <w:tcPr>
            <w:tcW w:w="744" w:type="pct"/>
            <w:shd w:val="clear" w:color="auto" w:fill="auto"/>
            <w:vAlign w:val="bottom"/>
          </w:tcPr>
          <w:p w14:paraId="0B2FB56A" w14:textId="77777777" w:rsidR="007F1775" w:rsidRDefault="007F1775">
            <w:pPr>
              <w:rPr>
                <w:rFonts w:ascii="宋体"/>
              </w:rPr>
            </w:pPr>
          </w:p>
        </w:tc>
        <w:tc>
          <w:tcPr>
            <w:tcW w:w="5" w:type="pct"/>
            <w:shd w:val="clear" w:color="auto" w:fill="auto"/>
            <w:vAlign w:val="bottom"/>
          </w:tcPr>
          <w:p w14:paraId="0B2FB56B" w14:textId="77777777" w:rsidR="007F1775" w:rsidRDefault="007F1775">
            <w:pPr>
              <w:rPr>
                <w:rFonts w:ascii="宋体"/>
              </w:rPr>
            </w:pPr>
          </w:p>
        </w:tc>
        <w:tc>
          <w:tcPr>
            <w:tcW w:w="5" w:type="pct"/>
            <w:shd w:val="clear" w:color="auto" w:fill="auto"/>
            <w:vAlign w:val="bottom"/>
          </w:tcPr>
          <w:p w14:paraId="0B2FB56C" w14:textId="77777777" w:rsidR="007F1775" w:rsidRDefault="007F1775">
            <w:pPr>
              <w:rPr>
                <w:rFonts w:ascii="宋体"/>
              </w:rPr>
            </w:pPr>
          </w:p>
        </w:tc>
        <w:tc>
          <w:tcPr>
            <w:tcW w:w="19" w:type="pct"/>
            <w:shd w:val="clear" w:color="auto" w:fill="auto"/>
            <w:vAlign w:val="bottom"/>
          </w:tcPr>
          <w:p w14:paraId="0B2FB56D" w14:textId="77777777" w:rsidR="007F1775" w:rsidRDefault="007F1775">
            <w:pPr>
              <w:rPr>
                <w:rFonts w:ascii="宋体"/>
              </w:rPr>
            </w:pPr>
          </w:p>
        </w:tc>
        <w:tc>
          <w:tcPr>
            <w:tcW w:w="5" w:type="pct"/>
            <w:shd w:val="clear" w:color="auto" w:fill="auto"/>
            <w:vAlign w:val="bottom"/>
          </w:tcPr>
          <w:p w14:paraId="0B2FB56E" w14:textId="77777777" w:rsidR="007F1775" w:rsidRDefault="007F1775">
            <w:pPr>
              <w:rPr>
                <w:rFonts w:ascii="宋体"/>
              </w:rPr>
            </w:pPr>
          </w:p>
        </w:tc>
        <w:tc>
          <w:tcPr>
            <w:tcW w:w="50" w:type="pct"/>
            <w:shd w:val="clear" w:color="auto" w:fill="auto"/>
            <w:vAlign w:val="bottom"/>
          </w:tcPr>
          <w:p w14:paraId="0B2FB56F" w14:textId="77777777" w:rsidR="007F1775" w:rsidRDefault="007F1775">
            <w:pPr>
              <w:rPr>
                <w:rFonts w:ascii="宋体"/>
              </w:rPr>
            </w:pPr>
          </w:p>
        </w:tc>
        <w:tc>
          <w:tcPr>
            <w:tcW w:w="744" w:type="pct"/>
            <w:shd w:val="clear" w:color="auto" w:fill="auto"/>
            <w:vAlign w:val="bottom"/>
          </w:tcPr>
          <w:p w14:paraId="0B2FB570" w14:textId="77777777" w:rsidR="007F1775" w:rsidRDefault="007F1775">
            <w:pPr>
              <w:rPr>
                <w:rFonts w:ascii="宋体"/>
              </w:rPr>
            </w:pPr>
          </w:p>
        </w:tc>
        <w:tc>
          <w:tcPr>
            <w:tcW w:w="5" w:type="pct"/>
            <w:shd w:val="clear" w:color="auto" w:fill="auto"/>
            <w:vAlign w:val="bottom"/>
          </w:tcPr>
          <w:p w14:paraId="0B2FB571" w14:textId="77777777" w:rsidR="007F1775" w:rsidRDefault="007F1775">
            <w:pPr>
              <w:rPr>
                <w:rFonts w:ascii="宋体"/>
              </w:rPr>
            </w:pPr>
          </w:p>
        </w:tc>
        <w:tc>
          <w:tcPr>
            <w:tcW w:w="5" w:type="pct"/>
            <w:shd w:val="clear" w:color="auto" w:fill="auto"/>
            <w:vAlign w:val="bottom"/>
          </w:tcPr>
          <w:p w14:paraId="0B2FB572" w14:textId="77777777" w:rsidR="007F1775" w:rsidRDefault="007F1775">
            <w:pPr>
              <w:rPr>
                <w:rFonts w:ascii="宋体"/>
              </w:rPr>
            </w:pPr>
          </w:p>
        </w:tc>
        <w:tc>
          <w:tcPr>
            <w:tcW w:w="19" w:type="pct"/>
            <w:shd w:val="clear" w:color="auto" w:fill="auto"/>
            <w:vAlign w:val="bottom"/>
          </w:tcPr>
          <w:p w14:paraId="0B2FB573" w14:textId="77777777" w:rsidR="007F1775" w:rsidRDefault="007F1775">
            <w:pPr>
              <w:rPr>
                <w:rFonts w:ascii="宋体"/>
              </w:rPr>
            </w:pPr>
          </w:p>
        </w:tc>
        <w:tc>
          <w:tcPr>
            <w:tcW w:w="5" w:type="pct"/>
            <w:shd w:val="clear" w:color="auto" w:fill="auto"/>
            <w:vAlign w:val="bottom"/>
          </w:tcPr>
          <w:p w14:paraId="0B2FB574" w14:textId="77777777" w:rsidR="007F1775" w:rsidRDefault="007F1775">
            <w:pPr>
              <w:rPr>
                <w:rFonts w:ascii="宋体"/>
              </w:rPr>
            </w:pPr>
          </w:p>
        </w:tc>
        <w:tc>
          <w:tcPr>
            <w:tcW w:w="50" w:type="pct"/>
            <w:shd w:val="clear" w:color="auto" w:fill="auto"/>
            <w:vAlign w:val="bottom"/>
          </w:tcPr>
          <w:p w14:paraId="0B2FB575" w14:textId="77777777" w:rsidR="007F1775" w:rsidRDefault="007F1775">
            <w:pPr>
              <w:rPr>
                <w:rFonts w:ascii="宋体"/>
              </w:rPr>
            </w:pPr>
          </w:p>
        </w:tc>
        <w:tc>
          <w:tcPr>
            <w:tcW w:w="595" w:type="pct"/>
            <w:shd w:val="clear" w:color="auto" w:fill="auto"/>
            <w:vAlign w:val="bottom"/>
          </w:tcPr>
          <w:p w14:paraId="0B2FB576" w14:textId="77777777" w:rsidR="007F1775" w:rsidRDefault="007F1775">
            <w:pPr>
              <w:rPr>
                <w:rFonts w:ascii="宋体"/>
              </w:rPr>
            </w:pPr>
          </w:p>
        </w:tc>
        <w:tc>
          <w:tcPr>
            <w:tcW w:w="5" w:type="pct"/>
            <w:shd w:val="clear" w:color="auto" w:fill="auto"/>
            <w:vAlign w:val="bottom"/>
          </w:tcPr>
          <w:p w14:paraId="0B2FB577" w14:textId="77777777" w:rsidR="007F1775" w:rsidRDefault="007F1775">
            <w:pPr>
              <w:rPr>
                <w:rFonts w:ascii="宋体"/>
              </w:rPr>
            </w:pPr>
          </w:p>
        </w:tc>
        <w:tc>
          <w:tcPr>
            <w:tcW w:w="0" w:type="auto"/>
            <w:shd w:val="clear" w:color="auto" w:fill="auto"/>
            <w:vAlign w:val="bottom"/>
          </w:tcPr>
          <w:p w14:paraId="0B2FB578" w14:textId="77777777" w:rsidR="007F1775" w:rsidRDefault="007F1775">
            <w:pPr>
              <w:rPr>
                <w:rFonts w:ascii="宋体"/>
                <w:vanish/>
              </w:rPr>
            </w:pPr>
          </w:p>
        </w:tc>
        <w:tc>
          <w:tcPr>
            <w:tcW w:w="0" w:type="auto"/>
            <w:shd w:val="clear" w:color="auto" w:fill="auto"/>
            <w:vAlign w:val="bottom"/>
          </w:tcPr>
          <w:p w14:paraId="0B2FB579" w14:textId="77777777" w:rsidR="007F1775" w:rsidRDefault="007F1775">
            <w:pPr>
              <w:rPr>
                <w:rFonts w:ascii="宋体"/>
                <w:vanish/>
              </w:rPr>
            </w:pPr>
          </w:p>
        </w:tc>
        <w:tc>
          <w:tcPr>
            <w:tcW w:w="0" w:type="auto"/>
            <w:shd w:val="clear" w:color="auto" w:fill="auto"/>
            <w:vAlign w:val="bottom"/>
          </w:tcPr>
          <w:p w14:paraId="0B2FB57A" w14:textId="77777777" w:rsidR="007F1775" w:rsidRDefault="007F1775">
            <w:pPr>
              <w:rPr>
                <w:rFonts w:ascii="宋体"/>
                <w:vanish/>
              </w:rPr>
            </w:pPr>
          </w:p>
        </w:tc>
        <w:tc>
          <w:tcPr>
            <w:tcW w:w="0" w:type="auto"/>
            <w:shd w:val="clear" w:color="auto" w:fill="auto"/>
            <w:vAlign w:val="bottom"/>
          </w:tcPr>
          <w:p w14:paraId="0B2FB57B" w14:textId="77777777" w:rsidR="007F1775" w:rsidRDefault="007F1775">
            <w:pPr>
              <w:rPr>
                <w:rFonts w:ascii="宋体"/>
                <w:vanish/>
              </w:rPr>
            </w:pPr>
          </w:p>
        </w:tc>
        <w:tc>
          <w:tcPr>
            <w:tcW w:w="0" w:type="auto"/>
            <w:gridSpan w:val="3"/>
            <w:shd w:val="clear" w:color="auto" w:fill="auto"/>
            <w:vAlign w:val="bottom"/>
          </w:tcPr>
          <w:p w14:paraId="0B2FB57C" w14:textId="77777777" w:rsidR="007F1775" w:rsidRDefault="007F1775">
            <w:pPr>
              <w:rPr>
                <w:rFonts w:ascii="宋体"/>
                <w:vanish/>
              </w:rPr>
            </w:pPr>
          </w:p>
        </w:tc>
        <w:tc>
          <w:tcPr>
            <w:tcW w:w="0" w:type="auto"/>
            <w:gridSpan w:val="3"/>
            <w:shd w:val="clear" w:color="auto" w:fill="auto"/>
            <w:vAlign w:val="bottom"/>
          </w:tcPr>
          <w:p w14:paraId="0B2FB57D" w14:textId="77777777" w:rsidR="007F1775" w:rsidRDefault="007F1775">
            <w:pPr>
              <w:rPr>
                <w:rFonts w:ascii="宋体"/>
                <w:vanish/>
              </w:rPr>
            </w:pPr>
          </w:p>
        </w:tc>
      </w:tr>
      <w:tr w:rsidR="007F1775" w14:paraId="0B2FB58D" w14:textId="77777777">
        <w:tc>
          <w:tcPr>
            <w:tcW w:w="0" w:type="auto"/>
            <w:gridSpan w:val="3"/>
            <w:shd w:val="clear" w:color="auto" w:fill="auto"/>
            <w:tcMar>
              <w:top w:w="40" w:type="dxa"/>
              <w:left w:w="20" w:type="dxa"/>
              <w:bottom w:w="40" w:type="dxa"/>
              <w:right w:w="20" w:type="dxa"/>
            </w:tcMar>
            <w:vAlign w:val="bottom"/>
          </w:tcPr>
          <w:p w14:paraId="0B2FB57F"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580"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0B2FB581"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582" w14:textId="77777777" w:rsidR="007F1775" w:rsidRDefault="000F083E">
            <w:pPr>
              <w:textAlignment w:val="bottom"/>
            </w:pPr>
            <w:r>
              <w:rPr>
                <w:rFonts w:ascii="Times New Roman" w:eastAsia="宋体" w:hAnsi="Times New Roman"/>
                <w:color w:val="000000"/>
                <w:sz w:val="16"/>
                <w:szCs w:val="16"/>
              </w:rPr>
              <w:t> </w:t>
            </w:r>
          </w:p>
        </w:tc>
        <w:tc>
          <w:tcPr>
            <w:tcW w:w="0" w:type="auto"/>
            <w:shd w:val="clear" w:color="auto" w:fill="auto"/>
            <w:vAlign w:val="bottom"/>
          </w:tcPr>
          <w:p w14:paraId="0B2FB583" w14:textId="77777777" w:rsidR="007F1775" w:rsidRDefault="007F1775">
            <w:pPr>
              <w:rPr>
                <w:rFonts w:ascii="宋体"/>
                <w:vanish/>
              </w:rPr>
            </w:pPr>
          </w:p>
        </w:tc>
        <w:tc>
          <w:tcPr>
            <w:tcW w:w="0" w:type="auto"/>
            <w:shd w:val="clear" w:color="auto" w:fill="auto"/>
            <w:vAlign w:val="bottom"/>
          </w:tcPr>
          <w:p w14:paraId="0B2FB584" w14:textId="77777777" w:rsidR="007F1775" w:rsidRDefault="007F1775">
            <w:pPr>
              <w:rPr>
                <w:rFonts w:ascii="宋体"/>
                <w:vanish/>
              </w:rPr>
            </w:pPr>
          </w:p>
        </w:tc>
        <w:tc>
          <w:tcPr>
            <w:tcW w:w="0" w:type="auto"/>
            <w:shd w:val="clear" w:color="auto" w:fill="auto"/>
            <w:vAlign w:val="bottom"/>
          </w:tcPr>
          <w:p w14:paraId="0B2FB585" w14:textId="77777777" w:rsidR="007F1775" w:rsidRDefault="007F1775">
            <w:pPr>
              <w:rPr>
                <w:rFonts w:ascii="宋体"/>
                <w:vanish/>
              </w:rPr>
            </w:pPr>
          </w:p>
        </w:tc>
        <w:tc>
          <w:tcPr>
            <w:tcW w:w="0" w:type="auto"/>
            <w:shd w:val="clear" w:color="auto" w:fill="auto"/>
            <w:vAlign w:val="bottom"/>
          </w:tcPr>
          <w:p w14:paraId="0B2FB586" w14:textId="77777777" w:rsidR="007F1775" w:rsidRDefault="007F1775">
            <w:pPr>
              <w:rPr>
                <w:rFonts w:ascii="宋体"/>
                <w:vanish/>
              </w:rPr>
            </w:pPr>
          </w:p>
        </w:tc>
        <w:tc>
          <w:tcPr>
            <w:tcW w:w="0" w:type="auto"/>
            <w:shd w:val="clear" w:color="auto" w:fill="auto"/>
            <w:vAlign w:val="bottom"/>
          </w:tcPr>
          <w:p w14:paraId="0B2FB587" w14:textId="77777777" w:rsidR="007F1775" w:rsidRDefault="007F1775">
            <w:pPr>
              <w:rPr>
                <w:rFonts w:ascii="宋体"/>
              </w:rPr>
            </w:pPr>
          </w:p>
        </w:tc>
        <w:tc>
          <w:tcPr>
            <w:tcW w:w="0" w:type="auto"/>
            <w:shd w:val="clear" w:color="auto" w:fill="auto"/>
            <w:vAlign w:val="bottom"/>
          </w:tcPr>
          <w:p w14:paraId="0B2FB588" w14:textId="77777777" w:rsidR="007F1775" w:rsidRDefault="007F1775">
            <w:pPr>
              <w:rPr>
                <w:rFonts w:ascii="宋体"/>
              </w:rPr>
            </w:pPr>
          </w:p>
        </w:tc>
        <w:tc>
          <w:tcPr>
            <w:tcW w:w="0" w:type="auto"/>
            <w:shd w:val="clear" w:color="auto" w:fill="auto"/>
            <w:vAlign w:val="bottom"/>
          </w:tcPr>
          <w:p w14:paraId="0B2FB589" w14:textId="77777777" w:rsidR="007F1775" w:rsidRDefault="007F1775">
            <w:pPr>
              <w:rPr>
                <w:rFonts w:ascii="宋体"/>
              </w:rPr>
            </w:pPr>
          </w:p>
        </w:tc>
        <w:tc>
          <w:tcPr>
            <w:tcW w:w="0" w:type="auto"/>
            <w:shd w:val="clear" w:color="auto" w:fill="auto"/>
            <w:vAlign w:val="bottom"/>
          </w:tcPr>
          <w:p w14:paraId="0B2FB58A" w14:textId="77777777" w:rsidR="007F1775" w:rsidRDefault="007F1775">
            <w:pPr>
              <w:rPr>
                <w:rFonts w:ascii="宋体"/>
              </w:rPr>
            </w:pPr>
          </w:p>
        </w:tc>
        <w:tc>
          <w:tcPr>
            <w:tcW w:w="0" w:type="auto"/>
            <w:shd w:val="clear" w:color="auto" w:fill="auto"/>
            <w:vAlign w:val="bottom"/>
          </w:tcPr>
          <w:p w14:paraId="0B2FB58B" w14:textId="77777777" w:rsidR="007F1775" w:rsidRDefault="007F1775">
            <w:pPr>
              <w:rPr>
                <w:rFonts w:ascii="宋体"/>
              </w:rPr>
            </w:pPr>
          </w:p>
        </w:tc>
        <w:tc>
          <w:tcPr>
            <w:tcW w:w="0" w:type="auto"/>
            <w:shd w:val="clear" w:color="auto" w:fill="auto"/>
            <w:vAlign w:val="bottom"/>
          </w:tcPr>
          <w:p w14:paraId="0B2FB58C" w14:textId="77777777" w:rsidR="007F1775" w:rsidRDefault="007F1775">
            <w:pPr>
              <w:rPr>
                <w:rFonts w:ascii="宋体"/>
              </w:rPr>
            </w:pPr>
          </w:p>
        </w:tc>
      </w:tr>
      <w:tr w:rsidR="007F1775" w14:paraId="0B2FB59A" w14:textId="77777777">
        <w:tc>
          <w:tcPr>
            <w:tcW w:w="0" w:type="auto"/>
            <w:gridSpan w:val="3"/>
            <w:shd w:val="clear" w:color="auto" w:fill="auto"/>
            <w:tcMar>
              <w:top w:w="40" w:type="dxa"/>
              <w:left w:w="20" w:type="dxa"/>
              <w:bottom w:w="40" w:type="dxa"/>
              <w:right w:w="20" w:type="dxa"/>
            </w:tcMar>
            <w:vAlign w:val="bottom"/>
          </w:tcPr>
          <w:p w14:paraId="0B2FB58E"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58F"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590"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591"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B2FB592"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593" w14:textId="77777777" w:rsidR="007F1775" w:rsidRDefault="000F083E">
            <w:pPr>
              <w:jc w:val="center"/>
              <w:textAlignment w:val="bottom"/>
            </w:pPr>
            <w:r>
              <w:rPr>
                <w:rFonts w:ascii="Times New Roman" w:eastAsia="宋体" w:hAnsi="Times New Roman"/>
                <w:b/>
                <w:bCs/>
                <w:color w:val="000000"/>
                <w:sz w:val="16"/>
                <w:szCs w:val="16"/>
              </w:rPr>
              <w:t>% change</w:t>
            </w:r>
          </w:p>
        </w:tc>
        <w:tc>
          <w:tcPr>
            <w:tcW w:w="0" w:type="auto"/>
            <w:shd w:val="clear" w:color="auto" w:fill="auto"/>
            <w:vAlign w:val="bottom"/>
          </w:tcPr>
          <w:p w14:paraId="0B2FB594" w14:textId="77777777" w:rsidR="007F1775" w:rsidRDefault="007F1775">
            <w:pPr>
              <w:rPr>
                <w:rFonts w:ascii="宋体"/>
                <w:vanish/>
              </w:rPr>
            </w:pPr>
          </w:p>
        </w:tc>
        <w:tc>
          <w:tcPr>
            <w:tcW w:w="0" w:type="auto"/>
            <w:shd w:val="clear" w:color="auto" w:fill="auto"/>
            <w:vAlign w:val="bottom"/>
          </w:tcPr>
          <w:p w14:paraId="0B2FB595" w14:textId="77777777" w:rsidR="007F1775" w:rsidRDefault="007F1775">
            <w:pPr>
              <w:rPr>
                <w:rFonts w:ascii="宋体"/>
                <w:vanish/>
              </w:rPr>
            </w:pPr>
          </w:p>
        </w:tc>
        <w:tc>
          <w:tcPr>
            <w:tcW w:w="0" w:type="auto"/>
            <w:shd w:val="clear" w:color="auto" w:fill="auto"/>
            <w:vAlign w:val="bottom"/>
          </w:tcPr>
          <w:p w14:paraId="0B2FB596" w14:textId="77777777" w:rsidR="007F1775" w:rsidRDefault="007F1775">
            <w:pPr>
              <w:rPr>
                <w:rFonts w:ascii="宋体"/>
                <w:vanish/>
              </w:rPr>
            </w:pPr>
          </w:p>
        </w:tc>
        <w:tc>
          <w:tcPr>
            <w:tcW w:w="0" w:type="auto"/>
            <w:shd w:val="clear" w:color="auto" w:fill="auto"/>
            <w:vAlign w:val="bottom"/>
          </w:tcPr>
          <w:p w14:paraId="0B2FB597" w14:textId="77777777" w:rsidR="007F1775" w:rsidRDefault="007F1775">
            <w:pPr>
              <w:rPr>
                <w:rFonts w:ascii="宋体"/>
                <w:vanish/>
              </w:rPr>
            </w:pPr>
          </w:p>
        </w:tc>
        <w:tc>
          <w:tcPr>
            <w:tcW w:w="0" w:type="auto"/>
            <w:gridSpan w:val="3"/>
            <w:shd w:val="clear" w:color="auto" w:fill="auto"/>
            <w:vAlign w:val="bottom"/>
          </w:tcPr>
          <w:p w14:paraId="0B2FB598" w14:textId="77777777" w:rsidR="007F1775" w:rsidRDefault="007F1775">
            <w:pPr>
              <w:rPr>
                <w:rFonts w:ascii="宋体"/>
                <w:vanish/>
              </w:rPr>
            </w:pPr>
          </w:p>
        </w:tc>
        <w:tc>
          <w:tcPr>
            <w:tcW w:w="0" w:type="auto"/>
            <w:gridSpan w:val="3"/>
            <w:shd w:val="clear" w:color="auto" w:fill="auto"/>
            <w:vAlign w:val="bottom"/>
          </w:tcPr>
          <w:p w14:paraId="0B2FB599" w14:textId="77777777" w:rsidR="007F1775" w:rsidRDefault="007F1775">
            <w:pPr>
              <w:rPr>
                <w:rFonts w:ascii="宋体"/>
                <w:vanish/>
              </w:rPr>
            </w:pPr>
          </w:p>
        </w:tc>
      </w:tr>
      <w:tr w:rsidR="007F1775" w14:paraId="0B2FB5A7" w14:textId="77777777">
        <w:trPr>
          <w:trHeight w:val="60"/>
        </w:trPr>
        <w:tc>
          <w:tcPr>
            <w:tcW w:w="0" w:type="auto"/>
            <w:gridSpan w:val="3"/>
            <w:shd w:val="clear" w:color="auto" w:fill="auto"/>
            <w:tcMar>
              <w:top w:w="0" w:type="dxa"/>
              <w:left w:w="20" w:type="dxa"/>
              <w:bottom w:w="0" w:type="dxa"/>
              <w:right w:w="20" w:type="dxa"/>
            </w:tcMar>
            <w:vAlign w:val="bottom"/>
          </w:tcPr>
          <w:p w14:paraId="0B2FB59B"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59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59D"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59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59F"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5A0" w14:textId="77777777" w:rsidR="007F1775" w:rsidRDefault="007F1775">
            <w:pPr>
              <w:rPr>
                <w:rFonts w:ascii="宋体"/>
              </w:rPr>
            </w:pPr>
          </w:p>
        </w:tc>
        <w:tc>
          <w:tcPr>
            <w:tcW w:w="0" w:type="auto"/>
            <w:shd w:val="clear" w:color="auto" w:fill="auto"/>
            <w:vAlign w:val="bottom"/>
          </w:tcPr>
          <w:p w14:paraId="0B2FB5A1" w14:textId="77777777" w:rsidR="007F1775" w:rsidRDefault="007F1775">
            <w:pPr>
              <w:rPr>
                <w:rFonts w:ascii="宋体"/>
                <w:vanish/>
              </w:rPr>
            </w:pPr>
          </w:p>
        </w:tc>
        <w:tc>
          <w:tcPr>
            <w:tcW w:w="0" w:type="auto"/>
            <w:shd w:val="clear" w:color="auto" w:fill="auto"/>
            <w:vAlign w:val="bottom"/>
          </w:tcPr>
          <w:p w14:paraId="0B2FB5A2" w14:textId="77777777" w:rsidR="007F1775" w:rsidRDefault="007F1775">
            <w:pPr>
              <w:rPr>
                <w:rFonts w:ascii="宋体"/>
                <w:vanish/>
              </w:rPr>
            </w:pPr>
          </w:p>
        </w:tc>
        <w:tc>
          <w:tcPr>
            <w:tcW w:w="0" w:type="auto"/>
            <w:shd w:val="clear" w:color="auto" w:fill="auto"/>
            <w:vAlign w:val="bottom"/>
          </w:tcPr>
          <w:p w14:paraId="0B2FB5A3" w14:textId="77777777" w:rsidR="007F1775" w:rsidRDefault="007F1775">
            <w:pPr>
              <w:rPr>
                <w:rFonts w:ascii="宋体"/>
                <w:vanish/>
              </w:rPr>
            </w:pPr>
          </w:p>
        </w:tc>
        <w:tc>
          <w:tcPr>
            <w:tcW w:w="0" w:type="auto"/>
            <w:shd w:val="clear" w:color="auto" w:fill="auto"/>
            <w:vAlign w:val="bottom"/>
          </w:tcPr>
          <w:p w14:paraId="0B2FB5A4" w14:textId="77777777" w:rsidR="007F1775" w:rsidRDefault="007F1775">
            <w:pPr>
              <w:rPr>
                <w:rFonts w:ascii="宋体"/>
                <w:vanish/>
              </w:rPr>
            </w:pPr>
          </w:p>
        </w:tc>
        <w:tc>
          <w:tcPr>
            <w:tcW w:w="0" w:type="auto"/>
            <w:gridSpan w:val="3"/>
            <w:shd w:val="clear" w:color="auto" w:fill="auto"/>
            <w:vAlign w:val="bottom"/>
          </w:tcPr>
          <w:p w14:paraId="0B2FB5A5" w14:textId="77777777" w:rsidR="007F1775" w:rsidRDefault="007F1775">
            <w:pPr>
              <w:rPr>
                <w:rFonts w:ascii="宋体"/>
                <w:vanish/>
              </w:rPr>
            </w:pPr>
          </w:p>
        </w:tc>
        <w:tc>
          <w:tcPr>
            <w:tcW w:w="0" w:type="auto"/>
            <w:gridSpan w:val="3"/>
            <w:shd w:val="clear" w:color="auto" w:fill="auto"/>
            <w:vAlign w:val="bottom"/>
          </w:tcPr>
          <w:p w14:paraId="0B2FB5A6" w14:textId="77777777" w:rsidR="007F1775" w:rsidRDefault="007F1775">
            <w:pPr>
              <w:rPr>
                <w:rFonts w:ascii="宋体"/>
                <w:vanish/>
              </w:rPr>
            </w:pPr>
          </w:p>
        </w:tc>
      </w:tr>
      <w:tr w:rsidR="007F1775" w14:paraId="0B2FB5B2" w14:textId="77777777">
        <w:tc>
          <w:tcPr>
            <w:tcW w:w="0" w:type="auto"/>
            <w:gridSpan w:val="3"/>
            <w:shd w:val="clear" w:color="auto" w:fill="auto"/>
            <w:tcMar>
              <w:top w:w="40" w:type="dxa"/>
              <w:left w:w="20" w:type="dxa"/>
              <w:bottom w:w="40" w:type="dxa"/>
              <w:right w:w="20" w:type="dxa"/>
            </w:tcMar>
            <w:vAlign w:val="bottom"/>
          </w:tcPr>
          <w:p w14:paraId="0B2FB5A8"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5A9" w14:textId="77777777" w:rsidR="007F1775" w:rsidRDefault="000F083E">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B2FB5A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5AB" w14:textId="77777777" w:rsidR="007F1775" w:rsidRDefault="007F1775">
            <w:pPr>
              <w:rPr>
                <w:rFonts w:ascii="宋体"/>
              </w:rPr>
            </w:pPr>
          </w:p>
        </w:tc>
        <w:tc>
          <w:tcPr>
            <w:tcW w:w="0" w:type="auto"/>
            <w:shd w:val="clear" w:color="auto" w:fill="auto"/>
            <w:vAlign w:val="bottom"/>
          </w:tcPr>
          <w:p w14:paraId="0B2FB5AC" w14:textId="77777777" w:rsidR="007F1775" w:rsidRDefault="007F1775">
            <w:pPr>
              <w:rPr>
                <w:rFonts w:ascii="宋体"/>
                <w:vanish/>
              </w:rPr>
            </w:pPr>
          </w:p>
        </w:tc>
        <w:tc>
          <w:tcPr>
            <w:tcW w:w="0" w:type="auto"/>
            <w:shd w:val="clear" w:color="auto" w:fill="auto"/>
            <w:vAlign w:val="bottom"/>
          </w:tcPr>
          <w:p w14:paraId="0B2FB5AD" w14:textId="77777777" w:rsidR="007F1775" w:rsidRDefault="007F1775">
            <w:pPr>
              <w:rPr>
                <w:rFonts w:ascii="宋体"/>
                <w:vanish/>
              </w:rPr>
            </w:pPr>
          </w:p>
        </w:tc>
        <w:tc>
          <w:tcPr>
            <w:tcW w:w="0" w:type="auto"/>
            <w:shd w:val="clear" w:color="auto" w:fill="auto"/>
            <w:vAlign w:val="bottom"/>
          </w:tcPr>
          <w:p w14:paraId="0B2FB5AE" w14:textId="77777777" w:rsidR="007F1775" w:rsidRDefault="007F1775">
            <w:pPr>
              <w:rPr>
                <w:rFonts w:ascii="宋体"/>
                <w:vanish/>
              </w:rPr>
            </w:pPr>
          </w:p>
        </w:tc>
        <w:tc>
          <w:tcPr>
            <w:tcW w:w="0" w:type="auto"/>
            <w:shd w:val="clear" w:color="auto" w:fill="auto"/>
            <w:vAlign w:val="bottom"/>
          </w:tcPr>
          <w:p w14:paraId="0B2FB5AF" w14:textId="77777777" w:rsidR="007F1775" w:rsidRDefault="007F1775">
            <w:pPr>
              <w:rPr>
                <w:rFonts w:ascii="宋体"/>
                <w:vanish/>
              </w:rPr>
            </w:pPr>
          </w:p>
        </w:tc>
        <w:tc>
          <w:tcPr>
            <w:tcW w:w="0" w:type="auto"/>
            <w:gridSpan w:val="3"/>
            <w:shd w:val="clear" w:color="auto" w:fill="auto"/>
            <w:vAlign w:val="bottom"/>
          </w:tcPr>
          <w:p w14:paraId="0B2FB5B0" w14:textId="77777777" w:rsidR="007F1775" w:rsidRDefault="007F1775">
            <w:pPr>
              <w:rPr>
                <w:rFonts w:ascii="宋体"/>
                <w:vanish/>
              </w:rPr>
            </w:pPr>
          </w:p>
        </w:tc>
        <w:tc>
          <w:tcPr>
            <w:tcW w:w="0" w:type="auto"/>
            <w:gridSpan w:val="3"/>
            <w:shd w:val="clear" w:color="auto" w:fill="auto"/>
            <w:vAlign w:val="bottom"/>
          </w:tcPr>
          <w:p w14:paraId="0B2FB5B1" w14:textId="77777777" w:rsidR="007F1775" w:rsidRDefault="007F1775">
            <w:pPr>
              <w:rPr>
                <w:rFonts w:ascii="宋体"/>
                <w:vanish/>
              </w:rPr>
            </w:pPr>
          </w:p>
        </w:tc>
      </w:tr>
      <w:tr w:rsidR="007F1775" w14:paraId="0B2FB5C4" w14:textId="77777777">
        <w:tc>
          <w:tcPr>
            <w:tcW w:w="0" w:type="auto"/>
            <w:gridSpan w:val="3"/>
            <w:shd w:val="clear" w:color="auto" w:fill="CCEEFF"/>
            <w:tcMar>
              <w:top w:w="40" w:type="dxa"/>
              <w:left w:w="200" w:type="dxa"/>
              <w:bottom w:w="40" w:type="dxa"/>
              <w:right w:w="20" w:type="dxa"/>
            </w:tcMar>
            <w:vAlign w:val="bottom"/>
          </w:tcPr>
          <w:p w14:paraId="0B2FB5B3" w14:textId="77777777" w:rsidR="007F1775" w:rsidRDefault="000F083E">
            <w:pPr>
              <w:textAlignment w:val="bottom"/>
            </w:pPr>
            <w:r>
              <w:rPr>
                <w:rFonts w:ascii="Times New Roman" w:eastAsia="宋体" w:hAnsi="Times New Roman"/>
                <w:color w:val="000000"/>
                <w:sz w:val="20"/>
                <w:szCs w:val="20"/>
              </w:rPr>
              <w:t>Advertising</w:t>
            </w:r>
          </w:p>
        </w:tc>
        <w:tc>
          <w:tcPr>
            <w:tcW w:w="0" w:type="auto"/>
            <w:shd w:val="clear" w:color="auto" w:fill="CCEEFF"/>
            <w:tcMar>
              <w:top w:w="40" w:type="dxa"/>
              <w:left w:w="20" w:type="dxa"/>
              <w:bottom w:w="40" w:type="dxa"/>
              <w:right w:w="0" w:type="dxa"/>
            </w:tcMar>
            <w:vAlign w:val="bottom"/>
          </w:tcPr>
          <w:p w14:paraId="0B2FB5B4"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5B5" w14:textId="77777777" w:rsidR="007F1775" w:rsidRDefault="000F083E">
            <w:pPr>
              <w:jc w:val="right"/>
              <w:textAlignment w:val="bottom"/>
            </w:pPr>
            <w:r>
              <w:rPr>
                <w:rFonts w:ascii="Times New Roman" w:eastAsia="宋体" w:hAnsi="Times New Roman"/>
                <w:color w:val="000000"/>
                <w:sz w:val="20"/>
                <w:szCs w:val="20"/>
              </w:rPr>
              <w:t>26,998 </w:t>
            </w:r>
          </w:p>
        </w:tc>
        <w:tc>
          <w:tcPr>
            <w:tcW w:w="0" w:type="auto"/>
            <w:shd w:val="clear" w:color="auto" w:fill="CCEEFF"/>
            <w:tcMar>
              <w:top w:w="40" w:type="dxa"/>
              <w:left w:w="0" w:type="dxa"/>
              <w:bottom w:w="40" w:type="dxa"/>
              <w:right w:w="20" w:type="dxa"/>
            </w:tcMar>
            <w:vAlign w:val="bottom"/>
          </w:tcPr>
          <w:p w14:paraId="0B2FB5B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5B7"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5B8"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5B9" w14:textId="77777777" w:rsidR="007F1775" w:rsidRDefault="000F083E">
            <w:pPr>
              <w:jc w:val="right"/>
              <w:textAlignment w:val="bottom"/>
            </w:pPr>
            <w:r>
              <w:rPr>
                <w:rFonts w:ascii="Times New Roman" w:eastAsia="宋体" w:hAnsi="Times New Roman"/>
                <w:color w:val="000000"/>
                <w:sz w:val="20"/>
                <w:szCs w:val="20"/>
              </w:rPr>
              <w:t>25,439 </w:t>
            </w:r>
          </w:p>
        </w:tc>
        <w:tc>
          <w:tcPr>
            <w:tcW w:w="0" w:type="auto"/>
            <w:shd w:val="clear" w:color="auto" w:fill="CCEEFF"/>
            <w:tcMar>
              <w:top w:w="40" w:type="dxa"/>
              <w:left w:w="0" w:type="dxa"/>
              <w:bottom w:w="40" w:type="dxa"/>
              <w:right w:w="20" w:type="dxa"/>
            </w:tcMar>
            <w:vAlign w:val="bottom"/>
          </w:tcPr>
          <w:p w14:paraId="0B2FB5B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5BB"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5BC" w14:textId="77777777" w:rsidR="007F1775" w:rsidRDefault="000F083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0B2FB5BD"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5BE" w14:textId="77777777" w:rsidR="007F1775" w:rsidRDefault="007F1775">
            <w:pPr>
              <w:rPr>
                <w:rFonts w:ascii="宋体"/>
                <w:vanish/>
              </w:rPr>
            </w:pPr>
          </w:p>
        </w:tc>
        <w:tc>
          <w:tcPr>
            <w:tcW w:w="0" w:type="auto"/>
            <w:shd w:val="clear" w:color="auto" w:fill="auto"/>
            <w:vAlign w:val="bottom"/>
          </w:tcPr>
          <w:p w14:paraId="0B2FB5BF" w14:textId="77777777" w:rsidR="007F1775" w:rsidRDefault="007F1775">
            <w:pPr>
              <w:rPr>
                <w:rFonts w:ascii="宋体"/>
                <w:vanish/>
              </w:rPr>
            </w:pPr>
          </w:p>
        </w:tc>
        <w:tc>
          <w:tcPr>
            <w:tcW w:w="0" w:type="auto"/>
            <w:shd w:val="clear" w:color="auto" w:fill="auto"/>
            <w:vAlign w:val="bottom"/>
          </w:tcPr>
          <w:p w14:paraId="0B2FB5C0" w14:textId="77777777" w:rsidR="007F1775" w:rsidRDefault="007F1775">
            <w:pPr>
              <w:rPr>
                <w:rFonts w:ascii="宋体"/>
                <w:vanish/>
              </w:rPr>
            </w:pPr>
          </w:p>
        </w:tc>
        <w:tc>
          <w:tcPr>
            <w:tcW w:w="0" w:type="auto"/>
            <w:shd w:val="clear" w:color="auto" w:fill="auto"/>
            <w:vAlign w:val="bottom"/>
          </w:tcPr>
          <w:p w14:paraId="0B2FB5C1" w14:textId="77777777" w:rsidR="007F1775" w:rsidRDefault="007F1775">
            <w:pPr>
              <w:rPr>
                <w:rFonts w:ascii="宋体"/>
                <w:vanish/>
              </w:rPr>
            </w:pPr>
          </w:p>
        </w:tc>
        <w:tc>
          <w:tcPr>
            <w:tcW w:w="0" w:type="auto"/>
            <w:gridSpan w:val="3"/>
            <w:shd w:val="clear" w:color="auto" w:fill="auto"/>
            <w:vAlign w:val="bottom"/>
          </w:tcPr>
          <w:p w14:paraId="0B2FB5C2" w14:textId="77777777" w:rsidR="007F1775" w:rsidRDefault="007F1775">
            <w:pPr>
              <w:rPr>
                <w:rFonts w:ascii="宋体"/>
                <w:vanish/>
              </w:rPr>
            </w:pPr>
          </w:p>
        </w:tc>
        <w:tc>
          <w:tcPr>
            <w:tcW w:w="0" w:type="auto"/>
            <w:gridSpan w:val="3"/>
            <w:shd w:val="clear" w:color="auto" w:fill="auto"/>
            <w:vAlign w:val="bottom"/>
          </w:tcPr>
          <w:p w14:paraId="0B2FB5C3" w14:textId="77777777" w:rsidR="007F1775" w:rsidRDefault="007F1775">
            <w:pPr>
              <w:rPr>
                <w:rFonts w:ascii="宋体"/>
                <w:vanish/>
              </w:rPr>
            </w:pPr>
          </w:p>
        </w:tc>
      </w:tr>
      <w:tr w:rsidR="007F1775" w14:paraId="0B2FB5D4" w14:textId="77777777">
        <w:tc>
          <w:tcPr>
            <w:tcW w:w="0" w:type="auto"/>
            <w:gridSpan w:val="3"/>
            <w:shd w:val="clear" w:color="auto" w:fill="FFFFFF"/>
            <w:tcMar>
              <w:top w:w="40" w:type="dxa"/>
              <w:left w:w="200" w:type="dxa"/>
              <w:bottom w:w="40" w:type="dxa"/>
              <w:right w:w="20" w:type="dxa"/>
            </w:tcMar>
            <w:vAlign w:val="bottom"/>
          </w:tcPr>
          <w:p w14:paraId="0B2FB5C5" w14:textId="77777777" w:rsidR="007F1775" w:rsidRDefault="000F083E">
            <w:pPr>
              <w:textAlignment w:val="bottom"/>
            </w:pPr>
            <w:r>
              <w:rPr>
                <w:rFonts w:ascii="Times New Roman" w:eastAsia="宋体" w:hAnsi="Times New Roman"/>
                <w:color w:val="000000"/>
                <w:sz w:val="20"/>
                <w:szCs w:val="20"/>
              </w:rPr>
              <w:t>Other revenue</w:t>
            </w:r>
          </w:p>
        </w:tc>
        <w:tc>
          <w:tcPr>
            <w:tcW w:w="0" w:type="auto"/>
            <w:gridSpan w:val="2"/>
            <w:shd w:val="clear" w:color="auto" w:fill="FFFFFF"/>
            <w:tcMar>
              <w:top w:w="40" w:type="dxa"/>
              <w:left w:w="20" w:type="dxa"/>
              <w:bottom w:w="40" w:type="dxa"/>
              <w:right w:w="0" w:type="dxa"/>
            </w:tcMar>
            <w:vAlign w:val="bottom"/>
          </w:tcPr>
          <w:p w14:paraId="0B2FB5C6" w14:textId="77777777" w:rsidR="007F1775" w:rsidRDefault="000F083E">
            <w:pPr>
              <w:jc w:val="right"/>
              <w:textAlignment w:val="bottom"/>
            </w:pPr>
            <w:r>
              <w:rPr>
                <w:rFonts w:ascii="Times New Roman" w:eastAsia="宋体" w:hAnsi="Times New Roman"/>
                <w:color w:val="000000"/>
                <w:sz w:val="20"/>
                <w:szCs w:val="20"/>
              </w:rPr>
              <w:t>215 </w:t>
            </w:r>
          </w:p>
        </w:tc>
        <w:tc>
          <w:tcPr>
            <w:tcW w:w="0" w:type="auto"/>
            <w:shd w:val="clear" w:color="auto" w:fill="FFFFFF"/>
            <w:tcMar>
              <w:top w:w="40" w:type="dxa"/>
              <w:left w:w="0" w:type="dxa"/>
              <w:bottom w:w="40" w:type="dxa"/>
              <w:right w:w="20" w:type="dxa"/>
            </w:tcMar>
            <w:vAlign w:val="bottom"/>
          </w:tcPr>
          <w:p w14:paraId="0B2FB5C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5C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5C9" w14:textId="77777777" w:rsidR="007F1775" w:rsidRDefault="000F083E">
            <w:pPr>
              <w:jc w:val="right"/>
              <w:textAlignment w:val="bottom"/>
            </w:pPr>
            <w:r>
              <w:rPr>
                <w:rFonts w:ascii="Times New Roman" w:eastAsia="宋体" w:hAnsi="Times New Roman"/>
                <w:color w:val="000000"/>
                <w:sz w:val="20"/>
                <w:szCs w:val="20"/>
              </w:rPr>
              <w:t>198 </w:t>
            </w:r>
          </w:p>
        </w:tc>
        <w:tc>
          <w:tcPr>
            <w:tcW w:w="0" w:type="auto"/>
            <w:shd w:val="clear" w:color="auto" w:fill="FFFFFF"/>
            <w:tcMar>
              <w:top w:w="40" w:type="dxa"/>
              <w:left w:w="0" w:type="dxa"/>
              <w:bottom w:w="40" w:type="dxa"/>
              <w:right w:w="20" w:type="dxa"/>
            </w:tcMar>
            <w:vAlign w:val="bottom"/>
          </w:tcPr>
          <w:p w14:paraId="0B2FB5C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5C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5CC" w14:textId="77777777" w:rsidR="007F1775" w:rsidRDefault="000F083E">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0B2FB5CD"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5CE" w14:textId="77777777" w:rsidR="007F1775" w:rsidRDefault="007F1775">
            <w:pPr>
              <w:rPr>
                <w:rFonts w:ascii="宋体"/>
                <w:vanish/>
              </w:rPr>
            </w:pPr>
          </w:p>
        </w:tc>
        <w:tc>
          <w:tcPr>
            <w:tcW w:w="0" w:type="auto"/>
            <w:shd w:val="clear" w:color="auto" w:fill="auto"/>
            <w:vAlign w:val="bottom"/>
          </w:tcPr>
          <w:p w14:paraId="0B2FB5CF" w14:textId="77777777" w:rsidR="007F1775" w:rsidRDefault="007F1775">
            <w:pPr>
              <w:rPr>
                <w:rFonts w:ascii="宋体"/>
                <w:vanish/>
              </w:rPr>
            </w:pPr>
          </w:p>
        </w:tc>
        <w:tc>
          <w:tcPr>
            <w:tcW w:w="0" w:type="auto"/>
            <w:shd w:val="clear" w:color="auto" w:fill="auto"/>
            <w:vAlign w:val="bottom"/>
          </w:tcPr>
          <w:p w14:paraId="0B2FB5D0" w14:textId="77777777" w:rsidR="007F1775" w:rsidRDefault="007F1775">
            <w:pPr>
              <w:rPr>
                <w:rFonts w:ascii="宋体"/>
                <w:vanish/>
              </w:rPr>
            </w:pPr>
          </w:p>
        </w:tc>
        <w:tc>
          <w:tcPr>
            <w:tcW w:w="0" w:type="auto"/>
            <w:shd w:val="clear" w:color="auto" w:fill="auto"/>
            <w:vAlign w:val="bottom"/>
          </w:tcPr>
          <w:p w14:paraId="0B2FB5D1" w14:textId="77777777" w:rsidR="007F1775" w:rsidRDefault="007F1775">
            <w:pPr>
              <w:rPr>
                <w:rFonts w:ascii="宋体"/>
                <w:vanish/>
              </w:rPr>
            </w:pPr>
          </w:p>
        </w:tc>
        <w:tc>
          <w:tcPr>
            <w:tcW w:w="0" w:type="auto"/>
            <w:gridSpan w:val="3"/>
            <w:shd w:val="clear" w:color="auto" w:fill="auto"/>
            <w:vAlign w:val="bottom"/>
          </w:tcPr>
          <w:p w14:paraId="0B2FB5D2" w14:textId="77777777" w:rsidR="007F1775" w:rsidRDefault="007F1775">
            <w:pPr>
              <w:rPr>
                <w:rFonts w:ascii="宋体"/>
                <w:vanish/>
              </w:rPr>
            </w:pPr>
          </w:p>
        </w:tc>
        <w:tc>
          <w:tcPr>
            <w:tcW w:w="0" w:type="auto"/>
            <w:gridSpan w:val="3"/>
            <w:shd w:val="clear" w:color="auto" w:fill="auto"/>
            <w:vAlign w:val="bottom"/>
          </w:tcPr>
          <w:p w14:paraId="0B2FB5D3" w14:textId="77777777" w:rsidR="007F1775" w:rsidRDefault="007F1775">
            <w:pPr>
              <w:rPr>
                <w:rFonts w:ascii="宋体"/>
                <w:vanish/>
              </w:rPr>
            </w:pPr>
          </w:p>
        </w:tc>
      </w:tr>
      <w:tr w:rsidR="007F1775" w14:paraId="0B2FB5E4" w14:textId="77777777">
        <w:tc>
          <w:tcPr>
            <w:tcW w:w="0" w:type="auto"/>
            <w:gridSpan w:val="3"/>
            <w:shd w:val="clear" w:color="auto" w:fill="CCEEFF"/>
            <w:tcMar>
              <w:top w:w="40" w:type="dxa"/>
              <w:left w:w="20" w:type="dxa"/>
              <w:bottom w:w="40" w:type="dxa"/>
              <w:right w:w="20" w:type="dxa"/>
            </w:tcMar>
            <w:vAlign w:val="bottom"/>
          </w:tcPr>
          <w:p w14:paraId="0B2FB5D5" w14:textId="77777777" w:rsidR="007F1775" w:rsidRDefault="000F083E">
            <w:pPr>
              <w:textAlignment w:val="bottom"/>
            </w:pPr>
            <w:r>
              <w:rPr>
                <w:rFonts w:ascii="Times New Roman" w:eastAsia="宋体" w:hAnsi="Times New Roman"/>
                <w:color w:val="000000"/>
                <w:sz w:val="20"/>
                <w:szCs w:val="20"/>
              </w:rPr>
              <w:t>Family of Apps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B5D6" w14:textId="77777777" w:rsidR="007F1775" w:rsidRDefault="000F083E">
            <w:pPr>
              <w:jc w:val="right"/>
              <w:textAlignment w:val="bottom"/>
            </w:pPr>
            <w:r>
              <w:rPr>
                <w:rFonts w:ascii="Times New Roman" w:eastAsia="宋体" w:hAnsi="Times New Roman"/>
                <w:color w:val="000000"/>
                <w:sz w:val="20"/>
                <w:szCs w:val="20"/>
              </w:rPr>
              <w:t>27,213 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5D7"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5D8" w14:textId="77777777" w:rsidR="007F1775" w:rsidRDefault="007F1775">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B2FB5D9" w14:textId="77777777" w:rsidR="007F1775" w:rsidRDefault="000F083E">
            <w:pPr>
              <w:jc w:val="right"/>
              <w:textAlignment w:val="bottom"/>
            </w:pPr>
            <w:r>
              <w:rPr>
                <w:rFonts w:ascii="Times New Roman" w:eastAsia="宋体" w:hAnsi="Times New Roman"/>
                <w:color w:val="000000"/>
                <w:sz w:val="20"/>
                <w:szCs w:val="20"/>
              </w:rPr>
              <w:t>25,637 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5D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5DB"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5DC" w14:textId="77777777" w:rsidR="007F1775" w:rsidRDefault="000F083E">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0B2FB5DD"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5DE" w14:textId="77777777" w:rsidR="007F1775" w:rsidRDefault="007F1775">
            <w:pPr>
              <w:rPr>
                <w:rFonts w:ascii="宋体"/>
                <w:vanish/>
              </w:rPr>
            </w:pPr>
          </w:p>
        </w:tc>
        <w:tc>
          <w:tcPr>
            <w:tcW w:w="0" w:type="auto"/>
            <w:shd w:val="clear" w:color="auto" w:fill="auto"/>
            <w:vAlign w:val="bottom"/>
          </w:tcPr>
          <w:p w14:paraId="0B2FB5DF" w14:textId="77777777" w:rsidR="007F1775" w:rsidRDefault="007F1775">
            <w:pPr>
              <w:rPr>
                <w:rFonts w:ascii="宋体"/>
                <w:vanish/>
              </w:rPr>
            </w:pPr>
          </w:p>
        </w:tc>
        <w:tc>
          <w:tcPr>
            <w:tcW w:w="0" w:type="auto"/>
            <w:shd w:val="clear" w:color="auto" w:fill="auto"/>
            <w:vAlign w:val="bottom"/>
          </w:tcPr>
          <w:p w14:paraId="0B2FB5E0" w14:textId="77777777" w:rsidR="007F1775" w:rsidRDefault="007F1775">
            <w:pPr>
              <w:rPr>
                <w:rFonts w:ascii="宋体"/>
                <w:vanish/>
              </w:rPr>
            </w:pPr>
          </w:p>
        </w:tc>
        <w:tc>
          <w:tcPr>
            <w:tcW w:w="0" w:type="auto"/>
            <w:shd w:val="clear" w:color="auto" w:fill="auto"/>
            <w:vAlign w:val="bottom"/>
          </w:tcPr>
          <w:p w14:paraId="0B2FB5E1" w14:textId="77777777" w:rsidR="007F1775" w:rsidRDefault="007F1775">
            <w:pPr>
              <w:rPr>
                <w:rFonts w:ascii="宋体"/>
                <w:vanish/>
              </w:rPr>
            </w:pPr>
          </w:p>
        </w:tc>
        <w:tc>
          <w:tcPr>
            <w:tcW w:w="0" w:type="auto"/>
            <w:gridSpan w:val="3"/>
            <w:shd w:val="clear" w:color="auto" w:fill="auto"/>
            <w:vAlign w:val="bottom"/>
          </w:tcPr>
          <w:p w14:paraId="0B2FB5E2" w14:textId="77777777" w:rsidR="007F1775" w:rsidRDefault="007F1775">
            <w:pPr>
              <w:rPr>
                <w:rFonts w:ascii="宋体"/>
                <w:vanish/>
              </w:rPr>
            </w:pPr>
          </w:p>
        </w:tc>
        <w:tc>
          <w:tcPr>
            <w:tcW w:w="0" w:type="auto"/>
            <w:gridSpan w:val="3"/>
            <w:shd w:val="clear" w:color="auto" w:fill="auto"/>
            <w:vAlign w:val="bottom"/>
          </w:tcPr>
          <w:p w14:paraId="0B2FB5E3" w14:textId="77777777" w:rsidR="007F1775" w:rsidRDefault="007F1775">
            <w:pPr>
              <w:rPr>
                <w:rFonts w:ascii="宋体"/>
                <w:vanish/>
              </w:rPr>
            </w:pPr>
          </w:p>
        </w:tc>
      </w:tr>
      <w:tr w:rsidR="007F1775" w14:paraId="0B2FB5F4" w14:textId="77777777">
        <w:tc>
          <w:tcPr>
            <w:tcW w:w="0" w:type="auto"/>
            <w:gridSpan w:val="3"/>
            <w:shd w:val="clear" w:color="auto" w:fill="FFFFFF"/>
            <w:tcMar>
              <w:top w:w="40" w:type="dxa"/>
              <w:left w:w="20" w:type="dxa"/>
              <w:bottom w:w="40" w:type="dxa"/>
              <w:right w:w="20" w:type="dxa"/>
            </w:tcMar>
            <w:vAlign w:val="bottom"/>
          </w:tcPr>
          <w:p w14:paraId="0B2FB5E5" w14:textId="77777777" w:rsidR="007F1775" w:rsidRDefault="000F083E">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0B2FB5E6" w14:textId="77777777" w:rsidR="007F1775" w:rsidRDefault="000F083E">
            <w:pPr>
              <w:jc w:val="right"/>
              <w:textAlignment w:val="bottom"/>
            </w:pPr>
            <w:r>
              <w:rPr>
                <w:rFonts w:ascii="Times New Roman" w:eastAsia="宋体" w:hAnsi="Times New Roman"/>
                <w:color w:val="000000"/>
                <w:sz w:val="20"/>
                <w:szCs w:val="20"/>
              </w:rPr>
              <w:t>695 </w:t>
            </w:r>
          </w:p>
        </w:tc>
        <w:tc>
          <w:tcPr>
            <w:tcW w:w="0" w:type="auto"/>
            <w:shd w:val="clear" w:color="auto" w:fill="FFFFFF"/>
            <w:tcMar>
              <w:top w:w="40" w:type="dxa"/>
              <w:left w:w="0" w:type="dxa"/>
              <w:bottom w:w="40" w:type="dxa"/>
              <w:right w:w="20" w:type="dxa"/>
            </w:tcMar>
            <w:vAlign w:val="bottom"/>
          </w:tcPr>
          <w:p w14:paraId="0B2FB5E7"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5E8"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5E9" w14:textId="77777777" w:rsidR="007F1775" w:rsidRDefault="000F083E">
            <w:pPr>
              <w:jc w:val="right"/>
              <w:textAlignment w:val="bottom"/>
            </w:pPr>
            <w:r>
              <w:rPr>
                <w:rFonts w:ascii="Times New Roman" w:eastAsia="宋体" w:hAnsi="Times New Roman"/>
                <w:color w:val="000000"/>
                <w:sz w:val="20"/>
                <w:szCs w:val="20"/>
              </w:rPr>
              <w:t>534 </w:t>
            </w:r>
          </w:p>
        </w:tc>
        <w:tc>
          <w:tcPr>
            <w:tcW w:w="0" w:type="auto"/>
            <w:shd w:val="clear" w:color="auto" w:fill="FFFFFF"/>
            <w:tcMar>
              <w:top w:w="40" w:type="dxa"/>
              <w:left w:w="0" w:type="dxa"/>
              <w:bottom w:w="40" w:type="dxa"/>
              <w:right w:w="20" w:type="dxa"/>
            </w:tcMar>
            <w:vAlign w:val="bottom"/>
          </w:tcPr>
          <w:p w14:paraId="0B2FB5EA"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5EB"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5EC" w14:textId="77777777" w:rsidR="007F1775" w:rsidRDefault="000F083E">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0B2FB5ED"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5EE" w14:textId="77777777" w:rsidR="007F1775" w:rsidRDefault="007F1775">
            <w:pPr>
              <w:rPr>
                <w:rFonts w:ascii="宋体"/>
                <w:vanish/>
              </w:rPr>
            </w:pPr>
          </w:p>
        </w:tc>
        <w:tc>
          <w:tcPr>
            <w:tcW w:w="0" w:type="auto"/>
            <w:shd w:val="clear" w:color="auto" w:fill="auto"/>
            <w:vAlign w:val="bottom"/>
          </w:tcPr>
          <w:p w14:paraId="0B2FB5EF" w14:textId="77777777" w:rsidR="007F1775" w:rsidRDefault="007F1775">
            <w:pPr>
              <w:rPr>
                <w:rFonts w:ascii="宋体"/>
                <w:vanish/>
              </w:rPr>
            </w:pPr>
          </w:p>
        </w:tc>
        <w:tc>
          <w:tcPr>
            <w:tcW w:w="0" w:type="auto"/>
            <w:shd w:val="clear" w:color="auto" w:fill="auto"/>
            <w:vAlign w:val="bottom"/>
          </w:tcPr>
          <w:p w14:paraId="0B2FB5F0" w14:textId="77777777" w:rsidR="007F1775" w:rsidRDefault="007F1775">
            <w:pPr>
              <w:rPr>
                <w:rFonts w:ascii="宋体"/>
                <w:vanish/>
              </w:rPr>
            </w:pPr>
          </w:p>
        </w:tc>
        <w:tc>
          <w:tcPr>
            <w:tcW w:w="0" w:type="auto"/>
            <w:shd w:val="clear" w:color="auto" w:fill="auto"/>
            <w:vAlign w:val="bottom"/>
          </w:tcPr>
          <w:p w14:paraId="0B2FB5F1" w14:textId="77777777" w:rsidR="007F1775" w:rsidRDefault="007F1775">
            <w:pPr>
              <w:rPr>
                <w:rFonts w:ascii="宋体"/>
                <w:vanish/>
              </w:rPr>
            </w:pPr>
          </w:p>
        </w:tc>
        <w:tc>
          <w:tcPr>
            <w:tcW w:w="0" w:type="auto"/>
            <w:gridSpan w:val="3"/>
            <w:shd w:val="clear" w:color="auto" w:fill="auto"/>
            <w:vAlign w:val="bottom"/>
          </w:tcPr>
          <w:p w14:paraId="0B2FB5F2" w14:textId="77777777" w:rsidR="007F1775" w:rsidRDefault="007F1775">
            <w:pPr>
              <w:rPr>
                <w:rFonts w:ascii="宋体"/>
                <w:vanish/>
              </w:rPr>
            </w:pPr>
          </w:p>
        </w:tc>
        <w:tc>
          <w:tcPr>
            <w:tcW w:w="0" w:type="auto"/>
            <w:gridSpan w:val="3"/>
            <w:shd w:val="clear" w:color="auto" w:fill="auto"/>
            <w:vAlign w:val="bottom"/>
          </w:tcPr>
          <w:p w14:paraId="0B2FB5F3" w14:textId="77777777" w:rsidR="007F1775" w:rsidRDefault="007F1775">
            <w:pPr>
              <w:rPr>
                <w:rFonts w:ascii="宋体"/>
                <w:vanish/>
              </w:rPr>
            </w:pPr>
          </w:p>
        </w:tc>
      </w:tr>
      <w:tr w:rsidR="007F1775" w14:paraId="0B2FB606" w14:textId="77777777">
        <w:tc>
          <w:tcPr>
            <w:tcW w:w="0" w:type="auto"/>
            <w:gridSpan w:val="3"/>
            <w:shd w:val="clear" w:color="auto" w:fill="CCEEFF"/>
            <w:tcMar>
              <w:top w:w="40" w:type="dxa"/>
              <w:left w:w="380" w:type="dxa"/>
              <w:bottom w:w="40" w:type="dxa"/>
              <w:right w:w="20" w:type="dxa"/>
            </w:tcMar>
            <w:vAlign w:val="bottom"/>
          </w:tcPr>
          <w:p w14:paraId="0B2FB5F5" w14:textId="77777777" w:rsidR="007F1775" w:rsidRDefault="000F083E">
            <w:pPr>
              <w:textAlignment w:val="bottom"/>
            </w:pPr>
            <w:r>
              <w:rPr>
                <w:rFonts w:ascii="Times New Roman" w:eastAsia="宋体" w:hAnsi="Times New Roman"/>
                <w:color w:val="000000"/>
                <w:sz w:val="20"/>
                <w:szCs w:val="20"/>
              </w:rPr>
              <w:t>Total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B5F6"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B5F7" w14:textId="77777777" w:rsidR="007F1775" w:rsidRDefault="000F083E">
            <w:pPr>
              <w:jc w:val="right"/>
              <w:textAlignment w:val="bottom"/>
            </w:pPr>
            <w:r>
              <w:rPr>
                <w:rFonts w:ascii="Times New Roman" w:eastAsia="宋体" w:hAnsi="Times New Roman"/>
                <w:color w:val="000000"/>
                <w:sz w:val="20"/>
                <w:szCs w:val="20"/>
              </w:rPr>
              <w:t>27,908 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B5F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5F9"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B5F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B5FB" w14:textId="77777777" w:rsidR="007F1775" w:rsidRDefault="000F083E">
            <w:pPr>
              <w:jc w:val="right"/>
              <w:textAlignment w:val="bottom"/>
            </w:pPr>
            <w:r>
              <w:rPr>
                <w:rFonts w:ascii="Times New Roman" w:eastAsia="宋体" w:hAnsi="Times New Roman"/>
                <w:color w:val="000000"/>
                <w:sz w:val="20"/>
                <w:szCs w:val="20"/>
              </w:rPr>
              <w:t>26,171 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B5F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5FD"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5FE" w14:textId="77777777" w:rsidR="007F1775" w:rsidRDefault="000F083E">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0B2FB5FF"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600" w14:textId="77777777" w:rsidR="007F1775" w:rsidRDefault="007F1775">
            <w:pPr>
              <w:rPr>
                <w:rFonts w:ascii="宋体"/>
                <w:vanish/>
              </w:rPr>
            </w:pPr>
          </w:p>
        </w:tc>
        <w:tc>
          <w:tcPr>
            <w:tcW w:w="0" w:type="auto"/>
            <w:shd w:val="clear" w:color="auto" w:fill="auto"/>
            <w:vAlign w:val="bottom"/>
          </w:tcPr>
          <w:p w14:paraId="0B2FB601" w14:textId="77777777" w:rsidR="007F1775" w:rsidRDefault="007F1775">
            <w:pPr>
              <w:rPr>
                <w:rFonts w:ascii="宋体"/>
                <w:vanish/>
              </w:rPr>
            </w:pPr>
          </w:p>
        </w:tc>
        <w:tc>
          <w:tcPr>
            <w:tcW w:w="0" w:type="auto"/>
            <w:shd w:val="clear" w:color="auto" w:fill="auto"/>
            <w:vAlign w:val="bottom"/>
          </w:tcPr>
          <w:p w14:paraId="0B2FB602" w14:textId="77777777" w:rsidR="007F1775" w:rsidRDefault="007F1775">
            <w:pPr>
              <w:rPr>
                <w:rFonts w:ascii="宋体"/>
                <w:vanish/>
              </w:rPr>
            </w:pPr>
          </w:p>
        </w:tc>
        <w:tc>
          <w:tcPr>
            <w:tcW w:w="0" w:type="auto"/>
            <w:shd w:val="clear" w:color="auto" w:fill="auto"/>
            <w:vAlign w:val="bottom"/>
          </w:tcPr>
          <w:p w14:paraId="0B2FB603" w14:textId="77777777" w:rsidR="007F1775" w:rsidRDefault="007F1775">
            <w:pPr>
              <w:rPr>
                <w:rFonts w:ascii="宋体"/>
                <w:vanish/>
              </w:rPr>
            </w:pPr>
          </w:p>
        </w:tc>
        <w:tc>
          <w:tcPr>
            <w:tcW w:w="0" w:type="auto"/>
            <w:gridSpan w:val="3"/>
            <w:shd w:val="clear" w:color="auto" w:fill="auto"/>
            <w:vAlign w:val="bottom"/>
          </w:tcPr>
          <w:p w14:paraId="0B2FB604" w14:textId="77777777" w:rsidR="007F1775" w:rsidRDefault="007F1775">
            <w:pPr>
              <w:rPr>
                <w:rFonts w:ascii="宋体"/>
                <w:vanish/>
              </w:rPr>
            </w:pPr>
          </w:p>
        </w:tc>
        <w:tc>
          <w:tcPr>
            <w:tcW w:w="0" w:type="auto"/>
            <w:gridSpan w:val="3"/>
            <w:shd w:val="clear" w:color="auto" w:fill="auto"/>
            <w:vAlign w:val="bottom"/>
          </w:tcPr>
          <w:p w14:paraId="0B2FB605" w14:textId="77777777" w:rsidR="007F1775" w:rsidRDefault="007F1775">
            <w:pPr>
              <w:rPr>
                <w:rFonts w:ascii="宋体"/>
                <w:vanish/>
              </w:rPr>
            </w:pPr>
          </w:p>
        </w:tc>
      </w:tr>
    </w:tbl>
    <w:p w14:paraId="0B2FB607" w14:textId="77777777" w:rsidR="007F1775" w:rsidRDefault="007F1775">
      <w:pPr>
        <w:ind w:firstLine="540"/>
        <w:jc w:val="both"/>
      </w:pPr>
    </w:p>
    <w:p w14:paraId="0B2FB608" w14:textId="77777777" w:rsidR="007F1775" w:rsidRDefault="000F083E">
      <w:pPr>
        <w:ind w:firstLine="540"/>
        <w:jc w:val="both"/>
      </w:pPr>
      <w:r>
        <w:rPr>
          <w:rFonts w:ascii="Times New Roman" w:eastAsia="宋体" w:hAnsi="Times New Roman"/>
          <w:b/>
          <w:bCs/>
          <w:i/>
          <w:iCs/>
          <w:color w:val="000000"/>
          <w:sz w:val="20"/>
          <w:szCs w:val="20"/>
        </w:rPr>
        <w:t>Family of Apps</w:t>
      </w:r>
    </w:p>
    <w:p w14:paraId="0B2FB609" w14:textId="77777777" w:rsidR="007F1775" w:rsidRDefault="007F1775">
      <w:pPr>
        <w:ind w:firstLine="540"/>
        <w:jc w:val="both"/>
      </w:pPr>
    </w:p>
    <w:p w14:paraId="0B2FB60A" w14:textId="77777777" w:rsidR="007F1775" w:rsidRDefault="000F083E">
      <w:pPr>
        <w:ind w:firstLine="540"/>
        <w:jc w:val="both"/>
      </w:pPr>
      <w:r>
        <w:rPr>
          <w:rFonts w:ascii="Times New Roman" w:eastAsia="宋体" w:hAnsi="Times New Roman"/>
          <w:color w:val="000000"/>
          <w:sz w:val="20"/>
          <w:szCs w:val="20"/>
        </w:rPr>
        <w:t>FoA revenue in the three months ended March 31, 2022 increased $1.58 billion, or 6%, compared to the same period in 2021. The increase was mostly driven by an increase in a</w:t>
      </w:r>
      <w:r>
        <w:rPr>
          <w:rFonts w:ascii="Times New Roman" w:eastAsia="宋体" w:hAnsi="Times New Roman"/>
          <w:color w:val="000000"/>
          <w:sz w:val="20"/>
          <w:szCs w:val="20"/>
        </w:rPr>
        <w:t>dvertising revenue.</w:t>
      </w:r>
    </w:p>
    <w:p w14:paraId="0B2FB60B" w14:textId="77777777" w:rsidR="007F1775" w:rsidRDefault="007F1775">
      <w:pPr>
        <w:ind w:firstLine="495"/>
        <w:jc w:val="both"/>
      </w:pPr>
    </w:p>
    <w:p w14:paraId="0B2FB60C" w14:textId="77777777" w:rsidR="007F1775" w:rsidRDefault="000F083E">
      <w:pPr>
        <w:ind w:firstLine="540"/>
        <w:jc w:val="both"/>
      </w:pPr>
      <w:r>
        <w:rPr>
          <w:rFonts w:ascii="Times New Roman" w:eastAsia="宋体" w:hAnsi="Times New Roman"/>
          <w:i/>
          <w:iCs/>
          <w:color w:val="000000"/>
          <w:sz w:val="20"/>
          <w:szCs w:val="20"/>
        </w:rPr>
        <w:t>Advertising</w:t>
      </w:r>
    </w:p>
    <w:p w14:paraId="0B2FB60D" w14:textId="77777777" w:rsidR="007F1775" w:rsidRDefault="007F1775">
      <w:pPr>
        <w:ind w:firstLine="540"/>
        <w:jc w:val="both"/>
      </w:pPr>
    </w:p>
    <w:p w14:paraId="0B2FB60E" w14:textId="77777777" w:rsidR="007F1775" w:rsidRDefault="000F083E">
      <w:pPr>
        <w:ind w:firstLine="540"/>
        <w:jc w:val="both"/>
      </w:pPr>
      <w:r>
        <w:rPr>
          <w:rFonts w:ascii="Times New Roman" w:eastAsia="宋体" w:hAnsi="Times New Roman"/>
          <w:color w:val="000000"/>
          <w:sz w:val="20"/>
          <w:szCs w:val="20"/>
        </w:rPr>
        <w:t xml:space="preserve">Advertising revenue in the three months ended March 31, 2022 increased $1.56 billion or 6%, compared to the same period in </w:t>
      </w:r>
      <w:r>
        <w:rPr>
          <w:rFonts w:ascii="Times New Roman" w:eastAsia="宋体" w:hAnsi="Times New Roman"/>
          <w:color w:val="000000"/>
          <w:sz w:val="20"/>
          <w:szCs w:val="20"/>
          <w:shd w:val="clear" w:color="auto" w:fill="FFFFFF"/>
        </w:rPr>
        <w:t>2021</w:t>
      </w:r>
      <w:r>
        <w:rPr>
          <w:rFonts w:ascii="Times New Roman" w:eastAsia="宋体" w:hAnsi="Times New Roman"/>
          <w:color w:val="000000"/>
          <w:sz w:val="20"/>
          <w:szCs w:val="20"/>
        </w:rPr>
        <w:t xml:space="preserve"> as a result of an increase in the number of ads delivered, partially offset by a decrease in the average price per ad. During th</w:t>
      </w:r>
      <w:r>
        <w:rPr>
          <w:rFonts w:ascii="Times New Roman" w:eastAsia="宋体" w:hAnsi="Times New Roman"/>
          <w:color w:val="000000"/>
          <w:sz w:val="20"/>
          <w:szCs w:val="20"/>
        </w:rPr>
        <w:t xml:space="preserve">e three months ended March 31, 2022, the number of ads delivered increased by 15%, as compared with an increase of approximately 12% in the same period in </w:t>
      </w:r>
      <w:r>
        <w:rPr>
          <w:rFonts w:ascii="Times New Roman" w:eastAsia="宋体" w:hAnsi="Times New Roman"/>
          <w:color w:val="000000"/>
          <w:sz w:val="20"/>
          <w:szCs w:val="20"/>
          <w:shd w:val="clear" w:color="auto" w:fill="FFFFFF"/>
        </w:rPr>
        <w:t>2021, driven by an increase in ads delivered in Asia-Pacific and Rest of World and partially offset b</w:t>
      </w:r>
      <w:r>
        <w:rPr>
          <w:rFonts w:ascii="Times New Roman" w:eastAsia="宋体" w:hAnsi="Times New Roman"/>
          <w:color w:val="000000"/>
          <w:sz w:val="20"/>
          <w:szCs w:val="20"/>
          <w:shd w:val="clear" w:color="auto" w:fill="FFFFFF"/>
        </w:rPr>
        <w:t>y a decrease in ads delivered in the United States and Canada region</w:t>
      </w:r>
      <w:r>
        <w:rPr>
          <w:rFonts w:ascii="Times New Roman" w:eastAsia="宋体" w:hAnsi="Times New Roman"/>
          <w:color w:val="000000"/>
          <w:sz w:val="20"/>
          <w:szCs w:val="20"/>
        </w:rPr>
        <w:t>. The increase in the ads delivered during the three months ended March 31, 2022 was driven by increases in the number and frequency of ads displayed across our products and an increase in</w:t>
      </w:r>
      <w:r>
        <w:rPr>
          <w:rFonts w:ascii="Times New Roman" w:eastAsia="宋体" w:hAnsi="Times New Roman"/>
          <w:color w:val="000000"/>
          <w:sz w:val="20"/>
          <w:szCs w:val="20"/>
        </w:rPr>
        <w:t xml:space="preserve"> users. During the three months ended March 31, 2022, the average price per ad decreased by 8%, as compared with an increase of approximately 30% in the same period in </w:t>
      </w:r>
      <w:r>
        <w:rPr>
          <w:rFonts w:ascii="Times New Roman" w:eastAsia="宋体" w:hAnsi="Times New Roman"/>
          <w:color w:val="000000"/>
          <w:sz w:val="20"/>
          <w:szCs w:val="20"/>
          <w:shd w:val="clear" w:color="auto" w:fill="FFFFFF"/>
        </w:rPr>
        <w:t>2021. The decrease in average price per ad was primarily driven by an increasing proport</w:t>
      </w:r>
      <w:r>
        <w:rPr>
          <w:rFonts w:ascii="Times New Roman" w:eastAsia="宋体" w:hAnsi="Times New Roman"/>
          <w:color w:val="000000"/>
          <w:sz w:val="20"/>
          <w:szCs w:val="20"/>
          <w:shd w:val="clear" w:color="auto" w:fill="FFFFFF"/>
        </w:rPr>
        <w:t>ion of the number of ads delivered in geographies and in products such as video and Stories that monetize at lower rates, as well as</w:t>
      </w:r>
      <w:r>
        <w:rPr>
          <w:rFonts w:ascii="Times New Roman" w:eastAsia="宋体" w:hAnsi="Times New Roman"/>
          <w:color w:val="000000"/>
          <w:sz w:val="20"/>
          <w:szCs w:val="20"/>
        </w:rPr>
        <w:t xml:space="preserve"> an unfavorable foreign exchange impact. We anticipate that future advertising revenue growth will be driven by a combinatio</w:t>
      </w:r>
      <w:r>
        <w:rPr>
          <w:rFonts w:ascii="Times New Roman" w:eastAsia="宋体" w:hAnsi="Times New Roman"/>
          <w:color w:val="000000"/>
          <w:sz w:val="20"/>
          <w:szCs w:val="20"/>
        </w:rPr>
        <w:t>n of price and the number of ads delivered.</w:t>
      </w:r>
    </w:p>
    <w:p w14:paraId="0B2FB60F" w14:textId="77777777" w:rsidR="007F1775" w:rsidRDefault="007F1775">
      <w:pPr>
        <w:ind w:firstLine="540"/>
        <w:jc w:val="both"/>
      </w:pPr>
    </w:p>
    <w:p w14:paraId="0B2FB610" w14:textId="77777777" w:rsidR="007F1775" w:rsidRDefault="000F083E">
      <w:pPr>
        <w:jc w:val="center"/>
      </w:pPr>
      <w:r>
        <w:rPr>
          <w:rFonts w:ascii="Times New Roman" w:eastAsia="宋体" w:hAnsi="Times New Roman"/>
          <w:color w:val="000000"/>
          <w:sz w:val="20"/>
          <w:szCs w:val="20"/>
        </w:rPr>
        <w:t>39</w:t>
      </w:r>
    </w:p>
    <w:p w14:paraId="0B2FB611" w14:textId="77777777" w:rsidR="007F1775" w:rsidRDefault="000F083E">
      <w:r>
        <w:pict w14:anchorId="0B2FBFB4">
          <v:rect id="_x0000_i1063" style="width:415.3pt;height:1.5pt" o:hralign="center" o:hrstd="t" o:hr="t" fillcolor="#a0a0a0" stroked="f"/>
        </w:pict>
      </w:r>
    </w:p>
    <w:p w14:paraId="0B2FB612" w14:textId="77777777" w:rsidR="007F1775" w:rsidRDefault="007F1775"/>
    <w:p w14:paraId="0B2FB613" w14:textId="77777777" w:rsidR="007F1775" w:rsidRDefault="007F1775"/>
    <w:p w14:paraId="0B2FB614" w14:textId="77777777" w:rsidR="007F1775" w:rsidRDefault="000F083E">
      <w:hyperlink r:id="rId117" w:anchor="iea70e328caa94cefb76a9db6ed6338fc_7" w:history="1">
        <w:r>
          <w:rPr>
            <w:rStyle w:val="a5"/>
            <w:rFonts w:ascii="Times New Roman" w:eastAsia="宋体" w:hAnsi="Times New Roman"/>
            <w:sz w:val="20"/>
            <w:szCs w:val="20"/>
          </w:rPr>
          <w:t>Table of Contents</w:t>
        </w:r>
      </w:hyperlink>
    </w:p>
    <w:p w14:paraId="0B2FB615" w14:textId="77777777" w:rsidR="007F1775" w:rsidRDefault="000F083E">
      <w:pPr>
        <w:ind w:firstLine="540"/>
        <w:jc w:val="both"/>
      </w:pPr>
      <w:r>
        <w:rPr>
          <w:rFonts w:ascii="Times New Roman" w:eastAsia="宋体" w:hAnsi="Times New Roman"/>
          <w:b/>
          <w:bCs/>
          <w:i/>
          <w:iCs/>
          <w:color w:val="000000"/>
          <w:sz w:val="20"/>
          <w:szCs w:val="20"/>
        </w:rPr>
        <w:t>Reality Labs</w:t>
      </w:r>
    </w:p>
    <w:p w14:paraId="0B2FB616" w14:textId="77777777" w:rsidR="007F1775" w:rsidRDefault="007F1775">
      <w:pPr>
        <w:ind w:firstLine="540"/>
        <w:jc w:val="both"/>
      </w:pPr>
    </w:p>
    <w:p w14:paraId="0B2FB617" w14:textId="77777777" w:rsidR="007F1775" w:rsidRDefault="000F083E">
      <w:pPr>
        <w:ind w:firstLine="540"/>
        <w:jc w:val="both"/>
      </w:pPr>
      <w:r>
        <w:rPr>
          <w:rFonts w:ascii="Times New Roman" w:eastAsia="宋体" w:hAnsi="Times New Roman"/>
          <w:color w:val="000000"/>
          <w:sz w:val="20"/>
          <w:szCs w:val="20"/>
        </w:rPr>
        <w:t xml:space="preserve">RL revenue in the three months ended March 31, 2022 increased $161 million, or 30%, compared to the same period in </w:t>
      </w:r>
      <w:r>
        <w:rPr>
          <w:rFonts w:ascii="Times New Roman" w:eastAsia="宋体" w:hAnsi="Times New Roman"/>
          <w:color w:val="000000"/>
          <w:sz w:val="20"/>
          <w:szCs w:val="20"/>
          <w:shd w:val="clear" w:color="auto" w:fill="FFFFFF"/>
        </w:rPr>
        <w:t>2021</w:t>
      </w:r>
      <w:r>
        <w:rPr>
          <w:rFonts w:ascii="Times New Roman" w:eastAsia="宋体" w:hAnsi="Times New Roman"/>
          <w:color w:val="000000"/>
          <w:sz w:val="20"/>
          <w:szCs w:val="20"/>
        </w:rPr>
        <w:t xml:space="preserve">. The increase </w:t>
      </w:r>
      <w:r>
        <w:rPr>
          <w:rFonts w:ascii="Times New Roman" w:eastAsia="宋体" w:hAnsi="Times New Roman"/>
          <w:color w:val="000000"/>
          <w:sz w:val="20"/>
          <w:szCs w:val="20"/>
          <w:shd w:val="clear" w:color="auto" w:fill="FFFFFF"/>
        </w:rPr>
        <w:t xml:space="preserve">in RL revenue </w:t>
      </w:r>
      <w:r>
        <w:rPr>
          <w:rFonts w:ascii="Times New Roman" w:eastAsia="宋体" w:hAnsi="Times New Roman"/>
          <w:color w:val="000000"/>
          <w:sz w:val="20"/>
          <w:szCs w:val="20"/>
        </w:rPr>
        <w:t>was primarily driven by an increase in the volume of our consumer hardware products sold.</w:t>
      </w:r>
    </w:p>
    <w:p w14:paraId="0B2FB618" w14:textId="77777777" w:rsidR="007F1775" w:rsidRDefault="007F1775">
      <w:pPr>
        <w:ind w:firstLine="540"/>
        <w:jc w:val="both"/>
      </w:pPr>
    </w:p>
    <w:p w14:paraId="0B2FB619" w14:textId="77777777" w:rsidR="007F1775" w:rsidRDefault="000F083E">
      <w:pPr>
        <w:ind w:firstLine="540"/>
        <w:jc w:val="both"/>
      </w:pPr>
      <w:r>
        <w:rPr>
          <w:rFonts w:ascii="Times New Roman" w:eastAsia="宋体" w:hAnsi="Times New Roman"/>
          <w:b/>
          <w:bCs/>
          <w:i/>
          <w:iCs/>
          <w:color w:val="000000"/>
          <w:sz w:val="20"/>
          <w:szCs w:val="20"/>
        </w:rPr>
        <w:t xml:space="preserve">Foreign Exchange </w:t>
      </w:r>
      <w:r>
        <w:rPr>
          <w:rFonts w:ascii="Times New Roman" w:eastAsia="宋体" w:hAnsi="Times New Roman"/>
          <w:b/>
          <w:bCs/>
          <w:i/>
          <w:iCs/>
          <w:color w:val="000000"/>
          <w:sz w:val="20"/>
          <w:szCs w:val="20"/>
        </w:rPr>
        <w:t>Impact on Revenue</w:t>
      </w:r>
    </w:p>
    <w:p w14:paraId="0B2FB61A" w14:textId="77777777" w:rsidR="007F1775" w:rsidRDefault="007F1775">
      <w:pPr>
        <w:ind w:firstLine="540"/>
        <w:jc w:val="both"/>
      </w:pPr>
    </w:p>
    <w:p w14:paraId="0B2FB61B" w14:textId="77777777" w:rsidR="007F1775" w:rsidRDefault="000F083E">
      <w:pPr>
        <w:ind w:firstLine="540"/>
        <w:jc w:val="both"/>
      </w:pPr>
      <w:r>
        <w:rPr>
          <w:rFonts w:ascii="Times New Roman" w:eastAsia="宋体" w:hAnsi="Times New Roman"/>
          <w:color w:val="000000"/>
          <w:sz w:val="20"/>
          <w:szCs w:val="20"/>
        </w:rPr>
        <w:t xml:space="preserve">The general strengthening of the U.S. dollar relative to certain foreign currencies for the three months ended March 31, 2022 compared to the same period in 2021 had an unfavorable impact on revenue. If we had translated revenue for the </w:t>
      </w:r>
      <w:r>
        <w:rPr>
          <w:rFonts w:ascii="Times New Roman" w:eastAsia="宋体" w:hAnsi="Times New Roman"/>
          <w:color w:val="000000"/>
          <w:sz w:val="20"/>
          <w:szCs w:val="20"/>
        </w:rPr>
        <w:t xml:space="preserve">three months ended March 31, 2022 using the prior year's monthly exchange rates for our settlement or billing currencies other than the U.S. dollar, our total revenue and advertising revenue would have been $28.80 billion and $27.89 billion, respectively. </w:t>
      </w:r>
      <w:r>
        <w:rPr>
          <w:rFonts w:ascii="Times New Roman" w:eastAsia="宋体" w:hAnsi="Times New Roman"/>
          <w:color w:val="000000"/>
          <w:sz w:val="20"/>
          <w:szCs w:val="20"/>
        </w:rPr>
        <w:t>Using these constant rates, total revenue and advertising revenue would have been $893 million and $888 million higher than actual total revenue and advertising revenue, respectively, for the three months ended March 31, 2022.</w:t>
      </w:r>
    </w:p>
    <w:p w14:paraId="0B2FB61C" w14:textId="77777777" w:rsidR="007F1775" w:rsidRDefault="007F1775"/>
    <w:p w14:paraId="0B2FB61D" w14:textId="77777777" w:rsidR="007F1775" w:rsidRDefault="000F083E">
      <w:r>
        <w:rPr>
          <w:rFonts w:ascii="Times New Roman" w:eastAsia="宋体" w:hAnsi="Times New Roman"/>
          <w:b/>
          <w:bCs/>
          <w:i/>
          <w:iCs/>
          <w:color w:val="000000"/>
          <w:sz w:val="20"/>
          <w:szCs w:val="20"/>
        </w:rPr>
        <w:t>Cost of revenue</w:t>
      </w:r>
    </w:p>
    <w:tbl>
      <w:tblPr>
        <w:tblW w:w="4993" w:type="pct"/>
        <w:tblCellMar>
          <w:top w:w="15" w:type="dxa"/>
          <w:left w:w="15" w:type="dxa"/>
          <w:bottom w:w="15" w:type="dxa"/>
          <w:right w:w="15" w:type="dxa"/>
        </w:tblCellMar>
        <w:tblLook w:val="04A0" w:firstRow="1" w:lastRow="0" w:firstColumn="1" w:lastColumn="0" w:noHBand="0" w:noVBand="1"/>
      </w:tblPr>
      <w:tblGrid>
        <w:gridCol w:w="38"/>
        <w:gridCol w:w="4038"/>
        <w:gridCol w:w="37"/>
        <w:gridCol w:w="120"/>
        <w:gridCol w:w="1087"/>
        <w:gridCol w:w="187"/>
        <w:gridCol w:w="36"/>
        <w:gridCol w:w="36"/>
        <w:gridCol w:w="36"/>
        <w:gridCol w:w="120"/>
        <w:gridCol w:w="999"/>
        <w:gridCol w:w="187"/>
        <w:gridCol w:w="36"/>
        <w:gridCol w:w="36"/>
        <w:gridCol w:w="36"/>
        <w:gridCol w:w="41"/>
        <w:gridCol w:w="707"/>
        <w:gridCol w:w="187"/>
        <w:gridCol w:w="36"/>
        <w:gridCol w:w="36"/>
        <w:gridCol w:w="36"/>
        <w:gridCol w:w="36"/>
        <w:gridCol w:w="36"/>
        <w:gridCol w:w="36"/>
        <w:gridCol w:w="36"/>
        <w:gridCol w:w="36"/>
        <w:gridCol w:w="36"/>
        <w:gridCol w:w="36"/>
      </w:tblGrid>
      <w:tr w:rsidR="007F1775" w14:paraId="0B2FB636" w14:textId="77777777">
        <w:tc>
          <w:tcPr>
            <w:tcW w:w="50" w:type="pct"/>
            <w:shd w:val="clear" w:color="auto" w:fill="auto"/>
            <w:vAlign w:val="bottom"/>
          </w:tcPr>
          <w:p w14:paraId="0B2FB61E" w14:textId="77777777" w:rsidR="007F1775" w:rsidRDefault="007F1775">
            <w:pPr>
              <w:rPr>
                <w:rFonts w:ascii="宋体"/>
              </w:rPr>
            </w:pPr>
          </w:p>
        </w:tc>
        <w:tc>
          <w:tcPr>
            <w:tcW w:w="2627" w:type="pct"/>
            <w:shd w:val="clear" w:color="auto" w:fill="auto"/>
            <w:vAlign w:val="bottom"/>
          </w:tcPr>
          <w:p w14:paraId="0B2FB61F" w14:textId="77777777" w:rsidR="007F1775" w:rsidRDefault="007F1775">
            <w:pPr>
              <w:rPr>
                <w:rFonts w:ascii="宋体"/>
              </w:rPr>
            </w:pPr>
          </w:p>
        </w:tc>
        <w:tc>
          <w:tcPr>
            <w:tcW w:w="5" w:type="pct"/>
            <w:shd w:val="clear" w:color="auto" w:fill="auto"/>
            <w:vAlign w:val="bottom"/>
          </w:tcPr>
          <w:p w14:paraId="0B2FB620" w14:textId="77777777" w:rsidR="007F1775" w:rsidRDefault="007F1775">
            <w:pPr>
              <w:rPr>
                <w:rFonts w:ascii="宋体"/>
              </w:rPr>
            </w:pPr>
          </w:p>
        </w:tc>
        <w:tc>
          <w:tcPr>
            <w:tcW w:w="50" w:type="pct"/>
            <w:shd w:val="clear" w:color="auto" w:fill="auto"/>
            <w:vAlign w:val="bottom"/>
          </w:tcPr>
          <w:p w14:paraId="0B2FB621" w14:textId="77777777" w:rsidR="007F1775" w:rsidRDefault="007F1775">
            <w:pPr>
              <w:rPr>
                <w:rFonts w:ascii="宋体"/>
              </w:rPr>
            </w:pPr>
          </w:p>
        </w:tc>
        <w:tc>
          <w:tcPr>
            <w:tcW w:w="742" w:type="pct"/>
            <w:shd w:val="clear" w:color="auto" w:fill="auto"/>
            <w:vAlign w:val="bottom"/>
          </w:tcPr>
          <w:p w14:paraId="0B2FB622" w14:textId="77777777" w:rsidR="007F1775" w:rsidRDefault="007F1775">
            <w:pPr>
              <w:rPr>
                <w:rFonts w:ascii="宋体"/>
              </w:rPr>
            </w:pPr>
          </w:p>
        </w:tc>
        <w:tc>
          <w:tcPr>
            <w:tcW w:w="5" w:type="pct"/>
            <w:shd w:val="clear" w:color="auto" w:fill="auto"/>
            <w:vAlign w:val="bottom"/>
          </w:tcPr>
          <w:p w14:paraId="0B2FB623" w14:textId="77777777" w:rsidR="007F1775" w:rsidRDefault="007F1775">
            <w:pPr>
              <w:rPr>
                <w:rFonts w:ascii="宋体"/>
              </w:rPr>
            </w:pPr>
          </w:p>
        </w:tc>
        <w:tc>
          <w:tcPr>
            <w:tcW w:w="5" w:type="pct"/>
            <w:shd w:val="clear" w:color="auto" w:fill="auto"/>
            <w:vAlign w:val="bottom"/>
          </w:tcPr>
          <w:p w14:paraId="0B2FB624" w14:textId="77777777" w:rsidR="007F1775" w:rsidRDefault="007F1775">
            <w:pPr>
              <w:rPr>
                <w:rFonts w:ascii="宋体"/>
              </w:rPr>
            </w:pPr>
          </w:p>
        </w:tc>
        <w:tc>
          <w:tcPr>
            <w:tcW w:w="27" w:type="pct"/>
            <w:shd w:val="clear" w:color="auto" w:fill="auto"/>
            <w:vAlign w:val="bottom"/>
          </w:tcPr>
          <w:p w14:paraId="0B2FB625" w14:textId="77777777" w:rsidR="007F1775" w:rsidRDefault="007F1775">
            <w:pPr>
              <w:rPr>
                <w:rFonts w:ascii="宋体"/>
              </w:rPr>
            </w:pPr>
          </w:p>
        </w:tc>
        <w:tc>
          <w:tcPr>
            <w:tcW w:w="5" w:type="pct"/>
            <w:shd w:val="clear" w:color="auto" w:fill="auto"/>
            <w:vAlign w:val="bottom"/>
          </w:tcPr>
          <w:p w14:paraId="0B2FB626" w14:textId="77777777" w:rsidR="007F1775" w:rsidRDefault="007F1775">
            <w:pPr>
              <w:rPr>
                <w:rFonts w:ascii="宋体"/>
              </w:rPr>
            </w:pPr>
          </w:p>
        </w:tc>
        <w:tc>
          <w:tcPr>
            <w:tcW w:w="50" w:type="pct"/>
            <w:shd w:val="clear" w:color="auto" w:fill="auto"/>
            <w:vAlign w:val="bottom"/>
          </w:tcPr>
          <w:p w14:paraId="0B2FB627" w14:textId="77777777" w:rsidR="007F1775" w:rsidRDefault="007F1775">
            <w:pPr>
              <w:rPr>
                <w:rFonts w:ascii="宋体"/>
              </w:rPr>
            </w:pPr>
          </w:p>
        </w:tc>
        <w:tc>
          <w:tcPr>
            <w:tcW w:w="742" w:type="pct"/>
            <w:shd w:val="clear" w:color="auto" w:fill="auto"/>
            <w:vAlign w:val="bottom"/>
          </w:tcPr>
          <w:p w14:paraId="0B2FB628" w14:textId="77777777" w:rsidR="007F1775" w:rsidRDefault="007F1775">
            <w:pPr>
              <w:rPr>
                <w:rFonts w:ascii="宋体"/>
              </w:rPr>
            </w:pPr>
          </w:p>
        </w:tc>
        <w:tc>
          <w:tcPr>
            <w:tcW w:w="5" w:type="pct"/>
            <w:shd w:val="clear" w:color="auto" w:fill="auto"/>
            <w:vAlign w:val="bottom"/>
          </w:tcPr>
          <w:p w14:paraId="0B2FB629" w14:textId="77777777" w:rsidR="007F1775" w:rsidRDefault="007F1775">
            <w:pPr>
              <w:rPr>
                <w:rFonts w:ascii="宋体"/>
              </w:rPr>
            </w:pPr>
          </w:p>
        </w:tc>
        <w:tc>
          <w:tcPr>
            <w:tcW w:w="5" w:type="pct"/>
            <w:shd w:val="clear" w:color="auto" w:fill="auto"/>
            <w:vAlign w:val="bottom"/>
          </w:tcPr>
          <w:p w14:paraId="0B2FB62A" w14:textId="77777777" w:rsidR="007F1775" w:rsidRDefault="007F1775">
            <w:pPr>
              <w:rPr>
                <w:rFonts w:ascii="宋体"/>
              </w:rPr>
            </w:pPr>
          </w:p>
        </w:tc>
        <w:tc>
          <w:tcPr>
            <w:tcW w:w="27" w:type="pct"/>
            <w:shd w:val="clear" w:color="auto" w:fill="auto"/>
            <w:vAlign w:val="bottom"/>
          </w:tcPr>
          <w:p w14:paraId="0B2FB62B" w14:textId="77777777" w:rsidR="007F1775" w:rsidRDefault="007F1775">
            <w:pPr>
              <w:rPr>
                <w:rFonts w:ascii="宋体"/>
              </w:rPr>
            </w:pPr>
          </w:p>
        </w:tc>
        <w:tc>
          <w:tcPr>
            <w:tcW w:w="5" w:type="pct"/>
            <w:shd w:val="clear" w:color="auto" w:fill="auto"/>
            <w:vAlign w:val="bottom"/>
          </w:tcPr>
          <w:p w14:paraId="0B2FB62C" w14:textId="77777777" w:rsidR="007F1775" w:rsidRDefault="007F1775">
            <w:pPr>
              <w:rPr>
                <w:rFonts w:ascii="宋体"/>
              </w:rPr>
            </w:pPr>
          </w:p>
        </w:tc>
        <w:tc>
          <w:tcPr>
            <w:tcW w:w="50" w:type="pct"/>
            <w:shd w:val="clear" w:color="auto" w:fill="auto"/>
            <w:vAlign w:val="bottom"/>
          </w:tcPr>
          <w:p w14:paraId="0B2FB62D" w14:textId="77777777" w:rsidR="007F1775" w:rsidRDefault="007F1775">
            <w:pPr>
              <w:rPr>
                <w:rFonts w:ascii="宋体"/>
              </w:rPr>
            </w:pPr>
          </w:p>
        </w:tc>
        <w:tc>
          <w:tcPr>
            <w:tcW w:w="593" w:type="pct"/>
            <w:shd w:val="clear" w:color="auto" w:fill="auto"/>
            <w:vAlign w:val="bottom"/>
          </w:tcPr>
          <w:p w14:paraId="0B2FB62E" w14:textId="77777777" w:rsidR="007F1775" w:rsidRDefault="007F1775">
            <w:pPr>
              <w:rPr>
                <w:rFonts w:ascii="宋体"/>
              </w:rPr>
            </w:pPr>
          </w:p>
        </w:tc>
        <w:tc>
          <w:tcPr>
            <w:tcW w:w="5" w:type="pct"/>
            <w:shd w:val="clear" w:color="auto" w:fill="auto"/>
            <w:vAlign w:val="bottom"/>
          </w:tcPr>
          <w:p w14:paraId="0B2FB62F" w14:textId="77777777" w:rsidR="007F1775" w:rsidRDefault="007F1775">
            <w:pPr>
              <w:rPr>
                <w:rFonts w:ascii="宋体"/>
              </w:rPr>
            </w:pPr>
          </w:p>
        </w:tc>
        <w:tc>
          <w:tcPr>
            <w:tcW w:w="0" w:type="auto"/>
            <w:shd w:val="clear" w:color="auto" w:fill="auto"/>
            <w:vAlign w:val="bottom"/>
          </w:tcPr>
          <w:p w14:paraId="0B2FB630" w14:textId="77777777" w:rsidR="007F1775" w:rsidRDefault="007F1775">
            <w:pPr>
              <w:rPr>
                <w:rFonts w:ascii="宋体"/>
                <w:vanish/>
              </w:rPr>
            </w:pPr>
          </w:p>
        </w:tc>
        <w:tc>
          <w:tcPr>
            <w:tcW w:w="0" w:type="auto"/>
            <w:shd w:val="clear" w:color="auto" w:fill="auto"/>
            <w:vAlign w:val="bottom"/>
          </w:tcPr>
          <w:p w14:paraId="0B2FB631" w14:textId="77777777" w:rsidR="007F1775" w:rsidRDefault="007F1775">
            <w:pPr>
              <w:rPr>
                <w:rFonts w:ascii="宋体"/>
                <w:vanish/>
              </w:rPr>
            </w:pPr>
          </w:p>
        </w:tc>
        <w:tc>
          <w:tcPr>
            <w:tcW w:w="0" w:type="auto"/>
            <w:shd w:val="clear" w:color="auto" w:fill="auto"/>
            <w:vAlign w:val="bottom"/>
          </w:tcPr>
          <w:p w14:paraId="0B2FB632" w14:textId="77777777" w:rsidR="007F1775" w:rsidRDefault="007F1775">
            <w:pPr>
              <w:rPr>
                <w:rFonts w:ascii="宋体"/>
                <w:vanish/>
              </w:rPr>
            </w:pPr>
          </w:p>
        </w:tc>
        <w:tc>
          <w:tcPr>
            <w:tcW w:w="0" w:type="auto"/>
            <w:shd w:val="clear" w:color="auto" w:fill="auto"/>
            <w:vAlign w:val="bottom"/>
          </w:tcPr>
          <w:p w14:paraId="0B2FB633" w14:textId="77777777" w:rsidR="007F1775" w:rsidRDefault="007F1775">
            <w:pPr>
              <w:rPr>
                <w:rFonts w:ascii="宋体"/>
                <w:vanish/>
              </w:rPr>
            </w:pPr>
          </w:p>
        </w:tc>
        <w:tc>
          <w:tcPr>
            <w:tcW w:w="0" w:type="auto"/>
            <w:gridSpan w:val="3"/>
            <w:shd w:val="clear" w:color="auto" w:fill="auto"/>
            <w:vAlign w:val="bottom"/>
          </w:tcPr>
          <w:p w14:paraId="0B2FB634" w14:textId="77777777" w:rsidR="007F1775" w:rsidRDefault="007F1775">
            <w:pPr>
              <w:rPr>
                <w:rFonts w:ascii="宋体"/>
                <w:vanish/>
              </w:rPr>
            </w:pPr>
          </w:p>
        </w:tc>
        <w:tc>
          <w:tcPr>
            <w:tcW w:w="0" w:type="auto"/>
            <w:gridSpan w:val="3"/>
            <w:shd w:val="clear" w:color="auto" w:fill="auto"/>
            <w:vAlign w:val="bottom"/>
          </w:tcPr>
          <w:p w14:paraId="0B2FB635" w14:textId="77777777" w:rsidR="007F1775" w:rsidRDefault="007F1775">
            <w:pPr>
              <w:rPr>
                <w:rFonts w:ascii="宋体"/>
                <w:vanish/>
              </w:rPr>
            </w:pPr>
          </w:p>
        </w:tc>
      </w:tr>
      <w:tr w:rsidR="007F1775" w14:paraId="0B2FB645" w14:textId="77777777">
        <w:tc>
          <w:tcPr>
            <w:tcW w:w="0" w:type="auto"/>
            <w:gridSpan w:val="3"/>
            <w:shd w:val="clear" w:color="auto" w:fill="auto"/>
            <w:tcMar>
              <w:top w:w="40" w:type="dxa"/>
              <w:left w:w="20" w:type="dxa"/>
              <w:bottom w:w="40" w:type="dxa"/>
              <w:right w:w="20" w:type="dxa"/>
            </w:tcMar>
            <w:vAlign w:val="bottom"/>
          </w:tcPr>
          <w:p w14:paraId="0B2FB637"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638"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0B2FB639"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63A" w14:textId="77777777" w:rsidR="007F1775" w:rsidRDefault="000F083E">
            <w:pPr>
              <w:textAlignment w:val="bottom"/>
            </w:pPr>
            <w:r>
              <w:rPr>
                <w:rFonts w:ascii="Times New Roman" w:eastAsia="宋体" w:hAnsi="Times New Roman"/>
                <w:color w:val="000000"/>
                <w:sz w:val="16"/>
                <w:szCs w:val="16"/>
              </w:rPr>
              <w:t> </w:t>
            </w:r>
          </w:p>
        </w:tc>
        <w:tc>
          <w:tcPr>
            <w:tcW w:w="0" w:type="auto"/>
            <w:shd w:val="clear" w:color="auto" w:fill="auto"/>
            <w:vAlign w:val="bottom"/>
          </w:tcPr>
          <w:p w14:paraId="0B2FB63B" w14:textId="77777777" w:rsidR="007F1775" w:rsidRDefault="007F1775">
            <w:pPr>
              <w:rPr>
                <w:rFonts w:ascii="宋体"/>
                <w:vanish/>
              </w:rPr>
            </w:pPr>
          </w:p>
        </w:tc>
        <w:tc>
          <w:tcPr>
            <w:tcW w:w="0" w:type="auto"/>
            <w:shd w:val="clear" w:color="auto" w:fill="auto"/>
            <w:vAlign w:val="bottom"/>
          </w:tcPr>
          <w:p w14:paraId="0B2FB63C" w14:textId="77777777" w:rsidR="007F1775" w:rsidRDefault="007F1775">
            <w:pPr>
              <w:rPr>
                <w:rFonts w:ascii="宋体"/>
                <w:vanish/>
              </w:rPr>
            </w:pPr>
          </w:p>
        </w:tc>
        <w:tc>
          <w:tcPr>
            <w:tcW w:w="0" w:type="auto"/>
            <w:shd w:val="clear" w:color="auto" w:fill="auto"/>
            <w:vAlign w:val="bottom"/>
          </w:tcPr>
          <w:p w14:paraId="0B2FB63D" w14:textId="77777777" w:rsidR="007F1775" w:rsidRDefault="007F1775">
            <w:pPr>
              <w:rPr>
                <w:rFonts w:ascii="宋体"/>
                <w:vanish/>
              </w:rPr>
            </w:pPr>
          </w:p>
        </w:tc>
        <w:tc>
          <w:tcPr>
            <w:tcW w:w="0" w:type="auto"/>
            <w:shd w:val="clear" w:color="auto" w:fill="auto"/>
            <w:vAlign w:val="bottom"/>
          </w:tcPr>
          <w:p w14:paraId="0B2FB63E" w14:textId="77777777" w:rsidR="007F1775" w:rsidRDefault="007F1775">
            <w:pPr>
              <w:rPr>
                <w:rFonts w:ascii="宋体"/>
                <w:vanish/>
              </w:rPr>
            </w:pPr>
          </w:p>
        </w:tc>
        <w:tc>
          <w:tcPr>
            <w:tcW w:w="0" w:type="auto"/>
            <w:shd w:val="clear" w:color="auto" w:fill="auto"/>
            <w:vAlign w:val="bottom"/>
          </w:tcPr>
          <w:p w14:paraId="0B2FB63F" w14:textId="77777777" w:rsidR="007F1775" w:rsidRDefault="007F1775">
            <w:pPr>
              <w:rPr>
                <w:rFonts w:ascii="宋体"/>
              </w:rPr>
            </w:pPr>
          </w:p>
        </w:tc>
        <w:tc>
          <w:tcPr>
            <w:tcW w:w="0" w:type="auto"/>
            <w:shd w:val="clear" w:color="auto" w:fill="auto"/>
            <w:vAlign w:val="bottom"/>
          </w:tcPr>
          <w:p w14:paraId="0B2FB640" w14:textId="77777777" w:rsidR="007F1775" w:rsidRDefault="007F1775">
            <w:pPr>
              <w:rPr>
                <w:rFonts w:ascii="宋体"/>
              </w:rPr>
            </w:pPr>
          </w:p>
        </w:tc>
        <w:tc>
          <w:tcPr>
            <w:tcW w:w="0" w:type="auto"/>
            <w:shd w:val="clear" w:color="auto" w:fill="auto"/>
            <w:vAlign w:val="bottom"/>
          </w:tcPr>
          <w:p w14:paraId="0B2FB641" w14:textId="77777777" w:rsidR="007F1775" w:rsidRDefault="007F1775">
            <w:pPr>
              <w:rPr>
                <w:rFonts w:ascii="宋体"/>
              </w:rPr>
            </w:pPr>
          </w:p>
        </w:tc>
        <w:tc>
          <w:tcPr>
            <w:tcW w:w="0" w:type="auto"/>
            <w:shd w:val="clear" w:color="auto" w:fill="auto"/>
            <w:vAlign w:val="bottom"/>
          </w:tcPr>
          <w:p w14:paraId="0B2FB642" w14:textId="77777777" w:rsidR="007F1775" w:rsidRDefault="007F1775">
            <w:pPr>
              <w:rPr>
                <w:rFonts w:ascii="宋体"/>
              </w:rPr>
            </w:pPr>
          </w:p>
        </w:tc>
        <w:tc>
          <w:tcPr>
            <w:tcW w:w="0" w:type="auto"/>
            <w:shd w:val="clear" w:color="auto" w:fill="auto"/>
            <w:vAlign w:val="bottom"/>
          </w:tcPr>
          <w:p w14:paraId="0B2FB643" w14:textId="77777777" w:rsidR="007F1775" w:rsidRDefault="007F1775">
            <w:pPr>
              <w:rPr>
                <w:rFonts w:ascii="宋体"/>
              </w:rPr>
            </w:pPr>
          </w:p>
        </w:tc>
        <w:tc>
          <w:tcPr>
            <w:tcW w:w="0" w:type="auto"/>
            <w:shd w:val="clear" w:color="auto" w:fill="auto"/>
            <w:vAlign w:val="bottom"/>
          </w:tcPr>
          <w:p w14:paraId="0B2FB644" w14:textId="77777777" w:rsidR="007F1775" w:rsidRDefault="007F1775">
            <w:pPr>
              <w:rPr>
                <w:rFonts w:ascii="宋体"/>
              </w:rPr>
            </w:pPr>
          </w:p>
        </w:tc>
      </w:tr>
      <w:tr w:rsidR="007F1775" w14:paraId="0B2FB652" w14:textId="77777777">
        <w:tc>
          <w:tcPr>
            <w:tcW w:w="0" w:type="auto"/>
            <w:gridSpan w:val="3"/>
            <w:shd w:val="clear" w:color="auto" w:fill="auto"/>
            <w:tcMar>
              <w:top w:w="40" w:type="dxa"/>
              <w:left w:w="20" w:type="dxa"/>
              <w:bottom w:w="40" w:type="dxa"/>
              <w:right w:w="20" w:type="dxa"/>
            </w:tcMar>
            <w:vAlign w:val="bottom"/>
          </w:tcPr>
          <w:p w14:paraId="0B2FB646"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647"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648"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649"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B2FB64A"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64B" w14:textId="77777777" w:rsidR="007F1775" w:rsidRDefault="000F083E">
            <w:pPr>
              <w:jc w:val="center"/>
              <w:textAlignment w:val="bottom"/>
            </w:pPr>
            <w:r>
              <w:rPr>
                <w:rFonts w:ascii="Times New Roman" w:eastAsia="宋体" w:hAnsi="Times New Roman"/>
                <w:b/>
                <w:bCs/>
                <w:color w:val="000000"/>
                <w:sz w:val="16"/>
                <w:szCs w:val="16"/>
              </w:rPr>
              <w:t>% change</w:t>
            </w:r>
          </w:p>
        </w:tc>
        <w:tc>
          <w:tcPr>
            <w:tcW w:w="0" w:type="auto"/>
            <w:shd w:val="clear" w:color="auto" w:fill="auto"/>
            <w:vAlign w:val="bottom"/>
          </w:tcPr>
          <w:p w14:paraId="0B2FB64C" w14:textId="77777777" w:rsidR="007F1775" w:rsidRDefault="007F1775">
            <w:pPr>
              <w:rPr>
                <w:rFonts w:ascii="宋体"/>
                <w:vanish/>
              </w:rPr>
            </w:pPr>
          </w:p>
        </w:tc>
        <w:tc>
          <w:tcPr>
            <w:tcW w:w="0" w:type="auto"/>
            <w:shd w:val="clear" w:color="auto" w:fill="auto"/>
            <w:vAlign w:val="bottom"/>
          </w:tcPr>
          <w:p w14:paraId="0B2FB64D" w14:textId="77777777" w:rsidR="007F1775" w:rsidRDefault="007F1775">
            <w:pPr>
              <w:rPr>
                <w:rFonts w:ascii="宋体"/>
                <w:vanish/>
              </w:rPr>
            </w:pPr>
          </w:p>
        </w:tc>
        <w:tc>
          <w:tcPr>
            <w:tcW w:w="0" w:type="auto"/>
            <w:shd w:val="clear" w:color="auto" w:fill="auto"/>
            <w:vAlign w:val="bottom"/>
          </w:tcPr>
          <w:p w14:paraId="0B2FB64E" w14:textId="77777777" w:rsidR="007F1775" w:rsidRDefault="007F1775">
            <w:pPr>
              <w:rPr>
                <w:rFonts w:ascii="宋体"/>
                <w:vanish/>
              </w:rPr>
            </w:pPr>
          </w:p>
        </w:tc>
        <w:tc>
          <w:tcPr>
            <w:tcW w:w="0" w:type="auto"/>
            <w:shd w:val="clear" w:color="auto" w:fill="auto"/>
            <w:vAlign w:val="bottom"/>
          </w:tcPr>
          <w:p w14:paraId="0B2FB64F" w14:textId="77777777" w:rsidR="007F1775" w:rsidRDefault="007F1775">
            <w:pPr>
              <w:rPr>
                <w:rFonts w:ascii="宋体"/>
                <w:vanish/>
              </w:rPr>
            </w:pPr>
          </w:p>
        </w:tc>
        <w:tc>
          <w:tcPr>
            <w:tcW w:w="0" w:type="auto"/>
            <w:gridSpan w:val="3"/>
            <w:shd w:val="clear" w:color="auto" w:fill="auto"/>
            <w:vAlign w:val="bottom"/>
          </w:tcPr>
          <w:p w14:paraId="0B2FB650" w14:textId="77777777" w:rsidR="007F1775" w:rsidRDefault="007F1775">
            <w:pPr>
              <w:rPr>
                <w:rFonts w:ascii="宋体"/>
                <w:vanish/>
              </w:rPr>
            </w:pPr>
          </w:p>
        </w:tc>
        <w:tc>
          <w:tcPr>
            <w:tcW w:w="0" w:type="auto"/>
            <w:gridSpan w:val="3"/>
            <w:shd w:val="clear" w:color="auto" w:fill="auto"/>
            <w:vAlign w:val="bottom"/>
          </w:tcPr>
          <w:p w14:paraId="0B2FB651" w14:textId="77777777" w:rsidR="007F1775" w:rsidRDefault="007F1775">
            <w:pPr>
              <w:rPr>
                <w:rFonts w:ascii="宋体"/>
                <w:vanish/>
              </w:rPr>
            </w:pPr>
          </w:p>
        </w:tc>
      </w:tr>
      <w:tr w:rsidR="007F1775" w14:paraId="0B2FB65F" w14:textId="77777777">
        <w:trPr>
          <w:trHeight w:val="60"/>
        </w:trPr>
        <w:tc>
          <w:tcPr>
            <w:tcW w:w="0" w:type="auto"/>
            <w:gridSpan w:val="3"/>
            <w:shd w:val="clear" w:color="auto" w:fill="auto"/>
            <w:tcMar>
              <w:top w:w="0" w:type="dxa"/>
              <w:left w:w="20" w:type="dxa"/>
              <w:bottom w:w="0" w:type="dxa"/>
              <w:right w:w="20" w:type="dxa"/>
            </w:tcMar>
            <w:vAlign w:val="bottom"/>
          </w:tcPr>
          <w:p w14:paraId="0B2FB653"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65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655"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65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657"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658" w14:textId="77777777" w:rsidR="007F1775" w:rsidRDefault="007F1775">
            <w:pPr>
              <w:rPr>
                <w:rFonts w:ascii="宋体"/>
              </w:rPr>
            </w:pPr>
          </w:p>
        </w:tc>
        <w:tc>
          <w:tcPr>
            <w:tcW w:w="0" w:type="auto"/>
            <w:shd w:val="clear" w:color="auto" w:fill="auto"/>
            <w:vAlign w:val="bottom"/>
          </w:tcPr>
          <w:p w14:paraId="0B2FB659" w14:textId="77777777" w:rsidR="007F1775" w:rsidRDefault="007F1775">
            <w:pPr>
              <w:rPr>
                <w:rFonts w:ascii="宋体"/>
                <w:vanish/>
              </w:rPr>
            </w:pPr>
          </w:p>
        </w:tc>
        <w:tc>
          <w:tcPr>
            <w:tcW w:w="0" w:type="auto"/>
            <w:shd w:val="clear" w:color="auto" w:fill="auto"/>
            <w:vAlign w:val="bottom"/>
          </w:tcPr>
          <w:p w14:paraId="0B2FB65A" w14:textId="77777777" w:rsidR="007F1775" w:rsidRDefault="007F1775">
            <w:pPr>
              <w:rPr>
                <w:rFonts w:ascii="宋体"/>
                <w:vanish/>
              </w:rPr>
            </w:pPr>
          </w:p>
        </w:tc>
        <w:tc>
          <w:tcPr>
            <w:tcW w:w="0" w:type="auto"/>
            <w:shd w:val="clear" w:color="auto" w:fill="auto"/>
            <w:vAlign w:val="bottom"/>
          </w:tcPr>
          <w:p w14:paraId="0B2FB65B" w14:textId="77777777" w:rsidR="007F1775" w:rsidRDefault="007F1775">
            <w:pPr>
              <w:rPr>
                <w:rFonts w:ascii="宋体"/>
                <w:vanish/>
              </w:rPr>
            </w:pPr>
          </w:p>
        </w:tc>
        <w:tc>
          <w:tcPr>
            <w:tcW w:w="0" w:type="auto"/>
            <w:shd w:val="clear" w:color="auto" w:fill="auto"/>
            <w:vAlign w:val="bottom"/>
          </w:tcPr>
          <w:p w14:paraId="0B2FB65C" w14:textId="77777777" w:rsidR="007F1775" w:rsidRDefault="007F1775">
            <w:pPr>
              <w:rPr>
                <w:rFonts w:ascii="宋体"/>
                <w:vanish/>
              </w:rPr>
            </w:pPr>
          </w:p>
        </w:tc>
        <w:tc>
          <w:tcPr>
            <w:tcW w:w="0" w:type="auto"/>
            <w:gridSpan w:val="3"/>
            <w:shd w:val="clear" w:color="auto" w:fill="auto"/>
            <w:vAlign w:val="bottom"/>
          </w:tcPr>
          <w:p w14:paraId="0B2FB65D" w14:textId="77777777" w:rsidR="007F1775" w:rsidRDefault="007F1775">
            <w:pPr>
              <w:rPr>
                <w:rFonts w:ascii="宋体"/>
                <w:vanish/>
              </w:rPr>
            </w:pPr>
          </w:p>
        </w:tc>
        <w:tc>
          <w:tcPr>
            <w:tcW w:w="0" w:type="auto"/>
            <w:gridSpan w:val="3"/>
            <w:shd w:val="clear" w:color="auto" w:fill="auto"/>
            <w:vAlign w:val="bottom"/>
          </w:tcPr>
          <w:p w14:paraId="0B2FB65E" w14:textId="77777777" w:rsidR="007F1775" w:rsidRDefault="007F1775">
            <w:pPr>
              <w:rPr>
                <w:rFonts w:ascii="宋体"/>
                <w:vanish/>
              </w:rPr>
            </w:pPr>
          </w:p>
        </w:tc>
      </w:tr>
      <w:tr w:rsidR="007F1775" w14:paraId="0B2FB66A" w14:textId="77777777">
        <w:tc>
          <w:tcPr>
            <w:tcW w:w="0" w:type="auto"/>
            <w:gridSpan w:val="3"/>
            <w:shd w:val="clear" w:color="auto" w:fill="auto"/>
            <w:tcMar>
              <w:top w:w="40" w:type="dxa"/>
              <w:left w:w="20" w:type="dxa"/>
              <w:bottom w:w="40" w:type="dxa"/>
              <w:right w:w="20" w:type="dxa"/>
            </w:tcMar>
            <w:vAlign w:val="bottom"/>
          </w:tcPr>
          <w:p w14:paraId="0B2FB660"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661" w14:textId="77777777" w:rsidR="007F1775" w:rsidRDefault="000F083E">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B2FB66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663" w14:textId="77777777" w:rsidR="007F1775" w:rsidRDefault="007F1775">
            <w:pPr>
              <w:rPr>
                <w:rFonts w:ascii="宋体"/>
              </w:rPr>
            </w:pPr>
          </w:p>
        </w:tc>
        <w:tc>
          <w:tcPr>
            <w:tcW w:w="0" w:type="auto"/>
            <w:shd w:val="clear" w:color="auto" w:fill="auto"/>
            <w:vAlign w:val="bottom"/>
          </w:tcPr>
          <w:p w14:paraId="0B2FB664" w14:textId="77777777" w:rsidR="007F1775" w:rsidRDefault="007F1775">
            <w:pPr>
              <w:rPr>
                <w:rFonts w:ascii="宋体"/>
                <w:vanish/>
              </w:rPr>
            </w:pPr>
          </w:p>
        </w:tc>
        <w:tc>
          <w:tcPr>
            <w:tcW w:w="0" w:type="auto"/>
            <w:shd w:val="clear" w:color="auto" w:fill="auto"/>
            <w:vAlign w:val="bottom"/>
          </w:tcPr>
          <w:p w14:paraId="0B2FB665" w14:textId="77777777" w:rsidR="007F1775" w:rsidRDefault="007F1775">
            <w:pPr>
              <w:rPr>
                <w:rFonts w:ascii="宋体"/>
                <w:vanish/>
              </w:rPr>
            </w:pPr>
          </w:p>
        </w:tc>
        <w:tc>
          <w:tcPr>
            <w:tcW w:w="0" w:type="auto"/>
            <w:shd w:val="clear" w:color="auto" w:fill="auto"/>
            <w:vAlign w:val="bottom"/>
          </w:tcPr>
          <w:p w14:paraId="0B2FB666" w14:textId="77777777" w:rsidR="007F1775" w:rsidRDefault="007F1775">
            <w:pPr>
              <w:rPr>
                <w:rFonts w:ascii="宋体"/>
                <w:vanish/>
              </w:rPr>
            </w:pPr>
          </w:p>
        </w:tc>
        <w:tc>
          <w:tcPr>
            <w:tcW w:w="0" w:type="auto"/>
            <w:shd w:val="clear" w:color="auto" w:fill="auto"/>
            <w:vAlign w:val="bottom"/>
          </w:tcPr>
          <w:p w14:paraId="0B2FB667" w14:textId="77777777" w:rsidR="007F1775" w:rsidRDefault="007F1775">
            <w:pPr>
              <w:rPr>
                <w:rFonts w:ascii="宋体"/>
                <w:vanish/>
              </w:rPr>
            </w:pPr>
          </w:p>
        </w:tc>
        <w:tc>
          <w:tcPr>
            <w:tcW w:w="0" w:type="auto"/>
            <w:gridSpan w:val="3"/>
            <w:shd w:val="clear" w:color="auto" w:fill="auto"/>
            <w:vAlign w:val="bottom"/>
          </w:tcPr>
          <w:p w14:paraId="0B2FB668" w14:textId="77777777" w:rsidR="007F1775" w:rsidRDefault="007F1775">
            <w:pPr>
              <w:rPr>
                <w:rFonts w:ascii="宋体"/>
                <w:vanish/>
              </w:rPr>
            </w:pPr>
          </w:p>
        </w:tc>
        <w:tc>
          <w:tcPr>
            <w:tcW w:w="0" w:type="auto"/>
            <w:gridSpan w:val="3"/>
            <w:shd w:val="clear" w:color="auto" w:fill="auto"/>
            <w:vAlign w:val="bottom"/>
          </w:tcPr>
          <w:p w14:paraId="0B2FB669" w14:textId="77777777" w:rsidR="007F1775" w:rsidRDefault="007F1775">
            <w:pPr>
              <w:rPr>
                <w:rFonts w:ascii="宋体"/>
                <w:vanish/>
              </w:rPr>
            </w:pPr>
          </w:p>
        </w:tc>
      </w:tr>
      <w:tr w:rsidR="007F1775" w14:paraId="0B2FB67C" w14:textId="77777777">
        <w:tc>
          <w:tcPr>
            <w:tcW w:w="0" w:type="auto"/>
            <w:gridSpan w:val="3"/>
            <w:shd w:val="clear" w:color="auto" w:fill="CCEEFF"/>
            <w:tcMar>
              <w:top w:w="40" w:type="dxa"/>
              <w:left w:w="20" w:type="dxa"/>
              <w:bottom w:w="40" w:type="dxa"/>
              <w:right w:w="20" w:type="dxa"/>
            </w:tcMar>
          </w:tcPr>
          <w:p w14:paraId="0B2FB66B" w14:textId="77777777" w:rsidR="007F1775" w:rsidRDefault="000F083E">
            <w:pPr>
              <w:textAlignment w:val="top"/>
            </w:pPr>
            <w:r>
              <w:rPr>
                <w:rFonts w:ascii="Times New Roman" w:eastAsia="宋体" w:hAnsi="Times New Roman"/>
                <w:color w:val="000000"/>
                <w:sz w:val="20"/>
                <w:szCs w:val="20"/>
              </w:rPr>
              <w:t>Cost of revenue</w:t>
            </w:r>
          </w:p>
        </w:tc>
        <w:tc>
          <w:tcPr>
            <w:tcW w:w="0" w:type="auto"/>
            <w:shd w:val="clear" w:color="auto" w:fill="CCEEFF"/>
            <w:tcMar>
              <w:top w:w="40" w:type="dxa"/>
              <w:left w:w="20" w:type="dxa"/>
              <w:bottom w:w="40" w:type="dxa"/>
              <w:right w:w="0" w:type="dxa"/>
            </w:tcMar>
            <w:vAlign w:val="bottom"/>
          </w:tcPr>
          <w:p w14:paraId="0B2FB66C"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66D" w14:textId="77777777" w:rsidR="007F1775" w:rsidRDefault="000F083E">
            <w:pPr>
              <w:jc w:val="right"/>
              <w:textAlignment w:val="bottom"/>
            </w:pPr>
            <w:r>
              <w:rPr>
                <w:rFonts w:ascii="Times New Roman" w:eastAsia="宋体" w:hAnsi="Times New Roman"/>
                <w:color w:val="000000"/>
                <w:sz w:val="20"/>
                <w:szCs w:val="20"/>
              </w:rPr>
              <w:t>6,005 </w:t>
            </w:r>
          </w:p>
        </w:tc>
        <w:tc>
          <w:tcPr>
            <w:tcW w:w="0" w:type="auto"/>
            <w:shd w:val="clear" w:color="auto" w:fill="CCEEFF"/>
            <w:tcMar>
              <w:top w:w="40" w:type="dxa"/>
              <w:left w:w="0" w:type="dxa"/>
              <w:bottom w:w="40" w:type="dxa"/>
              <w:right w:w="20" w:type="dxa"/>
            </w:tcMar>
            <w:vAlign w:val="bottom"/>
          </w:tcPr>
          <w:p w14:paraId="0B2FB66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66F"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670"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671" w14:textId="77777777" w:rsidR="007F1775" w:rsidRDefault="000F083E">
            <w:pPr>
              <w:jc w:val="right"/>
              <w:textAlignment w:val="bottom"/>
            </w:pPr>
            <w:r>
              <w:rPr>
                <w:rFonts w:ascii="Times New Roman" w:eastAsia="宋体" w:hAnsi="Times New Roman"/>
                <w:color w:val="000000"/>
                <w:sz w:val="20"/>
                <w:szCs w:val="20"/>
              </w:rPr>
              <w:t>5,131 </w:t>
            </w:r>
          </w:p>
        </w:tc>
        <w:tc>
          <w:tcPr>
            <w:tcW w:w="0" w:type="auto"/>
            <w:shd w:val="clear" w:color="auto" w:fill="CCEEFF"/>
            <w:tcMar>
              <w:top w:w="40" w:type="dxa"/>
              <w:left w:w="0" w:type="dxa"/>
              <w:bottom w:w="40" w:type="dxa"/>
              <w:right w:w="20" w:type="dxa"/>
            </w:tcMar>
            <w:vAlign w:val="bottom"/>
          </w:tcPr>
          <w:p w14:paraId="0B2FB67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673"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674" w14:textId="77777777" w:rsidR="007F1775" w:rsidRDefault="000F083E">
            <w:pPr>
              <w:jc w:val="right"/>
              <w:textAlignment w:val="bottom"/>
            </w:pPr>
            <w:r>
              <w:rPr>
                <w:rFonts w:ascii="Times New Roman" w:eastAsia="宋体" w:hAnsi="Times New Roman"/>
                <w:color w:val="000000"/>
                <w:sz w:val="20"/>
                <w:szCs w:val="20"/>
              </w:rPr>
              <w:t>17 </w:t>
            </w:r>
          </w:p>
        </w:tc>
        <w:tc>
          <w:tcPr>
            <w:tcW w:w="0" w:type="auto"/>
            <w:shd w:val="clear" w:color="auto" w:fill="CCEEFF"/>
            <w:tcMar>
              <w:top w:w="40" w:type="dxa"/>
              <w:left w:w="0" w:type="dxa"/>
              <w:bottom w:w="40" w:type="dxa"/>
              <w:right w:w="20" w:type="dxa"/>
            </w:tcMar>
            <w:vAlign w:val="bottom"/>
          </w:tcPr>
          <w:p w14:paraId="0B2FB675"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676" w14:textId="77777777" w:rsidR="007F1775" w:rsidRDefault="007F1775">
            <w:pPr>
              <w:rPr>
                <w:rFonts w:ascii="宋体"/>
                <w:vanish/>
              </w:rPr>
            </w:pPr>
          </w:p>
        </w:tc>
        <w:tc>
          <w:tcPr>
            <w:tcW w:w="0" w:type="auto"/>
            <w:shd w:val="clear" w:color="auto" w:fill="auto"/>
            <w:vAlign w:val="bottom"/>
          </w:tcPr>
          <w:p w14:paraId="0B2FB677" w14:textId="77777777" w:rsidR="007F1775" w:rsidRDefault="007F1775">
            <w:pPr>
              <w:rPr>
                <w:rFonts w:ascii="宋体"/>
                <w:vanish/>
              </w:rPr>
            </w:pPr>
          </w:p>
        </w:tc>
        <w:tc>
          <w:tcPr>
            <w:tcW w:w="0" w:type="auto"/>
            <w:shd w:val="clear" w:color="auto" w:fill="auto"/>
            <w:vAlign w:val="bottom"/>
          </w:tcPr>
          <w:p w14:paraId="0B2FB678" w14:textId="77777777" w:rsidR="007F1775" w:rsidRDefault="007F1775">
            <w:pPr>
              <w:rPr>
                <w:rFonts w:ascii="宋体"/>
                <w:vanish/>
              </w:rPr>
            </w:pPr>
          </w:p>
        </w:tc>
        <w:tc>
          <w:tcPr>
            <w:tcW w:w="0" w:type="auto"/>
            <w:shd w:val="clear" w:color="auto" w:fill="auto"/>
            <w:vAlign w:val="bottom"/>
          </w:tcPr>
          <w:p w14:paraId="0B2FB679" w14:textId="77777777" w:rsidR="007F1775" w:rsidRDefault="007F1775">
            <w:pPr>
              <w:rPr>
                <w:rFonts w:ascii="宋体"/>
                <w:vanish/>
              </w:rPr>
            </w:pPr>
          </w:p>
        </w:tc>
        <w:tc>
          <w:tcPr>
            <w:tcW w:w="0" w:type="auto"/>
            <w:gridSpan w:val="3"/>
            <w:shd w:val="clear" w:color="auto" w:fill="auto"/>
            <w:vAlign w:val="bottom"/>
          </w:tcPr>
          <w:p w14:paraId="0B2FB67A" w14:textId="77777777" w:rsidR="007F1775" w:rsidRDefault="007F1775">
            <w:pPr>
              <w:rPr>
                <w:rFonts w:ascii="宋体"/>
                <w:vanish/>
              </w:rPr>
            </w:pPr>
          </w:p>
        </w:tc>
        <w:tc>
          <w:tcPr>
            <w:tcW w:w="0" w:type="auto"/>
            <w:gridSpan w:val="3"/>
            <w:shd w:val="clear" w:color="auto" w:fill="auto"/>
            <w:vAlign w:val="bottom"/>
          </w:tcPr>
          <w:p w14:paraId="0B2FB67B" w14:textId="77777777" w:rsidR="007F1775" w:rsidRDefault="007F1775">
            <w:pPr>
              <w:rPr>
                <w:rFonts w:ascii="宋体"/>
                <w:vanish/>
              </w:rPr>
            </w:pPr>
          </w:p>
        </w:tc>
      </w:tr>
      <w:tr w:rsidR="007F1775" w14:paraId="0B2FB68B" w14:textId="77777777">
        <w:tc>
          <w:tcPr>
            <w:tcW w:w="0" w:type="auto"/>
            <w:gridSpan w:val="3"/>
            <w:shd w:val="clear" w:color="auto" w:fill="FFFFFF"/>
            <w:tcMar>
              <w:top w:w="40" w:type="dxa"/>
              <w:left w:w="20" w:type="dxa"/>
              <w:bottom w:w="40" w:type="dxa"/>
              <w:right w:w="20" w:type="dxa"/>
            </w:tcMar>
          </w:tcPr>
          <w:p w14:paraId="0B2FB67D" w14:textId="77777777" w:rsidR="007F1775" w:rsidRDefault="000F083E">
            <w:pPr>
              <w:textAlignment w:val="top"/>
            </w:pPr>
            <w:r>
              <w:rPr>
                <w:rFonts w:ascii="Times New Roman" w:eastAsia="宋体" w:hAnsi="Times New Roman"/>
                <w:color w:val="000000"/>
                <w:sz w:val="20"/>
                <w:szCs w:val="20"/>
              </w:rPr>
              <w:t>Percentage of revenue</w:t>
            </w:r>
          </w:p>
        </w:tc>
        <w:tc>
          <w:tcPr>
            <w:tcW w:w="0" w:type="auto"/>
            <w:gridSpan w:val="2"/>
            <w:shd w:val="clear" w:color="auto" w:fill="FFFFFF"/>
            <w:tcMar>
              <w:top w:w="40" w:type="dxa"/>
              <w:left w:w="20" w:type="dxa"/>
              <w:bottom w:w="40" w:type="dxa"/>
              <w:right w:w="0" w:type="dxa"/>
            </w:tcMar>
            <w:vAlign w:val="bottom"/>
          </w:tcPr>
          <w:p w14:paraId="0B2FB67E" w14:textId="77777777" w:rsidR="007F1775" w:rsidRDefault="000F083E">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0B2FB67F"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B2FB680"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681" w14:textId="77777777" w:rsidR="007F1775" w:rsidRDefault="000F083E">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0B2FB682"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B2FB683"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684" w14:textId="77777777" w:rsidR="007F1775" w:rsidRDefault="007F1775">
            <w:pPr>
              <w:rPr>
                <w:rFonts w:ascii="宋体"/>
              </w:rPr>
            </w:pPr>
          </w:p>
        </w:tc>
        <w:tc>
          <w:tcPr>
            <w:tcW w:w="0" w:type="auto"/>
            <w:shd w:val="clear" w:color="auto" w:fill="auto"/>
            <w:vAlign w:val="bottom"/>
          </w:tcPr>
          <w:p w14:paraId="0B2FB685" w14:textId="77777777" w:rsidR="007F1775" w:rsidRDefault="007F1775">
            <w:pPr>
              <w:rPr>
                <w:rFonts w:ascii="宋体"/>
                <w:vanish/>
              </w:rPr>
            </w:pPr>
          </w:p>
        </w:tc>
        <w:tc>
          <w:tcPr>
            <w:tcW w:w="0" w:type="auto"/>
            <w:shd w:val="clear" w:color="auto" w:fill="auto"/>
            <w:vAlign w:val="bottom"/>
          </w:tcPr>
          <w:p w14:paraId="0B2FB686" w14:textId="77777777" w:rsidR="007F1775" w:rsidRDefault="007F1775">
            <w:pPr>
              <w:rPr>
                <w:rFonts w:ascii="宋体"/>
                <w:vanish/>
              </w:rPr>
            </w:pPr>
          </w:p>
        </w:tc>
        <w:tc>
          <w:tcPr>
            <w:tcW w:w="0" w:type="auto"/>
            <w:shd w:val="clear" w:color="auto" w:fill="auto"/>
            <w:vAlign w:val="bottom"/>
          </w:tcPr>
          <w:p w14:paraId="0B2FB687" w14:textId="77777777" w:rsidR="007F1775" w:rsidRDefault="007F1775">
            <w:pPr>
              <w:rPr>
                <w:rFonts w:ascii="宋体"/>
                <w:vanish/>
              </w:rPr>
            </w:pPr>
          </w:p>
        </w:tc>
        <w:tc>
          <w:tcPr>
            <w:tcW w:w="0" w:type="auto"/>
            <w:shd w:val="clear" w:color="auto" w:fill="auto"/>
            <w:vAlign w:val="bottom"/>
          </w:tcPr>
          <w:p w14:paraId="0B2FB688" w14:textId="77777777" w:rsidR="007F1775" w:rsidRDefault="007F1775">
            <w:pPr>
              <w:rPr>
                <w:rFonts w:ascii="宋体"/>
                <w:vanish/>
              </w:rPr>
            </w:pPr>
          </w:p>
        </w:tc>
        <w:tc>
          <w:tcPr>
            <w:tcW w:w="0" w:type="auto"/>
            <w:gridSpan w:val="3"/>
            <w:shd w:val="clear" w:color="auto" w:fill="auto"/>
            <w:vAlign w:val="bottom"/>
          </w:tcPr>
          <w:p w14:paraId="0B2FB689" w14:textId="77777777" w:rsidR="007F1775" w:rsidRDefault="007F1775">
            <w:pPr>
              <w:rPr>
                <w:rFonts w:ascii="宋体"/>
                <w:vanish/>
              </w:rPr>
            </w:pPr>
          </w:p>
        </w:tc>
        <w:tc>
          <w:tcPr>
            <w:tcW w:w="0" w:type="auto"/>
            <w:gridSpan w:val="3"/>
            <w:shd w:val="clear" w:color="auto" w:fill="auto"/>
            <w:vAlign w:val="bottom"/>
          </w:tcPr>
          <w:p w14:paraId="0B2FB68A" w14:textId="77777777" w:rsidR="007F1775" w:rsidRDefault="007F1775">
            <w:pPr>
              <w:rPr>
                <w:rFonts w:ascii="宋体"/>
                <w:vanish/>
              </w:rPr>
            </w:pPr>
          </w:p>
        </w:tc>
      </w:tr>
    </w:tbl>
    <w:p w14:paraId="0B2FB68C" w14:textId="77777777" w:rsidR="007F1775" w:rsidRDefault="007F1775">
      <w:pPr>
        <w:ind w:firstLine="540"/>
        <w:jc w:val="both"/>
      </w:pPr>
    </w:p>
    <w:p w14:paraId="0B2FB68D" w14:textId="77777777" w:rsidR="007F1775" w:rsidRDefault="000F083E">
      <w:pPr>
        <w:ind w:firstLine="540"/>
        <w:jc w:val="both"/>
      </w:pPr>
      <w:r>
        <w:rPr>
          <w:rFonts w:ascii="Times New Roman" w:eastAsia="宋体" w:hAnsi="Times New Roman"/>
          <w:color w:val="000000"/>
          <w:sz w:val="20"/>
          <w:szCs w:val="20"/>
        </w:rPr>
        <w:t xml:space="preserve">Cost of revenue in the three months ended March 31, 2022 increased $874 million, or 17%, compared to the same period in 2021. The increase was primarily due to an </w:t>
      </w:r>
      <w:r>
        <w:rPr>
          <w:rFonts w:ascii="Times New Roman" w:eastAsia="宋体" w:hAnsi="Times New Roman"/>
          <w:color w:val="000000"/>
          <w:sz w:val="20"/>
          <w:szCs w:val="20"/>
        </w:rPr>
        <w:t>increase in operational expenses related to our data centers and technical infrastructure; higher costs associated with partner arrangements, including traffic acquisition and payment processing costs; and an increase in content costs.</w:t>
      </w:r>
    </w:p>
    <w:p w14:paraId="0B2FB68E" w14:textId="77777777" w:rsidR="007F1775" w:rsidRDefault="007F1775"/>
    <w:p w14:paraId="0B2FB68F" w14:textId="77777777" w:rsidR="007F1775" w:rsidRDefault="000F083E">
      <w:r>
        <w:rPr>
          <w:rFonts w:ascii="Times New Roman" w:eastAsia="宋体" w:hAnsi="Times New Roman"/>
          <w:b/>
          <w:bCs/>
          <w:i/>
          <w:iCs/>
          <w:color w:val="000000"/>
          <w:sz w:val="20"/>
          <w:szCs w:val="20"/>
        </w:rPr>
        <w:t>Research and develo</w:t>
      </w:r>
      <w:r>
        <w:rPr>
          <w:rFonts w:ascii="Times New Roman" w:eastAsia="宋体" w:hAnsi="Times New Roman"/>
          <w:b/>
          <w:bCs/>
          <w:i/>
          <w:iCs/>
          <w:color w:val="000000"/>
          <w:sz w:val="20"/>
          <w:szCs w:val="20"/>
        </w:rPr>
        <w:t>pment</w:t>
      </w:r>
    </w:p>
    <w:tbl>
      <w:tblPr>
        <w:tblW w:w="4993" w:type="pct"/>
        <w:tblCellMar>
          <w:top w:w="15" w:type="dxa"/>
          <w:left w:w="15" w:type="dxa"/>
          <w:bottom w:w="15" w:type="dxa"/>
          <w:right w:w="15" w:type="dxa"/>
        </w:tblCellMar>
        <w:tblLook w:val="04A0" w:firstRow="1" w:lastRow="0" w:firstColumn="1" w:lastColumn="0" w:noHBand="0" w:noVBand="1"/>
      </w:tblPr>
      <w:tblGrid>
        <w:gridCol w:w="37"/>
        <w:gridCol w:w="4040"/>
        <w:gridCol w:w="36"/>
        <w:gridCol w:w="120"/>
        <w:gridCol w:w="1087"/>
        <w:gridCol w:w="187"/>
        <w:gridCol w:w="36"/>
        <w:gridCol w:w="36"/>
        <w:gridCol w:w="36"/>
        <w:gridCol w:w="120"/>
        <w:gridCol w:w="999"/>
        <w:gridCol w:w="187"/>
        <w:gridCol w:w="36"/>
        <w:gridCol w:w="36"/>
        <w:gridCol w:w="36"/>
        <w:gridCol w:w="41"/>
        <w:gridCol w:w="707"/>
        <w:gridCol w:w="187"/>
        <w:gridCol w:w="36"/>
        <w:gridCol w:w="36"/>
        <w:gridCol w:w="36"/>
        <w:gridCol w:w="36"/>
        <w:gridCol w:w="36"/>
        <w:gridCol w:w="36"/>
        <w:gridCol w:w="36"/>
        <w:gridCol w:w="36"/>
        <w:gridCol w:w="36"/>
        <w:gridCol w:w="36"/>
      </w:tblGrid>
      <w:tr w:rsidR="007F1775" w14:paraId="0B2FB6A8" w14:textId="77777777">
        <w:tc>
          <w:tcPr>
            <w:tcW w:w="50" w:type="pct"/>
            <w:shd w:val="clear" w:color="auto" w:fill="auto"/>
            <w:vAlign w:val="bottom"/>
          </w:tcPr>
          <w:p w14:paraId="0B2FB690" w14:textId="77777777" w:rsidR="007F1775" w:rsidRDefault="007F1775">
            <w:pPr>
              <w:rPr>
                <w:rFonts w:ascii="宋体"/>
              </w:rPr>
            </w:pPr>
          </w:p>
        </w:tc>
        <w:tc>
          <w:tcPr>
            <w:tcW w:w="2627" w:type="pct"/>
            <w:shd w:val="clear" w:color="auto" w:fill="auto"/>
            <w:vAlign w:val="bottom"/>
          </w:tcPr>
          <w:p w14:paraId="0B2FB691" w14:textId="77777777" w:rsidR="007F1775" w:rsidRDefault="007F1775">
            <w:pPr>
              <w:rPr>
                <w:rFonts w:ascii="宋体"/>
              </w:rPr>
            </w:pPr>
          </w:p>
        </w:tc>
        <w:tc>
          <w:tcPr>
            <w:tcW w:w="5" w:type="pct"/>
            <w:shd w:val="clear" w:color="auto" w:fill="auto"/>
            <w:vAlign w:val="bottom"/>
          </w:tcPr>
          <w:p w14:paraId="0B2FB692" w14:textId="77777777" w:rsidR="007F1775" w:rsidRDefault="007F1775">
            <w:pPr>
              <w:rPr>
                <w:rFonts w:ascii="宋体"/>
              </w:rPr>
            </w:pPr>
          </w:p>
        </w:tc>
        <w:tc>
          <w:tcPr>
            <w:tcW w:w="50" w:type="pct"/>
            <w:shd w:val="clear" w:color="auto" w:fill="auto"/>
            <w:vAlign w:val="bottom"/>
          </w:tcPr>
          <w:p w14:paraId="0B2FB693" w14:textId="77777777" w:rsidR="007F1775" w:rsidRDefault="007F1775">
            <w:pPr>
              <w:rPr>
                <w:rFonts w:ascii="宋体"/>
              </w:rPr>
            </w:pPr>
          </w:p>
        </w:tc>
        <w:tc>
          <w:tcPr>
            <w:tcW w:w="742" w:type="pct"/>
            <w:shd w:val="clear" w:color="auto" w:fill="auto"/>
            <w:vAlign w:val="bottom"/>
          </w:tcPr>
          <w:p w14:paraId="0B2FB694" w14:textId="77777777" w:rsidR="007F1775" w:rsidRDefault="007F1775">
            <w:pPr>
              <w:rPr>
                <w:rFonts w:ascii="宋体"/>
              </w:rPr>
            </w:pPr>
          </w:p>
        </w:tc>
        <w:tc>
          <w:tcPr>
            <w:tcW w:w="5" w:type="pct"/>
            <w:shd w:val="clear" w:color="auto" w:fill="auto"/>
            <w:vAlign w:val="bottom"/>
          </w:tcPr>
          <w:p w14:paraId="0B2FB695" w14:textId="77777777" w:rsidR="007F1775" w:rsidRDefault="007F1775">
            <w:pPr>
              <w:rPr>
                <w:rFonts w:ascii="宋体"/>
              </w:rPr>
            </w:pPr>
          </w:p>
        </w:tc>
        <w:tc>
          <w:tcPr>
            <w:tcW w:w="5" w:type="pct"/>
            <w:shd w:val="clear" w:color="auto" w:fill="auto"/>
            <w:vAlign w:val="bottom"/>
          </w:tcPr>
          <w:p w14:paraId="0B2FB696" w14:textId="77777777" w:rsidR="007F1775" w:rsidRDefault="007F1775">
            <w:pPr>
              <w:rPr>
                <w:rFonts w:ascii="宋体"/>
              </w:rPr>
            </w:pPr>
          </w:p>
        </w:tc>
        <w:tc>
          <w:tcPr>
            <w:tcW w:w="27" w:type="pct"/>
            <w:shd w:val="clear" w:color="auto" w:fill="auto"/>
            <w:vAlign w:val="bottom"/>
          </w:tcPr>
          <w:p w14:paraId="0B2FB697" w14:textId="77777777" w:rsidR="007F1775" w:rsidRDefault="007F1775">
            <w:pPr>
              <w:rPr>
                <w:rFonts w:ascii="宋体"/>
              </w:rPr>
            </w:pPr>
          </w:p>
        </w:tc>
        <w:tc>
          <w:tcPr>
            <w:tcW w:w="5" w:type="pct"/>
            <w:shd w:val="clear" w:color="auto" w:fill="auto"/>
            <w:vAlign w:val="bottom"/>
          </w:tcPr>
          <w:p w14:paraId="0B2FB698" w14:textId="77777777" w:rsidR="007F1775" w:rsidRDefault="007F1775">
            <w:pPr>
              <w:rPr>
                <w:rFonts w:ascii="宋体"/>
              </w:rPr>
            </w:pPr>
          </w:p>
        </w:tc>
        <w:tc>
          <w:tcPr>
            <w:tcW w:w="50" w:type="pct"/>
            <w:shd w:val="clear" w:color="auto" w:fill="auto"/>
            <w:vAlign w:val="bottom"/>
          </w:tcPr>
          <w:p w14:paraId="0B2FB699" w14:textId="77777777" w:rsidR="007F1775" w:rsidRDefault="007F1775">
            <w:pPr>
              <w:rPr>
                <w:rFonts w:ascii="宋体"/>
              </w:rPr>
            </w:pPr>
          </w:p>
        </w:tc>
        <w:tc>
          <w:tcPr>
            <w:tcW w:w="742" w:type="pct"/>
            <w:shd w:val="clear" w:color="auto" w:fill="auto"/>
            <w:vAlign w:val="bottom"/>
          </w:tcPr>
          <w:p w14:paraId="0B2FB69A" w14:textId="77777777" w:rsidR="007F1775" w:rsidRDefault="007F1775">
            <w:pPr>
              <w:rPr>
                <w:rFonts w:ascii="宋体"/>
              </w:rPr>
            </w:pPr>
          </w:p>
        </w:tc>
        <w:tc>
          <w:tcPr>
            <w:tcW w:w="5" w:type="pct"/>
            <w:shd w:val="clear" w:color="auto" w:fill="auto"/>
            <w:vAlign w:val="bottom"/>
          </w:tcPr>
          <w:p w14:paraId="0B2FB69B" w14:textId="77777777" w:rsidR="007F1775" w:rsidRDefault="007F1775">
            <w:pPr>
              <w:rPr>
                <w:rFonts w:ascii="宋体"/>
              </w:rPr>
            </w:pPr>
          </w:p>
        </w:tc>
        <w:tc>
          <w:tcPr>
            <w:tcW w:w="5" w:type="pct"/>
            <w:shd w:val="clear" w:color="auto" w:fill="auto"/>
            <w:vAlign w:val="bottom"/>
          </w:tcPr>
          <w:p w14:paraId="0B2FB69C" w14:textId="77777777" w:rsidR="007F1775" w:rsidRDefault="007F1775">
            <w:pPr>
              <w:rPr>
                <w:rFonts w:ascii="宋体"/>
              </w:rPr>
            </w:pPr>
          </w:p>
        </w:tc>
        <w:tc>
          <w:tcPr>
            <w:tcW w:w="27" w:type="pct"/>
            <w:shd w:val="clear" w:color="auto" w:fill="auto"/>
            <w:vAlign w:val="bottom"/>
          </w:tcPr>
          <w:p w14:paraId="0B2FB69D" w14:textId="77777777" w:rsidR="007F1775" w:rsidRDefault="007F1775">
            <w:pPr>
              <w:rPr>
                <w:rFonts w:ascii="宋体"/>
              </w:rPr>
            </w:pPr>
          </w:p>
        </w:tc>
        <w:tc>
          <w:tcPr>
            <w:tcW w:w="5" w:type="pct"/>
            <w:shd w:val="clear" w:color="auto" w:fill="auto"/>
            <w:vAlign w:val="bottom"/>
          </w:tcPr>
          <w:p w14:paraId="0B2FB69E" w14:textId="77777777" w:rsidR="007F1775" w:rsidRDefault="007F1775">
            <w:pPr>
              <w:rPr>
                <w:rFonts w:ascii="宋体"/>
              </w:rPr>
            </w:pPr>
          </w:p>
        </w:tc>
        <w:tc>
          <w:tcPr>
            <w:tcW w:w="50" w:type="pct"/>
            <w:shd w:val="clear" w:color="auto" w:fill="auto"/>
            <w:vAlign w:val="bottom"/>
          </w:tcPr>
          <w:p w14:paraId="0B2FB69F" w14:textId="77777777" w:rsidR="007F1775" w:rsidRDefault="007F1775">
            <w:pPr>
              <w:rPr>
                <w:rFonts w:ascii="宋体"/>
              </w:rPr>
            </w:pPr>
          </w:p>
        </w:tc>
        <w:tc>
          <w:tcPr>
            <w:tcW w:w="593" w:type="pct"/>
            <w:shd w:val="clear" w:color="auto" w:fill="auto"/>
            <w:vAlign w:val="bottom"/>
          </w:tcPr>
          <w:p w14:paraId="0B2FB6A0" w14:textId="77777777" w:rsidR="007F1775" w:rsidRDefault="007F1775">
            <w:pPr>
              <w:rPr>
                <w:rFonts w:ascii="宋体"/>
              </w:rPr>
            </w:pPr>
          </w:p>
        </w:tc>
        <w:tc>
          <w:tcPr>
            <w:tcW w:w="5" w:type="pct"/>
            <w:shd w:val="clear" w:color="auto" w:fill="auto"/>
            <w:vAlign w:val="bottom"/>
          </w:tcPr>
          <w:p w14:paraId="0B2FB6A1" w14:textId="77777777" w:rsidR="007F1775" w:rsidRDefault="007F1775">
            <w:pPr>
              <w:rPr>
                <w:rFonts w:ascii="宋体"/>
              </w:rPr>
            </w:pPr>
          </w:p>
        </w:tc>
        <w:tc>
          <w:tcPr>
            <w:tcW w:w="0" w:type="auto"/>
            <w:shd w:val="clear" w:color="auto" w:fill="auto"/>
            <w:vAlign w:val="bottom"/>
          </w:tcPr>
          <w:p w14:paraId="0B2FB6A2" w14:textId="77777777" w:rsidR="007F1775" w:rsidRDefault="007F1775">
            <w:pPr>
              <w:rPr>
                <w:rFonts w:ascii="宋体"/>
                <w:vanish/>
              </w:rPr>
            </w:pPr>
          </w:p>
        </w:tc>
        <w:tc>
          <w:tcPr>
            <w:tcW w:w="0" w:type="auto"/>
            <w:shd w:val="clear" w:color="auto" w:fill="auto"/>
            <w:vAlign w:val="bottom"/>
          </w:tcPr>
          <w:p w14:paraId="0B2FB6A3" w14:textId="77777777" w:rsidR="007F1775" w:rsidRDefault="007F1775">
            <w:pPr>
              <w:rPr>
                <w:rFonts w:ascii="宋体"/>
                <w:vanish/>
              </w:rPr>
            </w:pPr>
          </w:p>
        </w:tc>
        <w:tc>
          <w:tcPr>
            <w:tcW w:w="0" w:type="auto"/>
            <w:shd w:val="clear" w:color="auto" w:fill="auto"/>
            <w:vAlign w:val="bottom"/>
          </w:tcPr>
          <w:p w14:paraId="0B2FB6A4" w14:textId="77777777" w:rsidR="007F1775" w:rsidRDefault="007F1775">
            <w:pPr>
              <w:rPr>
                <w:rFonts w:ascii="宋体"/>
                <w:vanish/>
              </w:rPr>
            </w:pPr>
          </w:p>
        </w:tc>
        <w:tc>
          <w:tcPr>
            <w:tcW w:w="0" w:type="auto"/>
            <w:shd w:val="clear" w:color="auto" w:fill="auto"/>
            <w:vAlign w:val="bottom"/>
          </w:tcPr>
          <w:p w14:paraId="0B2FB6A5" w14:textId="77777777" w:rsidR="007F1775" w:rsidRDefault="007F1775">
            <w:pPr>
              <w:rPr>
                <w:rFonts w:ascii="宋体"/>
                <w:vanish/>
              </w:rPr>
            </w:pPr>
          </w:p>
        </w:tc>
        <w:tc>
          <w:tcPr>
            <w:tcW w:w="0" w:type="auto"/>
            <w:gridSpan w:val="3"/>
            <w:shd w:val="clear" w:color="auto" w:fill="auto"/>
            <w:vAlign w:val="bottom"/>
          </w:tcPr>
          <w:p w14:paraId="0B2FB6A6" w14:textId="77777777" w:rsidR="007F1775" w:rsidRDefault="007F1775">
            <w:pPr>
              <w:rPr>
                <w:rFonts w:ascii="宋体"/>
                <w:vanish/>
              </w:rPr>
            </w:pPr>
          </w:p>
        </w:tc>
        <w:tc>
          <w:tcPr>
            <w:tcW w:w="0" w:type="auto"/>
            <w:gridSpan w:val="3"/>
            <w:shd w:val="clear" w:color="auto" w:fill="auto"/>
            <w:vAlign w:val="bottom"/>
          </w:tcPr>
          <w:p w14:paraId="0B2FB6A7" w14:textId="77777777" w:rsidR="007F1775" w:rsidRDefault="007F1775">
            <w:pPr>
              <w:rPr>
                <w:rFonts w:ascii="宋体"/>
                <w:vanish/>
              </w:rPr>
            </w:pPr>
          </w:p>
        </w:tc>
      </w:tr>
      <w:tr w:rsidR="007F1775" w14:paraId="0B2FB6B7" w14:textId="77777777">
        <w:tc>
          <w:tcPr>
            <w:tcW w:w="0" w:type="auto"/>
            <w:gridSpan w:val="3"/>
            <w:shd w:val="clear" w:color="auto" w:fill="auto"/>
            <w:tcMar>
              <w:top w:w="40" w:type="dxa"/>
              <w:left w:w="20" w:type="dxa"/>
              <w:bottom w:w="40" w:type="dxa"/>
              <w:right w:w="20" w:type="dxa"/>
            </w:tcMar>
            <w:vAlign w:val="bottom"/>
          </w:tcPr>
          <w:p w14:paraId="0B2FB6A9"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6AA"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0B2FB6AB"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6AC" w14:textId="77777777" w:rsidR="007F1775" w:rsidRDefault="000F083E">
            <w:pPr>
              <w:textAlignment w:val="bottom"/>
            </w:pPr>
            <w:r>
              <w:rPr>
                <w:rFonts w:ascii="Times New Roman" w:eastAsia="宋体" w:hAnsi="Times New Roman"/>
                <w:color w:val="000000"/>
                <w:sz w:val="16"/>
                <w:szCs w:val="16"/>
              </w:rPr>
              <w:t> </w:t>
            </w:r>
          </w:p>
        </w:tc>
        <w:tc>
          <w:tcPr>
            <w:tcW w:w="0" w:type="auto"/>
            <w:shd w:val="clear" w:color="auto" w:fill="auto"/>
            <w:vAlign w:val="bottom"/>
          </w:tcPr>
          <w:p w14:paraId="0B2FB6AD" w14:textId="77777777" w:rsidR="007F1775" w:rsidRDefault="007F1775">
            <w:pPr>
              <w:rPr>
                <w:rFonts w:ascii="宋体"/>
                <w:vanish/>
              </w:rPr>
            </w:pPr>
          </w:p>
        </w:tc>
        <w:tc>
          <w:tcPr>
            <w:tcW w:w="0" w:type="auto"/>
            <w:shd w:val="clear" w:color="auto" w:fill="auto"/>
            <w:vAlign w:val="bottom"/>
          </w:tcPr>
          <w:p w14:paraId="0B2FB6AE" w14:textId="77777777" w:rsidR="007F1775" w:rsidRDefault="007F1775">
            <w:pPr>
              <w:rPr>
                <w:rFonts w:ascii="宋体"/>
                <w:vanish/>
              </w:rPr>
            </w:pPr>
          </w:p>
        </w:tc>
        <w:tc>
          <w:tcPr>
            <w:tcW w:w="0" w:type="auto"/>
            <w:shd w:val="clear" w:color="auto" w:fill="auto"/>
            <w:vAlign w:val="bottom"/>
          </w:tcPr>
          <w:p w14:paraId="0B2FB6AF" w14:textId="77777777" w:rsidR="007F1775" w:rsidRDefault="007F1775">
            <w:pPr>
              <w:rPr>
                <w:rFonts w:ascii="宋体"/>
                <w:vanish/>
              </w:rPr>
            </w:pPr>
          </w:p>
        </w:tc>
        <w:tc>
          <w:tcPr>
            <w:tcW w:w="0" w:type="auto"/>
            <w:shd w:val="clear" w:color="auto" w:fill="auto"/>
            <w:vAlign w:val="bottom"/>
          </w:tcPr>
          <w:p w14:paraId="0B2FB6B0" w14:textId="77777777" w:rsidR="007F1775" w:rsidRDefault="007F1775">
            <w:pPr>
              <w:rPr>
                <w:rFonts w:ascii="宋体"/>
                <w:vanish/>
              </w:rPr>
            </w:pPr>
          </w:p>
        </w:tc>
        <w:tc>
          <w:tcPr>
            <w:tcW w:w="0" w:type="auto"/>
            <w:shd w:val="clear" w:color="auto" w:fill="auto"/>
            <w:vAlign w:val="bottom"/>
          </w:tcPr>
          <w:p w14:paraId="0B2FB6B1" w14:textId="77777777" w:rsidR="007F1775" w:rsidRDefault="007F1775">
            <w:pPr>
              <w:rPr>
                <w:rFonts w:ascii="宋体"/>
              </w:rPr>
            </w:pPr>
          </w:p>
        </w:tc>
        <w:tc>
          <w:tcPr>
            <w:tcW w:w="0" w:type="auto"/>
            <w:shd w:val="clear" w:color="auto" w:fill="auto"/>
            <w:vAlign w:val="bottom"/>
          </w:tcPr>
          <w:p w14:paraId="0B2FB6B2" w14:textId="77777777" w:rsidR="007F1775" w:rsidRDefault="007F1775">
            <w:pPr>
              <w:rPr>
                <w:rFonts w:ascii="宋体"/>
              </w:rPr>
            </w:pPr>
          </w:p>
        </w:tc>
        <w:tc>
          <w:tcPr>
            <w:tcW w:w="0" w:type="auto"/>
            <w:shd w:val="clear" w:color="auto" w:fill="auto"/>
            <w:vAlign w:val="bottom"/>
          </w:tcPr>
          <w:p w14:paraId="0B2FB6B3" w14:textId="77777777" w:rsidR="007F1775" w:rsidRDefault="007F1775">
            <w:pPr>
              <w:rPr>
                <w:rFonts w:ascii="宋体"/>
              </w:rPr>
            </w:pPr>
          </w:p>
        </w:tc>
        <w:tc>
          <w:tcPr>
            <w:tcW w:w="0" w:type="auto"/>
            <w:shd w:val="clear" w:color="auto" w:fill="auto"/>
            <w:vAlign w:val="bottom"/>
          </w:tcPr>
          <w:p w14:paraId="0B2FB6B4" w14:textId="77777777" w:rsidR="007F1775" w:rsidRDefault="007F1775">
            <w:pPr>
              <w:rPr>
                <w:rFonts w:ascii="宋体"/>
              </w:rPr>
            </w:pPr>
          </w:p>
        </w:tc>
        <w:tc>
          <w:tcPr>
            <w:tcW w:w="0" w:type="auto"/>
            <w:shd w:val="clear" w:color="auto" w:fill="auto"/>
            <w:vAlign w:val="bottom"/>
          </w:tcPr>
          <w:p w14:paraId="0B2FB6B5" w14:textId="77777777" w:rsidR="007F1775" w:rsidRDefault="007F1775">
            <w:pPr>
              <w:rPr>
                <w:rFonts w:ascii="宋体"/>
              </w:rPr>
            </w:pPr>
          </w:p>
        </w:tc>
        <w:tc>
          <w:tcPr>
            <w:tcW w:w="0" w:type="auto"/>
            <w:shd w:val="clear" w:color="auto" w:fill="auto"/>
            <w:vAlign w:val="bottom"/>
          </w:tcPr>
          <w:p w14:paraId="0B2FB6B6" w14:textId="77777777" w:rsidR="007F1775" w:rsidRDefault="007F1775">
            <w:pPr>
              <w:rPr>
                <w:rFonts w:ascii="宋体"/>
              </w:rPr>
            </w:pPr>
          </w:p>
        </w:tc>
      </w:tr>
      <w:tr w:rsidR="007F1775" w14:paraId="0B2FB6C4" w14:textId="77777777">
        <w:tc>
          <w:tcPr>
            <w:tcW w:w="0" w:type="auto"/>
            <w:gridSpan w:val="3"/>
            <w:shd w:val="clear" w:color="auto" w:fill="auto"/>
            <w:tcMar>
              <w:top w:w="40" w:type="dxa"/>
              <w:left w:w="20" w:type="dxa"/>
              <w:bottom w:w="40" w:type="dxa"/>
              <w:right w:w="20" w:type="dxa"/>
            </w:tcMar>
            <w:vAlign w:val="bottom"/>
          </w:tcPr>
          <w:p w14:paraId="0B2FB6B8"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6B9"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6BA"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6BB"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B2FB6BC"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6BD" w14:textId="77777777" w:rsidR="007F1775" w:rsidRDefault="000F083E">
            <w:pPr>
              <w:jc w:val="center"/>
              <w:textAlignment w:val="bottom"/>
            </w:pPr>
            <w:r>
              <w:rPr>
                <w:rFonts w:ascii="Times New Roman" w:eastAsia="宋体" w:hAnsi="Times New Roman"/>
                <w:b/>
                <w:bCs/>
                <w:color w:val="000000"/>
                <w:sz w:val="16"/>
                <w:szCs w:val="16"/>
              </w:rPr>
              <w:t>% change</w:t>
            </w:r>
          </w:p>
        </w:tc>
        <w:tc>
          <w:tcPr>
            <w:tcW w:w="0" w:type="auto"/>
            <w:shd w:val="clear" w:color="auto" w:fill="auto"/>
            <w:vAlign w:val="bottom"/>
          </w:tcPr>
          <w:p w14:paraId="0B2FB6BE" w14:textId="77777777" w:rsidR="007F1775" w:rsidRDefault="007F1775">
            <w:pPr>
              <w:rPr>
                <w:rFonts w:ascii="宋体"/>
                <w:vanish/>
              </w:rPr>
            </w:pPr>
          </w:p>
        </w:tc>
        <w:tc>
          <w:tcPr>
            <w:tcW w:w="0" w:type="auto"/>
            <w:shd w:val="clear" w:color="auto" w:fill="auto"/>
            <w:vAlign w:val="bottom"/>
          </w:tcPr>
          <w:p w14:paraId="0B2FB6BF" w14:textId="77777777" w:rsidR="007F1775" w:rsidRDefault="007F1775">
            <w:pPr>
              <w:rPr>
                <w:rFonts w:ascii="宋体"/>
                <w:vanish/>
              </w:rPr>
            </w:pPr>
          </w:p>
        </w:tc>
        <w:tc>
          <w:tcPr>
            <w:tcW w:w="0" w:type="auto"/>
            <w:shd w:val="clear" w:color="auto" w:fill="auto"/>
            <w:vAlign w:val="bottom"/>
          </w:tcPr>
          <w:p w14:paraId="0B2FB6C0" w14:textId="77777777" w:rsidR="007F1775" w:rsidRDefault="007F1775">
            <w:pPr>
              <w:rPr>
                <w:rFonts w:ascii="宋体"/>
                <w:vanish/>
              </w:rPr>
            </w:pPr>
          </w:p>
        </w:tc>
        <w:tc>
          <w:tcPr>
            <w:tcW w:w="0" w:type="auto"/>
            <w:shd w:val="clear" w:color="auto" w:fill="auto"/>
            <w:vAlign w:val="bottom"/>
          </w:tcPr>
          <w:p w14:paraId="0B2FB6C1" w14:textId="77777777" w:rsidR="007F1775" w:rsidRDefault="007F1775">
            <w:pPr>
              <w:rPr>
                <w:rFonts w:ascii="宋体"/>
                <w:vanish/>
              </w:rPr>
            </w:pPr>
          </w:p>
        </w:tc>
        <w:tc>
          <w:tcPr>
            <w:tcW w:w="0" w:type="auto"/>
            <w:gridSpan w:val="3"/>
            <w:shd w:val="clear" w:color="auto" w:fill="auto"/>
            <w:vAlign w:val="bottom"/>
          </w:tcPr>
          <w:p w14:paraId="0B2FB6C2" w14:textId="77777777" w:rsidR="007F1775" w:rsidRDefault="007F1775">
            <w:pPr>
              <w:rPr>
                <w:rFonts w:ascii="宋体"/>
                <w:vanish/>
              </w:rPr>
            </w:pPr>
          </w:p>
        </w:tc>
        <w:tc>
          <w:tcPr>
            <w:tcW w:w="0" w:type="auto"/>
            <w:gridSpan w:val="3"/>
            <w:shd w:val="clear" w:color="auto" w:fill="auto"/>
            <w:vAlign w:val="bottom"/>
          </w:tcPr>
          <w:p w14:paraId="0B2FB6C3" w14:textId="77777777" w:rsidR="007F1775" w:rsidRDefault="007F1775">
            <w:pPr>
              <w:rPr>
                <w:rFonts w:ascii="宋体"/>
                <w:vanish/>
              </w:rPr>
            </w:pPr>
          </w:p>
        </w:tc>
      </w:tr>
      <w:tr w:rsidR="007F1775" w14:paraId="0B2FB6D1" w14:textId="77777777">
        <w:trPr>
          <w:trHeight w:val="60"/>
        </w:trPr>
        <w:tc>
          <w:tcPr>
            <w:tcW w:w="0" w:type="auto"/>
            <w:gridSpan w:val="3"/>
            <w:shd w:val="clear" w:color="auto" w:fill="auto"/>
            <w:tcMar>
              <w:top w:w="0" w:type="dxa"/>
              <w:left w:w="20" w:type="dxa"/>
              <w:bottom w:w="0" w:type="dxa"/>
              <w:right w:w="20" w:type="dxa"/>
            </w:tcMar>
            <w:vAlign w:val="bottom"/>
          </w:tcPr>
          <w:p w14:paraId="0B2FB6C5"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6C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6C7"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6C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6C9"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6CA" w14:textId="77777777" w:rsidR="007F1775" w:rsidRDefault="007F1775">
            <w:pPr>
              <w:rPr>
                <w:rFonts w:ascii="宋体"/>
              </w:rPr>
            </w:pPr>
          </w:p>
        </w:tc>
        <w:tc>
          <w:tcPr>
            <w:tcW w:w="0" w:type="auto"/>
            <w:shd w:val="clear" w:color="auto" w:fill="auto"/>
            <w:vAlign w:val="bottom"/>
          </w:tcPr>
          <w:p w14:paraId="0B2FB6CB" w14:textId="77777777" w:rsidR="007F1775" w:rsidRDefault="007F1775">
            <w:pPr>
              <w:rPr>
                <w:rFonts w:ascii="宋体"/>
                <w:vanish/>
              </w:rPr>
            </w:pPr>
          </w:p>
        </w:tc>
        <w:tc>
          <w:tcPr>
            <w:tcW w:w="0" w:type="auto"/>
            <w:shd w:val="clear" w:color="auto" w:fill="auto"/>
            <w:vAlign w:val="bottom"/>
          </w:tcPr>
          <w:p w14:paraId="0B2FB6CC" w14:textId="77777777" w:rsidR="007F1775" w:rsidRDefault="007F1775">
            <w:pPr>
              <w:rPr>
                <w:rFonts w:ascii="宋体"/>
                <w:vanish/>
              </w:rPr>
            </w:pPr>
          </w:p>
        </w:tc>
        <w:tc>
          <w:tcPr>
            <w:tcW w:w="0" w:type="auto"/>
            <w:shd w:val="clear" w:color="auto" w:fill="auto"/>
            <w:vAlign w:val="bottom"/>
          </w:tcPr>
          <w:p w14:paraId="0B2FB6CD" w14:textId="77777777" w:rsidR="007F1775" w:rsidRDefault="007F1775">
            <w:pPr>
              <w:rPr>
                <w:rFonts w:ascii="宋体"/>
                <w:vanish/>
              </w:rPr>
            </w:pPr>
          </w:p>
        </w:tc>
        <w:tc>
          <w:tcPr>
            <w:tcW w:w="0" w:type="auto"/>
            <w:shd w:val="clear" w:color="auto" w:fill="auto"/>
            <w:vAlign w:val="bottom"/>
          </w:tcPr>
          <w:p w14:paraId="0B2FB6CE" w14:textId="77777777" w:rsidR="007F1775" w:rsidRDefault="007F1775">
            <w:pPr>
              <w:rPr>
                <w:rFonts w:ascii="宋体"/>
                <w:vanish/>
              </w:rPr>
            </w:pPr>
          </w:p>
        </w:tc>
        <w:tc>
          <w:tcPr>
            <w:tcW w:w="0" w:type="auto"/>
            <w:gridSpan w:val="3"/>
            <w:shd w:val="clear" w:color="auto" w:fill="auto"/>
            <w:vAlign w:val="bottom"/>
          </w:tcPr>
          <w:p w14:paraId="0B2FB6CF" w14:textId="77777777" w:rsidR="007F1775" w:rsidRDefault="007F1775">
            <w:pPr>
              <w:rPr>
                <w:rFonts w:ascii="宋体"/>
                <w:vanish/>
              </w:rPr>
            </w:pPr>
          </w:p>
        </w:tc>
        <w:tc>
          <w:tcPr>
            <w:tcW w:w="0" w:type="auto"/>
            <w:gridSpan w:val="3"/>
            <w:shd w:val="clear" w:color="auto" w:fill="auto"/>
            <w:vAlign w:val="bottom"/>
          </w:tcPr>
          <w:p w14:paraId="0B2FB6D0" w14:textId="77777777" w:rsidR="007F1775" w:rsidRDefault="007F1775">
            <w:pPr>
              <w:rPr>
                <w:rFonts w:ascii="宋体"/>
                <w:vanish/>
              </w:rPr>
            </w:pPr>
          </w:p>
        </w:tc>
      </w:tr>
      <w:tr w:rsidR="007F1775" w14:paraId="0B2FB6DC" w14:textId="77777777">
        <w:tc>
          <w:tcPr>
            <w:tcW w:w="0" w:type="auto"/>
            <w:gridSpan w:val="3"/>
            <w:shd w:val="clear" w:color="auto" w:fill="auto"/>
            <w:tcMar>
              <w:top w:w="40" w:type="dxa"/>
              <w:left w:w="20" w:type="dxa"/>
              <w:bottom w:w="40" w:type="dxa"/>
              <w:right w:w="20" w:type="dxa"/>
            </w:tcMar>
            <w:vAlign w:val="bottom"/>
          </w:tcPr>
          <w:p w14:paraId="0B2FB6D2"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6D3" w14:textId="77777777" w:rsidR="007F1775" w:rsidRDefault="000F083E">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B2FB6D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6D5" w14:textId="77777777" w:rsidR="007F1775" w:rsidRDefault="007F1775">
            <w:pPr>
              <w:rPr>
                <w:rFonts w:ascii="宋体"/>
              </w:rPr>
            </w:pPr>
          </w:p>
        </w:tc>
        <w:tc>
          <w:tcPr>
            <w:tcW w:w="0" w:type="auto"/>
            <w:shd w:val="clear" w:color="auto" w:fill="auto"/>
            <w:vAlign w:val="bottom"/>
          </w:tcPr>
          <w:p w14:paraId="0B2FB6D6" w14:textId="77777777" w:rsidR="007F1775" w:rsidRDefault="007F1775">
            <w:pPr>
              <w:rPr>
                <w:rFonts w:ascii="宋体"/>
                <w:vanish/>
              </w:rPr>
            </w:pPr>
          </w:p>
        </w:tc>
        <w:tc>
          <w:tcPr>
            <w:tcW w:w="0" w:type="auto"/>
            <w:shd w:val="clear" w:color="auto" w:fill="auto"/>
            <w:vAlign w:val="bottom"/>
          </w:tcPr>
          <w:p w14:paraId="0B2FB6D7" w14:textId="77777777" w:rsidR="007F1775" w:rsidRDefault="007F1775">
            <w:pPr>
              <w:rPr>
                <w:rFonts w:ascii="宋体"/>
                <w:vanish/>
              </w:rPr>
            </w:pPr>
          </w:p>
        </w:tc>
        <w:tc>
          <w:tcPr>
            <w:tcW w:w="0" w:type="auto"/>
            <w:shd w:val="clear" w:color="auto" w:fill="auto"/>
            <w:vAlign w:val="bottom"/>
          </w:tcPr>
          <w:p w14:paraId="0B2FB6D8" w14:textId="77777777" w:rsidR="007F1775" w:rsidRDefault="007F1775">
            <w:pPr>
              <w:rPr>
                <w:rFonts w:ascii="宋体"/>
                <w:vanish/>
              </w:rPr>
            </w:pPr>
          </w:p>
        </w:tc>
        <w:tc>
          <w:tcPr>
            <w:tcW w:w="0" w:type="auto"/>
            <w:shd w:val="clear" w:color="auto" w:fill="auto"/>
            <w:vAlign w:val="bottom"/>
          </w:tcPr>
          <w:p w14:paraId="0B2FB6D9" w14:textId="77777777" w:rsidR="007F1775" w:rsidRDefault="007F1775">
            <w:pPr>
              <w:rPr>
                <w:rFonts w:ascii="宋体"/>
                <w:vanish/>
              </w:rPr>
            </w:pPr>
          </w:p>
        </w:tc>
        <w:tc>
          <w:tcPr>
            <w:tcW w:w="0" w:type="auto"/>
            <w:gridSpan w:val="3"/>
            <w:shd w:val="clear" w:color="auto" w:fill="auto"/>
            <w:vAlign w:val="bottom"/>
          </w:tcPr>
          <w:p w14:paraId="0B2FB6DA" w14:textId="77777777" w:rsidR="007F1775" w:rsidRDefault="007F1775">
            <w:pPr>
              <w:rPr>
                <w:rFonts w:ascii="宋体"/>
                <w:vanish/>
              </w:rPr>
            </w:pPr>
          </w:p>
        </w:tc>
        <w:tc>
          <w:tcPr>
            <w:tcW w:w="0" w:type="auto"/>
            <w:gridSpan w:val="3"/>
            <w:shd w:val="clear" w:color="auto" w:fill="auto"/>
            <w:vAlign w:val="bottom"/>
          </w:tcPr>
          <w:p w14:paraId="0B2FB6DB" w14:textId="77777777" w:rsidR="007F1775" w:rsidRDefault="007F1775">
            <w:pPr>
              <w:rPr>
                <w:rFonts w:ascii="宋体"/>
                <w:vanish/>
              </w:rPr>
            </w:pPr>
          </w:p>
        </w:tc>
      </w:tr>
      <w:tr w:rsidR="007F1775" w14:paraId="0B2FB6EE" w14:textId="77777777">
        <w:tc>
          <w:tcPr>
            <w:tcW w:w="0" w:type="auto"/>
            <w:gridSpan w:val="3"/>
            <w:shd w:val="clear" w:color="auto" w:fill="CCEEFF"/>
            <w:tcMar>
              <w:top w:w="40" w:type="dxa"/>
              <w:left w:w="20" w:type="dxa"/>
              <w:bottom w:w="40" w:type="dxa"/>
              <w:right w:w="20" w:type="dxa"/>
            </w:tcMar>
          </w:tcPr>
          <w:p w14:paraId="0B2FB6DD" w14:textId="77777777" w:rsidR="007F1775" w:rsidRDefault="000F083E">
            <w:pPr>
              <w:textAlignment w:val="top"/>
            </w:pPr>
            <w:r>
              <w:rPr>
                <w:rFonts w:ascii="Times New Roman" w:eastAsia="宋体" w:hAnsi="Times New Roman"/>
                <w:color w:val="000000"/>
                <w:sz w:val="20"/>
                <w:szCs w:val="20"/>
              </w:rPr>
              <w:t>Research and development</w:t>
            </w:r>
          </w:p>
        </w:tc>
        <w:tc>
          <w:tcPr>
            <w:tcW w:w="0" w:type="auto"/>
            <w:shd w:val="clear" w:color="auto" w:fill="CCEEFF"/>
            <w:tcMar>
              <w:top w:w="40" w:type="dxa"/>
              <w:left w:w="20" w:type="dxa"/>
              <w:bottom w:w="40" w:type="dxa"/>
              <w:right w:w="0" w:type="dxa"/>
            </w:tcMar>
            <w:vAlign w:val="bottom"/>
          </w:tcPr>
          <w:p w14:paraId="0B2FB6DE"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6DF" w14:textId="77777777" w:rsidR="007F1775" w:rsidRDefault="000F083E">
            <w:pPr>
              <w:jc w:val="right"/>
              <w:textAlignment w:val="bottom"/>
            </w:pPr>
            <w:r>
              <w:rPr>
                <w:rFonts w:ascii="Times New Roman" w:eastAsia="宋体" w:hAnsi="Times New Roman"/>
                <w:color w:val="000000"/>
                <w:sz w:val="20"/>
                <w:szCs w:val="20"/>
              </w:rPr>
              <w:t>7,707 </w:t>
            </w:r>
          </w:p>
        </w:tc>
        <w:tc>
          <w:tcPr>
            <w:tcW w:w="0" w:type="auto"/>
            <w:shd w:val="clear" w:color="auto" w:fill="CCEEFF"/>
            <w:tcMar>
              <w:top w:w="40" w:type="dxa"/>
              <w:left w:w="0" w:type="dxa"/>
              <w:bottom w:w="40" w:type="dxa"/>
              <w:right w:w="20" w:type="dxa"/>
            </w:tcMar>
            <w:vAlign w:val="bottom"/>
          </w:tcPr>
          <w:p w14:paraId="0B2FB6E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6E1"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6E2"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6E3" w14:textId="77777777" w:rsidR="007F1775" w:rsidRDefault="000F083E">
            <w:pPr>
              <w:jc w:val="right"/>
              <w:textAlignment w:val="bottom"/>
            </w:pPr>
            <w:r>
              <w:rPr>
                <w:rFonts w:ascii="Times New Roman" w:eastAsia="宋体" w:hAnsi="Times New Roman"/>
                <w:color w:val="000000"/>
                <w:sz w:val="20"/>
                <w:szCs w:val="20"/>
              </w:rPr>
              <w:t>5,197 </w:t>
            </w:r>
          </w:p>
        </w:tc>
        <w:tc>
          <w:tcPr>
            <w:tcW w:w="0" w:type="auto"/>
            <w:shd w:val="clear" w:color="auto" w:fill="CCEEFF"/>
            <w:tcMar>
              <w:top w:w="40" w:type="dxa"/>
              <w:left w:w="0" w:type="dxa"/>
              <w:bottom w:w="40" w:type="dxa"/>
              <w:right w:w="20" w:type="dxa"/>
            </w:tcMar>
            <w:vAlign w:val="bottom"/>
          </w:tcPr>
          <w:p w14:paraId="0B2FB6E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6E5"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6E6" w14:textId="77777777" w:rsidR="007F1775" w:rsidRDefault="000F083E">
            <w:pPr>
              <w:jc w:val="right"/>
              <w:textAlignment w:val="bottom"/>
            </w:pPr>
            <w:r>
              <w:rPr>
                <w:rFonts w:ascii="Times New Roman" w:eastAsia="宋体" w:hAnsi="Times New Roman"/>
                <w:color w:val="000000"/>
                <w:sz w:val="20"/>
                <w:szCs w:val="20"/>
              </w:rPr>
              <w:t>48 </w:t>
            </w:r>
          </w:p>
        </w:tc>
        <w:tc>
          <w:tcPr>
            <w:tcW w:w="0" w:type="auto"/>
            <w:shd w:val="clear" w:color="auto" w:fill="CCEEFF"/>
            <w:tcMar>
              <w:top w:w="40" w:type="dxa"/>
              <w:left w:w="0" w:type="dxa"/>
              <w:bottom w:w="40" w:type="dxa"/>
              <w:right w:w="20" w:type="dxa"/>
            </w:tcMar>
            <w:vAlign w:val="bottom"/>
          </w:tcPr>
          <w:p w14:paraId="0B2FB6E7"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6E8" w14:textId="77777777" w:rsidR="007F1775" w:rsidRDefault="007F1775">
            <w:pPr>
              <w:rPr>
                <w:rFonts w:ascii="宋体"/>
                <w:vanish/>
              </w:rPr>
            </w:pPr>
          </w:p>
        </w:tc>
        <w:tc>
          <w:tcPr>
            <w:tcW w:w="0" w:type="auto"/>
            <w:shd w:val="clear" w:color="auto" w:fill="auto"/>
            <w:vAlign w:val="bottom"/>
          </w:tcPr>
          <w:p w14:paraId="0B2FB6E9" w14:textId="77777777" w:rsidR="007F1775" w:rsidRDefault="007F1775">
            <w:pPr>
              <w:rPr>
                <w:rFonts w:ascii="宋体"/>
                <w:vanish/>
              </w:rPr>
            </w:pPr>
          </w:p>
        </w:tc>
        <w:tc>
          <w:tcPr>
            <w:tcW w:w="0" w:type="auto"/>
            <w:shd w:val="clear" w:color="auto" w:fill="auto"/>
            <w:vAlign w:val="bottom"/>
          </w:tcPr>
          <w:p w14:paraId="0B2FB6EA" w14:textId="77777777" w:rsidR="007F1775" w:rsidRDefault="007F1775">
            <w:pPr>
              <w:rPr>
                <w:rFonts w:ascii="宋体"/>
                <w:vanish/>
              </w:rPr>
            </w:pPr>
          </w:p>
        </w:tc>
        <w:tc>
          <w:tcPr>
            <w:tcW w:w="0" w:type="auto"/>
            <w:shd w:val="clear" w:color="auto" w:fill="auto"/>
            <w:vAlign w:val="bottom"/>
          </w:tcPr>
          <w:p w14:paraId="0B2FB6EB" w14:textId="77777777" w:rsidR="007F1775" w:rsidRDefault="007F1775">
            <w:pPr>
              <w:rPr>
                <w:rFonts w:ascii="宋体"/>
                <w:vanish/>
              </w:rPr>
            </w:pPr>
          </w:p>
        </w:tc>
        <w:tc>
          <w:tcPr>
            <w:tcW w:w="0" w:type="auto"/>
            <w:gridSpan w:val="3"/>
            <w:shd w:val="clear" w:color="auto" w:fill="auto"/>
            <w:vAlign w:val="bottom"/>
          </w:tcPr>
          <w:p w14:paraId="0B2FB6EC" w14:textId="77777777" w:rsidR="007F1775" w:rsidRDefault="007F1775">
            <w:pPr>
              <w:rPr>
                <w:rFonts w:ascii="宋体"/>
                <w:vanish/>
              </w:rPr>
            </w:pPr>
          </w:p>
        </w:tc>
        <w:tc>
          <w:tcPr>
            <w:tcW w:w="0" w:type="auto"/>
            <w:gridSpan w:val="3"/>
            <w:shd w:val="clear" w:color="auto" w:fill="auto"/>
            <w:vAlign w:val="bottom"/>
          </w:tcPr>
          <w:p w14:paraId="0B2FB6ED" w14:textId="77777777" w:rsidR="007F1775" w:rsidRDefault="007F1775">
            <w:pPr>
              <w:rPr>
                <w:rFonts w:ascii="宋体"/>
                <w:vanish/>
              </w:rPr>
            </w:pPr>
          </w:p>
        </w:tc>
      </w:tr>
      <w:tr w:rsidR="007F1775" w14:paraId="0B2FB6FD" w14:textId="77777777">
        <w:tc>
          <w:tcPr>
            <w:tcW w:w="0" w:type="auto"/>
            <w:gridSpan w:val="3"/>
            <w:shd w:val="clear" w:color="auto" w:fill="FFFFFF"/>
            <w:tcMar>
              <w:top w:w="40" w:type="dxa"/>
              <w:left w:w="20" w:type="dxa"/>
              <w:bottom w:w="40" w:type="dxa"/>
              <w:right w:w="20" w:type="dxa"/>
            </w:tcMar>
          </w:tcPr>
          <w:p w14:paraId="0B2FB6EF" w14:textId="77777777" w:rsidR="007F1775" w:rsidRDefault="000F083E">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0B2FB6F0" w14:textId="77777777" w:rsidR="007F1775" w:rsidRDefault="000F083E">
            <w:pPr>
              <w:jc w:val="right"/>
              <w:textAlignment w:val="bottom"/>
            </w:pPr>
            <w:r>
              <w:rPr>
                <w:rFonts w:ascii="Times New Roman" w:eastAsia="宋体" w:hAnsi="Times New Roman"/>
                <w:color w:val="000000"/>
                <w:sz w:val="20"/>
                <w:szCs w:val="20"/>
              </w:rPr>
              <w:t>28 </w:t>
            </w:r>
          </w:p>
        </w:tc>
        <w:tc>
          <w:tcPr>
            <w:tcW w:w="0" w:type="auto"/>
            <w:shd w:val="clear" w:color="auto" w:fill="auto"/>
            <w:tcMar>
              <w:top w:w="40" w:type="dxa"/>
              <w:left w:w="0" w:type="dxa"/>
              <w:bottom w:w="40" w:type="dxa"/>
              <w:right w:w="20" w:type="dxa"/>
            </w:tcMar>
            <w:vAlign w:val="bottom"/>
          </w:tcPr>
          <w:p w14:paraId="0B2FB6F1"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B2FB6F2" w14:textId="77777777" w:rsidR="007F1775" w:rsidRDefault="007F1775">
            <w:pPr>
              <w:rPr>
                <w:rFonts w:ascii="宋体"/>
              </w:rPr>
            </w:pPr>
          </w:p>
        </w:tc>
        <w:tc>
          <w:tcPr>
            <w:tcW w:w="0" w:type="auto"/>
            <w:gridSpan w:val="2"/>
            <w:shd w:val="clear" w:color="auto" w:fill="auto"/>
            <w:tcMar>
              <w:top w:w="40" w:type="dxa"/>
              <w:left w:w="20" w:type="dxa"/>
              <w:bottom w:w="40" w:type="dxa"/>
              <w:right w:w="0" w:type="dxa"/>
            </w:tcMar>
            <w:vAlign w:val="bottom"/>
          </w:tcPr>
          <w:p w14:paraId="0B2FB6F3" w14:textId="77777777" w:rsidR="007F1775" w:rsidRDefault="000F083E">
            <w:pPr>
              <w:jc w:val="right"/>
              <w:textAlignment w:val="bottom"/>
            </w:pPr>
            <w:r>
              <w:rPr>
                <w:rFonts w:ascii="Times New Roman" w:eastAsia="宋体" w:hAnsi="Times New Roman"/>
                <w:color w:val="000000"/>
                <w:sz w:val="20"/>
                <w:szCs w:val="20"/>
              </w:rPr>
              <w:t>20 </w:t>
            </w:r>
          </w:p>
        </w:tc>
        <w:tc>
          <w:tcPr>
            <w:tcW w:w="0" w:type="auto"/>
            <w:shd w:val="clear" w:color="auto" w:fill="auto"/>
            <w:tcMar>
              <w:top w:w="40" w:type="dxa"/>
              <w:left w:w="0" w:type="dxa"/>
              <w:bottom w:w="40" w:type="dxa"/>
              <w:right w:w="20" w:type="dxa"/>
            </w:tcMar>
            <w:vAlign w:val="bottom"/>
          </w:tcPr>
          <w:p w14:paraId="0B2FB6F4"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B2FB6F5"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6F6" w14:textId="77777777" w:rsidR="007F1775" w:rsidRDefault="007F1775">
            <w:pPr>
              <w:rPr>
                <w:rFonts w:ascii="宋体"/>
              </w:rPr>
            </w:pPr>
          </w:p>
        </w:tc>
        <w:tc>
          <w:tcPr>
            <w:tcW w:w="0" w:type="auto"/>
            <w:shd w:val="clear" w:color="auto" w:fill="auto"/>
            <w:vAlign w:val="bottom"/>
          </w:tcPr>
          <w:p w14:paraId="0B2FB6F7" w14:textId="77777777" w:rsidR="007F1775" w:rsidRDefault="007F1775">
            <w:pPr>
              <w:rPr>
                <w:rFonts w:ascii="宋体"/>
                <w:vanish/>
              </w:rPr>
            </w:pPr>
          </w:p>
        </w:tc>
        <w:tc>
          <w:tcPr>
            <w:tcW w:w="0" w:type="auto"/>
            <w:shd w:val="clear" w:color="auto" w:fill="auto"/>
            <w:vAlign w:val="bottom"/>
          </w:tcPr>
          <w:p w14:paraId="0B2FB6F8" w14:textId="77777777" w:rsidR="007F1775" w:rsidRDefault="007F1775">
            <w:pPr>
              <w:rPr>
                <w:rFonts w:ascii="宋体"/>
                <w:vanish/>
              </w:rPr>
            </w:pPr>
          </w:p>
        </w:tc>
        <w:tc>
          <w:tcPr>
            <w:tcW w:w="0" w:type="auto"/>
            <w:shd w:val="clear" w:color="auto" w:fill="auto"/>
            <w:vAlign w:val="bottom"/>
          </w:tcPr>
          <w:p w14:paraId="0B2FB6F9" w14:textId="77777777" w:rsidR="007F1775" w:rsidRDefault="007F1775">
            <w:pPr>
              <w:rPr>
                <w:rFonts w:ascii="宋体"/>
                <w:vanish/>
              </w:rPr>
            </w:pPr>
          </w:p>
        </w:tc>
        <w:tc>
          <w:tcPr>
            <w:tcW w:w="0" w:type="auto"/>
            <w:shd w:val="clear" w:color="auto" w:fill="auto"/>
            <w:vAlign w:val="bottom"/>
          </w:tcPr>
          <w:p w14:paraId="0B2FB6FA" w14:textId="77777777" w:rsidR="007F1775" w:rsidRDefault="007F1775">
            <w:pPr>
              <w:rPr>
                <w:rFonts w:ascii="宋体"/>
                <w:vanish/>
              </w:rPr>
            </w:pPr>
          </w:p>
        </w:tc>
        <w:tc>
          <w:tcPr>
            <w:tcW w:w="0" w:type="auto"/>
            <w:gridSpan w:val="3"/>
            <w:shd w:val="clear" w:color="auto" w:fill="auto"/>
            <w:vAlign w:val="bottom"/>
          </w:tcPr>
          <w:p w14:paraId="0B2FB6FB" w14:textId="77777777" w:rsidR="007F1775" w:rsidRDefault="007F1775">
            <w:pPr>
              <w:rPr>
                <w:rFonts w:ascii="宋体"/>
                <w:vanish/>
              </w:rPr>
            </w:pPr>
          </w:p>
        </w:tc>
        <w:tc>
          <w:tcPr>
            <w:tcW w:w="0" w:type="auto"/>
            <w:gridSpan w:val="3"/>
            <w:shd w:val="clear" w:color="auto" w:fill="auto"/>
            <w:vAlign w:val="bottom"/>
          </w:tcPr>
          <w:p w14:paraId="0B2FB6FC" w14:textId="77777777" w:rsidR="007F1775" w:rsidRDefault="007F1775">
            <w:pPr>
              <w:rPr>
                <w:rFonts w:ascii="宋体"/>
                <w:vanish/>
              </w:rPr>
            </w:pPr>
          </w:p>
        </w:tc>
      </w:tr>
    </w:tbl>
    <w:p w14:paraId="0B2FB6FE" w14:textId="77777777" w:rsidR="007F1775" w:rsidRDefault="007F1775"/>
    <w:p w14:paraId="0B2FB6FF" w14:textId="77777777" w:rsidR="007F1775" w:rsidRDefault="000F083E">
      <w:pPr>
        <w:ind w:firstLine="540"/>
        <w:jc w:val="both"/>
      </w:pPr>
      <w:r>
        <w:rPr>
          <w:rFonts w:ascii="Times New Roman" w:eastAsia="宋体" w:hAnsi="Times New Roman"/>
          <w:color w:val="000000"/>
          <w:sz w:val="20"/>
          <w:szCs w:val="20"/>
        </w:rPr>
        <w:t xml:space="preserve">Research and development expenses in the three months ended March 31, 2022 increased $2.51 billion, or 48%, compared to the same period in </w:t>
      </w:r>
      <w:r>
        <w:rPr>
          <w:rFonts w:ascii="Times New Roman" w:eastAsia="宋体" w:hAnsi="Times New Roman"/>
          <w:color w:val="000000"/>
          <w:sz w:val="20"/>
          <w:szCs w:val="20"/>
          <w:shd w:val="clear" w:color="auto" w:fill="FFFFFF"/>
        </w:rPr>
        <w:t>2021</w:t>
      </w:r>
      <w:r>
        <w:rPr>
          <w:rFonts w:ascii="Times New Roman" w:eastAsia="宋体" w:hAnsi="Times New Roman"/>
          <w:color w:val="000000"/>
          <w:sz w:val="20"/>
          <w:szCs w:val="20"/>
        </w:rPr>
        <w:t xml:space="preserve">. The increase was mainly due to higher payroll and related expenses as a result of a 35% growth in </w:t>
      </w:r>
      <w:r>
        <w:rPr>
          <w:rFonts w:ascii="Times New Roman" w:eastAsia="宋体" w:hAnsi="Times New Roman"/>
          <w:color w:val="000000"/>
          <w:sz w:val="20"/>
          <w:szCs w:val="20"/>
        </w:rPr>
        <w:t>employee headcount from March 31, 2021 to March 31, 2022 in engineering and other technical functions supporting our continued investment in our family of products and Reality Labs.</w:t>
      </w:r>
    </w:p>
    <w:p w14:paraId="0B2FB700" w14:textId="77777777" w:rsidR="007F1775" w:rsidRDefault="007F1775"/>
    <w:p w14:paraId="0B2FB701" w14:textId="77777777" w:rsidR="007F1775" w:rsidRDefault="000F083E">
      <w:r>
        <w:rPr>
          <w:rFonts w:ascii="Times New Roman" w:eastAsia="宋体" w:hAnsi="Times New Roman"/>
          <w:b/>
          <w:bCs/>
          <w:i/>
          <w:iCs/>
          <w:color w:val="000000"/>
          <w:sz w:val="20"/>
          <w:szCs w:val="20"/>
        </w:rPr>
        <w:t>Marketing and sales</w:t>
      </w:r>
    </w:p>
    <w:tbl>
      <w:tblPr>
        <w:tblW w:w="4993" w:type="pct"/>
        <w:tblCellMar>
          <w:top w:w="15" w:type="dxa"/>
          <w:left w:w="15" w:type="dxa"/>
          <w:bottom w:w="15" w:type="dxa"/>
          <w:right w:w="15" w:type="dxa"/>
        </w:tblCellMar>
        <w:tblLook w:val="04A0" w:firstRow="1" w:lastRow="0" w:firstColumn="1" w:lastColumn="0" w:noHBand="0" w:noVBand="1"/>
      </w:tblPr>
      <w:tblGrid>
        <w:gridCol w:w="37"/>
        <w:gridCol w:w="4040"/>
        <w:gridCol w:w="36"/>
        <w:gridCol w:w="120"/>
        <w:gridCol w:w="1087"/>
        <w:gridCol w:w="187"/>
        <w:gridCol w:w="36"/>
        <w:gridCol w:w="36"/>
        <w:gridCol w:w="36"/>
        <w:gridCol w:w="120"/>
        <w:gridCol w:w="999"/>
        <w:gridCol w:w="187"/>
        <w:gridCol w:w="36"/>
        <w:gridCol w:w="36"/>
        <w:gridCol w:w="36"/>
        <w:gridCol w:w="41"/>
        <w:gridCol w:w="707"/>
        <w:gridCol w:w="187"/>
        <w:gridCol w:w="36"/>
        <w:gridCol w:w="36"/>
        <w:gridCol w:w="36"/>
        <w:gridCol w:w="36"/>
        <w:gridCol w:w="36"/>
        <w:gridCol w:w="36"/>
        <w:gridCol w:w="36"/>
        <w:gridCol w:w="36"/>
        <w:gridCol w:w="36"/>
        <w:gridCol w:w="36"/>
      </w:tblGrid>
      <w:tr w:rsidR="007F1775" w14:paraId="0B2FB71A" w14:textId="77777777">
        <w:tc>
          <w:tcPr>
            <w:tcW w:w="50" w:type="pct"/>
            <w:shd w:val="clear" w:color="auto" w:fill="auto"/>
            <w:vAlign w:val="bottom"/>
          </w:tcPr>
          <w:p w14:paraId="0B2FB702" w14:textId="77777777" w:rsidR="007F1775" w:rsidRDefault="007F1775">
            <w:pPr>
              <w:rPr>
                <w:rFonts w:ascii="宋体"/>
              </w:rPr>
            </w:pPr>
          </w:p>
        </w:tc>
        <w:tc>
          <w:tcPr>
            <w:tcW w:w="2627" w:type="pct"/>
            <w:shd w:val="clear" w:color="auto" w:fill="auto"/>
            <w:vAlign w:val="bottom"/>
          </w:tcPr>
          <w:p w14:paraId="0B2FB703" w14:textId="77777777" w:rsidR="007F1775" w:rsidRDefault="007F1775">
            <w:pPr>
              <w:rPr>
                <w:rFonts w:ascii="宋体"/>
              </w:rPr>
            </w:pPr>
          </w:p>
        </w:tc>
        <w:tc>
          <w:tcPr>
            <w:tcW w:w="5" w:type="pct"/>
            <w:shd w:val="clear" w:color="auto" w:fill="auto"/>
            <w:vAlign w:val="bottom"/>
          </w:tcPr>
          <w:p w14:paraId="0B2FB704" w14:textId="77777777" w:rsidR="007F1775" w:rsidRDefault="007F1775">
            <w:pPr>
              <w:rPr>
                <w:rFonts w:ascii="宋体"/>
              </w:rPr>
            </w:pPr>
          </w:p>
        </w:tc>
        <w:tc>
          <w:tcPr>
            <w:tcW w:w="50" w:type="pct"/>
            <w:shd w:val="clear" w:color="auto" w:fill="auto"/>
            <w:vAlign w:val="bottom"/>
          </w:tcPr>
          <w:p w14:paraId="0B2FB705" w14:textId="77777777" w:rsidR="007F1775" w:rsidRDefault="007F1775">
            <w:pPr>
              <w:rPr>
                <w:rFonts w:ascii="宋体"/>
              </w:rPr>
            </w:pPr>
          </w:p>
        </w:tc>
        <w:tc>
          <w:tcPr>
            <w:tcW w:w="742" w:type="pct"/>
            <w:shd w:val="clear" w:color="auto" w:fill="auto"/>
            <w:vAlign w:val="bottom"/>
          </w:tcPr>
          <w:p w14:paraId="0B2FB706" w14:textId="77777777" w:rsidR="007F1775" w:rsidRDefault="007F1775">
            <w:pPr>
              <w:rPr>
                <w:rFonts w:ascii="宋体"/>
              </w:rPr>
            </w:pPr>
          </w:p>
        </w:tc>
        <w:tc>
          <w:tcPr>
            <w:tcW w:w="5" w:type="pct"/>
            <w:shd w:val="clear" w:color="auto" w:fill="auto"/>
            <w:vAlign w:val="bottom"/>
          </w:tcPr>
          <w:p w14:paraId="0B2FB707" w14:textId="77777777" w:rsidR="007F1775" w:rsidRDefault="007F1775">
            <w:pPr>
              <w:rPr>
                <w:rFonts w:ascii="宋体"/>
              </w:rPr>
            </w:pPr>
          </w:p>
        </w:tc>
        <w:tc>
          <w:tcPr>
            <w:tcW w:w="5" w:type="pct"/>
            <w:shd w:val="clear" w:color="auto" w:fill="auto"/>
            <w:vAlign w:val="bottom"/>
          </w:tcPr>
          <w:p w14:paraId="0B2FB708" w14:textId="77777777" w:rsidR="007F1775" w:rsidRDefault="007F1775">
            <w:pPr>
              <w:rPr>
                <w:rFonts w:ascii="宋体"/>
              </w:rPr>
            </w:pPr>
          </w:p>
        </w:tc>
        <w:tc>
          <w:tcPr>
            <w:tcW w:w="27" w:type="pct"/>
            <w:shd w:val="clear" w:color="auto" w:fill="auto"/>
            <w:vAlign w:val="bottom"/>
          </w:tcPr>
          <w:p w14:paraId="0B2FB709" w14:textId="77777777" w:rsidR="007F1775" w:rsidRDefault="007F1775">
            <w:pPr>
              <w:rPr>
                <w:rFonts w:ascii="宋体"/>
              </w:rPr>
            </w:pPr>
          </w:p>
        </w:tc>
        <w:tc>
          <w:tcPr>
            <w:tcW w:w="5" w:type="pct"/>
            <w:shd w:val="clear" w:color="auto" w:fill="auto"/>
            <w:vAlign w:val="bottom"/>
          </w:tcPr>
          <w:p w14:paraId="0B2FB70A" w14:textId="77777777" w:rsidR="007F1775" w:rsidRDefault="007F1775">
            <w:pPr>
              <w:rPr>
                <w:rFonts w:ascii="宋体"/>
              </w:rPr>
            </w:pPr>
          </w:p>
        </w:tc>
        <w:tc>
          <w:tcPr>
            <w:tcW w:w="50" w:type="pct"/>
            <w:shd w:val="clear" w:color="auto" w:fill="auto"/>
            <w:vAlign w:val="bottom"/>
          </w:tcPr>
          <w:p w14:paraId="0B2FB70B" w14:textId="77777777" w:rsidR="007F1775" w:rsidRDefault="007F1775">
            <w:pPr>
              <w:rPr>
                <w:rFonts w:ascii="宋体"/>
              </w:rPr>
            </w:pPr>
          </w:p>
        </w:tc>
        <w:tc>
          <w:tcPr>
            <w:tcW w:w="742" w:type="pct"/>
            <w:shd w:val="clear" w:color="auto" w:fill="auto"/>
            <w:vAlign w:val="bottom"/>
          </w:tcPr>
          <w:p w14:paraId="0B2FB70C" w14:textId="77777777" w:rsidR="007F1775" w:rsidRDefault="007F1775">
            <w:pPr>
              <w:rPr>
                <w:rFonts w:ascii="宋体"/>
              </w:rPr>
            </w:pPr>
          </w:p>
        </w:tc>
        <w:tc>
          <w:tcPr>
            <w:tcW w:w="5" w:type="pct"/>
            <w:shd w:val="clear" w:color="auto" w:fill="auto"/>
            <w:vAlign w:val="bottom"/>
          </w:tcPr>
          <w:p w14:paraId="0B2FB70D" w14:textId="77777777" w:rsidR="007F1775" w:rsidRDefault="007F1775">
            <w:pPr>
              <w:rPr>
                <w:rFonts w:ascii="宋体"/>
              </w:rPr>
            </w:pPr>
          </w:p>
        </w:tc>
        <w:tc>
          <w:tcPr>
            <w:tcW w:w="5" w:type="pct"/>
            <w:shd w:val="clear" w:color="auto" w:fill="auto"/>
            <w:vAlign w:val="bottom"/>
          </w:tcPr>
          <w:p w14:paraId="0B2FB70E" w14:textId="77777777" w:rsidR="007F1775" w:rsidRDefault="007F1775">
            <w:pPr>
              <w:rPr>
                <w:rFonts w:ascii="宋体"/>
              </w:rPr>
            </w:pPr>
          </w:p>
        </w:tc>
        <w:tc>
          <w:tcPr>
            <w:tcW w:w="27" w:type="pct"/>
            <w:shd w:val="clear" w:color="auto" w:fill="auto"/>
            <w:vAlign w:val="bottom"/>
          </w:tcPr>
          <w:p w14:paraId="0B2FB70F" w14:textId="77777777" w:rsidR="007F1775" w:rsidRDefault="007F1775">
            <w:pPr>
              <w:rPr>
                <w:rFonts w:ascii="宋体"/>
              </w:rPr>
            </w:pPr>
          </w:p>
        </w:tc>
        <w:tc>
          <w:tcPr>
            <w:tcW w:w="5" w:type="pct"/>
            <w:shd w:val="clear" w:color="auto" w:fill="auto"/>
            <w:vAlign w:val="bottom"/>
          </w:tcPr>
          <w:p w14:paraId="0B2FB710" w14:textId="77777777" w:rsidR="007F1775" w:rsidRDefault="007F1775">
            <w:pPr>
              <w:rPr>
                <w:rFonts w:ascii="宋体"/>
              </w:rPr>
            </w:pPr>
          </w:p>
        </w:tc>
        <w:tc>
          <w:tcPr>
            <w:tcW w:w="50" w:type="pct"/>
            <w:shd w:val="clear" w:color="auto" w:fill="auto"/>
            <w:vAlign w:val="bottom"/>
          </w:tcPr>
          <w:p w14:paraId="0B2FB711" w14:textId="77777777" w:rsidR="007F1775" w:rsidRDefault="007F1775">
            <w:pPr>
              <w:rPr>
                <w:rFonts w:ascii="宋体"/>
              </w:rPr>
            </w:pPr>
          </w:p>
        </w:tc>
        <w:tc>
          <w:tcPr>
            <w:tcW w:w="593" w:type="pct"/>
            <w:shd w:val="clear" w:color="auto" w:fill="auto"/>
            <w:vAlign w:val="bottom"/>
          </w:tcPr>
          <w:p w14:paraId="0B2FB712" w14:textId="77777777" w:rsidR="007F1775" w:rsidRDefault="007F1775">
            <w:pPr>
              <w:rPr>
                <w:rFonts w:ascii="宋体"/>
              </w:rPr>
            </w:pPr>
          </w:p>
        </w:tc>
        <w:tc>
          <w:tcPr>
            <w:tcW w:w="5" w:type="pct"/>
            <w:shd w:val="clear" w:color="auto" w:fill="auto"/>
            <w:vAlign w:val="bottom"/>
          </w:tcPr>
          <w:p w14:paraId="0B2FB713" w14:textId="77777777" w:rsidR="007F1775" w:rsidRDefault="007F1775">
            <w:pPr>
              <w:rPr>
                <w:rFonts w:ascii="宋体"/>
              </w:rPr>
            </w:pPr>
          </w:p>
        </w:tc>
        <w:tc>
          <w:tcPr>
            <w:tcW w:w="0" w:type="auto"/>
            <w:shd w:val="clear" w:color="auto" w:fill="auto"/>
            <w:vAlign w:val="bottom"/>
          </w:tcPr>
          <w:p w14:paraId="0B2FB714" w14:textId="77777777" w:rsidR="007F1775" w:rsidRDefault="007F1775">
            <w:pPr>
              <w:rPr>
                <w:rFonts w:ascii="宋体"/>
                <w:vanish/>
              </w:rPr>
            </w:pPr>
          </w:p>
        </w:tc>
        <w:tc>
          <w:tcPr>
            <w:tcW w:w="0" w:type="auto"/>
            <w:shd w:val="clear" w:color="auto" w:fill="auto"/>
            <w:vAlign w:val="bottom"/>
          </w:tcPr>
          <w:p w14:paraId="0B2FB715" w14:textId="77777777" w:rsidR="007F1775" w:rsidRDefault="007F1775">
            <w:pPr>
              <w:rPr>
                <w:rFonts w:ascii="宋体"/>
                <w:vanish/>
              </w:rPr>
            </w:pPr>
          </w:p>
        </w:tc>
        <w:tc>
          <w:tcPr>
            <w:tcW w:w="0" w:type="auto"/>
            <w:shd w:val="clear" w:color="auto" w:fill="auto"/>
            <w:vAlign w:val="bottom"/>
          </w:tcPr>
          <w:p w14:paraId="0B2FB716" w14:textId="77777777" w:rsidR="007F1775" w:rsidRDefault="007F1775">
            <w:pPr>
              <w:rPr>
                <w:rFonts w:ascii="宋体"/>
                <w:vanish/>
              </w:rPr>
            </w:pPr>
          </w:p>
        </w:tc>
        <w:tc>
          <w:tcPr>
            <w:tcW w:w="0" w:type="auto"/>
            <w:shd w:val="clear" w:color="auto" w:fill="auto"/>
            <w:vAlign w:val="bottom"/>
          </w:tcPr>
          <w:p w14:paraId="0B2FB717" w14:textId="77777777" w:rsidR="007F1775" w:rsidRDefault="007F1775">
            <w:pPr>
              <w:rPr>
                <w:rFonts w:ascii="宋体"/>
                <w:vanish/>
              </w:rPr>
            </w:pPr>
          </w:p>
        </w:tc>
        <w:tc>
          <w:tcPr>
            <w:tcW w:w="0" w:type="auto"/>
            <w:gridSpan w:val="3"/>
            <w:shd w:val="clear" w:color="auto" w:fill="auto"/>
            <w:vAlign w:val="bottom"/>
          </w:tcPr>
          <w:p w14:paraId="0B2FB718" w14:textId="77777777" w:rsidR="007F1775" w:rsidRDefault="007F1775">
            <w:pPr>
              <w:rPr>
                <w:rFonts w:ascii="宋体"/>
                <w:vanish/>
              </w:rPr>
            </w:pPr>
          </w:p>
        </w:tc>
        <w:tc>
          <w:tcPr>
            <w:tcW w:w="0" w:type="auto"/>
            <w:gridSpan w:val="3"/>
            <w:shd w:val="clear" w:color="auto" w:fill="auto"/>
            <w:vAlign w:val="bottom"/>
          </w:tcPr>
          <w:p w14:paraId="0B2FB719" w14:textId="77777777" w:rsidR="007F1775" w:rsidRDefault="007F1775">
            <w:pPr>
              <w:rPr>
                <w:rFonts w:ascii="宋体"/>
                <w:vanish/>
              </w:rPr>
            </w:pPr>
          </w:p>
        </w:tc>
      </w:tr>
      <w:tr w:rsidR="007F1775" w14:paraId="0B2FB729" w14:textId="77777777">
        <w:tc>
          <w:tcPr>
            <w:tcW w:w="0" w:type="auto"/>
            <w:gridSpan w:val="3"/>
            <w:shd w:val="clear" w:color="auto" w:fill="auto"/>
            <w:tcMar>
              <w:top w:w="40" w:type="dxa"/>
              <w:left w:w="20" w:type="dxa"/>
              <w:bottom w:w="40" w:type="dxa"/>
              <w:right w:w="20" w:type="dxa"/>
            </w:tcMar>
            <w:vAlign w:val="bottom"/>
          </w:tcPr>
          <w:p w14:paraId="0B2FB71B"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71C"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0B2FB71D"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71E" w14:textId="77777777" w:rsidR="007F1775" w:rsidRDefault="000F083E">
            <w:pPr>
              <w:textAlignment w:val="bottom"/>
            </w:pPr>
            <w:r>
              <w:rPr>
                <w:rFonts w:ascii="Times New Roman" w:eastAsia="宋体" w:hAnsi="Times New Roman"/>
                <w:color w:val="000000"/>
                <w:sz w:val="16"/>
                <w:szCs w:val="16"/>
              </w:rPr>
              <w:t> </w:t>
            </w:r>
          </w:p>
        </w:tc>
        <w:tc>
          <w:tcPr>
            <w:tcW w:w="0" w:type="auto"/>
            <w:shd w:val="clear" w:color="auto" w:fill="auto"/>
            <w:vAlign w:val="bottom"/>
          </w:tcPr>
          <w:p w14:paraId="0B2FB71F" w14:textId="77777777" w:rsidR="007F1775" w:rsidRDefault="007F1775">
            <w:pPr>
              <w:rPr>
                <w:rFonts w:ascii="宋体"/>
                <w:vanish/>
              </w:rPr>
            </w:pPr>
          </w:p>
        </w:tc>
        <w:tc>
          <w:tcPr>
            <w:tcW w:w="0" w:type="auto"/>
            <w:shd w:val="clear" w:color="auto" w:fill="auto"/>
            <w:vAlign w:val="bottom"/>
          </w:tcPr>
          <w:p w14:paraId="0B2FB720" w14:textId="77777777" w:rsidR="007F1775" w:rsidRDefault="007F1775">
            <w:pPr>
              <w:rPr>
                <w:rFonts w:ascii="宋体"/>
                <w:vanish/>
              </w:rPr>
            </w:pPr>
          </w:p>
        </w:tc>
        <w:tc>
          <w:tcPr>
            <w:tcW w:w="0" w:type="auto"/>
            <w:shd w:val="clear" w:color="auto" w:fill="auto"/>
            <w:vAlign w:val="bottom"/>
          </w:tcPr>
          <w:p w14:paraId="0B2FB721" w14:textId="77777777" w:rsidR="007F1775" w:rsidRDefault="007F1775">
            <w:pPr>
              <w:rPr>
                <w:rFonts w:ascii="宋体"/>
                <w:vanish/>
              </w:rPr>
            </w:pPr>
          </w:p>
        </w:tc>
        <w:tc>
          <w:tcPr>
            <w:tcW w:w="0" w:type="auto"/>
            <w:shd w:val="clear" w:color="auto" w:fill="auto"/>
            <w:vAlign w:val="bottom"/>
          </w:tcPr>
          <w:p w14:paraId="0B2FB722" w14:textId="77777777" w:rsidR="007F1775" w:rsidRDefault="007F1775">
            <w:pPr>
              <w:rPr>
                <w:rFonts w:ascii="宋体"/>
                <w:vanish/>
              </w:rPr>
            </w:pPr>
          </w:p>
        </w:tc>
        <w:tc>
          <w:tcPr>
            <w:tcW w:w="0" w:type="auto"/>
            <w:shd w:val="clear" w:color="auto" w:fill="auto"/>
            <w:vAlign w:val="bottom"/>
          </w:tcPr>
          <w:p w14:paraId="0B2FB723" w14:textId="77777777" w:rsidR="007F1775" w:rsidRDefault="007F1775">
            <w:pPr>
              <w:rPr>
                <w:rFonts w:ascii="宋体"/>
              </w:rPr>
            </w:pPr>
          </w:p>
        </w:tc>
        <w:tc>
          <w:tcPr>
            <w:tcW w:w="0" w:type="auto"/>
            <w:shd w:val="clear" w:color="auto" w:fill="auto"/>
            <w:vAlign w:val="bottom"/>
          </w:tcPr>
          <w:p w14:paraId="0B2FB724" w14:textId="77777777" w:rsidR="007F1775" w:rsidRDefault="007F1775">
            <w:pPr>
              <w:rPr>
                <w:rFonts w:ascii="宋体"/>
              </w:rPr>
            </w:pPr>
          </w:p>
        </w:tc>
        <w:tc>
          <w:tcPr>
            <w:tcW w:w="0" w:type="auto"/>
            <w:shd w:val="clear" w:color="auto" w:fill="auto"/>
            <w:vAlign w:val="bottom"/>
          </w:tcPr>
          <w:p w14:paraId="0B2FB725" w14:textId="77777777" w:rsidR="007F1775" w:rsidRDefault="007F1775">
            <w:pPr>
              <w:rPr>
                <w:rFonts w:ascii="宋体"/>
              </w:rPr>
            </w:pPr>
          </w:p>
        </w:tc>
        <w:tc>
          <w:tcPr>
            <w:tcW w:w="0" w:type="auto"/>
            <w:shd w:val="clear" w:color="auto" w:fill="auto"/>
            <w:vAlign w:val="bottom"/>
          </w:tcPr>
          <w:p w14:paraId="0B2FB726" w14:textId="77777777" w:rsidR="007F1775" w:rsidRDefault="007F1775">
            <w:pPr>
              <w:rPr>
                <w:rFonts w:ascii="宋体"/>
              </w:rPr>
            </w:pPr>
          </w:p>
        </w:tc>
        <w:tc>
          <w:tcPr>
            <w:tcW w:w="0" w:type="auto"/>
            <w:shd w:val="clear" w:color="auto" w:fill="auto"/>
            <w:vAlign w:val="bottom"/>
          </w:tcPr>
          <w:p w14:paraId="0B2FB727" w14:textId="77777777" w:rsidR="007F1775" w:rsidRDefault="007F1775">
            <w:pPr>
              <w:rPr>
                <w:rFonts w:ascii="宋体"/>
              </w:rPr>
            </w:pPr>
          </w:p>
        </w:tc>
        <w:tc>
          <w:tcPr>
            <w:tcW w:w="0" w:type="auto"/>
            <w:shd w:val="clear" w:color="auto" w:fill="auto"/>
            <w:vAlign w:val="bottom"/>
          </w:tcPr>
          <w:p w14:paraId="0B2FB728" w14:textId="77777777" w:rsidR="007F1775" w:rsidRDefault="007F1775">
            <w:pPr>
              <w:rPr>
                <w:rFonts w:ascii="宋体"/>
              </w:rPr>
            </w:pPr>
          </w:p>
        </w:tc>
      </w:tr>
      <w:tr w:rsidR="007F1775" w14:paraId="0B2FB736" w14:textId="77777777">
        <w:tc>
          <w:tcPr>
            <w:tcW w:w="0" w:type="auto"/>
            <w:gridSpan w:val="3"/>
            <w:shd w:val="clear" w:color="auto" w:fill="auto"/>
            <w:tcMar>
              <w:top w:w="40" w:type="dxa"/>
              <w:left w:w="20" w:type="dxa"/>
              <w:bottom w:w="40" w:type="dxa"/>
              <w:right w:w="20" w:type="dxa"/>
            </w:tcMar>
            <w:vAlign w:val="bottom"/>
          </w:tcPr>
          <w:p w14:paraId="0B2FB72A"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72B"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72C"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72D"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B2FB72E"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72F" w14:textId="77777777" w:rsidR="007F1775" w:rsidRDefault="000F083E">
            <w:pPr>
              <w:jc w:val="center"/>
              <w:textAlignment w:val="bottom"/>
            </w:pPr>
            <w:r>
              <w:rPr>
                <w:rFonts w:ascii="Times New Roman" w:eastAsia="宋体" w:hAnsi="Times New Roman"/>
                <w:b/>
                <w:bCs/>
                <w:color w:val="000000"/>
                <w:sz w:val="16"/>
                <w:szCs w:val="16"/>
              </w:rPr>
              <w:t>% change</w:t>
            </w:r>
          </w:p>
        </w:tc>
        <w:tc>
          <w:tcPr>
            <w:tcW w:w="0" w:type="auto"/>
            <w:shd w:val="clear" w:color="auto" w:fill="auto"/>
            <w:vAlign w:val="bottom"/>
          </w:tcPr>
          <w:p w14:paraId="0B2FB730" w14:textId="77777777" w:rsidR="007F1775" w:rsidRDefault="007F1775">
            <w:pPr>
              <w:rPr>
                <w:rFonts w:ascii="宋体"/>
                <w:vanish/>
              </w:rPr>
            </w:pPr>
          </w:p>
        </w:tc>
        <w:tc>
          <w:tcPr>
            <w:tcW w:w="0" w:type="auto"/>
            <w:shd w:val="clear" w:color="auto" w:fill="auto"/>
            <w:vAlign w:val="bottom"/>
          </w:tcPr>
          <w:p w14:paraId="0B2FB731" w14:textId="77777777" w:rsidR="007F1775" w:rsidRDefault="007F1775">
            <w:pPr>
              <w:rPr>
                <w:rFonts w:ascii="宋体"/>
                <w:vanish/>
              </w:rPr>
            </w:pPr>
          </w:p>
        </w:tc>
        <w:tc>
          <w:tcPr>
            <w:tcW w:w="0" w:type="auto"/>
            <w:shd w:val="clear" w:color="auto" w:fill="auto"/>
            <w:vAlign w:val="bottom"/>
          </w:tcPr>
          <w:p w14:paraId="0B2FB732" w14:textId="77777777" w:rsidR="007F1775" w:rsidRDefault="007F1775">
            <w:pPr>
              <w:rPr>
                <w:rFonts w:ascii="宋体"/>
                <w:vanish/>
              </w:rPr>
            </w:pPr>
          </w:p>
        </w:tc>
        <w:tc>
          <w:tcPr>
            <w:tcW w:w="0" w:type="auto"/>
            <w:shd w:val="clear" w:color="auto" w:fill="auto"/>
            <w:vAlign w:val="bottom"/>
          </w:tcPr>
          <w:p w14:paraId="0B2FB733" w14:textId="77777777" w:rsidR="007F1775" w:rsidRDefault="007F1775">
            <w:pPr>
              <w:rPr>
                <w:rFonts w:ascii="宋体"/>
                <w:vanish/>
              </w:rPr>
            </w:pPr>
          </w:p>
        </w:tc>
        <w:tc>
          <w:tcPr>
            <w:tcW w:w="0" w:type="auto"/>
            <w:gridSpan w:val="3"/>
            <w:shd w:val="clear" w:color="auto" w:fill="auto"/>
            <w:vAlign w:val="bottom"/>
          </w:tcPr>
          <w:p w14:paraId="0B2FB734" w14:textId="77777777" w:rsidR="007F1775" w:rsidRDefault="007F1775">
            <w:pPr>
              <w:rPr>
                <w:rFonts w:ascii="宋体"/>
                <w:vanish/>
              </w:rPr>
            </w:pPr>
          </w:p>
        </w:tc>
        <w:tc>
          <w:tcPr>
            <w:tcW w:w="0" w:type="auto"/>
            <w:gridSpan w:val="3"/>
            <w:shd w:val="clear" w:color="auto" w:fill="auto"/>
            <w:vAlign w:val="bottom"/>
          </w:tcPr>
          <w:p w14:paraId="0B2FB735" w14:textId="77777777" w:rsidR="007F1775" w:rsidRDefault="007F1775">
            <w:pPr>
              <w:rPr>
                <w:rFonts w:ascii="宋体"/>
                <w:vanish/>
              </w:rPr>
            </w:pPr>
          </w:p>
        </w:tc>
      </w:tr>
      <w:tr w:rsidR="007F1775" w14:paraId="0B2FB743" w14:textId="77777777">
        <w:trPr>
          <w:trHeight w:val="60"/>
        </w:trPr>
        <w:tc>
          <w:tcPr>
            <w:tcW w:w="0" w:type="auto"/>
            <w:gridSpan w:val="3"/>
            <w:shd w:val="clear" w:color="auto" w:fill="auto"/>
            <w:tcMar>
              <w:top w:w="0" w:type="dxa"/>
              <w:left w:w="20" w:type="dxa"/>
              <w:bottom w:w="0" w:type="dxa"/>
              <w:right w:w="20" w:type="dxa"/>
            </w:tcMar>
            <w:vAlign w:val="bottom"/>
          </w:tcPr>
          <w:p w14:paraId="0B2FB737"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73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739"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73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73B"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73C" w14:textId="77777777" w:rsidR="007F1775" w:rsidRDefault="007F1775">
            <w:pPr>
              <w:rPr>
                <w:rFonts w:ascii="宋体"/>
              </w:rPr>
            </w:pPr>
          </w:p>
        </w:tc>
        <w:tc>
          <w:tcPr>
            <w:tcW w:w="0" w:type="auto"/>
            <w:shd w:val="clear" w:color="auto" w:fill="auto"/>
            <w:vAlign w:val="bottom"/>
          </w:tcPr>
          <w:p w14:paraId="0B2FB73D" w14:textId="77777777" w:rsidR="007F1775" w:rsidRDefault="007F1775">
            <w:pPr>
              <w:rPr>
                <w:rFonts w:ascii="宋体"/>
                <w:vanish/>
              </w:rPr>
            </w:pPr>
          </w:p>
        </w:tc>
        <w:tc>
          <w:tcPr>
            <w:tcW w:w="0" w:type="auto"/>
            <w:shd w:val="clear" w:color="auto" w:fill="auto"/>
            <w:vAlign w:val="bottom"/>
          </w:tcPr>
          <w:p w14:paraId="0B2FB73E" w14:textId="77777777" w:rsidR="007F1775" w:rsidRDefault="007F1775">
            <w:pPr>
              <w:rPr>
                <w:rFonts w:ascii="宋体"/>
                <w:vanish/>
              </w:rPr>
            </w:pPr>
          </w:p>
        </w:tc>
        <w:tc>
          <w:tcPr>
            <w:tcW w:w="0" w:type="auto"/>
            <w:shd w:val="clear" w:color="auto" w:fill="auto"/>
            <w:vAlign w:val="bottom"/>
          </w:tcPr>
          <w:p w14:paraId="0B2FB73F" w14:textId="77777777" w:rsidR="007F1775" w:rsidRDefault="007F1775">
            <w:pPr>
              <w:rPr>
                <w:rFonts w:ascii="宋体"/>
                <w:vanish/>
              </w:rPr>
            </w:pPr>
          </w:p>
        </w:tc>
        <w:tc>
          <w:tcPr>
            <w:tcW w:w="0" w:type="auto"/>
            <w:shd w:val="clear" w:color="auto" w:fill="auto"/>
            <w:vAlign w:val="bottom"/>
          </w:tcPr>
          <w:p w14:paraId="0B2FB740" w14:textId="77777777" w:rsidR="007F1775" w:rsidRDefault="007F1775">
            <w:pPr>
              <w:rPr>
                <w:rFonts w:ascii="宋体"/>
                <w:vanish/>
              </w:rPr>
            </w:pPr>
          </w:p>
        </w:tc>
        <w:tc>
          <w:tcPr>
            <w:tcW w:w="0" w:type="auto"/>
            <w:gridSpan w:val="3"/>
            <w:shd w:val="clear" w:color="auto" w:fill="auto"/>
            <w:vAlign w:val="bottom"/>
          </w:tcPr>
          <w:p w14:paraId="0B2FB741" w14:textId="77777777" w:rsidR="007F1775" w:rsidRDefault="007F1775">
            <w:pPr>
              <w:rPr>
                <w:rFonts w:ascii="宋体"/>
                <w:vanish/>
              </w:rPr>
            </w:pPr>
          </w:p>
        </w:tc>
        <w:tc>
          <w:tcPr>
            <w:tcW w:w="0" w:type="auto"/>
            <w:gridSpan w:val="3"/>
            <w:shd w:val="clear" w:color="auto" w:fill="auto"/>
            <w:vAlign w:val="bottom"/>
          </w:tcPr>
          <w:p w14:paraId="0B2FB742" w14:textId="77777777" w:rsidR="007F1775" w:rsidRDefault="007F1775">
            <w:pPr>
              <w:rPr>
                <w:rFonts w:ascii="宋体"/>
                <w:vanish/>
              </w:rPr>
            </w:pPr>
          </w:p>
        </w:tc>
      </w:tr>
      <w:tr w:rsidR="007F1775" w14:paraId="0B2FB74E" w14:textId="77777777">
        <w:tc>
          <w:tcPr>
            <w:tcW w:w="0" w:type="auto"/>
            <w:gridSpan w:val="3"/>
            <w:shd w:val="clear" w:color="auto" w:fill="auto"/>
            <w:tcMar>
              <w:top w:w="40" w:type="dxa"/>
              <w:left w:w="20" w:type="dxa"/>
              <w:bottom w:w="40" w:type="dxa"/>
              <w:right w:w="20" w:type="dxa"/>
            </w:tcMar>
            <w:vAlign w:val="bottom"/>
          </w:tcPr>
          <w:p w14:paraId="0B2FB744"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745" w14:textId="77777777" w:rsidR="007F1775" w:rsidRDefault="000F083E">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B2FB74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747" w14:textId="77777777" w:rsidR="007F1775" w:rsidRDefault="007F1775">
            <w:pPr>
              <w:rPr>
                <w:rFonts w:ascii="宋体"/>
              </w:rPr>
            </w:pPr>
          </w:p>
        </w:tc>
        <w:tc>
          <w:tcPr>
            <w:tcW w:w="0" w:type="auto"/>
            <w:shd w:val="clear" w:color="auto" w:fill="auto"/>
            <w:vAlign w:val="bottom"/>
          </w:tcPr>
          <w:p w14:paraId="0B2FB748" w14:textId="77777777" w:rsidR="007F1775" w:rsidRDefault="007F1775">
            <w:pPr>
              <w:rPr>
                <w:rFonts w:ascii="宋体"/>
                <w:vanish/>
              </w:rPr>
            </w:pPr>
          </w:p>
        </w:tc>
        <w:tc>
          <w:tcPr>
            <w:tcW w:w="0" w:type="auto"/>
            <w:shd w:val="clear" w:color="auto" w:fill="auto"/>
            <w:vAlign w:val="bottom"/>
          </w:tcPr>
          <w:p w14:paraId="0B2FB749" w14:textId="77777777" w:rsidR="007F1775" w:rsidRDefault="007F1775">
            <w:pPr>
              <w:rPr>
                <w:rFonts w:ascii="宋体"/>
                <w:vanish/>
              </w:rPr>
            </w:pPr>
          </w:p>
        </w:tc>
        <w:tc>
          <w:tcPr>
            <w:tcW w:w="0" w:type="auto"/>
            <w:shd w:val="clear" w:color="auto" w:fill="auto"/>
            <w:vAlign w:val="bottom"/>
          </w:tcPr>
          <w:p w14:paraId="0B2FB74A" w14:textId="77777777" w:rsidR="007F1775" w:rsidRDefault="007F1775">
            <w:pPr>
              <w:rPr>
                <w:rFonts w:ascii="宋体"/>
                <w:vanish/>
              </w:rPr>
            </w:pPr>
          </w:p>
        </w:tc>
        <w:tc>
          <w:tcPr>
            <w:tcW w:w="0" w:type="auto"/>
            <w:shd w:val="clear" w:color="auto" w:fill="auto"/>
            <w:vAlign w:val="bottom"/>
          </w:tcPr>
          <w:p w14:paraId="0B2FB74B" w14:textId="77777777" w:rsidR="007F1775" w:rsidRDefault="007F1775">
            <w:pPr>
              <w:rPr>
                <w:rFonts w:ascii="宋体"/>
                <w:vanish/>
              </w:rPr>
            </w:pPr>
          </w:p>
        </w:tc>
        <w:tc>
          <w:tcPr>
            <w:tcW w:w="0" w:type="auto"/>
            <w:gridSpan w:val="3"/>
            <w:shd w:val="clear" w:color="auto" w:fill="auto"/>
            <w:vAlign w:val="bottom"/>
          </w:tcPr>
          <w:p w14:paraId="0B2FB74C" w14:textId="77777777" w:rsidR="007F1775" w:rsidRDefault="007F1775">
            <w:pPr>
              <w:rPr>
                <w:rFonts w:ascii="宋体"/>
                <w:vanish/>
              </w:rPr>
            </w:pPr>
          </w:p>
        </w:tc>
        <w:tc>
          <w:tcPr>
            <w:tcW w:w="0" w:type="auto"/>
            <w:gridSpan w:val="3"/>
            <w:shd w:val="clear" w:color="auto" w:fill="auto"/>
            <w:vAlign w:val="bottom"/>
          </w:tcPr>
          <w:p w14:paraId="0B2FB74D" w14:textId="77777777" w:rsidR="007F1775" w:rsidRDefault="007F1775">
            <w:pPr>
              <w:rPr>
                <w:rFonts w:ascii="宋体"/>
                <w:vanish/>
              </w:rPr>
            </w:pPr>
          </w:p>
        </w:tc>
      </w:tr>
      <w:tr w:rsidR="007F1775" w14:paraId="0B2FB760" w14:textId="77777777">
        <w:tc>
          <w:tcPr>
            <w:tcW w:w="0" w:type="auto"/>
            <w:gridSpan w:val="3"/>
            <w:shd w:val="clear" w:color="auto" w:fill="CCEEFF"/>
            <w:tcMar>
              <w:top w:w="40" w:type="dxa"/>
              <w:left w:w="20" w:type="dxa"/>
              <w:bottom w:w="40" w:type="dxa"/>
              <w:right w:w="20" w:type="dxa"/>
            </w:tcMar>
          </w:tcPr>
          <w:p w14:paraId="0B2FB74F" w14:textId="77777777" w:rsidR="007F1775" w:rsidRDefault="000F083E">
            <w:pPr>
              <w:textAlignment w:val="top"/>
            </w:pPr>
            <w:r>
              <w:rPr>
                <w:rFonts w:ascii="Times New Roman" w:eastAsia="宋体" w:hAnsi="Times New Roman"/>
                <w:color w:val="000000"/>
                <w:sz w:val="20"/>
                <w:szCs w:val="20"/>
              </w:rPr>
              <w:t>Marketing and sales</w:t>
            </w:r>
          </w:p>
        </w:tc>
        <w:tc>
          <w:tcPr>
            <w:tcW w:w="0" w:type="auto"/>
            <w:shd w:val="clear" w:color="auto" w:fill="CCEEFF"/>
            <w:tcMar>
              <w:top w:w="40" w:type="dxa"/>
              <w:left w:w="20" w:type="dxa"/>
              <w:bottom w:w="40" w:type="dxa"/>
              <w:right w:w="0" w:type="dxa"/>
            </w:tcMar>
            <w:vAlign w:val="bottom"/>
          </w:tcPr>
          <w:p w14:paraId="0B2FB750"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751" w14:textId="77777777" w:rsidR="007F1775" w:rsidRDefault="000F083E">
            <w:pPr>
              <w:jc w:val="right"/>
              <w:textAlignment w:val="bottom"/>
            </w:pPr>
            <w:r>
              <w:rPr>
                <w:rFonts w:ascii="Times New Roman" w:eastAsia="宋体" w:hAnsi="Times New Roman"/>
                <w:color w:val="000000"/>
                <w:sz w:val="20"/>
                <w:szCs w:val="20"/>
              </w:rPr>
              <w:t>3,312 </w:t>
            </w:r>
          </w:p>
        </w:tc>
        <w:tc>
          <w:tcPr>
            <w:tcW w:w="0" w:type="auto"/>
            <w:shd w:val="clear" w:color="auto" w:fill="CCEEFF"/>
            <w:tcMar>
              <w:top w:w="40" w:type="dxa"/>
              <w:left w:w="0" w:type="dxa"/>
              <w:bottom w:w="40" w:type="dxa"/>
              <w:right w:w="20" w:type="dxa"/>
            </w:tcMar>
            <w:vAlign w:val="bottom"/>
          </w:tcPr>
          <w:p w14:paraId="0B2FB75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753"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754"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755" w14:textId="77777777" w:rsidR="007F1775" w:rsidRDefault="000F083E">
            <w:pPr>
              <w:jc w:val="right"/>
              <w:textAlignment w:val="bottom"/>
            </w:pPr>
            <w:r>
              <w:rPr>
                <w:rFonts w:ascii="Times New Roman" w:eastAsia="宋体" w:hAnsi="Times New Roman"/>
                <w:color w:val="000000"/>
                <w:sz w:val="20"/>
                <w:szCs w:val="20"/>
              </w:rPr>
              <w:t>2,843 </w:t>
            </w:r>
          </w:p>
        </w:tc>
        <w:tc>
          <w:tcPr>
            <w:tcW w:w="0" w:type="auto"/>
            <w:shd w:val="clear" w:color="auto" w:fill="CCEEFF"/>
            <w:tcMar>
              <w:top w:w="40" w:type="dxa"/>
              <w:left w:w="0" w:type="dxa"/>
              <w:bottom w:w="40" w:type="dxa"/>
              <w:right w:w="20" w:type="dxa"/>
            </w:tcMar>
            <w:vAlign w:val="bottom"/>
          </w:tcPr>
          <w:p w14:paraId="0B2FB756"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757"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758" w14:textId="77777777" w:rsidR="007F1775" w:rsidRDefault="000F083E">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0B2FB759"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75A" w14:textId="77777777" w:rsidR="007F1775" w:rsidRDefault="007F1775">
            <w:pPr>
              <w:rPr>
                <w:rFonts w:ascii="宋体"/>
                <w:vanish/>
              </w:rPr>
            </w:pPr>
          </w:p>
        </w:tc>
        <w:tc>
          <w:tcPr>
            <w:tcW w:w="0" w:type="auto"/>
            <w:shd w:val="clear" w:color="auto" w:fill="auto"/>
            <w:vAlign w:val="bottom"/>
          </w:tcPr>
          <w:p w14:paraId="0B2FB75B" w14:textId="77777777" w:rsidR="007F1775" w:rsidRDefault="007F1775">
            <w:pPr>
              <w:rPr>
                <w:rFonts w:ascii="宋体"/>
                <w:vanish/>
              </w:rPr>
            </w:pPr>
          </w:p>
        </w:tc>
        <w:tc>
          <w:tcPr>
            <w:tcW w:w="0" w:type="auto"/>
            <w:shd w:val="clear" w:color="auto" w:fill="auto"/>
            <w:vAlign w:val="bottom"/>
          </w:tcPr>
          <w:p w14:paraId="0B2FB75C" w14:textId="77777777" w:rsidR="007F1775" w:rsidRDefault="007F1775">
            <w:pPr>
              <w:rPr>
                <w:rFonts w:ascii="宋体"/>
                <w:vanish/>
              </w:rPr>
            </w:pPr>
          </w:p>
        </w:tc>
        <w:tc>
          <w:tcPr>
            <w:tcW w:w="0" w:type="auto"/>
            <w:shd w:val="clear" w:color="auto" w:fill="auto"/>
            <w:vAlign w:val="bottom"/>
          </w:tcPr>
          <w:p w14:paraId="0B2FB75D" w14:textId="77777777" w:rsidR="007F1775" w:rsidRDefault="007F1775">
            <w:pPr>
              <w:rPr>
                <w:rFonts w:ascii="宋体"/>
                <w:vanish/>
              </w:rPr>
            </w:pPr>
          </w:p>
        </w:tc>
        <w:tc>
          <w:tcPr>
            <w:tcW w:w="0" w:type="auto"/>
            <w:gridSpan w:val="3"/>
            <w:shd w:val="clear" w:color="auto" w:fill="auto"/>
            <w:vAlign w:val="bottom"/>
          </w:tcPr>
          <w:p w14:paraId="0B2FB75E" w14:textId="77777777" w:rsidR="007F1775" w:rsidRDefault="007F1775">
            <w:pPr>
              <w:rPr>
                <w:rFonts w:ascii="宋体"/>
                <w:vanish/>
              </w:rPr>
            </w:pPr>
          </w:p>
        </w:tc>
        <w:tc>
          <w:tcPr>
            <w:tcW w:w="0" w:type="auto"/>
            <w:gridSpan w:val="3"/>
            <w:shd w:val="clear" w:color="auto" w:fill="auto"/>
            <w:vAlign w:val="bottom"/>
          </w:tcPr>
          <w:p w14:paraId="0B2FB75F" w14:textId="77777777" w:rsidR="007F1775" w:rsidRDefault="007F1775">
            <w:pPr>
              <w:rPr>
                <w:rFonts w:ascii="宋体"/>
                <w:vanish/>
              </w:rPr>
            </w:pPr>
          </w:p>
        </w:tc>
      </w:tr>
      <w:tr w:rsidR="007F1775" w14:paraId="0B2FB76F" w14:textId="77777777">
        <w:tc>
          <w:tcPr>
            <w:tcW w:w="0" w:type="auto"/>
            <w:gridSpan w:val="3"/>
            <w:shd w:val="clear" w:color="auto" w:fill="FFFFFF"/>
            <w:tcMar>
              <w:top w:w="40" w:type="dxa"/>
              <w:left w:w="20" w:type="dxa"/>
              <w:bottom w:w="40" w:type="dxa"/>
              <w:right w:w="20" w:type="dxa"/>
            </w:tcMar>
          </w:tcPr>
          <w:p w14:paraId="0B2FB761" w14:textId="77777777" w:rsidR="007F1775" w:rsidRDefault="000F083E">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0B2FB762" w14:textId="77777777" w:rsidR="007F1775" w:rsidRDefault="000F083E">
            <w:pPr>
              <w:jc w:val="right"/>
              <w:textAlignment w:val="bottom"/>
            </w:pPr>
            <w:r>
              <w:rPr>
                <w:rFonts w:ascii="Times New Roman" w:eastAsia="宋体" w:hAnsi="Times New Roman"/>
                <w:color w:val="000000"/>
                <w:sz w:val="20"/>
                <w:szCs w:val="20"/>
              </w:rPr>
              <w:t>12 </w:t>
            </w:r>
          </w:p>
        </w:tc>
        <w:tc>
          <w:tcPr>
            <w:tcW w:w="0" w:type="auto"/>
            <w:shd w:val="clear" w:color="auto" w:fill="auto"/>
            <w:tcMar>
              <w:top w:w="40" w:type="dxa"/>
              <w:left w:w="0" w:type="dxa"/>
              <w:bottom w:w="40" w:type="dxa"/>
              <w:right w:w="20" w:type="dxa"/>
            </w:tcMar>
            <w:vAlign w:val="bottom"/>
          </w:tcPr>
          <w:p w14:paraId="0B2FB763"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B2FB764" w14:textId="77777777" w:rsidR="007F1775" w:rsidRDefault="007F1775">
            <w:pPr>
              <w:rPr>
                <w:rFonts w:ascii="宋体"/>
              </w:rPr>
            </w:pPr>
          </w:p>
        </w:tc>
        <w:tc>
          <w:tcPr>
            <w:tcW w:w="0" w:type="auto"/>
            <w:gridSpan w:val="2"/>
            <w:shd w:val="clear" w:color="auto" w:fill="auto"/>
            <w:tcMar>
              <w:top w:w="40" w:type="dxa"/>
              <w:left w:w="20" w:type="dxa"/>
              <w:bottom w:w="40" w:type="dxa"/>
              <w:right w:w="0" w:type="dxa"/>
            </w:tcMar>
            <w:vAlign w:val="bottom"/>
          </w:tcPr>
          <w:p w14:paraId="0B2FB765" w14:textId="77777777" w:rsidR="007F1775" w:rsidRDefault="000F083E">
            <w:pPr>
              <w:jc w:val="right"/>
              <w:textAlignment w:val="bottom"/>
            </w:pPr>
            <w:r>
              <w:rPr>
                <w:rFonts w:ascii="Times New Roman" w:eastAsia="宋体" w:hAnsi="Times New Roman"/>
                <w:color w:val="000000"/>
                <w:sz w:val="20"/>
                <w:szCs w:val="20"/>
              </w:rPr>
              <w:t>11 </w:t>
            </w:r>
          </w:p>
        </w:tc>
        <w:tc>
          <w:tcPr>
            <w:tcW w:w="0" w:type="auto"/>
            <w:shd w:val="clear" w:color="auto" w:fill="auto"/>
            <w:tcMar>
              <w:top w:w="40" w:type="dxa"/>
              <w:left w:w="0" w:type="dxa"/>
              <w:bottom w:w="40" w:type="dxa"/>
              <w:right w:w="20" w:type="dxa"/>
            </w:tcMar>
            <w:vAlign w:val="bottom"/>
          </w:tcPr>
          <w:p w14:paraId="0B2FB766"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B2FB767"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768" w14:textId="77777777" w:rsidR="007F1775" w:rsidRDefault="007F1775">
            <w:pPr>
              <w:rPr>
                <w:rFonts w:ascii="宋体"/>
              </w:rPr>
            </w:pPr>
          </w:p>
        </w:tc>
        <w:tc>
          <w:tcPr>
            <w:tcW w:w="0" w:type="auto"/>
            <w:shd w:val="clear" w:color="auto" w:fill="auto"/>
            <w:vAlign w:val="bottom"/>
          </w:tcPr>
          <w:p w14:paraId="0B2FB769" w14:textId="77777777" w:rsidR="007F1775" w:rsidRDefault="007F1775">
            <w:pPr>
              <w:rPr>
                <w:rFonts w:ascii="宋体"/>
                <w:vanish/>
              </w:rPr>
            </w:pPr>
          </w:p>
        </w:tc>
        <w:tc>
          <w:tcPr>
            <w:tcW w:w="0" w:type="auto"/>
            <w:shd w:val="clear" w:color="auto" w:fill="auto"/>
            <w:vAlign w:val="bottom"/>
          </w:tcPr>
          <w:p w14:paraId="0B2FB76A" w14:textId="77777777" w:rsidR="007F1775" w:rsidRDefault="007F1775">
            <w:pPr>
              <w:rPr>
                <w:rFonts w:ascii="宋体"/>
                <w:vanish/>
              </w:rPr>
            </w:pPr>
          </w:p>
        </w:tc>
        <w:tc>
          <w:tcPr>
            <w:tcW w:w="0" w:type="auto"/>
            <w:shd w:val="clear" w:color="auto" w:fill="auto"/>
            <w:vAlign w:val="bottom"/>
          </w:tcPr>
          <w:p w14:paraId="0B2FB76B" w14:textId="77777777" w:rsidR="007F1775" w:rsidRDefault="007F1775">
            <w:pPr>
              <w:rPr>
                <w:rFonts w:ascii="宋体"/>
                <w:vanish/>
              </w:rPr>
            </w:pPr>
          </w:p>
        </w:tc>
        <w:tc>
          <w:tcPr>
            <w:tcW w:w="0" w:type="auto"/>
            <w:shd w:val="clear" w:color="auto" w:fill="auto"/>
            <w:vAlign w:val="bottom"/>
          </w:tcPr>
          <w:p w14:paraId="0B2FB76C" w14:textId="77777777" w:rsidR="007F1775" w:rsidRDefault="007F1775">
            <w:pPr>
              <w:rPr>
                <w:rFonts w:ascii="宋体"/>
                <w:vanish/>
              </w:rPr>
            </w:pPr>
          </w:p>
        </w:tc>
        <w:tc>
          <w:tcPr>
            <w:tcW w:w="0" w:type="auto"/>
            <w:gridSpan w:val="3"/>
            <w:shd w:val="clear" w:color="auto" w:fill="auto"/>
            <w:vAlign w:val="bottom"/>
          </w:tcPr>
          <w:p w14:paraId="0B2FB76D" w14:textId="77777777" w:rsidR="007F1775" w:rsidRDefault="007F1775">
            <w:pPr>
              <w:rPr>
                <w:rFonts w:ascii="宋体"/>
                <w:vanish/>
              </w:rPr>
            </w:pPr>
          </w:p>
        </w:tc>
        <w:tc>
          <w:tcPr>
            <w:tcW w:w="0" w:type="auto"/>
            <w:gridSpan w:val="3"/>
            <w:shd w:val="clear" w:color="auto" w:fill="auto"/>
            <w:vAlign w:val="bottom"/>
          </w:tcPr>
          <w:p w14:paraId="0B2FB76E" w14:textId="77777777" w:rsidR="007F1775" w:rsidRDefault="007F1775">
            <w:pPr>
              <w:rPr>
                <w:rFonts w:ascii="宋体"/>
                <w:vanish/>
              </w:rPr>
            </w:pPr>
          </w:p>
        </w:tc>
      </w:tr>
    </w:tbl>
    <w:p w14:paraId="0B2FB770" w14:textId="77777777" w:rsidR="007F1775" w:rsidRDefault="007F1775"/>
    <w:p w14:paraId="0B2FB771" w14:textId="77777777" w:rsidR="007F1775" w:rsidRDefault="000F083E">
      <w:pPr>
        <w:ind w:firstLine="540"/>
        <w:jc w:val="both"/>
      </w:pPr>
      <w:r>
        <w:rPr>
          <w:rFonts w:ascii="Times New Roman" w:eastAsia="宋体" w:hAnsi="Times New Roman"/>
          <w:color w:val="000000"/>
          <w:sz w:val="20"/>
          <w:szCs w:val="20"/>
        </w:rPr>
        <w:t xml:space="preserve">Marketing and sales expenses in the three months ended March 31, 2022 increased $469 million, or 16%, compared to the same period in </w:t>
      </w:r>
      <w:r>
        <w:rPr>
          <w:rFonts w:ascii="Times New Roman" w:eastAsia="宋体" w:hAnsi="Times New Roman"/>
          <w:color w:val="000000"/>
          <w:sz w:val="20"/>
          <w:szCs w:val="20"/>
          <w:shd w:val="clear" w:color="auto" w:fill="FFFFFF"/>
        </w:rPr>
        <w:t>2021</w:t>
      </w:r>
      <w:r>
        <w:rPr>
          <w:rFonts w:ascii="Times New Roman" w:eastAsia="宋体" w:hAnsi="Times New Roman"/>
          <w:color w:val="000000"/>
          <w:sz w:val="20"/>
          <w:szCs w:val="20"/>
        </w:rPr>
        <w:t xml:space="preserve">. The increase was mainly due to increases in payroll and related expenses and marketing and </w:t>
      </w:r>
    </w:p>
    <w:p w14:paraId="0B2FB772" w14:textId="77777777" w:rsidR="007F1775" w:rsidRDefault="000F083E">
      <w:pPr>
        <w:jc w:val="center"/>
      </w:pPr>
      <w:r>
        <w:rPr>
          <w:rFonts w:ascii="Times New Roman" w:eastAsia="宋体" w:hAnsi="Times New Roman"/>
          <w:color w:val="000000"/>
          <w:sz w:val="20"/>
          <w:szCs w:val="20"/>
        </w:rPr>
        <w:t>40</w:t>
      </w:r>
    </w:p>
    <w:p w14:paraId="0B2FB773" w14:textId="77777777" w:rsidR="007F1775" w:rsidRDefault="000F083E">
      <w:r>
        <w:pict w14:anchorId="0B2FBFB5">
          <v:rect id="_x0000_i1064" style="width:415.3pt;height:1.5pt" o:hralign="center" o:hrstd="t" o:hr="t" fillcolor="#a0a0a0" stroked="f"/>
        </w:pict>
      </w:r>
    </w:p>
    <w:p w14:paraId="0B2FB774" w14:textId="77777777" w:rsidR="007F1775" w:rsidRDefault="007F1775"/>
    <w:p w14:paraId="0B2FB775" w14:textId="77777777" w:rsidR="007F1775" w:rsidRDefault="007F1775"/>
    <w:p w14:paraId="0B2FB776" w14:textId="77777777" w:rsidR="007F1775" w:rsidRDefault="000F083E">
      <w:hyperlink r:id="rId118" w:anchor="iea70e328caa94cefb76a9db6ed6338fc_7" w:history="1">
        <w:r>
          <w:rPr>
            <w:rStyle w:val="a5"/>
            <w:rFonts w:ascii="Times New Roman" w:eastAsia="宋体" w:hAnsi="Times New Roman"/>
            <w:sz w:val="20"/>
            <w:szCs w:val="20"/>
          </w:rPr>
          <w:t>Table of Contents</w:t>
        </w:r>
      </w:hyperlink>
    </w:p>
    <w:p w14:paraId="0B2FB777" w14:textId="77777777" w:rsidR="007F1775" w:rsidRDefault="000F083E">
      <w:pPr>
        <w:jc w:val="both"/>
      </w:pPr>
      <w:r>
        <w:rPr>
          <w:rFonts w:ascii="Times New Roman" w:eastAsia="宋体" w:hAnsi="Times New Roman"/>
          <w:color w:val="000000"/>
          <w:sz w:val="20"/>
          <w:szCs w:val="20"/>
        </w:rPr>
        <w:t>promotional expenses. Our payroll and related expenses increased as a result of a 14% increase in emplo</w:t>
      </w:r>
      <w:r>
        <w:rPr>
          <w:rFonts w:ascii="Times New Roman" w:eastAsia="宋体" w:hAnsi="Times New Roman"/>
          <w:color w:val="000000"/>
          <w:sz w:val="20"/>
          <w:szCs w:val="20"/>
        </w:rPr>
        <w:t>yee headcount from March 31, 2021 to March 31, 2022 in our marketing and sales functions.</w:t>
      </w:r>
    </w:p>
    <w:p w14:paraId="0B2FB778" w14:textId="77777777" w:rsidR="007F1775" w:rsidRDefault="007F1775"/>
    <w:p w14:paraId="0B2FB779" w14:textId="77777777" w:rsidR="007F1775" w:rsidRDefault="000F083E">
      <w:pPr>
        <w:spacing w:before="180"/>
      </w:pPr>
      <w:r>
        <w:rPr>
          <w:rFonts w:ascii="Times New Roman" w:eastAsia="宋体" w:hAnsi="Times New Roman"/>
          <w:b/>
          <w:bCs/>
          <w:i/>
          <w:iCs/>
          <w:color w:val="000000"/>
          <w:sz w:val="20"/>
          <w:szCs w:val="20"/>
        </w:rPr>
        <w:t>General and administrative</w:t>
      </w:r>
    </w:p>
    <w:tbl>
      <w:tblPr>
        <w:tblW w:w="4993" w:type="pct"/>
        <w:tblCellMar>
          <w:top w:w="15" w:type="dxa"/>
          <w:left w:w="15" w:type="dxa"/>
          <w:bottom w:w="15" w:type="dxa"/>
          <w:right w:w="15" w:type="dxa"/>
        </w:tblCellMar>
        <w:tblLook w:val="04A0" w:firstRow="1" w:lastRow="0" w:firstColumn="1" w:lastColumn="0" w:noHBand="0" w:noVBand="1"/>
      </w:tblPr>
      <w:tblGrid>
        <w:gridCol w:w="37"/>
        <w:gridCol w:w="4040"/>
        <w:gridCol w:w="36"/>
        <w:gridCol w:w="120"/>
        <w:gridCol w:w="1087"/>
        <w:gridCol w:w="187"/>
        <w:gridCol w:w="36"/>
        <w:gridCol w:w="36"/>
        <w:gridCol w:w="36"/>
        <w:gridCol w:w="120"/>
        <w:gridCol w:w="999"/>
        <w:gridCol w:w="187"/>
        <w:gridCol w:w="36"/>
        <w:gridCol w:w="36"/>
        <w:gridCol w:w="36"/>
        <w:gridCol w:w="41"/>
        <w:gridCol w:w="707"/>
        <w:gridCol w:w="187"/>
        <w:gridCol w:w="36"/>
        <w:gridCol w:w="36"/>
        <w:gridCol w:w="36"/>
        <w:gridCol w:w="36"/>
        <w:gridCol w:w="36"/>
        <w:gridCol w:w="36"/>
        <w:gridCol w:w="36"/>
        <w:gridCol w:w="36"/>
        <w:gridCol w:w="36"/>
        <w:gridCol w:w="36"/>
      </w:tblGrid>
      <w:tr w:rsidR="007F1775" w14:paraId="0B2FB792" w14:textId="77777777">
        <w:tc>
          <w:tcPr>
            <w:tcW w:w="50" w:type="pct"/>
            <w:shd w:val="clear" w:color="auto" w:fill="auto"/>
            <w:vAlign w:val="bottom"/>
          </w:tcPr>
          <w:p w14:paraId="0B2FB77A" w14:textId="77777777" w:rsidR="007F1775" w:rsidRDefault="007F1775">
            <w:pPr>
              <w:rPr>
                <w:rFonts w:ascii="宋体"/>
              </w:rPr>
            </w:pPr>
          </w:p>
        </w:tc>
        <w:tc>
          <w:tcPr>
            <w:tcW w:w="2627" w:type="pct"/>
            <w:shd w:val="clear" w:color="auto" w:fill="auto"/>
            <w:vAlign w:val="bottom"/>
          </w:tcPr>
          <w:p w14:paraId="0B2FB77B" w14:textId="77777777" w:rsidR="007F1775" w:rsidRDefault="007F1775">
            <w:pPr>
              <w:rPr>
                <w:rFonts w:ascii="宋体"/>
              </w:rPr>
            </w:pPr>
          </w:p>
        </w:tc>
        <w:tc>
          <w:tcPr>
            <w:tcW w:w="5" w:type="pct"/>
            <w:shd w:val="clear" w:color="auto" w:fill="auto"/>
            <w:vAlign w:val="bottom"/>
          </w:tcPr>
          <w:p w14:paraId="0B2FB77C" w14:textId="77777777" w:rsidR="007F1775" w:rsidRDefault="007F1775">
            <w:pPr>
              <w:rPr>
                <w:rFonts w:ascii="宋体"/>
              </w:rPr>
            </w:pPr>
          </w:p>
        </w:tc>
        <w:tc>
          <w:tcPr>
            <w:tcW w:w="50" w:type="pct"/>
            <w:shd w:val="clear" w:color="auto" w:fill="auto"/>
            <w:vAlign w:val="bottom"/>
          </w:tcPr>
          <w:p w14:paraId="0B2FB77D" w14:textId="77777777" w:rsidR="007F1775" w:rsidRDefault="007F1775">
            <w:pPr>
              <w:rPr>
                <w:rFonts w:ascii="宋体"/>
              </w:rPr>
            </w:pPr>
          </w:p>
        </w:tc>
        <w:tc>
          <w:tcPr>
            <w:tcW w:w="742" w:type="pct"/>
            <w:shd w:val="clear" w:color="auto" w:fill="auto"/>
            <w:vAlign w:val="bottom"/>
          </w:tcPr>
          <w:p w14:paraId="0B2FB77E" w14:textId="77777777" w:rsidR="007F1775" w:rsidRDefault="007F1775">
            <w:pPr>
              <w:rPr>
                <w:rFonts w:ascii="宋体"/>
              </w:rPr>
            </w:pPr>
          </w:p>
        </w:tc>
        <w:tc>
          <w:tcPr>
            <w:tcW w:w="5" w:type="pct"/>
            <w:shd w:val="clear" w:color="auto" w:fill="auto"/>
            <w:vAlign w:val="bottom"/>
          </w:tcPr>
          <w:p w14:paraId="0B2FB77F" w14:textId="77777777" w:rsidR="007F1775" w:rsidRDefault="007F1775">
            <w:pPr>
              <w:rPr>
                <w:rFonts w:ascii="宋体"/>
              </w:rPr>
            </w:pPr>
          </w:p>
        </w:tc>
        <w:tc>
          <w:tcPr>
            <w:tcW w:w="5" w:type="pct"/>
            <w:shd w:val="clear" w:color="auto" w:fill="auto"/>
            <w:vAlign w:val="bottom"/>
          </w:tcPr>
          <w:p w14:paraId="0B2FB780" w14:textId="77777777" w:rsidR="007F1775" w:rsidRDefault="007F1775">
            <w:pPr>
              <w:rPr>
                <w:rFonts w:ascii="宋体"/>
              </w:rPr>
            </w:pPr>
          </w:p>
        </w:tc>
        <w:tc>
          <w:tcPr>
            <w:tcW w:w="27" w:type="pct"/>
            <w:shd w:val="clear" w:color="auto" w:fill="auto"/>
            <w:vAlign w:val="bottom"/>
          </w:tcPr>
          <w:p w14:paraId="0B2FB781" w14:textId="77777777" w:rsidR="007F1775" w:rsidRDefault="007F1775">
            <w:pPr>
              <w:rPr>
                <w:rFonts w:ascii="宋体"/>
              </w:rPr>
            </w:pPr>
          </w:p>
        </w:tc>
        <w:tc>
          <w:tcPr>
            <w:tcW w:w="5" w:type="pct"/>
            <w:shd w:val="clear" w:color="auto" w:fill="auto"/>
            <w:vAlign w:val="bottom"/>
          </w:tcPr>
          <w:p w14:paraId="0B2FB782" w14:textId="77777777" w:rsidR="007F1775" w:rsidRDefault="007F1775">
            <w:pPr>
              <w:rPr>
                <w:rFonts w:ascii="宋体"/>
              </w:rPr>
            </w:pPr>
          </w:p>
        </w:tc>
        <w:tc>
          <w:tcPr>
            <w:tcW w:w="50" w:type="pct"/>
            <w:shd w:val="clear" w:color="auto" w:fill="auto"/>
            <w:vAlign w:val="bottom"/>
          </w:tcPr>
          <w:p w14:paraId="0B2FB783" w14:textId="77777777" w:rsidR="007F1775" w:rsidRDefault="007F1775">
            <w:pPr>
              <w:rPr>
                <w:rFonts w:ascii="宋体"/>
              </w:rPr>
            </w:pPr>
          </w:p>
        </w:tc>
        <w:tc>
          <w:tcPr>
            <w:tcW w:w="742" w:type="pct"/>
            <w:shd w:val="clear" w:color="auto" w:fill="auto"/>
            <w:vAlign w:val="bottom"/>
          </w:tcPr>
          <w:p w14:paraId="0B2FB784" w14:textId="77777777" w:rsidR="007F1775" w:rsidRDefault="007F1775">
            <w:pPr>
              <w:rPr>
                <w:rFonts w:ascii="宋体"/>
              </w:rPr>
            </w:pPr>
          </w:p>
        </w:tc>
        <w:tc>
          <w:tcPr>
            <w:tcW w:w="5" w:type="pct"/>
            <w:shd w:val="clear" w:color="auto" w:fill="auto"/>
            <w:vAlign w:val="bottom"/>
          </w:tcPr>
          <w:p w14:paraId="0B2FB785" w14:textId="77777777" w:rsidR="007F1775" w:rsidRDefault="007F1775">
            <w:pPr>
              <w:rPr>
                <w:rFonts w:ascii="宋体"/>
              </w:rPr>
            </w:pPr>
          </w:p>
        </w:tc>
        <w:tc>
          <w:tcPr>
            <w:tcW w:w="5" w:type="pct"/>
            <w:shd w:val="clear" w:color="auto" w:fill="auto"/>
            <w:vAlign w:val="bottom"/>
          </w:tcPr>
          <w:p w14:paraId="0B2FB786" w14:textId="77777777" w:rsidR="007F1775" w:rsidRDefault="007F1775">
            <w:pPr>
              <w:rPr>
                <w:rFonts w:ascii="宋体"/>
              </w:rPr>
            </w:pPr>
          </w:p>
        </w:tc>
        <w:tc>
          <w:tcPr>
            <w:tcW w:w="27" w:type="pct"/>
            <w:shd w:val="clear" w:color="auto" w:fill="auto"/>
            <w:vAlign w:val="bottom"/>
          </w:tcPr>
          <w:p w14:paraId="0B2FB787" w14:textId="77777777" w:rsidR="007F1775" w:rsidRDefault="007F1775">
            <w:pPr>
              <w:rPr>
                <w:rFonts w:ascii="宋体"/>
              </w:rPr>
            </w:pPr>
          </w:p>
        </w:tc>
        <w:tc>
          <w:tcPr>
            <w:tcW w:w="5" w:type="pct"/>
            <w:shd w:val="clear" w:color="auto" w:fill="auto"/>
            <w:vAlign w:val="bottom"/>
          </w:tcPr>
          <w:p w14:paraId="0B2FB788" w14:textId="77777777" w:rsidR="007F1775" w:rsidRDefault="007F1775">
            <w:pPr>
              <w:rPr>
                <w:rFonts w:ascii="宋体"/>
              </w:rPr>
            </w:pPr>
          </w:p>
        </w:tc>
        <w:tc>
          <w:tcPr>
            <w:tcW w:w="50" w:type="pct"/>
            <w:shd w:val="clear" w:color="auto" w:fill="auto"/>
            <w:vAlign w:val="bottom"/>
          </w:tcPr>
          <w:p w14:paraId="0B2FB789" w14:textId="77777777" w:rsidR="007F1775" w:rsidRDefault="007F1775">
            <w:pPr>
              <w:rPr>
                <w:rFonts w:ascii="宋体"/>
              </w:rPr>
            </w:pPr>
          </w:p>
        </w:tc>
        <w:tc>
          <w:tcPr>
            <w:tcW w:w="593" w:type="pct"/>
            <w:shd w:val="clear" w:color="auto" w:fill="auto"/>
            <w:vAlign w:val="bottom"/>
          </w:tcPr>
          <w:p w14:paraId="0B2FB78A" w14:textId="77777777" w:rsidR="007F1775" w:rsidRDefault="007F1775">
            <w:pPr>
              <w:rPr>
                <w:rFonts w:ascii="宋体"/>
              </w:rPr>
            </w:pPr>
          </w:p>
        </w:tc>
        <w:tc>
          <w:tcPr>
            <w:tcW w:w="5" w:type="pct"/>
            <w:shd w:val="clear" w:color="auto" w:fill="auto"/>
            <w:vAlign w:val="bottom"/>
          </w:tcPr>
          <w:p w14:paraId="0B2FB78B" w14:textId="77777777" w:rsidR="007F1775" w:rsidRDefault="007F1775">
            <w:pPr>
              <w:rPr>
                <w:rFonts w:ascii="宋体"/>
              </w:rPr>
            </w:pPr>
          </w:p>
        </w:tc>
        <w:tc>
          <w:tcPr>
            <w:tcW w:w="0" w:type="auto"/>
            <w:shd w:val="clear" w:color="auto" w:fill="auto"/>
            <w:vAlign w:val="bottom"/>
          </w:tcPr>
          <w:p w14:paraId="0B2FB78C" w14:textId="77777777" w:rsidR="007F1775" w:rsidRDefault="007F1775">
            <w:pPr>
              <w:rPr>
                <w:rFonts w:ascii="宋体"/>
                <w:vanish/>
              </w:rPr>
            </w:pPr>
          </w:p>
        </w:tc>
        <w:tc>
          <w:tcPr>
            <w:tcW w:w="0" w:type="auto"/>
            <w:shd w:val="clear" w:color="auto" w:fill="auto"/>
            <w:vAlign w:val="bottom"/>
          </w:tcPr>
          <w:p w14:paraId="0B2FB78D" w14:textId="77777777" w:rsidR="007F1775" w:rsidRDefault="007F1775">
            <w:pPr>
              <w:rPr>
                <w:rFonts w:ascii="宋体"/>
                <w:vanish/>
              </w:rPr>
            </w:pPr>
          </w:p>
        </w:tc>
        <w:tc>
          <w:tcPr>
            <w:tcW w:w="0" w:type="auto"/>
            <w:shd w:val="clear" w:color="auto" w:fill="auto"/>
            <w:vAlign w:val="bottom"/>
          </w:tcPr>
          <w:p w14:paraId="0B2FB78E" w14:textId="77777777" w:rsidR="007F1775" w:rsidRDefault="007F1775">
            <w:pPr>
              <w:rPr>
                <w:rFonts w:ascii="宋体"/>
                <w:vanish/>
              </w:rPr>
            </w:pPr>
          </w:p>
        </w:tc>
        <w:tc>
          <w:tcPr>
            <w:tcW w:w="0" w:type="auto"/>
            <w:shd w:val="clear" w:color="auto" w:fill="auto"/>
            <w:vAlign w:val="bottom"/>
          </w:tcPr>
          <w:p w14:paraId="0B2FB78F" w14:textId="77777777" w:rsidR="007F1775" w:rsidRDefault="007F1775">
            <w:pPr>
              <w:rPr>
                <w:rFonts w:ascii="宋体"/>
                <w:vanish/>
              </w:rPr>
            </w:pPr>
          </w:p>
        </w:tc>
        <w:tc>
          <w:tcPr>
            <w:tcW w:w="0" w:type="auto"/>
            <w:gridSpan w:val="3"/>
            <w:shd w:val="clear" w:color="auto" w:fill="auto"/>
            <w:vAlign w:val="bottom"/>
          </w:tcPr>
          <w:p w14:paraId="0B2FB790" w14:textId="77777777" w:rsidR="007F1775" w:rsidRDefault="007F1775">
            <w:pPr>
              <w:rPr>
                <w:rFonts w:ascii="宋体"/>
                <w:vanish/>
              </w:rPr>
            </w:pPr>
          </w:p>
        </w:tc>
        <w:tc>
          <w:tcPr>
            <w:tcW w:w="0" w:type="auto"/>
            <w:gridSpan w:val="3"/>
            <w:shd w:val="clear" w:color="auto" w:fill="auto"/>
            <w:vAlign w:val="bottom"/>
          </w:tcPr>
          <w:p w14:paraId="0B2FB791" w14:textId="77777777" w:rsidR="007F1775" w:rsidRDefault="007F1775">
            <w:pPr>
              <w:rPr>
                <w:rFonts w:ascii="宋体"/>
                <w:vanish/>
              </w:rPr>
            </w:pPr>
          </w:p>
        </w:tc>
      </w:tr>
      <w:tr w:rsidR="007F1775" w14:paraId="0B2FB7A1" w14:textId="77777777">
        <w:tc>
          <w:tcPr>
            <w:tcW w:w="0" w:type="auto"/>
            <w:gridSpan w:val="3"/>
            <w:shd w:val="clear" w:color="auto" w:fill="auto"/>
            <w:tcMar>
              <w:top w:w="40" w:type="dxa"/>
              <w:left w:w="20" w:type="dxa"/>
              <w:bottom w:w="40" w:type="dxa"/>
              <w:right w:w="20" w:type="dxa"/>
            </w:tcMar>
            <w:vAlign w:val="bottom"/>
          </w:tcPr>
          <w:p w14:paraId="0B2FB793"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794"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0B2FB795"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796" w14:textId="77777777" w:rsidR="007F1775" w:rsidRDefault="000F083E">
            <w:pPr>
              <w:textAlignment w:val="bottom"/>
            </w:pPr>
            <w:r>
              <w:rPr>
                <w:rFonts w:ascii="Times New Roman" w:eastAsia="宋体" w:hAnsi="Times New Roman"/>
                <w:color w:val="000000"/>
                <w:sz w:val="16"/>
                <w:szCs w:val="16"/>
              </w:rPr>
              <w:t> </w:t>
            </w:r>
          </w:p>
        </w:tc>
        <w:tc>
          <w:tcPr>
            <w:tcW w:w="0" w:type="auto"/>
            <w:shd w:val="clear" w:color="auto" w:fill="auto"/>
            <w:vAlign w:val="bottom"/>
          </w:tcPr>
          <w:p w14:paraId="0B2FB797" w14:textId="77777777" w:rsidR="007F1775" w:rsidRDefault="007F1775">
            <w:pPr>
              <w:rPr>
                <w:rFonts w:ascii="宋体"/>
                <w:vanish/>
              </w:rPr>
            </w:pPr>
          </w:p>
        </w:tc>
        <w:tc>
          <w:tcPr>
            <w:tcW w:w="0" w:type="auto"/>
            <w:shd w:val="clear" w:color="auto" w:fill="auto"/>
            <w:vAlign w:val="bottom"/>
          </w:tcPr>
          <w:p w14:paraId="0B2FB798" w14:textId="77777777" w:rsidR="007F1775" w:rsidRDefault="007F1775">
            <w:pPr>
              <w:rPr>
                <w:rFonts w:ascii="宋体"/>
                <w:vanish/>
              </w:rPr>
            </w:pPr>
          </w:p>
        </w:tc>
        <w:tc>
          <w:tcPr>
            <w:tcW w:w="0" w:type="auto"/>
            <w:shd w:val="clear" w:color="auto" w:fill="auto"/>
            <w:vAlign w:val="bottom"/>
          </w:tcPr>
          <w:p w14:paraId="0B2FB799" w14:textId="77777777" w:rsidR="007F1775" w:rsidRDefault="007F1775">
            <w:pPr>
              <w:rPr>
                <w:rFonts w:ascii="宋体"/>
                <w:vanish/>
              </w:rPr>
            </w:pPr>
          </w:p>
        </w:tc>
        <w:tc>
          <w:tcPr>
            <w:tcW w:w="0" w:type="auto"/>
            <w:shd w:val="clear" w:color="auto" w:fill="auto"/>
            <w:vAlign w:val="bottom"/>
          </w:tcPr>
          <w:p w14:paraId="0B2FB79A" w14:textId="77777777" w:rsidR="007F1775" w:rsidRDefault="007F1775">
            <w:pPr>
              <w:rPr>
                <w:rFonts w:ascii="宋体"/>
                <w:vanish/>
              </w:rPr>
            </w:pPr>
          </w:p>
        </w:tc>
        <w:tc>
          <w:tcPr>
            <w:tcW w:w="0" w:type="auto"/>
            <w:shd w:val="clear" w:color="auto" w:fill="auto"/>
            <w:vAlign w:val="bottom"/>
          </w:tcPr>
          <w:p w14:paraId="0B2FB79B" w14:textId="77777777" w:rsidR="007F1775" w:rsidRDefault="007F1775">
            <w:pPr>
              <w:rPr>
                <w:rFonts w:ascii="宋体"/>
              </w:rPr>
            </w:pPr>
          </w:p>
        </w:tc>
        <w:tc>
          <w:tcPr>
            <w:tcW w:w="0" w:type="auto"/>
            <w:shd w:val="clear" w:color="auto" w:fill="auto"/>
            <w:vAlign w:val="bottom"/>
          </w:tcPr>
          <w:p w14:paraId="0B2FB79C" w14:textId="77777777" w:rsidR="007F1775" w:rsidRDefault="007F1775">
            <w:pPr>
              <w:rPr>
                <w:rFonts w:ascii="宋体"/>
              </w:rPr>
            </w:pPr>
          </w:p>
        </w:tc>
        <w:tc>
          <w:tcPr>
            <w:tcW w:w="0" w:type="auto"/>
            <w:shd w:val="clear" w:color="auto" w:fill="auto"/>
            <w:vAlign w:val="bottom"/>
          </w:tcPr>
          <w:p w14:paraId="0B2FB79D" w14:textId="77777777" w:rsidR="007F1775" w:rsidRDefault="007F1775">
            <w:pPr>
              <w:rPr>
                <w:rFonts w:ascii="宋体"/>
              </w:rPr>
            </w:pPr>
          </w:p>
        </w:tc>
        <w:tc>
          <w:tcPr>
            <w:tcW w:w="0" w:type="auto"/>
            <w:shd w:val="clear" w:color="auto" w:fill="auto"/>
            <w:vAlign w:val="bottom"/>
          </w:tcPr>
          <w:p w14:paraId="0B2FB79E" w14:textId="77777777" w:rsidR="007F1775" w:rsidRDefault="007F1775">
            <w:pPr>
              <w:rPr>
                <w:rFonts w:ascii="宋体"/>
              </w:rPr>
            </w:pPr>
          </w:p>
        </w:tc>
        <w:tc>
          <w:tcPr>
            <w:tcW w:w="0" w:type="auto"/>
            <w:shd w:val="clear" w:color="auto" w:fill="auto"/>
            <w:vAlign w:val="bottom"/>
          </w:tcPr>
          <w:p w14:paraId="0B2FB79F" w14:textId="77777777" w:rsidR="007F1775" w:rsidRDefault="007F1775">
            <w:pPr>
              <w:rPr>
                <w:rFonts w:ascii="宋体"/>
              </w:rPr>
            </w:pPr>
          </w:p>
        </w:tc>
        <w:tc>
          <w:tcPr>
            <w:tcW w:w="0" w:type="auto"/>
            <w:shd w:val="clear" w:color="auto" w:fill="auto"/>
            <w:vAlign w:val="bottom"/>
          </w:tcPr>
          <w:p w14:paraId="0B2FB7A0" w14:textId="77777777" w:rsidR="007F1775" w:rsidRDefault="007F1775">
            <w:pPr>
              <w:rPr>
                <w:rFonts w:ascii="宋体"/>
              </w:rPr>
            </w:pPr>
          </w:p>
        </w:tc>
      </w:tr>
      <w:tr w:rsidR="007F1775" w14:paraId="0B2FB7AE" w14:textId="77777777">
        <w:tc>
          <w:tcPr>
            <w:tcW w:w="0" w:type="auto"/>
            <w:gridSpan w:val="3"/>
            <w:shd w:val="clear" w:color="auto" w:fill="auto"/>
            <w:tcMar>
              <w:top w:w="40" w:type="dxa"/>
              <w:left w:w="20" w:type="dxa"/>
              <w:bottom w:w="40" w:type="dxa"/>
              <w:right w:w="20" w:type="dxa"/>
            </w:tcMar>
            <w:vAlign w:val="bottom"/>
          </w:tcPr>
          <w:p w14:paraId="0B2FB7A2"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7A3"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7A4"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7A5"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B2FB7A6"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7A7" w14:textId="77777777" w:rsidR="007F1775" w:rsidRDefault="000F083E">
            <w:pPr>
              <w:jc w:val="center"/>
              <w:textAlignment w:val="bottom"/>
            </w:pPr>
            <w:r>
              <w:rPr>
                <w:rFonts w:ascii="Times New Roman" w:eastAsia="宋体" w:hAnsi="Times New Roman"/>
                <w:b/>
                <w:bCs/>
                <w:color w:val="000000"/>
                <w:sz w:val="16"/>
                <w:szCs w:val="16"/>
              </w:rPr>
              <w:t>% change</w:t>
            </w:r>
          </w:p>
        </w:tc>
        <w:tc>
          <w:tcPr>
            <w:tcW w:w="0" w:type="auto"/>
            <w:shd w:val="clear" w:color="auto" w:fill="auto"/>
            <w:vAlign w:val="bottom"/>
          </w:tcPr>
          <w:p w14:paraId="0B2FB7A8" w14:textId="77777777" w:rsidR="007F1775" w:rsidRDefault="007F1775">
            <w:pPr>
              <w:rPr>
                <w:rFonts w:ascii="宋体"/>
                <w:vanish/>
              </w:rPr>
            </w:pPr>
          </w:p>
        </w:tc>
        <w:tc>
          <w:tcPr>
            <w:tcW w:w="0" w:type="auto"/>
            <w:shd w:val="clear" w:color="auto" w:fill="auto"/>
            <w:vAlign w:val="bottom"/>
          </w:tcPr>
          <w:p w14:paraId="0B2FB7A9" w14:textId="77777777" w:rsidR="007F1775" w:rsidRDefault="007F1775">
            <w:pPr>
              <w:rPr>
                <w:rFonts w:ascii="宋体"/>
                <w:vanish/>
              </w:rPr>
            </w:pPr>
          </w:p>
        </w:tc>
        <w:tc>
          <w:tcPr>
            <w:tcW w:w="0" w:type="auto"/>
            <w:shd w:val="clear" w:color="auto" w:fill="auto"/>
            <w:vAlign w:val="bottom"/>
          </w:tcPr>
          <w:p w14:paraId="0B2FB7AA" w14:textId="77777777" w:rsidR="007F1775" w:rsidRDefault="007F1775">
            <w:pPr>
              <w:rPr>
                <w:rFonts w:ascii="宋体"/>
                <w:vanish/>
              </w:rPr>
            </w:pPr>
          </w:p>
        </w:tc>
        <w:tc>
          <w:tcPr>
            <w:tcW w:w="0" w:type="auto"/>
            <w:shd w:val="clear" w:color="auto" w:fill="auto"/>
            <w:vAlign w:val="bottom"/>
          </w:tcPr>
          <w:p w14:paraId="0B2FB7AB" w14:textId="77777777" w:rsidR="007F1775" w:rsidRDefault="007F1775">
            <w:pPr>
              <w:rPr>
                <w:rFonts w:ascii="宋体"/>
                <w:vanish/>
              </w:rPr>
            </w:pPr>
          </w:p>
        </w:tc>
        <w:tc>
          <w:tcPr>
            <w:tcW w:w="0" w:type="auto"/>
            <w:gridSpan w:val="3"/>
            <w:shd w:val="clear" w:color="auto" w:fill="auto"/>
            <w:vAlign w:val="bottom"/>
          </w:tcPr>
          <w:p w14:paraId="0B2FB7AC" w14:textId="77777777" w:rsidR="007F1775" w:rsidRDefault="007F1775">
            <w:pPr>
              <w:rPr>
                <w:rFonts w:ascii="宋体"/>
                <w:vanish/>
              </w:rPr>
            </w:pPr>
          </w:p>
        </w:tc>
        <w:tc>
          <w:tcPr>
            <w:tcW w:w="0" w:type="auto"/>
            <w:gridSpan w:val="3"/>
            <w:shd w:val="clear" w:color="auto" w:fill="auto"/>
            <w:vAlign w:val="bottom"/>
          </w:tcPr>
          <w:p w14:paraId="0B2FB7AD" w14:textId="77777777" w:rsidR="007F1775" w:rsidRDefault="007F1775">
            <w:pPr>
              <w:rPr>
                <w:rFonts w:ascii="宋体"/>
                <w:vanish/>
              </w:rPr>
            </w:pPr>
          </w:p>
        </w:tc>
      </w:tr>
      <w:tr w:rsidR="007F1775" w14:paraId="0B2FB7BB" w14:textId="77777777">
        <w:trPr>
          <w:trHeight w:val="60"/>
        </w:trPr>
        <w:tc>
          <w:tcPr>
            <w:tcW w:w="0" w:type="auto"/>
            <w:gridSpan w:val="3"/>
            <w:shd w:val="clear" w:color="auto" w:fill="auto"/>
            <w:tcMar>
              <w:top w:w="0" w:type="dxa"/>
              <w:left w:w="20" w:type="dxa"/>
              <w:bottom w:w="0" w:type="dxa"/>
              <w:right w:w="20" w:type="dxa"/>
            </w:tcMar>
            <w:vAlign w:val="bottom"/>
          </w:tcPr>
          <w:p w14:paraId="0B2FB7AF"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7B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7B1"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7B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7B3"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7B4" w14:textId="77777777" w:rsidR="007F1775" w:rsidRDefault="007F1775">
            <w:pPr>
              <w:rPr>
                <w:rFonts w:ascii="宋体"/>
              </w:rPr>
            </w:pPr>
          </w:p>
        </w:tc>
        <w:tc>
          <w:tcPr>
            <w:tcW w:w="0" w:type="auto"/>
            <w:shd w:val="clear" w:color="auto" w:fill="auto"/>
            <w:vAlign w:val="bottom"/>
          </w:tcPr>
          <w:p w14:paraId="0B2FB7B5" w14:textId="77777777" w:rsidR="007F1775" w:rsidRDefault="007F1775">
            <w:pPr>
              <w:rPr>
                <w:rFonts w:ascii="宋体"/>
                <w:vanish/>
              </w:rPr>
            </w:pPr>
          </w:p>
        </w:tc>
        <w:tc>
          <w:tcPr>
            <w:tcW w:w="0" w:type="auto"/>
            <w:shd w:val="clear" w:color="auto" w:fill="auto"/>
            <w:vAlign w:val="bottom"/>
          </w:tcPr>
          <w:p w14:paraId="0B2FB7B6" w14:textId="77777777" w:rsidR="007F1775" w:rsidRDefault="007F1775">
            <w:pPr>
              <w:rPr>
                <w:rFonts w:ascii="宋体"/>
                <w:vanish/>
              </w:rPr>
            </w:pPr>
          </w:p>
        </w:tc>
        <w:tc>
          <w:tcPr>
            <w:tcW w:w="0" w:type="auto"/>
            <w:shd w:val="clear" w:color="auto" w:fill="auto"/>
            <w:vAlign w:val="bottom"/>
          </w:tcPr>
          <w:p w14:paraId="0B2FB7B7" w14:textId="77777777" w:rsidR="007F1775" w:rsidRDefault="007F1775">
            <w:pPr>
              <w:rPr>
                <w:rFonts w:ascii="宋体"/>
                <w:vanish/>
              </w:rPr>
            </w:pPr>
          </w:p>
        </w:tc>
        <w:tc>
          <w:tcPr>
            <w:tcW w:w="0" w:type="auto"/>
            <w:shd w:val="clear" w:color="auto" w:fill="auto"/>
            <w:vAlign w:val="bottom"/>
          </w:tcPr>
          <w:p w14:paraId="0B2FB7B8" w14:textId="77777777" w:rsidR="007F1775" w:rsidRDefault="007F1775">
            <w:pPr>
              <w:rPr>
                <w:rFonts w:ascii="宋体"/>
                <w:vanish/>
              </w:rPr>
            </w:pPr>
          </w:p>
        </w:tc>
        <w:tc>
          <w:tcPr>
            <w:tcW w:w="0" w:type="auto"/>
            <w:gridSpan w:val="3"/>
            <w:shd w:val="clear" w:color="auto" w:fill="auto"/>
            <w:vAlign w:val="bottom"/>
          </w:tcPr>
          <w:p w14:paraId="0B2FB7B9" w14:textId="77777777" w:rsidR="007F1775" w:rsidRDefault="007F1775">
            <w:pPr>
              <w:rPr>
                <w:rFonts w:ascii="宋体"/>
                <w:vanish/>
              </w:rPr>
            </w:pPr>
          </w:p>
        </w:tc>
        <w:tc>
          <w:tcPr>
            <w:tcW w:w="0" w:type="auto"/>
            <w:gridSpan w:val="3"/>
            <w:shd w:val="clear" w:color="auto" w:fill="auto"/>
            <w:vAlign w:val="bottom"/>
          </w:tcPr>
          <w:p w14:paraId="0B2FB7BA" w14:textId="77777777" w:rsidR="007F1775" w:rsidRDefault="007F1775">
            <w:pPr>
              <w:rPr>
                <w:rFonts w:ascii="宋体"/>
                <w:vanish/>
              </w:rPr>
            </w:pPr>
          </w:p>
        </w:tc>
      </w:tr>
      <w:tr w:rsidR="007F1775" w14:paraId="0B2FB7C6" w14:textId="77777777">
        <w:tc>
          <w:tcPr>
            <w:tcW w:w="0" w:type="auto"/>
            <w:gridSpan w:val="3"/>
            <w:shd w:val="clear" w:color="auto" w:fill="auto"/>
            <w:tcMar>
              <w:top w:w="40" w:type="dxa"/>
              <w:left w:w="20" w:type="dxa"/>
              <w:bottom w:w="40" w:type="dxa"/>
              <w:right w:w="20" w:type="dxa"/>
            </w:tcMar>
            <w:vAlign w:val="bottom"/>
          </w:tcPr>
          <w:p w14:paraId="0B2FB7BC"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7BD" w14:textId="77777777" w:rsidR="007F1775" w:rsidRDefault="000F083E">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B2FB7B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7BF" w14:textId="77777777" w:rsidR="007F1775" w:rsidRDefault="007F1775">
            <w:pPr>
              <w:rPr>
                <w:rFonts w:ascii="宋体"/>
              </w:rPr>
            </w:pPr>
          </w:p>
        </w:tc>
        <w:tc>
          <w:tcPr>
            <w:tcW w:w="0" w:type="auto"/>
            <w:shd w:val="clear" w:color="auto" w:fill="auto"/>
            <w:vAlign w:val="bottom"/>
          </w:tcPr>
          <w:p w14:paraId="0B2FB7C0" w14:textId="77777777" w:rsidR="007F1775" w:rsidRDefault="007F1775">
            <w:pPr>
              <w:rPr>
                <w:rFonts w:ascii="宋体"/>
                <w:vanish/>
              </w:rPr>
            </w:pPr>
          </w:p>
        </w:tc>
        <w:tc>
          <w:tcPr>
            <w:tcW w:w="0" w:type="auto"/>
            <w:shd w:val="clear" w:color="auto" w:fill="auto"/>
            <w:vAlign w:val="bottom"/>
          </w:tcPr>
          <w:p w14:paraId="0B2FB7C1" w14:textId="77777777" w:rsidR="007F1775" w:rsidRDefault="007F1775">
            <w:pPr>
              <w:rPr>
                <w:rFonts w:ascii="宋体"/>
                <w:vanish/>
              </w:rPr>
            </w:pPr>
          </w:p>
        </w:tc>
        <w:tc>
          <w:tcPr>
            <w:tcW w:w="0" w:type="auto"/>
            <w:shd w:val="clear" w:color="auto" w:fill="auto"/>
            <w:vAlign w:val="bottom"/>
          </w:tcPr>
          <w:p w14:paraId="0B2FB7C2" w14:textId="77777777" w:rsidR="007F1775" w:rsidRDefault="007F1775">
            <w:pPr>
              <w:rPr>
                <w:rFonts w:ascii="宋体"/>
                <w:vanish/>
              </w:rPr>
            </w:pPr>
          </w:p>
        </w:tc>
        <w:tc>
          <w:tcPr>
            <w:tcW w:w="0" w:type="auto"/>
            <w:shd w:val="clear" w:color="auto" w:fill="auto"/>
            <w:vAlign w:val="bottom"/>
          </w:tcPr>
          <w:p w14:paraId="0B2FB7C3" w14:textId="77777777" w:rsidR="007F1775" w:rsidRDefault="007F1775">
            <w:pPr>
              <w:rPr>
                <w:rFonts w:ascii="宋体"/>
                <w:vanish/>
              </w:rPr>
            </w:pPr>
          </w:p>
        </w:tc>
        <w:tc>
          <w:tcPr>
            <w:tcW w:w="0" w:type="auto"/>
            <w:gridSpan w:val="3"/>
            <w:shd w:val="clear" w:color="auto" w:fill="auto"/>
            <w:vAlign w:val="bottom"/>
          </w:tcPr>
          <w:p w14:paraId="0B2FB7C4" w14:textId="77777777" w:rsidR="007F1775" w:rsidRDefault="007F1775">
            <w:pPr>
              <w:rPr>
                <w:rFonts w:ascii="宋体"/>
                <w:vanish/>
              </w:rPr>
            </w:pPr>
          </w:p>
        </w:tc>
        <w:tc>
          <w:tcPr>
            <w:tcW w:w="0" w:type="auto"/>
            <w:gridSpan w:val="3"/>
            <w:shd w:val="clear" w:color="auto" w:fill="auto"/>
            <w:vAlign w:val="bottom"/>
          </w:tcPr>
          <w:p w14:paraId="0B2FB7C5" w14:textId="77777777" w:rsidR="007F1775" w:rsidRDefault="007F1775">
            <w:pPr>
              <w:rPr>
                <w:rFonts w:ascii="宋体"/>
                <w:vanish/>
              </w:rPr>
            </w:pPr>
          </w:p>
        </w:tc>
      </w:tr>
      <w:tr w:rsidR="007F1775" w14:paraId="0B2FB7D3" w14:textId="77777777">
        <w:trPr>
          <w:hidden/>
        </w:trPr>
        <w:tc>
          <w:tcPr>
            <w:tcW w:w="0" w:type="auto"/>
            <w:gridSpan w:val="3"/>
            <w:shd w:val="clear" w:color="auto" w:fill="auto"/>
            <w:vAlign w:val="bottom"/>
          </w:tcPr>
          <w:p w14:paraId="0B2FB7C7" w14:textId="77777777" w:rsidR="007F1775" w:rsidRDefault="007F1775">
            <w:pPr>
              <w:rPr>
                <w:rFonts w:ascii="宋体"/>
                <w:vanish/>
              </w:rPr>
            </w:pPr>
          </w:p>
        </w:tc>
        <w:tc>
          <w:tcPr>
            <w:tcW w:w="0" w:type="auto"/>
            <w:gridSpan w:val="3"/>
            <w:shd w:val="clear" w:color="auto" w:fill="auto"/>
            <w:vAlign w:val="bottom"/>
          </w:tcPr>
          <w:p w14:paraId="0B2FB7C8" w14:textId="77777777" w:rsidR="007F1775" w:rsidRDefault="007F1775">
            <w:pPr>
              <w:rPr>
                <w:rFonts w:ascii="宋体"/>
                <w:vanish/>
              </w:rPr>
            </w:pPr>
          </w:p>
        </w:tc>
        <w:tc>
          <w:tcPr>
            <w:tcW w:w="0" w:type="auto"/>
            <w:gridSpan w:val="3"/>
            <w:shd w:val="clear" w:color="auto" w:fill="auto"/>
            <w:vAlign w:val="bottom"/>
          </w:tcPr>
          <w:p w14:paraId="0B2FB7C9" w14:textId="77777777" w:rsidR="007F1775" w:rsidRDefault="007F1775">
            <w:pPr>
              <w:rPr>
                <w:rFonts w:ascii="宋体"/>
                <w:vanish/>
              </w:rPr>
            </w:pPr>
          </w:p>
        </w:tc>
        <w:tc>
          <w:tcPr>
            <w:tcW w:w="0" w:type="auto"/>
            <w:gridSpan w:val="3"/>
            <w:shd w:val="clear" w:color="auto" w:fill="auto"/>
            <w:vAlign w:val="bottom"/>
          </w:tcPr>
          <w:p w14:paraId="0B2FB7CA" w14:textId="77777777" w:rsidR="007F1775" w:rsidRDefault="007F1775">
            <w:pPr>
              <w:rPr>
                <w:rFonts w:ascii="宋体"/>
                <w:vanish/>
              </w:rPr>
            </w:pPr>
          </w:p>
        </w:tc>
        <w:tc>
          <w:tcPr>
            <w:tcW w:w="0" w:type="auto"/>
            <w:gridSpan w:val="3"/>
            <w:shd w:val="clear" w:color="auto" w:fill="auto"/>
            <w:vAlign w:val="bottom"/>
          </w:tcPr>
          <w:p w14:paraId="0B2FB7CB" w14:textId="77777777" w:rsidR="007F1775" w:rsidRDefault="007F1775">
            <w:pPr>
              <w:rPr>
                <w:rFonts w:ascii="宋体"/>
                <w:vanish/>
              </w:rPr>
            </w:pPr>
          </w:p>
        </w:tc>
        <w:tc>
          <w:tcPr>
            <w:tcW w:w="0" w:type="auto"/>
            <w:gridSpan w:val="3"/>
            <w:shd w:val="clear" w:color="auto" w:fill="auto"/>
            <w:vAlign w:val="bottom"/>
          </w:tcPr>
          <w:p w14:paraId="0B2FB7CC" w14:textId="77777777" w:rsidR="007F1775" w:rsidRDefault="007F1775">
            <w:pPr>
              <w:rPr>
                <w:rFonts w:ascii="宋体"/>
                <w:vanish/>
              </w:rPr>
            </w:pPr>
          </w:p>
        </w:tc>
        <w:tc>
          <w:tcPr>
            <w:tcW w:w="0" w:type="auto"/>
            <w:shd w:val="clear" w:color="auto" w:fill="auto"/>
            <w:vAlign w:val="bottom"/>
          </w:tcPr>
          <w:p w14:paraId="0B2FB7CD" w14:textId="77777777" w:rsidR="007F1775" w:rsidRDefault="007F1775">
            <w:pPr>
              <w:rPr>
                <w:rFonts w:ascii="宋体"/>
                <w:vanish/>
              </w:rPr>
            </w:pPr>
          </w:p>
        </w:tc>
        <w:tc>
          <w:tcPr>
            <w:tcW w:w="0" w:type="auto"/>
            <w:shd w:val="clear" w:color="auto" w:fill="auto"/>
            <w:vAlign w:val="bottom"/>
          </w:tcPr>
          <w:p w14:paraId="0B2FB7CE" w14:textId="77777777" w:rsidR="007F1775" w:rsidRDefault="007F1775">
            <w:pPr>
              <w:rPr>
                <w:rFonts w:ascii="宋体"/>
                <w:vanish/>
              </w:rPr>
            </w:pPr>
          </w:p>
        </w:tc>
        <w:tc>
          <w:tcPr>
            <w:tcW w:w="0" w:type="auto"/>
            <w:shd w:val="clear" w:color="auto" w:fill="auto"/>
            <w:vAlign w:val="bottom"/>
          </w:tcPr>
          <w:p w14:paraId="0B2FB7CF" w14:textId="77777777" w:rsidR="007F1775" w:rsidRDefault="007F1775">
            <w:pPr>
              <w:rPr>
                <w:rFonts w:ascii="宋体"/>
                <w:vanish/>
              </w:rPr>
            </w:pPr>
          </w:p>
        </w:tc>
        <w:tc>
          <w:tcPr>
            <w:tcW w:w="0" w:type="auto"/>
            <w:shd w:val="clear" w:color="auto" w:fill="auto"/>
            <w:vAlign w:val="bottom"/>
          </w:tcPr>
          <w:p w14:paraId="0B2FB7D0" w14:textId="77777777" w:rsidR="007F1775" w:rsidRDefault="007F1775">
            <w:pPr>
              <w:rPr>
                <w:rFonts w:ascii="宋体"/>
                <w:vanish/>
              </w:rPr>
            </w:pPr>
          </w:p>
        </w:tc>
        <w:tc>
          <w:tcPr>
            <w:tcW w:w="0" w:type="auto"/>
            <w:gridSpan w:val="3"/>
            <w:shd w:val="clear" w:color="auto" w:fill="auto"/>
            <w:vAlign w:val="bottom"/>
          </w:tcPr>
          <w:p w14:paraId="0B2FB7D1" w14:textId="77777777" w:rsidR="007F1775" w:rsidRDefault="007F1775">
            <w:pPr>
              <w:rPr>
                <w:rFonts w:ascii="宋体"/>
                <w:vanish/>
              </w:rPr>
            </w:pPr>
          </w:p>
        </w:tc>
        <w:tc>
          <w:tcPr>
            <w:tcW w:w="0" w:type="auto"/>
            <w:gridSpan w:val="3"/>
            <w:shd w:val="clear" w:color="auto" w:fill="auto"/>
            <w:vAlign w:val="bottom"/>
          </w:tcPr>
          <w:p w14:paraId="0B2FB7D2" w14:textId="77777777" w:rsidR="007F1775" w:rsidRDefault="007F1775">
            <w:pPr>
              <w:rPr>
                <w:rFonts w:ascii="宋体"/>
                <w:vanish/>
              </w:rPr>
            </w:pPr>
          </w:p>
        </w:tc>
      </w:tr>
      <w:tr w:rsidR="007F1775" w14:paraId="0B2FB7E0" w14:textId="77777777">
        <w:trPr>
          <w:hidden/>
        </w:trPr>
        <w:tc>
          <w:tcPr>
            <w:tcW w:w="0" w:type="auto"/>
            <w:gridSpan w:val="3"/>
            <w:shd w:val="clear" w:color="auto" w:fill="auto"/>
            <w:vAlign w:val="bottom"/>
          </w:tcPr>
          <w:p w14:paraId="0B2FB7D4" w14:textId="77777777" w:rsidR="007F1775" w:rsidRDefault="007F1775">
            <w:pPr>
              <w:rPr>
                <w:rFonts w:ascii="宋体"/>
                <w:vanish/>
              </w:rPr>
            </w:pPr>
          </w:p>
        </w:tc>
        <w:tc>
          <w:tcPr>
            <w:tcW w:w="0" w:type="auto"/>
            <w:gridSpan w:val="3"/>
            <w:shd w:val="clear" w:color="auto" w:fill="auto"/>
            <w:vAlign w:val="bottom"/>
          </w:tcPr>
          <w:p w14:paraId="0B2FB7D5" w14:textId="77777777" w:rsidR="007F1775" w:rsidRDefault="007F1775">
            <w:pPr>
              <w:rPr>
                <w:rFonts w:ascii="宋体"/>
                <w:vanish/>
              </w:rPr>
            </w:pPr>
          </w:p>
        </w:tc>
        <w:tc>
          <w:tcPr>
            <w:tcW w:w="0" w:type="auto"/>
            <w:gridSpan w:val="3"/>
            <w:shd w:val="clear" w:color="auto" w:fill="auto"/>
            <w:vAlign w:val="bottom"/>
          </w:tcPr>
          <w:p w14:paraId="0B2FB7D6" w14:textId="77777777" w:rsidR="007F1775" w:rsidRDefault="007F1775">
            <w:pPr>
              <w:rPr>
                <w:rFonts w:ascii="宋体"/>
                <w:vanish/>
              </w:rPr>
            </w:pPr>
          </w:p>
        </w:tc>
        <w:tc>
          <w:tcPr>
            <w:tcW w:w="0" w:type="auto"/>
            <w:gridSpan w:val="3"/>
            <w:shd w:val="clear" w:color="auto" w:fill="auto"/>
            <w:vAlign w:val="bottom"/>
          </w:tcPr>
          <w:p w14:paraId="0B2FB7D7" w14:textId="77777777" w:rsidR="007F1775" w:rsidRDefault="007F1775">
            <w:pPr>
              <w:rPr>
                <w:rFonts w:ascii="宋体"/>
                <w:vanish/>
              </w:rPr>
            </w:pPr>
          </w:p>
        </w:tc>
        <w:tc>
          <w:tcPr>
            <w:tcW w:w="0" w:type="auto"/>
            <w:gridSpan w:val="3"/>
            <w:shd w:val="clear" w:color="auto" w:fill="auto"/>
            <w:vAlign w:val="bottom"/>
          </w:tcPr>
          <w:p w14:paraId="0B2FB7D8" w14:textId="77777777" w:rsidR="007F1775" w:rsidRDefault="007F1775">
            <w:pPr>
              <w:rPr>
                <w:rFonts w:ascii="宋体"/>
                <w:vanish/>
              </w:rPr>
            </w:pPr>
          </w:p>
        </w:tc>
        <w:tc>
          <w:tcPr>
            <w:tcW w:w="0" w:type="auto"/>
            <w:gridSpan w:val="3"/>
            <w:shd w:val="clear" w:color="auto" w:fill="auto"/>
            <w:vAlign w:val="bottom"/>
          </w:tcPr>
          <w:p w14:paraId="0B2FB7D9" w14:textId="77777777" w:rsidR="007F1775" w:rsidRDefault="007F1775">
            <w:pPr>
              <w:rPr>
                <w:rFonts w:ascii="宋体"/>
                <w:vanish/>
              </w:rPr>
            </w:pPr>
          </w:p>
        </w:tc>
        <w:tc>
          <w:tcPr>
            <w:tcW w:w="0" w:type="auto"/>
            <w:shd w:val="clear" w:color="auto" w:fill="auto"/>
            <w:vAlign w:val="bottom"/>
          </w:tcPr>
          <w:p w14:paraId="0B2FB7DA" w14:textId="77777777" w:rsidR="007F1775" w:rsidRDefault="007F1775">
            <w:pPr>
              <w:rPr>
                <w:rFonts w:ascii="宋体"/>
                <w:vanish/>
              </w:rPr>
            </w:pPr>
          </w:p>
        </w:tc>
        <w:tc>
          <w:tcPr>
            <w:tcW w:w="0" w:type="auto"/>
            <w:shd w:val="clear" w:color="auto" w:fill="auto"/>
            <w:vAlign w:val="bottom"/>
          </w:tcPr>
          <w:p w14:paraId="0B2FB7DB" w14:textId="77777777" w:rsidR="007F1775" w:rsidRDefault="007F1775">
            <w:pPr>
              <w:rPr>
                <w:rFonts w:ascii="宋体"/>
                <w:vanish/>
              </w:rPr>
            </w:pPr>
          </w:p>
        </w:tc>
        <w:tc>
          <w:tcPr>
            <w:tcW w:w="0" w:type="auto"/>
            <w:shd w:val="clear" w:color="auto" w:fill="auto"/>
            <w:vAlign w:val="bottom"/>
          </w:tcPr>
          <w:p w14:paraId="0B2FB7DC" w14:textId="77777777" w:rsidR="007F1775" w:rsidRDefault="007F1775">
            <w:pPr>
              <w:rPr>
                <w:rFonts w:ascii="宋体"/>
                <w:vanish/>
              </w:rPr>
            </w:pPr>
          </w:p>
        </w:tc>
        <w:tc>
          <w:tcPr>
            <w:tcW w:w="0" w:type="auto"/>
            <w:shd w:val="clear" w:color="auto" w:fill="auto"/>
            <w:vAlign w:val="bottom"/>
          </w:tcPr>
          <w:p w14:paraId="0B2FB7DD" w14:textId="77777777" w:rsidR="007F1775" w:rsidRDefault="007F1775">
            <w:pPr>
              <w:rPr>
                <w:rFonts w:ascii="宋体"/>
                <w:vanish/>
              </w:rPr>
            </w:pPr>
          </w:p>
        </w:tc>
        <w:tc>
          <w:tcPr>
            <w:tcW w:w="0" w:type="auto"/>
            <w:gridSpan w:val="3"/>
            <w:shd w:val="clear" w:color="auto" w:fill="auto"/>
            <w:vAlign w:val="bottom"/>
          </w:tcPr>
          <w:p w14:paraId="0B2FB7DE" w14:textId="77777777" w:rsidR="007F1775" w:rsidRDefault="007F1775">
            <w:pPr>
              <w:rPr>
                <w:rFonts w:ascii="宋体"/>
                <w:vanish/>
              </w:rPr>
            </w:pPr>
          </w:p>
        </w:tc>
        <w:tc>
          <w:tcPr>
            <w:tcW w:w="0" w:type="auto"/>
            <w:gridSpan w:val="3"/>
            <w:shd w:val="clear" w:color="auto" w:fill="auto"/>
            <w:vAlign w:val="bottom"/>
          </w:tcPr>
          <w:p w14:paraId="0B2FB7DF" w14:textId="77777777" w:rsidR="007F1775" w:rsidRDefault="007F1775">
            <w:pPr>
              <w:rPr>
                <w:rFonts w:ascii="宋体"/>
                <w:vanish/>
              </w:rPr>
            </w:pPr>
          </w:p>
        </w:tc>
      </w:tr>
      <w:tr w:rsidR="007F1775" w14:paraId="0B2FB7F2" w14:textId="77777777">
        <w:tc>
          <w:tcPr>
            <w:tcW w:w="0" w:type="auto"/>
            <w:gridSpan w:val="3"/>
            <w:shd w:val="clear" w:color="auto" w:fill="CCEEFF"/>
            <w:tcMar>
              <w:top w:w="40" w:type="dxa"/>
              <w:left w:w="20" w:type="dxa"/>
              <w:bottom w:w="40" w:type="dxa"/>
              <w:right w:w="20" w:type="dxa"/>
            </w:tcMar>
          </w:tcPr>
          <w:p w14:paraId="0B2FB7E1" w14:textId="77777777" w:rsidR="007F1775" w:rsidRDefault="000F083E">
            <w:pPr>
              <w:textAlignment w:val="top"/>
            </w:pPr>
            <w:r>
              <w:rPr>
                <w:rFonts w:ascii="Times New Roman" w:eastAsia="宋体" w:hAnsi="Times New Roman"/>
                <w:color w:val="000000"/>
                <w:sz w:val="20"/>
                <w:szCs w:val="20"/>
              </w:rPr>
              <w:t>General and administrative</w:t>
            </w:r>
          </w:p>
        </w:tc>
        <w:tc>
          <w:tcPr>
            <w:tcW w:w="0" w:type="auto"/>
            <w:shd w:val="clear" w:color="auto" w:fill="CCEEFF"/>
            <w:tcMar>
              <w:top w:w="40" w:type="dxa"/>
              <w:left w:w="20" w:type="dxa"/>
              <w:bottom w:w="40" w:type="dxa"/>
              <w:right w:w="0" w:type="dxa"/>
            </w:tcMar>
            <w:vAlign w:val="bottom"/>
          </w:tcPr>
          <w:p w14:paraId="0B2FB7E2"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7E3" w14:textId="77777777" w:rsidR="007F1775" w:rsidRDefault="000F083E">
            <w:pPr>
              <w:jc w:val="right"/>
              <w:textAlignment w:val="bottom"/>
            </w:pPr>
            <w:r>
              <w:rPr>
                <w:rFonts w:ascii="Times New Roman" w:eastAsia="宋体" w:hAnsi="Times New Roman"/>
                <w:color w:val="000000"/>
                <w:sz w:val="20"/>
                <w:szCs w:val="20"/>
              </w:rPr>
              <w:t>2,360 </w:t>
            </w:r>
          </w:p>
        </w:tc>
        <w:tc>
          <w:tcPr>
            <w:tcW w:w="0" w:type="auto"/>
            <w:shd w:val="clear" w:color="auto" w:fill="CCEEFF"/>
            <w:tcMar>
              <w:top w:w="40" w:type="dxa"/>
              <w:left w:w="0" w:type="dxa"/>
              <w:bottom w:w="40" w:type="dxa"/>
              <w:right w:w="20" w:type="dxa"/>
            </w:tcMar>
            <w:vAlign w:val="bottom"/>
          </w:tcPr>
          <w:p w14:paraId="0B2FB7E4"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7E5"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7E6"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7E7" w14:textId="77777777" w:rsidR="007F1775" w:rsidRDefault="000F083E">
            <w:pPr>
              <w:jc w:val="right"/>
              <w:textAlignment w:val="bottom"/>
            </w:pPr>
            <w:r>
              <w:rPr>
                <w:rFonts w:ascii="Times New Roman" w:eastAsia="宋体" w:hAnsi="Times New Roman"/>
                <w:color w:val="000000"/>
                <w:sz w:val="20"/>
                <w:szCs w:val="20"/>
              </w:rPr>
              <w:t>1,622 </w:t>
            </w:r>
          </w:p>
        </w:tc>
        <w:tc>
          <w:tcPr>
            <w:tcW w:w="0" w:type="auto"/>
            <w:shd w:val="clear" w:color="auto" w:fill="CCEEFF"/>
            <w:tcMar>
              <w:top w:w="40" w:type="dxa"/>
              <w:left w:w="0" w:type="dxa"/>
              <w:bottom w:w="40" w:type="dxa"/>
              <w:right w:w="20" w:type="dxa"/>
            </w:tcMar>
            <w:vAlign w:val="bottom"/>
          </w:tcPr>
          <w:p w14:paraId="0B2FB7E8"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7E9"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7EA" w14:textId="77777777" w:rsidR="007F1775" w:rsidRDefault="000F083E">
            <w:pPr>
              <w:jc w:val="right"/>
              <w:textAlignment w:val="bottom"/>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bottom"/>
          </w:tcPr>
          <w:p w14:paraId="0B2FB7EB"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7EC" w14:textId="77777777" w:rsidR="007F1775" w:rsidRDefault="007F1775">
            <w:pPr>
              <w:rPr>
                <w:rFonts w:ascii="宋体"/>
                <w:vanish/>
              </w:rPr>
            </w:pPr>
          </w:p>
        </w:tc>
        <w:tc>
          <w:tcPr>
            <w:tcW w:w="0" w:type="auto"/>
            <w:shd w:val="clear" w:color="auto" w:fill="auto"/>
            <w:vAlign w:val="bottom"/>
          </w:tcPr>
          <w:p w14:paraId="0B2FB7ED" w14:textId="77777777" w:rsidR="007F1775" w:rsidRDefault="007F1775">
            <w:pPr>
              <w:rPr>
                <w:rFonts w:ascii="宋体"/>
                <w:vanish/>
              </w:rPr>
            </w:pPr>
          </w:p>
        </w:tc>
        <w:tc>
          <w:tcPr>
            <w:tcW w:w="0" w:type="auto"/>
            <w:shd w:val="clear" w:color="auto" w:fill="auto"/>
            <w:vAlign w:val="bottom"/>
          </w:tcPr>
          <w:p w14:paraId="0B2FB7EE" w14:textId="77777777" w:rsidR="007F1775" w:rsidRDefault="007F1775">
            <w:pPr>
              <w:rPr>
                <w:rFonts w:ascii="宋体"/>
                <w:vanish/>
              </w:rPr>
            </w:pPr>
          </w:p>
        </w:tc>
        <w:tc>
          <w:tcPr>
            <w:tcW w:w="0" w:type="auto"/>
            <w:shd w:val="clear" w:color="auto" w:fill="auto"/>
            <w:vAlign w:val="bottom"/>
          </w:tcPr>
          <w:p w14:paraId="0B2FB7EF" w14:textId="77777777" w:rsidR="007F1775" w:rsidRDefault="007F1775">
            <w:pPr>
              <w:rPr>
                <w:rFonts w:ascii="宋体"/>
                <w:vanish/>
              </w:rPr>
            </w:pPr>
          </w:p>
        </w:tc>
        <w:tc>
          <w:tcPr>
            <w:tcW w:w="0" w:type="auto"/>
            <w:gridSpan w:val="3"/>
            <w:shd w:val="clear" w:color="auto" w:fill="auto"/>
            <w:vAlign w:val="bottom"/>
          </w:tcPr>
          <w:p w14:paraId="0B2FB7F0" w14:textId="77777777" w:rsidR="007F1775" w:rsidRDefault="007F1775">
            <w:pPr>
              <w:rPr>
                <w:rFonts w:ascii="宋体"/>
                <w:vanish/>
              </w:rPr>
            </w:pPr>
          </w:p>
        </w:tc>
        <w:tc>
          <w:tcPr>
            <w:tcW w:w="0" w:type="auto"/>
            <w:gridSpan w:val="3"/>
            <w:shd w:val="clear" w:color="auto" w:fill="auto"/>
            <w:vAlign w:val="bottom"/>
          </w:tcPr>
          <w:p w14:paraId="0B2FB7F1" w14:textId="77777777" w:rsidR="007F1775" w:rsidRDefault="007F1775">
            <w:pPr>
              <w:rPr>
                <w:rFonts w:ascii="宋体"/>
                <w:vanish/>
              </w:rPr>
            </w:pPr>
          </w:p>
        </w:tc>
      </w:tr>
      <w:tr w:rsidR="007F1775" w14:paraId="0B2FB801" w14:textId="77777777">
        <w:tc>
          <w:tcPr>
            <w:tcW w:w="0" w:type="auto"/>
            <w:gridSpan w:val="3"/>
            <w:shd w:val="clear" w:color="auto" w:fill="auto"/>
            <w:tcMar>
              <w:top w:w="40" w:type="dxa"/>
              <w:left w:w="20" w:type="dxa"/>
              <w:bottom w:w="40" w:type="dxa"/>
              <w:right w:w="20" w:type="dxa"/>
            </w:tcMar>
          </w:tcPr>
          <w:p w14:paraId="0B2FB7F3" w14:textId="77777777" w:rsidR="007F1775" w:rsidRDefault="000F083E">
            <w:pPr>
              <w:textAlignment w:val="top"/>
            </w:pPr>
            <w:r>
              <w:rPr>
                <w:rFonts w:ascii="Times New Roman" w:eastAsia="宋体" w:hAnsi="Times New Roman"/>
                <w:color w:val="000000"/>
                <w:sz w:val="20"/>
                <w:szCs w:val="20"/>
              </w:rPr>
              <w:t>Percentage of revenue</w:t>
            </w:r>
          </w:p>
        </w:tc>
        <w:tc>
          <w:tcPr>
            <w:tcW w:w="0" w:type="auto"/>
            <w:gridSpan w:val="2"/>
            <w:shd w:val="clear" w:color="auto" w:fill="auto"/>
            <w:tcMar>
              <w:top w:w="40" w:type="dxa"/>
              <w:left w:w="20" w:type="dxa"/>
              <w:bottom w:w="40" w:type="dxa"/>
              <w:right w:w="0" w:type="dxa"/>
            </w:tcMar>
            <w:vAlign w:val="bottom"/>
          </w:tcPr>
          <w:p w14:paraId="0B2FB7F4" w14:textId="77777777" w:rsidR="007F1775" w:rsidRDefault="000F083E">
            <w:pPr>
              <w:jc w:val="right"/>
              <w:textAlignment w:val="bottom"/>
            </w:pPr>
            <w:r>
              <w:rPr>
                <w:rFonts w:ascii="Times New Roman" w:eastAsia="宋体" w:hAnsi="Times New Roman"/>
                <w:color w:val="000000"/>
                <w:sz w:val="20"/>
                <w:szCs w:val="20"/>
              </w:rPr>
              <w:t>8 </w:t>
            </w:r>
          </w:p>
        </w:tc>
        <w:tc>
          <w:tcPr>
            <w:tcW w:w="0" w:type="auto"/>
            <w:shd w:val="clear" w:color="auto" w:fill="auto"/>
            <w:tcMar>
              <w:top w:w="40" w:type="dxa"/>
              <w:left w:w="0" w:type="dxa"/>
              <w:bottom w:w="40" w:type="dxa"/>
              <w:right w:w="20" w:type="dxa"/>
            </w:tcMar>
            <w:vAlign w:val="bottom"/>
          </w:tcPr>
          <w:p w14:paraId="0B2FB7F5"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B2FB7F6" w14:textId="77777777" w:rsidR="007F1775" w:rsidRDefault="007F1775">
            <w:pPr>
              <w:rPr>
                <w:rFonts w:ascii="宋体"/>
              </w:rPr>
            </w:pPr>
          </w:p>
        </w:tc>
        <w:tc>
          <w:tcPr>
            <w:tcW w:w="0" w:type="auto"/>
            <w:gridSpan w:val="2"/>
            <w:shd w:val="clear" w:color="auto" w:fill="auto"/>
            <w:tcMar>
              <w:top w:w="40" w:type="dxa"/>
              <w:left w:w="20" w:type="dxa"/>
              <w:bottom w:w="40" w:type="dxa"/>
              <w:right w:w="0" w:type="dxa"/>
            </w:tcMar>
            <w:vAlign w:val="bottom"/>
          </w:tcPr>
          <w:p w14:paraId="0B2FB7F7" w14:textId="77777777" w:rsidR="007F1775" w:rsidRDefault="000F083E">
            <w:pPr>
              <w:jc w:val="right"/>
              <w:textAlignment w:val="bottom"/>
            </w:pPr>
            <w:r>
              <w:rPr>
                <w:rFonts w:ascii="Times New Roman" w:eastAsia="宋体" w:hAnsi="Times New Roman"/>
                <w:color w:val="000000"/>
                <w:sz w:val="20"/>
                <w:szCs w:val="20"/>
              </w:rPr>
              <w:t>6 </w:t>
            </w:r>
          </w:p>
        </w:tc>
        <w:tc>
          <w:tcPr>
            <w:tcW w:w="0" w:type="auto"/>
            <w:shd w:val="clear" w:color="auto" w:fill="auto"/>
            <w:tcMar>
              <w:top w:w="40" w:type="dxa"/>
              <w:left w:w="0" w:type="dxa"/>
              <w:bottom w:w="40" w:type="dxa"/>
              <w:right w:w="20" w:type="dxa"/>
            </w:tcMar>
            <w:vAlign w:val="bottom"/>
          </w:tcPr>
          <w:p w14:paraId="0B2FB7F8"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B2FB7F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7FA" w14:textId="77777777" w:rsidR="007F1775" w:rsidRDefault="007F1775">
            <w:pPr>
              <w:rPr>
                <w:rFonts w:ascii="宋体"/>
              </w:rPr>
            </w:pPr>
          </w:p>
        </w:tc>
        <w:tc>
          <w:tcPr>
            <w:tcW w:w="0" w:type="auto"/>
            <w:shd w:val="clear" w:color="auto" w:fill="auto"/>
            <w:vAlign w:val="bottom"/>
          </w:tcPr>
          <w:p w14:paraId="0B2FB7FB" w14:textId="77777777" w:rsidR="007F1775" w:rsidRDefault="007F1775">
            <w:pPr>
              <w:rPr>
                <w:rFonts w:ascii="宋体"/>
                <w:vanish/>
              </w:rPr>
            </w:pPr>
          </w:p>
        </w:tc>
        <w:tc>
          <w:tcPr>
            <w:tcW w:w="0" w:type="auto"/>
            <w:shd w:val="clear" w:color="auto" w:fill="auto"/>
            <w:vAlign w:val="bottom"/>
          </w:tcPr>
          <w:p w14:paraId="0B2FB7FC" w14:textId="77777777" w:rsidR="007F1775" w:rsidRDefault="007F1775">
            <w:pPr>
              <w:rPr>
                <w:rFonts w:ascii="宋体"/>
                <w:vanish/>
              </w:rPr>
            </w:pPr>
          </w:p>
        </w:tc>
        <w:tc>
          <w:tcPr>
            <w:tcW w:w="0" w:type="auto"/>
            <w:shd w:val="clear" w:color="auto" w:fill="auto"/>
            <w:vAlign w:val="bottom"/>
          </w:tcPr>
          <w:p w14:paraId="0B2FB7FD" w14:textId="77777777" w:rsidR="007F1775" w:rsidRDefault="007F1775">
            <w:pPr>
              <w:rPr>
                <w:rFonts w:ascii="宋体"/>
                <w:vanish/>
              </w:rPr>
            </w:pPr>
          </w:p>
        </w:tc>
        <w:tc>
          <w:tcPr>
            <w:tcW w:w="0" w:type="auto"/>
            <w:shd w:val="clear" w:color="auto" w:fill="auto"/>
            <w:vAlign w:val="bottom"/>
          </w:tcPr>
          <w:p w14:paraId="0B2FB7FE" w14:textId="77777777" w:rsidR="007F1775" w:rsidRDefault="007F1775">
            <w:pPr>
              <w:rPr>
                <w:rFonts w:ascii="宋体"/>
                <w:vanish/>
              </w:rPr>
            </w:pPr>
          </w:p>
        </w:tc>
        <w:tc>
          <w:tcPr>
            <w:tcW w:w="0" w:type="auto"/>
            <w:gridSpan w:val="3"/>
            <w:shd w:val="clear" w:color="auto" w:fill="auto"/>
            <w:vAlign w:val="bottom"/>
          </w:tcPr>
          <w:p w14:paraId="0B2FB7FF" w14:textId="77777777" w:rsidR="007F1775" w:rsidRDefault="007F1775">
            <w:pPr>
              <w:rPr>
                <w:rFonts w:ascii="宋体"/>
                <w:vanish/>
              </w:rPr>
            </w:pPr>
          </w:p>
        </w:tc>
        <w:tc>
          <w:tcPr>
            <w:tcW w:w="0" w:type="auto"/>
            <w:gridSpan w:val="3"/>
            <w:shd w:val="clear" w:color="auto" w:fill="auto"/>
            <w:vAlign w:val="bottom"/>
          </w:tcPr>
          <w:p w14:paraId="0B2FB800" w14:textId="77777777" w:rsidR="007F1775" w:rsidRDefault="007F1775">
            <w:pPr>
              <w:rPr>
                <w:rFonts w:ascii="宋体"/>
                <w:vanish/>
              </w:rPr>
            </w:pPr>
          </w:p>
        </w:tc>
      </w:tr>
    </w:tbl>
    <w:p w14:paraId="0B2FB802" w14:textId="77777777" w:rsidR="007F1775" w:rsidRDefault="007F1775"/>
    <w:p w14:paraId="0B2FB803" w14:textId="77777777" w:rsidR="007F1775" w:rsidRDefault="000F083E">
      <w:pPr>
        <w:ind w:firstLine="540"/>
        <w:jc w:val="both"/>
      </w:pPr>
      <w:r>
        <w:rPr>
          <w:rFonts w:ascii="Times New Roman" w:eastAsia="宋体" w:hAnsi="Times New Roman"/>
          <w:color w:val="000000"/>
          <w:sz w:val="20"/>
          <w:szCs w:val="20"/>
        </w:rPr>
        <w:t xml:space="preserve">General and administrative expenses in the three months ended March 31, 2022 increased $738 million, or 45%, compared to the same period in </w:t>
      </w:r>
      <w:r>
        <w:rPr>
          <w:rFonts w:ascii="Times New Roman" w:eastAsia="宋体" w:hAnsi="Times New Roman"/>
          <w:color w:val="000000"/>
          <w:sz w:val="20"/>
          <w:szCs w:val="20"/>
          <w:shd w:val="clear" w:color="auto" w:fill="FFFFFF"/>
        </w:rPr>
        <w:t>2021</w:t>
      </w:r>
      <w:r>
        <w:rPr>
          <w:rFonts w:ascii="Times New Roman" w:eastAsia="宋体" w:hAnsi="Times New Roman"/>
          <w:color w:val="000000"/>
          <w:sz w:val="20"/>
          <w:szCs w:val="20"/>
        </w:rPr>
        <w:t xml:space="preserve">. The increase was mainly due to increases in legal-related costs as well as payroll and related </w:t>
      </w:r>
      <w:r>
        <w:rPr>
          <w:rFonts w:ascii="Times New Roman" w:eastAsia="宋体" w:hAnsi="Times New Roman"/>
          <w:color w:val="000000"/>
          <w:sz w:val="20"/>
          <w:szCs w:val="20"/>
        </w:rPr>
        <w:t>expenses. Our payroll and related expenses increased mainly due to a 29% increase in employee headcount from March 31, 2021 to March 31, 2022 in our general and administrative functions.</w:t>
      </w:r>
    </w:p>
    <w:p w14:paraId="0B2FB804" w14:textId="77777777" w:rsidR="007F1775" w:rsidRDefault="007F1775">
      <w:pPr>
        <w:ind w:firstLine="540"/>
        <w:jc w:val="both"/>
      </w:pPr>
    </w:p>
    <w:p w14:paraId="0B2FB805" w14:textId="77777777" w:rsidR="007F1775" w:rsidRDefault="000F083E">
      <w:pPr>
        <w:ind w:firstLine="540"/>
        <w:jc w:val="both"/>
      </w:pPr>
      <w:r>
        <w:rPr>
          <w:rFonts w:ascii="Times New Roman" w:eastAsia="宋体" w:hAnsi="Times New Roman"/>
          <w:color w:val="000000"/>
          <w:sz w:val="20"/>
          <w:szCs w:val="20"/>
        </w:rPr>
        <w:t>See Note 10 — Commitments and Contingencies in the notes to the cond</w:t>
      </w:r>
      <w:r>
        <w:rPr>
          <w:rFonts w:ascii="Times New Roman" w:eastAsia="宋体" w:hAnsi="Times New Roman"/>
          <w:color w:val="000000"/>
          <w:sz w:val="20"/>
          <w:szCs w:val="20"/>
        </w:rPr>
        <w:t xml:space="preserve">ensed consolidated financial statements included in Part I, Item 1, and "Legal Proceedings" contained in Part II, Item 1 of this Quarterly Report on Form 10-Q for additional information regarding estimated fines, settlements, or other losses in connection </w:t>
      </w:r>
      <w:r>
        <w:rPr>
          <w:rFonts w:ascii="Times New Roman" w:eastAsia="宋体" w:hAnsi="Times New Roman"/>
          <w:color w:val="000000"/>
          <w:sz w:val="20"/>
          <w:szCs w:val="20"/>
        </w:rPr>
        <w:t>with legal-related costs.</w:t>
      </w:r>
    </w:p>
    <w:p w14:paraId="0B2FB806" w14:textId="77777777" w:rsidR="007F1775" w:rsidRDefault="007F1775">
      <w:pPr>
        <w:jc w:val="both"/>
      </w:pPr>
    </w:p>
    <w:p w14:paraId="0B2FB807" w14:textId="77777777" w:rsidR="007F1775" w:rsidRDefault="000F083E">
      <w:pPr>
        <w:jc w:val="both"/>
      </w:pPr>
      <w:r>
        <w:rPr>
          <w:rFonts w:ascii="Times New Roman" w:eastAsia="宋体" w:hAnsi="Times New Roman"/>
          <w:b/>
          <w:bCs/>
          <w:i/>
          <w:iCs/>
          <w:color w:val="000000"/>
          <w:sz w:val="20"/>
          <w:szCs w:val="20"/>
          <w:shd w:val="clear" w:color="auto" w:fill="FFFFFF"/>
        </w:rPr>
        <w:t>Segment profitability</w:t>
      </w:r>
    </w:p>
    <w:p w14:paraId="0B2FB808" w14:textId="77777777" w:rsidR="007F1775" w:rsidRDefault="007F1775">
      <w:pPr>
        <w:jc w:val="both"/>
      </w:pPr>
    </w:p>
    <w:p w14:paraId="0B2FB809" w14:textId="77777777" w:rsidR="007F1775" w:rsidRDefault="000F083E">
      <w:pPr>
        <w:ind w:firstLine="540"/>
        <w:jc w:val="both"/>
      </w:pPr>
      <w:r>
        <w:rPr>
          <w:rFonts w:ascii="Times New Roman" w:eastAsia="宋体" w:hAnsi="Times New Roman"/>
          <w:color w:val="000000"/>
          <w:sz w:val="20"/>
          <w:szCs w:val="20"/>
        </w:rPr>
        <w:t>The following table sets forth income (loss) from operations by segment. For comparative purposes, amounts in the prior period have been recast:</w:t>
      </w:r>
    </w:p>
    <w:tbl>
      <w:tblPr>
        <w:tblW w:w="4993" w:type="pct"/>
        <w:tblCellMar>
          <w:top w:w="15" w:type="dxa"/>
          <w:left w:w="15" w:type="dxa"/>
          <w:bottom w:w="15" w:type="dxa"/>
          <w:right w:w="15" w:type="dxa"/>
        </w:tblCellMar>
        <w:tblLook w:val="04A0" w:firstRow="1" w:lastRow="0" w:firstColumn="1" w:lastColumn="0" w:noHBand="0" w:noVBand="1"/>
      </w:tblPr>
      <w:tblGrid>
        <w:gridCol w:w="38"/>
        <w:gridCol w:w="4080"/>
        <w:gridCol w:w="37"/>
        <w:gridCol w:w="120"/>
        <w:gridCol w:w="1103"/>
        <w:gridCol w:w="36"/>
        <w:gridCol w:w="37"/>
        <w:gridCol w:w="198"/>
        <w:gridCol w:w="36"/>
        <w:gridCol w:w="120"/>
        <w:gridCol w:w="1103"/>
        <w:gridCol w:w="36"/>
        <w:gridCol w:w="46"/>
        <w:gridCol w:w="46"/>
        <w:gridCol w:w="36"/>
        <w:gridCol w:w="36"/>
        <w:gridCol w:w="36"/>
        <w:gridCol w:w="41"/>
        <w:gridCol w:w="736"/>
        <w:gridCol w:w="187"/>
        <w:gridCol w:w="36"/>
        <w:gridCol w:w="36"/>
        <w:gridCol w:w="36"/>
        <w:gridCol w:w="36"/>
        <w:gridCol w:w="36"/>
        <w:gridCol w:w="36"/>
      </w:tblGrid>
      <w:tr w:rsidR="007F1775" w14:paraId="0B2FB820" w14:textId="77777777">
        <w:tc>
          <w:tcPr>
            <w:tcW w:w="50" w:type="pct"/>
            <w:shd w:val="clear" w:color="auto" w:fill="auto"/>
            <w:vAlign w:val="bottom"/>
          </w:tcPr>
          <w:p w14:paraId="0B2FB80A" w14:textId="77777777" w:rsidR="007F1775" w:rsidRDefault="007F1775">
            <w:pPr>
              <w:rPr>
                <w:rFonts w:ascii="宋体"/>
              </w:rPr>
            </w:pPr>
          </w:p>
        </w:tc>
        <w:tc>
          <w:tcPr>
            <w:tcW w:w="2627" w:type="pct"/>
            <w:shd w:val="clear" w:color="auto" w:fill="auto"/>
            <w:vAlign w:val="bottom"/>
          </w:tcPr>
          <w:p w14:paraId="0B2FB80B" w14:textId="77777777" w:rsidR="007F1775" w:rsidRDefault="007F1775">
            <w:pPr>
              <w:rPr>
                <w:rFonts w:ascii="宋体"/>
              </w:rPr>
            </w:pPr>
          </w:p>
        </w:tc>
        <w:tc>
          <w:tcPr>
            <w:tcW w:w="5" w:type="pct"/>
            <w:shd w:val="clear" w:color="auto" w:fill="auto"/>
            <w:vAlign w:val="bottom"/>
          </w:tcPr>
          <w:p w14:paraId="0B2FB80C" w14:textId="77777777" w:rsidR="007F1775" w:rsidRDefault="007F1775">
            <w:pPr>
              <w:rPr>
                <w:rFonts w:ascii="宋体"/>
              </w:rPr>
            </w:pPr>
          </w:p>
        </w:tc>
        <w:tc>
          <w:tcPr>
            <w:tcW w:w="50" w:type="pct"/>
            <w:shd w:val="clear" w:color="auto" w:fill="auto"/>
            <w:vAlign w:val="bottom"/>
          </w:tcPr>
          <w:p w14:paraId="0B2FB80D" w14:textId="77777777" w:rsidR="007F1775" w:rsidRDefault="007F1775">
            <w:pPr>
              <w:rPr>
                <w:rFonts w:ascii="宋体"/>
              </w:rPr>
            </w:pPr>
          </w:p>
        </w:tc>
        <w:tc>
          <w:tcPr>
            <w:tcW w:w="742" w:type="pct"/>
            <w:shd w:val="clear" w:color="auto" w:fill="auto"/>
            <w:vAlign w:val="bottom"/>
          </w:tcPr>
          <w:p w14:paraId="0B2FB80E" w14:textId="77777777" w:rsidR="007F1775" w:rsidRDefault="007F1775">
            <w:pPr>
              <w:rPr>
                <w:rFonts w:ascii="宋体"/>
              </w:rPr>
            </w:pPr>
          </w:p>
        </w:tc>
        <w:tc>
          <w:tcPr>
            <w:tcW w:w="5" w:type="pct"/>
            <w:shd w:val="clear" w:color="auto" w:fill="auto"/>
            <w:vAlign w:val="bottom"/>
          </w:tcPr>
          <w:p w14:paraId="0B2FB80F" w14:textId="77777777" w:rsidR="007F1775" w:rsidRDefault="007F1775">
            <w:pPr>
              <w:rPr>
                <w:rFonts w:ascii="宋体"/>
              </w:rPr>
            </w:pPr>
          </w:p>
        </w:tc>
        <w:tc>
          <w:tcPr>
            <w:tcW w:w="5" w:type="pct"/>
            <w:shd w:val="clear" w:color="auto" w:fill="auto"/>
            <w:vAlign w:val="bottom"/>
          </w:tcPr>
          <w:p w14:paraId="0B2FB810" w14:textId="77777777" w:rsidR="007F1775" w:rsidRDefault="007F1775">
            <w:pPr>
              <w:rPr>
                <w:rFonts w:ascii="宋体"/>
              </w:rPr>
            </w:pPr>
          </w:p>
        </w:tc>
        <w:tc>
          <w:tcPr>
            <w:tcW w:w="27" w:type="pct"/>
            <w:shd w:val="clear" w:color="auto" w:fill="auto"/>
            <w:vAlign w:val="bottom"/>
          </w:tcPr>
          <w:p w14:paraId="0B2FB811" w14:textId="77777777" w:rsidR="007F1775" w:rsidRDefault="007F1775">
            <w:pPr>
              <w:rPr>
                <w:rFonts w:ascii="宋体"/>
              </w:rPr>
            </w:pPr>
          </w:p>
        </w:tc>
        <w:tc>
          <w:tcPr>
            <w:tcW w:w="5" w:type="pct"/>
            <w:shd w:val="clear" w:color="auto" w:fill="auto"/>
            <w:vAlign w:val="bottom"/>
          </w:tcPr>
          <w:p w14:paraId="0B2FB812" w14:textId="77777777" w:rsidR="007F1775" w:rsidRDefault="007F1775">
            <w:pPr>
              <w:rPr>
                <w:rFonts w:ascii="宋体"/>
              </w:rPr>
            </w:pPr>
          </w:p>
        </w:tc>
        <w:tc>
          <w:tcPr>
            <w:tcW w:w="50" w:type="pct"/>
            <w:shd w:val="clear" w:color="auto" w:fill="auto"/>
            <w:vAlign w:val="bottom"/>
          </w:tcPr>
          <w:p w14:paraId="0B2FB813" w14:textId="77777777" w:rsidR="007F1775" w:rsidRDefault="007F1775">
            <w:pPr>
              <w:rPr>
                <w:rFonts w:ascii="宋体"/>
              </w:rPr>
            </w:pPr>
          </w:p>
        </w:tc>
        <w:tc>
          <w:tcPr>
            <w:tcW w:w="742" w:type="pct"/>
            <w:shd w:val="clear" w:color="auto" w:fill="auto"/>
            <w:vAlign w:val="bottom"/>
          </w:tcPr>
          <w:p w14:paraId="0B2FB814" w14:textId="77777777" w:rsidR="007F1775" w:rsidRDefault="007F1775">
            <w:pPr>
              <w:rPr>
                <w:rFonts w:ascii="宋体"/>
              </w:rPr>
            </w:pPr>
          </w:p>
        </w:tc>
        <w:tc>
          <w:tcPr>
            <w:tcW w:w="5" w:type="pct"/>
            <w:shd w:val="clear" w:color="auto" w:fill="auto"/>
            <w:vAlign w:val="bottom"/>
          </w:tcPr>
          <w:p w14:paraId="0B2FB815" w14:textId="77777777" w:rsidR="007F1775" w:rsidRDefault="007F1775">
            <w:pPr>
              <w:rPr>
                <w:rFonts w:ascii="宋体"/>
              </w:rPr>
            </w:pPr>
          </w:p>
        </w:tc>
        <w:tc>
          <w:tcPr>
            <w:tcW w:w="0" w:type="auto"/>
            <w:shd w:val="clear" w:color="auto" w:fill="auto"/>
            <w:vAlign w:val="bottom"/>
          </w:tcPr>
          <w:p w14:paraId="0B2FB816" w14:textId="77777777" w:rsidR="007F1775" w:rsidRDefault="007F1775">
            <w:pPr>
              <w:rPr>
                <w:rFonts w:ascii="宋体"/>
                <w:vanish/>
              </w:rPr>
            </w:pPr>
          </w:p>
        </w:tc>
        <w:tc>
          <w:tcPr>
            <w:tcW w:w="0" w:type="auto"/>
            <w:shd w:val="clear" w:color="auto" w:fill="auto"/>
            <w:vAlign w:val="bottom"/>
          </w:tcPr>
          <w:p w14:paraId="0B2FB817" w14:textId="77777777" w:rsidR="007F1775" w:rsidRDefault="007F1775">
            <w:pPr>
              <w:rPr>
                <w:rFonts w:ascii="宋体"/>
                <w:vanish/>
              </w:rPr>
            </w:pPr>
          </w:p>
        </w:tc>
        <w:tc>
          <w:tcPr>
            <w:tcW w:w="5" w:type="pct"/>
            <w:shd w:val="clear" w:color="auto" w:fill="auto"/>
            <w:vAlign w:val="bottom"/>
          </w:tcPr>
          <w:p w14:paraId="0B2FB818" w14:textId="77777777" w:rsidR="007F1775" w:rsidRDefault="007F1775">
            <w:pPr>
              <w:rPr>
                <w:rFonts w:ascii="宋体"/>
              </w:rPr>
            </w:pPr>
          </w:p>
        </w:tc>
        <w:tc>
          <w:tcPr>
            <w:tcW w:w="27" w:type="pct"/>
            <w:shd w:val="clear" w:color="auto" w:fill="auto"/>
            <w:vAlign w:val="bottom"/>
          </w:tcPr>
          <w:p w14:paraId="0B2FB819" w14:textId="77777777" w:rsidR="007F1775" w:rsidRDefault="007F1775">
            <w:pPr>
              <w:rPr>
                <w:rFonts w:ascii="宋体"/>
              </w:rPr>
            </w:pPr>
          </w:p>
        </w:tc>
        <w:tc>
          <w:tcPr>
            <w:tcW w:w="5" w:type="pct"/>
            <w:shd w:val="clear" w:color="auto" w:fill="auto"/>
            <w:vAlign w:val="bottom"/>
          </w:tcPr>
          <w:p w14:paraId="0B2FB81A" w14:textId="77777777" w:rsidR="007F1775" w:rsidRDefault="007F1775">
            <w:pPr>
              <w:rPr>
                <w:rFonts w:ascii="宋体"/>
              </w:rPr>
            </w:pPr>
          </w:p>
        </w:tc>
        <w:tc>
          <w:tcPr>
            <w:tcW w:w="50" w:type="pct"/>
            <w:shd w:val="clear" w:color="auto" w:fill="auto"/>
            <w:vAlign w:val="bottom"/>
          </w:tcPr>
          <w:p w14:paraId="0B2FB81B" w14:textId="77777777" w:rsidR="007F1775" w:rsidRDefault="007F1775">
            <w:pPr>
              <w:rPr>
                <w:rFonts w:ascii="宋体"/>
              </w:rPr>
            </w:pPr>
          </w:p>
        </w:tc>
        <w:tc>
          <w:tcPr>
            <w:tcW w:w="593" w:type="pct"/>
            <w:shd w:val="clear" w:color="auto" w:fill="auto"/>
            <w:vAlign w:val="bottom"/>
          </w:tcPr>
          <w:p w14:paraId="0B2FB81C" w14:textId="77777777" w:rsidR="007F1775" w:rsidRDefault="007F1775">
            <w:pPr>
              <w:rPr>
                <w:rFonts w:ascii="宋体"/>
              </w:rPr>
            </w:pPr>
          </w:p>
        </w:tc>
        <w:tc>
          <w:tcPr>
            <w:tcW w:w="5" w:type="pct"/>
            <w:shd w:val="clear" w:color="auto" w:fill="auto"/>
            <w:vAlign w:val="bottom"/>
          </w:tcPr>
          <w:p w14:paraId="0B2FB81D" w14:textId="77777777" w:rsidR="007F1775" w:rsidRDefault="007F1775">
            <w:pPr>
              <w:rPr>
                <w:rFonts w:ascii="宋体"/>
              </w:rPr>
            </w:pPr>
          </w:p>
        </w:tc>
        <w:tc>
          <w:tcPr>
            <w:tcW w:w="0" w:type="auto"/>
            <w:gridSpan w:val="3"/>
            <w:shd w:val="clear" w:color="auto" w:fill="auto"/>
            <w:vAlign w:val="bottom"/>
          </w:tcPr>
          <w:p w14:paraId="0B2FB81E" w14:textId="77777777" w:rsidR="007F1775" w:rsidRDefault="007F1775">
            <w:pPr>
              <w:rPr>
                <w:rFonts w:ascii="宋体"/>
                <w:vanish/>
              </w:rPr>
            </w:pPr>
          </w:p>
        </w:tc>
        <w:tc>
          <w:tcPr>
            <w:tcW w:w="0" w:type="auto"/>
            <w:gridSpan w:val="3"/>
            <w:shd w:val="clear" w:color="auto" w:fill="auto"/>
            <w:vAlign w:val="bottom"/>
          </w:tcPr>
          <w:p w14:paraId="0B2FB81F" w14:textId="77777777" w:rsidR="007F1775" w:rsidRDefault="007F1775">
            <w:pPr>
              <w:rPr>
                <w:rFonts w:ascii="宋体"/>
                <w:vanish/>
              </w:rPr>
            </w:pPr>
          </w:p>
        </w:tc>
      </w:tr>
      <w:tr w:rsidR="007F1775" w14:paraId="0B2FB829" w14:textId="77777777">
        <w:tc>
          <w:tcPr>
            <w:tcW w:w="0" w:type="auto"/>
            <w:gridSpan w:val="3"/>
            <w:shd w:val="clear" w:color="auto" w:fill="FFFFFF"/>
            <w:tcMar>
              <w:top w:w="0" w:type="dxa"/>
              <w:left w:w="20" w:type="dxa"/>
              <w:bottom w:w="0" w:type="dxa"/>
              <w:right w:w="20" w:type="dxa"/>
            </w:tcMar>
            <w:vAlign w:val="bottom"/>
          </w:tcPr>
          <w:p w14:paraId="0B2FB821" w14:textId="77777777" w:rsidR="007F1775" w:rsidRDefault="007F1775">
            <w:pPr>
              <w:rPr>
                <w:rFonts w:ascii="宋体"/>
              </w:rPr>
            </w:pPr>
          </w:p>
        </w:tc>
        <w:tc>
          <w:tcPr>
            <w:tcW w:w="0" w:type="auto"/>
            <w:gridSpan w:val="9"/>
            <w:shd w:val="clear" w:color="auto" w:fill="auto"/>
            <w:tcMar>
              <w:top w:w="40" w:type="dxa"/>
              <w:left w:w="20" w:type="dxa"/>
              <w:bottom w:w="40" w:type="dxa"/>
              <w:right w:w="20" w:type="dxa"/>
            </w:tcMar>
            <w:vAlign w:val="bottom"/>
          </w:tcPr>
          <w:p w14:paraId="0B2FB822"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B823" w14:textId="77777777" w:rsidR="007F1775" w:rsidRDefault="007F1775">
            <w:pPr>
              <w:rPr>
                <w:rFonts w:ascii="宋体"/>
                <w:vanish/>
              </w:rPr>
            </w:pPr>
          </w:p>
        </w:tc>
        <w:tc>
          <w:tcPr>
            <w:tcW w:w="0" w:type="auto"/>
            <w:shd w:val="clear" w:color="auto" w:fill="auto"/>
            <w:vAlign w:val="bottom"/>
          </w:tcPr>
          <w:p w14:paraId="0B2FB824" w14:textId="77777777" w:rsidR="007F1775" w:rsidRDefault="007F1775">
            <w:pPr>
              <w:rPr>
                <w:rFonts w:ascii="宋体"/>
                <w:vanish/>
              </w:rPr>
            </w:pPr>
          </w:p>
        </w:tc>
        <w:tc>
          <w:tcPr>
            <w:tcW w:w="0" w:type="auto"/>
            <w:gridSpan w:val="3"/>
            <w:shd w:val="clear" w:color="auto" w:fill="FFFFFF"/>
            <w:tcMar>
              <w:top w:w="0" w:type="dxa"/>
              <w:left w:w="20" w:type="dxa"/>
              <w:bottom w:w="0" w:type="dxa"/>
              <w:right w:w="20" w:type="dxa"/>
            </w:tcMar>
            <w:vAlign w:val="bottom"/>
          </w:tcPr>
          <w:p w14:paraId="0B2FB825"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826" w14:textId="77777777" w:rsidR="007F1775" w:rsidRDefault="007F1775">
            <w:pPr>
              <w:rPr>
                <w:rFonts w:ascii="宋体"/>
              </w:rPr>
            </w:pPr>
          </w:p>
        </w:tc>
        <w:tc>
          <w:tcPr>
            <w:tcW w:w="0" w:type="auto"/>
            <w:gridSpan w:val="3"/>
            <w:shd w:val="clear" w:color="auto" w:fill="auto"/>
            <w:vAlign w:val="bottom"/>
          </w:tcPr>
          <w:p w14:paraId="0B2FB827" w14:textId="77777777" w:rsidR="007F1775" w:rsidRDefault="007F1775">
            <w:pPr>
              <w:rPr>
                <w:rFonts w:ascii="宋体"/>
                <w:vanish/>
              </w:rPr>
            </w:pPr>
          </w:p>
        </w:tc>
        <w:tc>
          <w:tcPr>
            <w:tcW w:w="0" w:type="auto"/>
            <w:gridSpan w:val="3"/>
            <w:shd w:val="clear" w:color="auto" w:fill="auto"/>
            <w:vAlign w:val="bottom"/>
          </w:tcPr>
          <w:p w14:paraId="0B2FB828" w14:textId="77777777" w:rsidR="007F1775" w:rsidRDefault="007F1775">
            <w:pPr>
              <w:rPr>
                <w:rFonts w:ascii="宋体"/>
                <w:vanish/>
              </w:rPr>
            </w:pPr>
          </w:p>
        </w:tc>
      </w:tr>
      <w:tr w:rsidR="007F1775" w14:paraId="0B2FB834" w14:textId="77777777">
        <w:tc>
          <w:tcPr>
            <w:tcW w:w="0" w:type="auto"/>
            <w:gridSpan w:val="3"/>
            <w:shd w:val="clear" w:color="auto" w:fill="FFFFFF"/>
            <w:tcMar>
              <w:top w:w="0" w:type="dxa"/>
              <w:left w:w="20" w:type="dxa"/>
              <w:bottom w:w="0" w:type="dxa"/>
              <w:right w:w="20" w:type="dxa"/>
            </w:tcMar>
            <w:vAlign w:val="bottom"/>
          </w:tcPr>
          <w:p w14:paraId="0B2FB82A"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82B"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B2FB82C"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82D"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B82E" w14:textId="77777777" w:rsidR="007F1775" w:rsidRDefault="007F1775">
            <w:pPr>
              <w:rPr>
                <w:rFonts w:ascii="宋体"/>
                <w:vanish/>
              </w:rPr>
            </w:pPr>
          </w:p>
        </w:tc>
        <w:tc>
          <w:tcPr>
            <w:tcW w:w="0" w:type="auto"/>
            <w:shd w:val="clear" w:color="auto" w:fill="auto"/>
            <w:vAlign w:val="bottom"/>
          </w:tcPr>
          <w:p w14:paraId="0B2FB82F" w14:textId="77777777" w:rsidR="007F1775" w:rsidRDefault="007F1775">
            <w:pPr>
              <w:rPr>
                <w:rFonts w:ascii="宋体"/>
                <w:vanish/>
              </w:rPr>
            </w:pPr>
          </w:p>
        </w:tc>
        <w:tc>
          <w:tcPr>
            <w:tcW w:w="0" w:type="auto"/>
            <w:gridSpan w:val="3"/>
            <w:shd w:val="clear" w:color="auto" w:fill="auto"/>
            <w:tcMar>
              <w:top w:w="0" w:type="dxa"/>
              <w:left w:w="20" w:type="dxa"/>
              <w:bottom w:w="0" w:type="dxa"/>
              <w:right w:w="20" w:type="dxa"/>
            </w:tcMar>
            <w:vAlign w:val="bottom"/>
          </w:tcPr>
          <w:p w14:paraId="0B2FB830"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831" w14:textId="77777777" w:rsidR="007F1775" w:rsidRDefault="000F083E">
            <w:pPr>
              <w:jc w:val="center"/>
              <w:textAlignment w:val="bottom"/>
            </w:pPr>
            <w:r>
              <w:rPr>
                <w:rFonts w:ascii="Times New Roman" w:eastAsia="宋体" w:hAnsi="Times New Roman"/>
                <w:b/>
                <w:bCs/>
                <w:color w:val="000000"/>
                <w:sz w:val="16"/>
                <w:szCs w:val="16"/>
              </w:rPr>
              <w:t>% change</w:t>
            </w:r>
          </w:p>
        </w:tc>
        <w:tc>
          <w:tcPr>
            <w:tcW w:w="0" w:type="auto"/>
            <w:gridSpan w:val="3"/>
            <w:shd w:val="clear" w:color="auto" w:fill="auto"/>
            <w:vAlign w:val="bottom"/>
          </w:tcPr>
          <w:p w14:paraId="0B2FB832" w14:textId="77777777" w:rsidR="007F1775" w:rsidRDefault="007F1775">
            <w:pPr>
              <w:rPr>
                <w:rFonts w:ascii="宋体"/>
                <w:vanish/>
              </w:rPr>
            </w:pPr>
          </w:p>
        </w:tc>
        <w:tc>
          <w:tcPr>
            <w:tcW w:w="0" w:type="auto"/>
            <w:gridSpan w:val="3"/>
            <w:shd w:val="clear" w:color="auto" w:fill="auto"/>
            <w:vAlign w:val="bottom"/>
          </w:tcPr>
          <w:p w14:paraId="0B2FB833" w14:textId="77777777" w:rsidR="007F1775" w:rsidRDefault="007F1775">
            <w:pPr>
              <w:rPr>
                <w:rFonts w:ascii="宋体"/>
                <w:vanish/>
              </w:rPr>
            </w:pPr>
          </w:p>
        </w:tc>
      </w:tr>
      <w:tr w:rsidR="007F1775" w14:paraId="0B2FB83F" w14:textId="77777777">
        <w:trPr>
          <w:trHeight w:val="60"/>
        </w:trPr>
        <w:tc>
          <w:tcPr>
            <w:tcW w:w="0" w:type="auto"/>
            <w:gridSpan w:val="3"/>
            <w:shd w:val="clear" w:color="auto" w:fill="FFFFFF"/>
            <w:tcMar>
              <w:top w:w="0" w:type="dxa"/>
              <w:left w:w="20" w:type="dxa"/>
              <w:bottom w:w="0" w:type="dxa"/>
              <w:right w:w="20" w:type="dxa"/>
            </w:tcMar>
            <w:vAlign w:val="bottom"/>
          </w:tcPr>
          <w:p w14:paraId="0B2FB835" w14:textId="77777777" w:rsidR="007F1775" w:rsidRDefault="007F177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B2FB836"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837" w14:textId="77777777" w:rsidR="007F1775" w:rsidRDefault="007F177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B2FB838" w14:textId="77777777" w:rsidR="007F1775" w:rsidRDefault="007F1775">
            <w:pPr>
              <w:rPr>
                <w:rFonts w:ascii="宋体"/>
              </w:rPr>
            </w:pPr>
          </w:p>
        </w:tc>
        <w:tc>
          <w:tcPr>
            <w:tcW w:w="0" w:type="auto"/>
            <w:shd w:val="clear" w:color="auto" w:fill="auto"/>
            <w:vAlign w:val="bottom"/>
          </w:tcPr>
          <w:p w14:paraId="0B2FB839" w14:textId="77777777" w:rsidR="007F1775" w:rsidRDefault="007F1775">
            <w:pPr>
              <w:rPr>
                <w:rFonts w:ascii="宋体"/>
                <w:vanish/>
              </w:rPr>
            </w:pPr>
          </w:p>
        </w:tc>
        <w:tc>
          <w:tcPr>
            <w:tcW w:w="0" w:type="auto"/>
            <w:shd w:val="clear" w:color="auto" w:fill="auto"/>
            <w:vAlign w:val="bottom"/>
          </w:tcPr>
          <w:p w14:paraId="0B2FB83A" w14:textId="77777777" w:rsidR="007F1775" w:rsidRDefault="007F1775">
            <w:pPr>
              <w:rPr>
                <w:rFonts w:ascii="宋体"/>
                <w:vanish/>
              </w:rPr>
            </w:pPr>
          </w:p>
        </w:tc>
        <w:tc>
          <w:tcPr>
            <w:tcW w:w="0" w:type="auto"/>
            <w:gridSpan w:val="3"/>
            <w:shd w:val="clear" w:color="auto" w:fill="FFFFFF"/>
            <w:tcMar>
              <w:top w:w="0" w:type="dxa"/>
              <w:left w:w="20" w:type="dxa"/>
              <w:bottom w:w="0" w:type="dxa"/>
              <w:right w:w="20" w:type="dxa"/>
            </w:tcMar>
            <w:vAlign w:val="bottom"/>
          </w:tcPr>
          <w:p w14:paraId="0B2FB83B" w14:textId="77777777" w:rsidR="007F1775" w:rsidRDefault="007F177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B2FB83C" w14:textId="77777777" w:rsidR="007F1775" w:rsidRDefault="007F1775">
            <w:pPr>
              <w:rPr>
                <w:rFonts w:ascii="宋体"/>
              </w:rPr>
            </w:pPr>
          </w:p>
        </w:tc>
        <w:tc>
          <w:tcPr>
            <w:tcW w:w="0" w:type="auto"/>
            <w:gridSpan w:val="3"/>
            <w:shd w:val="clear" w:color="auto" w:fill="auto"/>
            <w:vAlign w:val="bottom"/>
          </w:tcPr>
          <w:p w14:paraId="0B2FB83D" w14:textId="77777777" w:rsidR="007F1775" w:rsidRDefault="007F1775">
            <w:pPr>
              <w:rPr>
                <w:rFonts w:ascii="宋体"/>
                <w:vanish/>
              </w:rPr>
            </w:pPr>
          </w:p>
        </w:tc>
        <w:tc>
          <w:tcPr>
            <w:tcW w:w="0" w:type="auto"/>
            <w:gridSpan w:val="3"/>
            <w:shd w:val="clear" w:color="auto" w:fill="auto"/>
            <w:vAlign w:val="bottom"/>
          </w:tcPr>
          <w:p w14:paraId="0B2FB83E" w14:textId="77777777" w:rsidR="007F1775" w:rsidRDefault="007F1775">
            <w:pPr>
              <w:rPr>
                <w:rFonts w:ascii="宋体"/>
                <w:vanish/>
              </w:rPr>
            </w:pPr>
          </w:p>
        </w:tc>
      </w:tr>
      <w:tr w:rsidR="007F1775" w14:paraId="0B2FB84C" w14:textId="77777777">
        <w:tc>
          <w:tcPr>
            <w:tcW w:w="0" w:type="auto"/>
            <w:gridSpan w:val="3"/>
            <w:shd w:val="clear" w:color="auto" w:fill="FFFFFF"/>
            <w:tcMar>
              <w:top w:w="0" w:type="dxa"/>
              <w:left w:w="20" w:type="dxa"/>
              <w:bottom w:w="0" w:type="dxa"/>
              <w:right w:w="20" w:type="dxa"/>
            </w:tcMar>
            <w:vAlign w:val="bottom"/>
          </w:tcPr>
          <w:p w14:paraId="0B2FB840" w14:textId="77777777" w:rsidR="007F1775" w:rsidRDefault="007F1775">
            <w:pPr>
              <w:rPr>
                <w:rFonts w:ascii="宋体"/>
              </w:rPr>
            </w:pPr>
          </w:p>
        </w:tc>
        <w:tc>
          <w:tcPr>
            <w:tcW w:w="0" w:type="auto"/>
            <w:gridSpan w:val="9"/>
            <w:shd w:val="clear" w:color="auto" w:fill="FFFFFF"/>
            <w:tcMar>
              <w:top w:w="40" w:type="dxa"/>
              <w:left w:w="20" w:type="dxa"/>
              <w:bottom w:w="40" w:type="dxa"/>
              <w:right w:w="20" w:type="dxa"/>
            </w:tcMar>
            <w:vAlign w:val="bottom"/>
          </w:tcPr>
          <w:p w14:paraId="0B2FB841" w14:textId="77777777" w:rsidR="007F1775" w:rsidRDefault="000F083E">
            <w:pPr>
              <w:jc w:val="center"/>
              <w:textAlignment w:val="bottom"/>
            </w:pPr>
            <w:r>
              <w:rPr>
                <w:rFonts w:ascii="Times New Roman" w:eastAsia="宋体" w:hAnsi="Times New Roman"/>
                <w:b/>
                <w:bCs/>
                <w:color w:val="000000"/>
                <w:sz w:val="16"/>
                <w:szCs w:val="16"/>
              </w:rPr>
              <w:t>(dollars in millions)</w:t>
            </w:r>
          </w:p>
        </w:tc>
        <w:tc>
          <w:tcPr>
            <w:tcW w:w="0" w:type="auto"/>
            <w:shd w:val="clear" w:color="auto" w:fill="FFFFFF"/>
            <w:tcMar>
              <w:top w:w="0" w:type="dxa"/>
              <w:left w:w="20" w:type="dxa"/>
              <w:bottom w:w="0" w:type="dxa"/>
              <w:right w:w="20" w:type="dxa"/>
            </w:tcMar>
            <w:vAlign w:val="bottom"/>
          </w:tcPr>
          <w:p w14:paraId="0B2FB842" w14:textId="77777777" w:rsidR="007F1775" w:rsidRDefault="007F1775">
            <w:pPr>
              <w:rPr>
                <w:rFonts w:ascii="宋体"/>
              </w:rPr>
            </w:pPr>
          </w:p>
        </w:tc>
        <w:tc>
          <w:tcPr>
            <w:tcW w:w="0" w:type="auto"/>
            <w:shd w:val="clear" w:color="auto" w:fill="FFFFFF"/>
            <w:tcMar>
              <w:top w:w="0" w:type="dxa"/>
              <w:left w:w="20" w:type="dxa"/>
              <w:bottom w:w="0" w:type="dxa"/>
              <w:right w:w="20" w:type="dxa"/>
            </w:tcMar>
            <w:vAlign w:val="bottom"/>
          </w:tcPr>
          <w:p w14:paraId="0B2FB843" w14:textId="77777777" w:rsidR="007F1775" w:rsidRDefault="007F1775">
            <w:pPr>
              <w:rPr>
                <w:rFonts w:ascii="宋体"/>
              </w:rPr>
            </w:pPr>
          </w:p>
        </w:tc>
        <w:tc>
          <w:tcPr>
            <w:tcW w:w="0" w:type="auto"/>
            <w:gridSpan w:val="3"/>
            <w:shd w:val="clear" w:color="auto" w:fill="auto"/>
            <w:vAlign w:val="bottom"/>
          </w:tcPr>
          <w:p w14:paraId="0B2FB844" w14:textId="77777777" w:rsidR="007F1775" w:rsidRDefault="007F1775">
            <w:pPr>
              <w:rPr>
                <w:rFonts w:ascii="宋体"/>
                <w:vanish/>
              </w:rPr>
            </w:pPr>
          </w:p>
        </w:tc>
        <w:tc>
          <w:tcPr>
            <w:tcW w:w="0" w:type="auto"/>
            <w:gridSpan w:val="3"/>
            <w:shd w:val="clear" w:color="auto" w:fill="auto"/>
            <w:vAlign w:val="bottom"/>
          </w:tcPr>
          <w:p w14:paraId="0B2FB845" w14:textId="77777777" w:rsidR="007F1775" w:rsidRDefault="007F1775">
            <w:pPr>
              <w:rPr>
                <w:rFonts w:ascii="宋体"/>
                <w:vanish/>
              </w:rPr>
            </w:pPr>
          </w:p>
        </w:tc>
        <w:tc>
          <w:tcPr>
            <w:tcW w:w="0" w:type="auto"/>
            <w:shd w:val="clear" w:color="auto" w:fill="auto"/>
            <w:vAlign w:val="bottom"/>
          </w:tcPr>
          <w:p w14:paraId="0B2FB846" w14:textId="77777777" w:rsidR="007F1775" w:rsidRDefault="007F1775">
            <w:pPr>
              <w:rPr>
                <w:rFonts w:ascii="宋体"/>
              </w:rPr>
            </w:pPr>
          </w:p>
        </w:tc>
        <w:tc>
          <w:tcPr>
            <w:tcW w:w="0" w:type="auto"/>
            <w:shd w:val="clear" w:color="auto" w:fill="auto"/>
            <w:vAlign w:val="bottom"/>
          </w:tcPr>
          <w:p w14:paraId="0B2FB847" w14:textId="77777777" w:rsidR="007F1775" w:rsidRDefault="007F1775">
            <w:pPr>
              <w:rPr>
                <w:rFonts w:ascii="宋体"/>
              </w:rPr>
            </w:pPr>
          </w:p>
        </w:tc>
        <w:tc>
          <w:tcPr>
            <w:tcW w:w="0" w:type="auto"/>
            <w:shd w:val="clear" w:color="auto" w:fill="auto"/>
            <w:vAlign w:val="bottom"/>
          </w:tcPr>
          <w:p w14:paraId="0B2FB848" w14:textId="77777777" w:rsidR="007F1775" w:rsidRDefault="007F1775">
            <w:pPr>
              <w:rPr>
                <w:rFonts w:ascii="宋体"/>
              </w:rPr>
            </w:pPr>
          </w:p>
        </w:tc>
        <w:tc>
          <w:tcPr>
            <w:tcW w:w="0" w:type="auto"/>
            <w:shd w:val="clear" w:color="auto" w:fill="auto"/>
            <w:vAlign w:val="bottom"/>
          </w:tcPr>
          <w:p w14:paraId="0B2FB849" w14:textId="77777777" w:rsidR="007F1775" w:rsidRDefault="007F1775">
            <w:pPr>
              <w:rPr>
                <w:rFonts w:ascii="宋体"/>
              </w:rPr>
            </w:pPr>
          </w:p>
        </w:tc>
        <w:tc>
          <w:tcPr>
            <w:tcW w:w="0" w:type="auto"/>
            <w:shd w:val="clear" w:color="auto" w:fill="auto"/>
            <w:vAlign w:val="bottom"/>
          </w:tcPr>
          <w:p w14:paraId="0B2FB84A" w14:textId="77777777" w:rsidR="007F1775" w:rsidRDefault="007F1775">
            <w:pPr>
              <w:rPr>
                <w:rFonts w:ascii="宋体"/>
              </w:rPr>
            </w:pPr>
          </w:p>
        </w:tc>
        <w:tc>
          <w:tcPr>
            <w:tcW w:w="0" w:type="auto"/>
            <w:shd w:val="clear" w:color="auto" w:fill="auto"/>
            <w:vAlign w:val="bottom"/>
          </w:tcPr>
          <w:p w14:paraId="0B2FB84B" w14:textId="77777777" w:rsidR="007F1775" w:rsidRDefault="007F1775">
            <w:pPr>
              <w:rPr>
                <w:rFonts w:ascii="宋体"/>
              </w:rPr>
            </w:pPr>
          </w:p>
        </w:tc>
      </w:tr>
      <w:tr w:rsidR="007F1775" w14:paraId="0B2FB85C" w14:textId="77777777">
        <w:tc>
          <w:tcPr>
            <w:tcW w:w="0" w:type="auto"/>
            <w:gridSpan w:val="3"/>
            <w:shd w:val="clear" w:color="auto" w:fill="CCEEFF"/>
            <w:tcMar>
              <w:top w:w="40" w:type="dxa"/>
              <w:left w:w="20" w:type="dxa"/>
              <w:bottom w:w="40" w:type="dxa"/>
              <w:right w:w="20" w:type="dxa"/>
            </w:tcMar>
            <w:vAlign w:val="bottom"/>
          </w:tcPr>
          <w:p w14:paraId="0B2FB84D" w14:textId="77777777" w:rsidR="007F1775" w:rsidRDefault="000F083E">
            <w:pPr>
              <w:textAlignment w:val="bottom"/>
            </w:pPr>
            <w:r>
              <w:rPr>
                <w:rFonts w:ascii="Times New Roman" w:eastAsia="宋体" w:hAnsi="Times New Roman"/>
                <w:color w:val="000000"/>
                <w:sz w:val="20"/>
                <w:szCs w:val="20"/>
              </w:rPr>
              <w:t>Family of Apps</w:t>
            </w:r>
          </w:p>
        </w:tc>
        <w:tc>
          <w:tcPr>
            <w:tcW w:w="0" w:type="auto"/>
            <w:shd w:val="clear" w:color="auto" w:fill="CCEEFF"/>
            <w:tcMar>
              <w:top w:w="40" w:type="dxa"/>
              <w:left w:w="20" w:type="dxa"/>
              <w:bottom w:w="40" w:type="dxa"/>
              <w:right w:w="0" w:type="dxa"/>
            </w:tcMar>
            <w:vAlign w:val="bottom"/>
          </w:tcPr>
          <w:p w14:paraId="0B2FB84E"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84F" w14:textId="77777777" w:rsidR="007F1775" w:rsidRDefault="000F083E">
            <w:pPr>
              <w:jc w:val="right"/>
              <w:textAlignment w:val="bottom"/>
            </w:pPr>
            <w:r>
              <w:rPr>
                <w:rFonts w:ascii="Times New Roman" w:eastAsia="宋体" w:hAnsi="Times New Roman"/>
                <w:color w:val="000000"/>
                <w:sz w:val="20"/>
                <w:szCs w:val="20"/>
              </w:rPr>
              <w:t>11,484 </w:t>
            </w:r>
          </w:p>
        </w:tc>
        <w:tc>
          <w:tcPr>
            <w:tcW w:w="0" w:type="auto"/>
            <w:shd w:val="clear" w:color="auto" w:fill="CCEEFF"/>
            <w:tcMar>
              <w:top w:w="40" w:type="dxa"/>
              <w:left w:w="0" w:type="dxa"/>
              <w:bottom w:w="40" w:type="dxa"/>
              <w:right w:w="20" w:type="dxa"/>
            </w:tcMar>
            <w:vAlign w:val="bottom"/>
          </w:tcPr>
          <w:p w14:paraId="0B2FB850" w14:textId="77777777" w:rsidR="007F1775" w:rsidRDefault="007F1775">
            <w:pPr>
              <w:jc w:val="right"/>
              <w:rPr>
                <w:rFonts w:ascii="宋体"/>
              </w:rPr>
            </w:pPr>
          </w:p>
        </w:tc>
        <w:tc>
          <w:tcPr>
            <w:tcW w:w="0" w:type="auto"/>
            <w:gridSpan w:val="3"/>
            <w:shd w:val="clear" w:color="auto" w:fill="CCEEFF"/>
            <w:tcMar>
              <w:top w:w="0" w:type="dxa"/>
              <w:left w:w="245" w:type="dxa"/>
              <w:bottom w:w="0" w:type="dxa"/>
              <w:right w:w="20" w:type="dxa"/>
            </w:tcMar>
            <w:vAlign w:val="bottom"/>
          </w:tcPr>
          <w:p w14:paraId="0B2FB851"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852"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853" w14:textId="77777777" w:rsidR="007F1775" w:rsidRDefault="000F083E">
            <w:pPr>
              <w:jc w:val="right"/>
              <w:textAlignment w:val="bottom"/>
            </w:pPr>
            <w:r>
              <w:rPr>
                <w:rFonts w:ascii="Times New Roman" w:eastAsia="宋体" w:hAnsi="Times New Roman"/>
                <w:color w:val="000000"/>
                <w:sz w:val="20"/>
                <w:szCs w:val="20"/>
              </w:rPr>
              <w:t>13,205 </w:t>
            </w:r>
          </w:p>
        </w:tc>
        <w:tc>
          <w:tcPr>
            <w:tcW w:w="0" w:type="auto"/>
            <w:shd w:val="clear" w:color="auto" w:fill="CCEEFF"/>
            <w:tcMar>
              <w:top w:w="40" w:type="dxa"/>
              <w:left w:w="0" w:type="dxa"/>
              <w:bottom w:w="40" w:type="dxa"/>
              <w:right w:w="20" w:type="dxa"/>
            </w:tcMar>
            <w:vAlign w:val="bottom"/>
          </w:tcPr>
          <w:p w14:paraId="0B2FB854" w14:textId="77777777" w:rsidR="007F1775" w:rsidRDefault="007F1775">
            <w:pPr>
              <w:jc w:val="right"/>
              <w:rPr>
                <w:rFonts w:ascii="宋体"/>
              </w:rPr>
            </w:pPr>
          </w:p>
        </w:tc>
        <w:tc>
          <w:tcPr>
            <w:tcW w:w="0" w:type="auto"/>
            <w:shd w:val="clear" w:color="auto" w:fill="auto"/>
            <w:vAlign w:val="bottom"/>
          </w:tcPr>
          <w:p w14:paraId="0B2FB855" w14:textId="77777777" w:rsidR="007F1775" w:rsidRDefault="007F1775">
            <w:pPr>
              <w:rPr>
                <w:rFonts w:ascii="宋体"/>
                <w:vanish/>
              </w:rPr>
            </w:pPr>
          </w:p>
        </w:tc>
        <w:tc>
          <w:tcPr>
            <w:tcW w:w="0" w:type="auto"/>
            <w:shd w:val="clear" w:color="auto" w:fill="auto"/>
            <w:vAlign w:val="bottom"/>
          </w:tcPr>
          <w:p w14:paraId="0B2FB856" w14:textId="77777777" w:rsidR="007F1775" w:rsidRDefault="007F1775">
            <w:pPr>
              <w:rPr>
                <w:rFonts w:ascii="宋体"/>
                <w:vanish/>
              </w:rPr>
            </w:pPr>
          </w:p>
        </w:tc>
        <w:tc>
          <w:tcPr>
            <w:tcW w:w="0" w:type="auto"/>
            <w:gridSpan w:val="3"/>
            <w:shd w:val="clear" w:color="auto" w:fill="CCEEFF"/>
            <w:tcMar>
              <w:top w:w="0" w:type="dxa"/>
              <w:left w:w="20" w:type="dxa"/>
              <w:bottom w:w="0" w:type="dxa"/>
              <w:right w:w="20" w:type="dxa"/>
            </w:tcMar>
            <w:vAlign w:val="bottom"/>
          </w:tcPr>
          <w:p w14:paraId="0B2FB857"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858" w14:textId="77777777" w:rsidR="007F1775" w:rsidRDefault="000F083E">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0B2FB859"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0B2FB85A" w14:textId="77777777" w:rsidR="007F1775" w:rsidRDefault="007F1775">
            <w:pPr>
              <w:rPr>
                <w:rFonts w:ascii="宋体"/>
                <w:vanish/>
              </w:rPr>
            </w:pPr>
          </w:p>
        </w:tc>
        <w:tc>
          <w:tcPr>
            <w:tcW w:w="0" w:type="auto"/>
            <w:gridSpan w:val="3"/>
            <w:shd w:val="clear" w:color="auto" w:fill="auto"/>
            <w:vAlign w:val="bottom"/>
          </w:tcPr>
          <w:p w14:paraId="0B2FB85B" w14:textId="77777777" w:rsidR="007F1775" w:rsidRDefault="007F1775">
            <w:pPr>
              <w:rPr>
                <w:rFonts w:ascii="宋体"/>
                <w:vanish/>
              </w:rPr>
            </w:pPr>
          </w:p>
        </w:tc>
      </w:tr>
      <w:tr w:rsidR="007F1775" w14:paraId="0B2FB86A" w14:textId="77777777">
        <w:tc>
          <w:tcPr>
            <w:tcW w:w="0" w:type="auto"/>
            <w:gridSpan w:val="3"/>
            <w:shd w:val="clear" w:color="auto" w:fill="FFFFFF"/>
            <w:tcMar>
              <w:top w:w="40" w:type="dxa"/>
              <w:left w:w="20" w:type="dxa"/>
              <w:bottom w:w="40" w:type="dxa"/>
              <w:right w:w="20" w:type="dxa"/>
            </w:tcMar>
            <w:vAlign w:val="bottom"/>
          </w:tcPr>
          <w:p w14:paraId="0B2FB85D" w14:textId="77777777" w:rsidR="007F1775" w:rsidRDefault="000F083E">
            <w:pPr>
              <w:textAlignment w:val="bottom"/>
            </w:pPr>
            <w:r>
              <w:rPr>
                <w:rFonts w:ascii="Times New Roman" w:eastAsia="宋体" w:hAnsi="Times New Roman"/>
                <w:color w:val="000000"/>
                <w:sz w:val="20"/>
                <w:szCs w:val="20"/>
              </w:rPr>
              <w:t>Reality Labs</w:t>
            </w:r>
          </w:p>
        </w:tc>
        <w:tc>
          <w:tcPr>
            <w:tcW w:w="0" w:type="auto"/>
            <w:gridSpan w:val="2"/>
            <w:shd w:val="clear" w:color="auto" w:fill="FFFFFF"/>
            <w:tcMar>
              <w:top w:w="40" w:type="dxa"/>
              <w:left w:w="20" w:type="dxa"/>
              <w:bottom w:w="40" w:type="dxa"/>
              <w:right w:w="0" w:type="dxa"/>
            </w:tcMar>
            <w:vAlign w:val="bottom"/>
          </w:tcPr>
          <w:p w14:paraId="0B2FB85E" w14:textId="77777777" w:rsidR="007F1775" w:rsidRDefault="000F083E">
            <w:pPr>
              <w:jc w:val="right"/>
              <w:textAlignment w:val="bottom"/>
            </w:pPr>
            <w:r>
              <w:rPr>
                <w:rFonts w:ascii="Times New Roman" w:eastAsia="宋体" w:hAnsi="Times New Roman"/>
                <w:color w:val="000000"/>
                <w:sz w:val="20"/>
                <w:szCs w:val="20"/>
              </w:rPr>
              <w:t>(2,960)</w:t>
            </w:r>
          </w:p>
        </w:tc>
        <w:tc>
          <w:tcPr>
            <w:tcW w:w="0" w:type="auto"/>
            <w:shd w:val="clear" w:color="auto" w:fill="FFFFFF"/>
            <w:tcMar>
              <w:top w:w="40" w:type="dxa"/>
              <w:left w:w="0" w:type="dxa"/>
              <w:bottom w:w="40" w:type="dxa"/>
              <w:right w:w="20" w:type="dxa"/>
            </w:tcMar>
            <w:vAlign w:val="bottom"/>
          </w:tcPr>
          <w:p w14:paraId="0B2FB85F" w14:textId="77777777" w:rsidR="007F1775" w:rsidRDefault="007F1775">
            <w:pPr>
              <w:jc w:val="right"/>
              <w:rPr>
                <w:rFonts w:ascii="宋体"/>
              </w:rPr>
            </w:pPr>
          </w:p>
        </w:tc>
        <w:tc>
          <w:tcPr>
            <w:tcW w:w="0" w:type="auto"/>
            <w:gridSpan w:val="3"/>
            <w:shd w:val="clear" w:color="auto" w:fill="FFFFFF"/>
            <w:tcMar>
              <w:top w:w="0" w:type="dxa"/>
              <w:left w:w="245" w:type="dxa"/>
              <w:bottom w:w="0" w:type="dxa"/>
              <w:right w:w="20" w:type="dxa"/>
            </w:tcMar>
            <w:vAlign w:val="bottom"/>
          </w:tcPr>
          <w:p w14:paraId="0B2FB860"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861" w14:textId="77777777" w:rsidR="007F1775" w:rsidRDefault="000F083E">
            <w:pPr>
              <w:jc w:val="right"/>
              <w:textAlignment w:val="bottom"/>
            </w:pPr>
            <w:r>
              <w:rPr>
                <w:rFonts w:ascii="Times New Roman" w:eastAsia="宋体" w:hAnsi="Times New Roman"/>
                <w:color w:val="000000"/>
                <w:sz w:val="20"/>
                <w:szCs w:val="20"/>
              </w:rPr>
              <w:t>(1,827)</w:t>
            </w:r>
          </w:p>
        </w:tc>
        <w:tc>
          <w:tcPr>
            <w:tcW w:w="0" w:type="auto"/>
            <w:shd w:val="clear" w:color="auto" w:fill="FFFFFF"/>
            <w:tcMar>
              <w:top w:w="40" w:type="dxa"/>
              <w:left w:w="0" w:type="dxa"/>
              <w:bottom w:w="40" w:type="dxa"/>
              <w:right w:w="20" w:type="dxa"/>
            </w:tcMar>
            <w:vAlign w:val="bottom"/>
          </w:tcPr>
          <w:p w14:paraId="0B2FB862" w14:textId="77777777" w:rsidR="007F1775" w:rsidRDefault="007F1775">
            <w:pPr>
              <w:jc w:val="right"/>
              <w:rPr>
                <w:rFonts w:ascii="宋体"/>
              </w:rPr>
            </w:pPr>
          </w:p>
        </w:tc>
        <w:tc>
          <w:tcPr>
            <w:tcW w:w="0" w:type="auto"/>
            <w:shd w:val="clear" w:color="auto" w:fill="auto"/>
            <w:vAlign w:val="bottom"/>
          </w:tcPr>
          <w:p w14:paraId="0B2FB863" w14:textId="77777777" w:rsidR="007F1775" w:rsidRDefault="007F1775">
            <w:pPr>
              <w:rPr>
                <w:rFonts w:ascii="宋体"/>
                <w:vanish/>
              </w:rPr>
            </w:pPr>
          </w:p>
        </w:tc>
        <w:tc>
          <w:tcPr>
            <w:tcW w:w="0" w:type="auto"/>
            <w:shd w:val="clear" w:color="auto" w:fill="auto"/>
            <w:vAlign w:val="bottom"/>
          </w:tcPr>
          <w:p w14:paraId="0B2FB864" w14:textId="77777777" w:rsidR="007F1775" w:rsidRDefault="007F1775">
            <w:pPr>
              <w:rPr>
                <w:rFonts w:ascii="宋体"/>
                <w:vanish/>
              </w:rPr>
            </w:pPr>
          </w:p>
        </w:tc>
        <w:tc>
          <w:tcPr>
            <w:tcW w:w="0" w:type="auto"/>
            <w:gridSpan w:val="3"/>
            <w:shd w:val="clear" w:color="auto" w:fill="FFFFFF"/>
            <w:tcMar>
              <w:top w:w="0" w:type="dxa"/>
              <w:left w:w="20" w:type="dxa"/>
              <w:bottom w:w="0" w:type="dxa"/>
              <w:right w:w="20" w:type="dxa"/>
            </w:tcMar>
            <w:vAlign w:val="bottom"/>
          </w:tcPr>
          <w:p w14:paraId="0B2FB865"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866" w14:textId="77777777" w:rsidR="007F1775" w:rsidRDefault="000F083E">
            <w:pPr>
              <w:jc w:val="right"/>
              <w:textAlignment w:val="bottom"/>
            </w:pPr>
            <w:r>
              <w:rPr>
                <w:rFonts w:ascii="Times New Roman" w:eastAsia="宋体" w:hAnsi="Times New Roman"/>
                <w:color w:val="000000"/>
                <w:sz w:val="20"/>
                <w:szCs w:val="20"/>
              </w:rPr>
              <w:t>(62)</w:t>
            </w:r>
          </w:p>
        </w:tc>
        <w:tc>
          <w:tcPr>
            <w:tcW w:w="0" w:type="auto"/>
            <w:shd w:val="clear" w:color="auto" w:fill="FFFFFF"/>
            <w:tcMar>
              <w:top w:w="40" w:type="dxa"/>
              <w:left w:w="0" w:type="dxa"/>
              <w:bottom w:w="40" w:type="dxa"/>
              <w:right w:w="20" w:type="dxa"/>
            </w:tcMar>
            <w:vAlign w:val="bottom"/>
          </w:tcPr>
          <w:p w14:paraId="0B2FB867"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0B2FB868" w14:textId="77777777" w:rsidR="007F1775" w:rsidRDefault="007F1775">
            <w:pPr>
              <w:rPr>
                <w:rFonts w:ascii="宋体"/>
                <w:vanish/>
              </w:rPr>
            </w:pPr>
          </w:p>
        </w:tc>
        <w:tc>
          <w:tcPr>
            <w:tcW w:w="0" w:type="auto"/>
            <w:gridSpan w:val="3"/>
            <w:shd w:val="clear" w:color="auto" w:fill="auto"/>
            <w:vAlign w:val="bottom"/>
          </w:tcPr>
          <w:p w14:paraId="0B2FB869" w14:textId="77777777" w:rsidR="007F1775" w:rsidRDefault="007F1775">
            <w:pPr>
              <w:rPr>
                <w:rFonts w:ascii="宋体"/>
                <w:vanish/>
              </w:rPr>
            </w:pPr>
          </w:p>
        </w:tc>
      </w:tr>
      <w:tr w:rsidR="007F1775" w14:paraId="0B2FB87A" w14:textId="77777777">
        <w:tc>
          <w:tcPr>
            <w:tcW w:w="0" w:type="auto"/>
            <w:gridSpan w:val="3"/>
            <w:shd w:val="clear" w:color="auto" w:fill="CCEEFF"/>
            <w:tcMar>
              <w:top w:w="40" w:type="dxa"/>
              <w:left w:w="380" w:type="dxa"/>
              <w:bottom w:w="40" w:type="dxa"/>
              <w:right w:w="20" w:type="dxa"/>
            </w:tcMar>
            <w:vAlign w:val="bottom"/>
          </w:tcPr>
          <w:p w14:paraId="0B2FB86B" w14:textId="77777777" w:rsidR="007F1775" w:rsidRDefault="000F083E">
            <w:pPr>
              <w:textAlignment w:val="bottom"/>
            </w:pPr>
            <w:r>
              <w:rPr>
                <w:rFonts w:ascii="Times New Roman" w:eastAsia="宋体" w:hAnsi="Times New Roman"/>
                <w:color w:val="000000"/>
                <w:sz w:val="20"/>
                <w:szCs w:val="20"/>
              </w:rPr>
              <w:t>Total in</w:t>
            </w:r>
            <w:r>
              <w:rPr>
                <w:rFonts w:ascii="Times New Roman" w:eastAsia="宋体" w:hAnsi="Times New Roman"/>
                <w:color w:val="000000"/>
                <w:sz w:val="20"/>
                <w:szCs w:val="20"/>
              </w:rPr>
              <w:t>come from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B86C"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B86D" w14:textId="77777777" w:rsidR="007F1775" w:rsidRDefault="000F083E">
            <w:pPr>
              <w:jc w:val="right"/>
              <w:textAlignment w:val="bottom"/>
            </w:pPr>
            <w:r>
              <w:rPr>
                <w:rFonts w:ascii="Times New Roman" w:eastAsia="宋体" w:hAnsi="Times New Roman"/>
                <w:color w:val="000000"/>
                <w:sz w:val="20"/>
                <w:szCs w:val="20"/>
              </w:rPr>
              <w:t>8,524 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B86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86F" w14:textId="77777777" w:rsidR="007F1775" w:rsidRDefault="007F1775">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B2FB870"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B2FB871" w14:textId="77777777" w:rsidR="007F1775" w:rsidRDefault="000F083E">
            <w:pPr>
              <w:jc w:val="right"/>
              <w:textAlignment w:val="bottom"/>
            </w:pPr>
            <w:r>
              <w:rPr>
                <w:rFonts w:ascii="Times New Roman" w:eastAsia="宋体" w:hAnsi="Times New Roman"/>
                <w:color w:val="000000"/>
                <w:sz w:val="20"/>
                <w:szCs w:val="20"/>
              </w:rPr>
              <w:t>11,378 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B2FB872" w14:textId="77777777" w:rsidR="007F1775" w:rsidRDefault="007F1775">
            <w:pPr>
              <w:jc w:val="right"/>
              <w:rPr>
                <w:rFonts w:ascii="宋体"/>
              </w:rPr>
            </w:pPr>
          </w:p>
        </w:tc>
        <w:tc>
          <w:tcPr>
            <w:tcW w:w="0" w:type="auto"/>
            <w:shd w:val="clear" w:color="auto" w:fill="auto"/>
            <w:vAlign w:val="bottom"/>
          </w:tcPr>
          <w:p w14:paraId="0B2FB873" w14:textId="77777777" w:rsidR="007F1775" w:rsidRDefault="007F1775">
            <w:pPr>
              <w:rPr>
                <w:rFonts w:ascii="宋体"/>
                <w:vanish/>
              </w:rPr>
            </w:pPr>
          </w:p>
        </w:tc>
        <w:tc>
          <w:tcPr>
            <w:tcW w:w="0" w:type="auto"/>
            <w:shd w:val="clear" w:color="auto" w:fill="auto"/>
            <w:vAlign w:val="bottom"/>
          </w:tcPr>
          <w:p w14:paraId="0B2FB874" w14:textId="77777777" w:rsidR="007F1775" w:rsidRDefault="007F1775">
            <w:pPr>
              <w:rPr>
                <w:rFonts w:ascii="宋体"/>
                <w:vanish/>
              </w:rPr>
            </w:pPr>
          </w:p>
        </w:tc>
        <w:tc>
          <w:tcPr>
            <w:tcW w:w="0" w:type="auto"/>
            <w:gridSpan w:val="3"/>
            <w:shd w:val="clear" w:color="auto" w:fill="CCEEFF"/>
            <w:tcMar>
              <w:top w:w="0" w:type="dxa"/>
              <w:left w:w="20" w:type="dxa"/>
              <w:bottom w:w="0" w:type="dxa"/>
              <w:right w:w="20" w:type="dxa"/>
            </w:tcMar>
            <w:vAlign w:val="bottom"/>
          </w:tcPr>
          <w:p w14:paraId="0B2FB875"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876" w14:textId="77777777" w:rsidR="007F1775" w:rsidRDefault="000F083E">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0B2FB877"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0B2FB878" w14:textId="77777777" w:rsidR="007F1775" w:rsidRDefault="007F1775">
            <w:pPr>
              <w:rPr>
                <w:rFonts w:ascii="宋体"/>
                <w:vanish/>
              </w:rPr>
            </w:pPr>
          </w:p>
        </w:tc>
        <w:tc>
          <w:tcPr>
            <w:tcW w:w="0" w:type="auto"/>
            <w:gridSpan w:val="3"/>
            <w:shd w:val="clear" w:color="auto" w:fill="auto"/>
            <w:vAlign w:val="bottom"/>
          </w:tcPr>
          <w:p w14:paraId="0B2FB879" w14:textId="77777777" w:rsidR="007F1775" w:rsidRDefault="007F1775">
            <w:pPr>
              <w:rPr>
                <w:rFonts w:ascii="宋体"/>
                <w:vanish/>
              </w:rPr>
            </w:pPr>
          </w:p>
        </w:tc>
      </w:tr>
    </w:tbl>
    <w:p w14:paraId="0B2FB87B" w14:textId="77777777" w:rsidR="007F1775" w:rsidRDefault="007F1775">
      <w:pPr>
        <w:jc w:val="both"/>
      </w:pPr>
    </w:p>
    <w:p w14:paraId="0B2FB87C" w14:textId="77777777" w:rsidR="007F1775" w:rsidRDefault="000F083E">
      <w:pPr>
        <w:ind w:firstLine="540"/>
        <w:jc w:val="both"/>
      </w:pPr>
      <w:r>
        <w:rPr>
          <w:rFonts w:ascii="Times New Roman" w:eastAsia="宋体" w:hAnsi="Times New Roman"/>
          <w:i/>
          <w:iCs/>
          <w:color w:val="000000"/>
          <w:sz w:val="20"/>
          <w:szCs w:val="20"/>
          <w:shd w:val="clear" w:color="auto" w:fill="FFFFFF"/>
        </w:rPr>
        <w:t>Family of Apps</w:t>
      </w:r>
    </w:p>
    <w:p w14:paraId="0B2FB87D" w14:textId="77777777" w:rsidR="007F1775" w:rsidRDefault="007F1775">
      <w:pPr>
        <w:ind w:firstLine="540"/>
      </w:pPr>
    </w:p>
    <w:p w14:paraId="0B2FB87E" w14:textId="77777777" w:rsidR="007F1775" w:rsidRDefault="000F083E">
      <w:pPr>
        <w:ind w:firstLine="540"/>
        <w:jc w:val="both"/>
      </w:pPr>
      <w:r>
        <w:rPr>
          <w:rFonts w:ascii="Times New Roman" w:eastAsia="宋体" w:hAnsi="Times New Roman"/>
          <w:color w:val="000000"/>
          <w:sz w:val="20"/>
          <w:szCs w:val="20"/>
          <w:shd w:val="clear" w:color="auto" w:fill="FFFFFF"/>
        </w:rPr>
        <w:t xml:space="preserve">FoA income from operations in the three months ended </w:t>
      </w:r>
      <w:r>
        <w:rPr>
          <w:rFonts w:ascii="Times New Roman" w:eastAsia="宋体" w:hAnsi="Times New Roman"/>
          <w:color w:val="000000"/>
          <w:sz w:val="20"/>
          <w:szCs w:val="20"/>
        </w:rPr>
        <w:t>March 31, 2022</w:t>
      </w:r>
      <w:r>
        <w:rPr>
          <w:rFonts w:ascii="Times New Roman" w:eastAsia="宋体" w:hAnsi="Times New Roman"/>
          <w:color w:val="000000"/>
          <w:sz w:val="20"/>
          <w:szCs w:val="20"/>
          <w:shd w:val="clear" w:color="auto" w:fill="FFFFFF"/>
        </w:rPr>
        <w:t xml:space="preserve"> decreased $1.72 billion</w:t>
      </w:r>
      <w:r>
        <w:rPr>
          <w:rFonts w:ascii="Times New Roman" w:eastAsia="宋体" w:hAnsi="Times New Roman"/>
          <w:color w:val="000000"/>
          <w:sz w:val="20"/>
          <w:szCs w:val="20"/>
        </w:rPr>
        <w:t>, or 13%, compared to</w:t>
      </w:r>
      <w:r>
        <w:rPr>
          <w:rFonts w:ascii="Times New Roman" w:eastAsia="宋体" w:hAnsi="Times New Roman"/>
          <w:color w:val="000000"/>
          <w:sz w:val="20"/>
          <w:szCs w:val="20"/>
          <w:shd w:val="clear" w:color="auto" w:fill="FFFFFF"/>
        </w:rPr>
        <w:t xml:space="preserve"> the same period in 2021. The decrease was due to </w:t>
      </w:r>
      <w:r>
        <w:rPr>
          <w:rFonts w:ascii="Times New Roman" w:eastAsia="宋体" w:hAnsi="Times New Roman"/>
          <w:color w:val="000000"/>
          <w:sz w:val="20"/>
          <w:szCs w:val="20"/>
        </w:rPr>
        <w:t>an increase in costs and expenses, mainly due to an increase in payroll and related expenses as a result of higher employee headcount, increases in costs related to our data centers and technical infrastruc</w:t>
      </w:r>
      <w:r>
        <w:rPr>
          <w:rFonts w:ascii="Times New Roman" w:eastAsia="宋体" w:hAnsi="Times New Roman"/>
          <w:color w:val="000000"/>
          <w:sz w:val="20"/>
          <w:szCs w:val="20"/>
        </w:rPr>
        <w:t>ture and higher legal-related costs.</w:t>
      </w:r>
    </w:p>
    <w:p w14:paraId="0B2FB87F" w14:textId="77777777" w:rsidR="007F1775" w:rsidRDefault="007F1775">
      <w:pPr>
        <w:ind w:firstLine="540"/>
        <w:jc w:val="both"/>
      </w:pPr>
    </w:p>
    <w:p w14:paraId="0B2FB880" w14:textId="77777777" w:rsidR="007F1775" w:rsidRDefault="000F083E">
      <w:pPr>
        <w:ind w:firstLine="540"/>
        <w:jc w:val="both"/>
      </w:pPr>
      <w:r>
        <w:rPr>
          <w:rFonts w:ascii="Times New Roman" w:eastAsia="宋体" w:hAnsi="Times New Roman"/>
          <w:i/>
          <w:iCs/>
          <w:color w:val="000000"/>
          <w:sz w:val="20"/>
          <w:szCs w:val="20"/>
          <w:shd w:val="clear" w:color="auto" w:fill="FFFFFF"/>
        </w:rPr>
        <w:t>Reality Labs</w:t>
      </w:r>
    </w:p>
    <w:p w14:paraId="0B2FB881" w14:textId="77777777" w:rsidR="007F1775" w:rsidRDefault="007F1775">
      <w:pPr>
        <w:ind w:firstLine="540"/>
        <w:jc w:val="both"/>
      </w:pPr>
    </w:p>
    <w:p w14:paraId="0B2FB882" w14:textId="77777777" w:rsidR="007F1775" w:rsidRDefault="000F083E">
      <w:pPr>
        <w:ind w:firstLine="540"/>
        <w:jc w:val="both"/>
      </w:pPr>
      <w:r>
        <w:rPr>
          <w:rFonts w:ascii="Times New Roman" w:eastAsia="宋体" w:hAnsi="Times New Roman"/>
          <w:color w:val="000000"/>
          <w:sz w:val="20"/>
          <w:szCs w:val="20"/>
        </w:rPr>
        <w:t>RL loss from operations in the three months ended</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March 31, 2022 increased $1.13 billion, or 62%, compared to</w:t>
      </w:r>
      <w:r>
        <w:rPr>
          <w:rFonts w:ascii="Times New Roman" w:eastAsia="宋体" w:hAnsi="Times New Roman"/>
          <w:color w:val="000000"/>
          <w:sz w:val="20"/>
          <w:szCs w:val="20"/>
          <w:shd w:val="clear" w:color="auto" w:fill="FFFFFF"/>
        </w:rPr>
        <w:t xml:space="preserve"> the same period in 2021</w:t>
      </w:r>
      <w:r>
        <w:rPr>
          <w:rFonts w:ascii="Times New Roman" w:eastAsia="宋体" w:hAnsi="Times New Roman"/>
          <w:color w:val="000000"/>
          <w:sz w:val="20"/>
          <w:szCs w:val="20"/>
        </w:rPr>
        <w:t>. The increase in loss from operations was primarily driven by increase</w:t>
      </w:r>
      <w:r>
        <w:rPr>
          <w:rFonts w:ascii="Times New Roman" w:eastAsia="宋体" w:hAnsi="Times New Roman"/>
          <w:color w:val="000000"/>
          <w:sz w:val="20"/>
          <w:szCs w:val="20"/>
        </w:rPr>
        <w:t>s in payroll and related expenses due to a growth in RL headcount, research and development expenses, and cost of consumer hardware products sold.</w:t>
      </w:r>
    </w:p>
    <w:p w14:paraId="0B2FB883" w14:textId="77777777" w:rsidR="007F1775" w:rsidRDefault="007F1775"/>
    <w:p w14:paraId="0B2FB884" w14:textId="77777777" w:rsidR="007F1775" w:rsidRDefault="000F083E">
      <w:pPr>
        <w:jc w:val="center"/>
      </w:pPr>
      <w:r>
        <w:rPr>
          <w:rFonts w:ascii="Times New Roman" w:eastAsia="宋体" w:hAnsi="Times New Roman"/>
          <w:color w:val="000000"/>
          <w:sz w:val="20"/>
          <w:szCs w:val="20"/>
        </w:rPr>
        <w:t>41</w:t>
      </w:r>
    </w:p>
    <w:p w14:paraId="0B2FB885" w14:textId="77777777" w:rsidR="007F1775" w:rsidRDefault="000F083E">
      <w:r>
        <w:pict w14:anchorId="0B2FBFB6">
          <v:rect id="_x0000_i1065" style="width:415.3pt;height:1.5pt" o:hralign="center" o:hrstd="t" o:hr="t" fillcolor="#a0a0a0" stroked="f"/>
        </w:pict>
      </w:r>
    </w:p>
    <w:p w14:paraId="0B2FB886" w14:textId="77777777" w:rsidR="007F1775" w:rsidRDefault="007F1775"/>
    <w:p w14:paraId="0B2FB887" w14:textId="77777777" w:rsidR="007F1775" w:rsidRDefault="007F1775"/>
    <w:p w14:paraId="0B2FB888" w14:textId="77777777" w:rsidR="007F1775" w:rsidRDefault="000F083E">
      <w:hyperlink r:id="rId119" w:anchor="iea70e328caa94cefb76a9db6ed6338fc_7" w:history="1">
        <w:r>
          <w:rPr>
            <w:rStyle w:val="a5"/>
            <w:rFonts w:ascii="Times New Roman" w:eastAsia="宋体" w:hAnsi="Times New Roman"/>
            <w:sz w:val="20"/>
            <w:szCs w:val="20"/>
          </w:rPr>
          <w:t>Table of Contents</w:t>
        </w:r>
      </w:hyperlink>
    </w:p>
    <w:p w14:paraId="0B2FB889" w14:textId="77777777" w:rsidR="007F1775" w:rsidRDefault="000F083E">
      <w:r>
        <w:rPr>
          <w:rFonts w:ascii="Times New Roman" w:eastAsia="宋体" w:hAnsi="Times New Roman"/>
          <w:b/>
          <w:bCs/>
          <w:i/>
          <w:iCs/>
          <w:color w:val="000000"/>
          <w:sz w:val="20"/>
          <w:szCs w:val="20"/>
        </w:rPr>
        <w:t>Interest and other income, net</w:t>
      </w:r>
    </w:p>
    <w:tbl>
      <w:tblPr>
        <w:tblW w:w="4993" w:type="pct"/>
        <w:tblCellMar>
          <w:top w:w="15" w:type="dxa"/>
          <w:left w:w="15" w:type="dxa"/>
          <w:bottom w:w="15" w:type="dxa"/>
          <w:right w:w="15" w:type="dxa"/>
        </w:tblCellMar>
        <w:tblLook w:val="04A0" w:firstRow="1" w:lastRow="0" w:firstColumn="1" w:lastColumn="0" w:noHBand="0" w:noVBand="1"/>
      </w:tblPr>
      <w:tblGrid>
        <w:gridCol w:w="39"/>
        <w:gridCol w:w="4112"/>
        <w:gridCol w:w="38"/>
        <w:gridCol w:w="120"/>
        <w:gridCol w:w="1124"/>
        <w:gridCol w:w="36"/>
        <w:gridCol w:w="36"/>
        <w:gridCol w:w="36"/>
        <w:gridCol w:w="36"/>
        <w:gridCol w:w="120"/>
        <w:gridCol w:w="1074"/>
        <w:gridCol w:w="36"/>
        <w:gridCol w:w="36"/>
        <w:gridCol w:w="36"/>
        <w:gridCol w:w="36"/>
        <w:gridCol w:w="41"/>
        <w:gridCol w:w="821"/>
        <w:gridCol w:w="187"/>
        <w:gridCol w:w="36"/>
        <w:gridCol w:w="36"/>
        <w:gridCol w:w="36"/>
        <w:gridCol w:w="36"/>
        <w:gridCol w:w="36"/>
        <w:gridCol w:w="36"/>
        <w:gridCol w:w="36"/>
        <w:gridCol w:w="36"/>
        <w:gridCol w:w="36"/>
        <w:gridCol w:w="36"/>
      </w:tblGrid>
      <w:tr w:rsidR="007F1775" w14:paraId="0B2FB8A2" w14:textId="77777777">
        <w:tc>
          <w:tcPr>
            <w:tcW w:w="50" w:type="pct"/>
            <w:shd w:val="clear" w:color="auto" w:fill="auto"/>
            <w:vAlign w:val="bottom"/>
          </w:tcPr>
          <w:p w14:paraId="0B2FB88A" w14:textId="77777777" w:rsidR="007F1775" w:rsidRDefault="007F1775">
            <w:pPr>
              <w:rPr>
                <w:rFonts w:ascii="宋体"/>
              </w:rPr>
            </w:pPr>
          </w:p>
        </w:tc>
        <w:tc>
          <w:tcPr>
            <w:tcW w:w="2627" w:type="pct"/>
            <w:shd w:val="clear" w:color="auto" w:fill="auto"/>
            <w:vAlign w:val="bottom"/>
          </w:tcPr>
          <w:p w14:paraId="0B2FB88B" w14:textId="77777777" w:rsidR="007F1775" w:rsidRDefault="007F1775">
            <w:pPr>
              <w:rPr>
                <w:rFonts w:ascii="宋体"/>
              </w:rPr>
            </w:pPr>
          </w:p>
        </w:tc>
        <w:tc>
          <w:tcPr>
            <w:tcW w:w="5" w:type="pct"/>
            <w:shd w:val="clear" w:color="auto" w:fill="auto"/>
            <w:vAlign w:val="bottom"/>
          </w:tcPr>
          <w:p w14:paraId="0B2FB88C" w14:textId="77777777" w:rsidR="007F1775" w:rsidRDefault="007F1775">
            <w:pPr>
              <w:rPr>
                <w:rFonts w:ascii="宋体"/>
              </w:rPr>
            </w:pPr>
          </w:p>
        </w:tc>
        <w:tc>
          <w:tcPr>
            <w:tcW w:w="50" w:type="pct"/>
            <w:shd w:val="clear" w:color="auto" w:fill="auto"/>
            <w:vAlign w:val="bottom"/>
          </w:tcPr>
          <w:p w14:paraId="0B2FB88D" w14:textId="77777777" w:rsidR="007F1775" w:rsidRDefault="007F1775">
            <w:pPr>
              <w:rPr>
                <w:rFonts w:ascii="宋体"/>
              </w:rPr>
            </w:pPr>
          </w:p>
        </w:tc>
        <w:tc>
          <w:tcPr>
            <w:tcW w:w="742" w:type="pct"/>
            <w:shd w:val="clear" w:color="auto" w:fill="auto"/>
            <w:vAlign w:val="bottom"/>
          </w:tcPr>
          <w:p w14:paraId="0B2FB88E" w14:textId="77777777" w:rsidR="007F1775" w:rsidRDefault="007F1775">
            <w:pPr>
              <w:rPr>
                <w:rFonts w:ascii="宋体"/>
              </w:rPr>
            </w:pPr>
          </w:p>
        </w:tc>
        <w:tc>
          <w:tcPr>
            <w:tcW w:w="5" w:type="pct"/>
            <w:shd w:val="clear" w:color="auto" w:fill="auto"/>
            <w:vAlign w:val="bottom"/>
          </w:tcPr>
          <w:p w14:paraId="0B2FB88F" w14:textId="77777777" w:rsidR="007F1775" w:rsidRDefault="007F1775">
            <w:pPr>
              <w:rPr>
                <w:rFonts w:ascii="宋体"/>
              </w:rPr>
            </w:pPr>
          </w:p>
        </w:tc>
        <w:tc>
          <w:tcPr>
            <w:tcW w:w="5" w:type="pct"/>
            <w:shd w:val="clear" w:color="auto" w:fill="auto"/>
            <w:vAlign w:val="bottom"/>
          </w:tcPr>
          <w:p w14:paraId="0B2FB890" w14:textId="77777777" w:rsidR="007F1775" w:rsidRDefault="007F1775">
            <w:pPr>
              <w:rPr>
                <w:rFonts w:ascii="宋体"/>
              </w:rPr>
            </w:pPr>
          </w:p>
        </w:tc>
        <w:tc>
          <w:tcPr>
            <w:tcW w:w="27" w:type="pct"/>
            <w:shd w:val="clear" w:color="auto" w:fill="auto"/>
            <w:vAlign w:val="bottom"/>
          </w:tcPr>
          <w:p w14:paraId="0B2FB891" w14:textId="77777777" w:rsidR="007F1775" w:rsidRDefault="007F1775">
            <w:pPr>
              <w:rPr>
                <w:rFonts w:ascii="宋体"/>
              </w:rPr>
            </w:pPr>
          </w:p>
        </w:tc>
        <w:tc>
          <w:tcPr>
            <w:tcW w:w="5" w:type="pct"/>
            <w:shd w:val="clear" w:color="auto" w:fill="auto"/>
            <w:vAlign w:val="bottom"/>
          </w:tcPr>
          <w:p w14:paraId="0B2FB892" w14:textId="77777777" w:rsidR="007F1775" w:rsidRDefault="007F1775">
            <w:pPr>
              <w:rPr>
                <w:rFonts w:ascii="宋体"/>
              </w:rPr>
            </w:pPr>
          </w:p>
        </w:tc>
        <w:tc>
          <w:tcPr>
            <w:tcW w:w="50" w:type="pct"/>
            <w:shd w:val="clear" w:color="auto" w:fill="auto"/>
            <w:vAlign w:val="bottom"/>
          </w:tcPr>
          <w:p w14:paraId="0B2FB893" w14:textId="77777777" w:rsidR="007F1775" w:rsidRDefault="007F1775">
            <w:pPr>
              <w:rPr>
                <w:rFonts w:ascii="宋体"/>
              </w:rPr>
            </w:pPr>
          </w:p>
        </w:tc>
        <w:tc>
          <w:tcPr>
            <w:tcW w:w="742" w:type="pct"/>
            <w:shd w:val="clear" w:color="auto" w:fill="auto"/>
            <w:vAlign w:val="bottom"/>
          </w:tcPr>
          <w:p w14:paraId="0B2FB894" w14:textId="77777777" w:rsidR="007F1775" w:rsidRDefault="007F1775">
            <w:pPr>
              <w:rPr>
                <w:rFonts w:ascii="宋体"/>
              </w:rPr>
            </w:pPr>
          </w:p>
        </w:tc>
        <w:tc>
          <w:tcPr>
            <w:tcW w:w="5" w:type="pct"/>
            <w:shd w:val="clear" w:color="auto" w:fill="auto"/>
            <w:vAlign w:val="bottom"/>
          </w:tcPr>
          <w:p w14:paraId="0B2FB895" w14:textId="77777777" w:rsidR="007F1775" w:rsidRDefault="007F1775">
            <w:pPr>
              <w:rPr>
                <w:rFonts w:ascii="宋体"/>
              </w:rPr>
            </w:pPr>
          </w:p>
        </w:tc>
        <w:tc>
          <w:tcPr>
            <w:tcW w:w="5" w:type="pct"/>
            <w:shd w:val="clear" w:color="auto" w:fill="auto"/>
            <w:vAlign w:val="bottom"/>
          </w:tcPr>
          <w:p w14:paraId="0B2FB896" w14:textId="77777777" w:rsidR="007F1775" w:rsidRDefault="007F1775">
            <w:pPr>
              <w:rPr>
                <w:rFonts w:ascii="宋体"/>
              </w:rPr>
            </w:pPr>
          </w:p>
        </w:tc>
        <w:tc>
          <w:tcPr>
            <w:tcW w:w="27" w:type="pct"/>
            <w:shd w:val="clear" w:color="auto" w:fill="auto"/>
            <w:vAlign w:val="bottom"/>
          </w:tcPr>
          <w:p w14:paraId="0B2FB897" w14:textId="77777777" w:rsidR="007F1775" w:rsidRDefault="007F1775">
            <w:pPr>
              <w:rPr>
                <w:rFonts w:ascii="宋体"/>
              </w:rPr>
            </w:pPr>
          </w:p>
        </w:tc>
        <w:tc>
          <w:tcPr>
            <w:tcW w:w="5" w:type="pct"/>
            <w:shd w:val="clear" w:color="auto" w:fill="auto"/>
            <w:vAlign w:val="bottom"/>
          </w:tcPr>
          <w:p w14:paraId="0B2FB898" w14:textId="77777777" w:rsidR="007F1775" w:rsidRDefault="007F1775">
            <w:pPr>
              <w:rPr>
                <w:rFonts w:ascii="宋体"/>
              </w:rPr>
            </w:pPr>
          </w:p>
        </w:tc>
        <w:tc>
          <w:tcPr>
            <w:tcW w:w="50" w:type="pct"/>
            <w:shd w:val="clear" w:color="auto" w:fill="auto"/>
            <w:vAlign w:val="bottom"/>
          </w:tcPr>
          <w:p w14:paraId="0B2FB899" w14:textId="77777777" w:rsidR="007F1775" w:rsidRDefault="007F1775">
            <w:pPr>
              <w:rPr>
                <w:rFonts w:ascii="宋体"/>
              </w:rPr>
            </w:pPr>
          </w:p>
        </w:tc>
        <w:tc>
          <w:tcPr>
            <w:tcW w:w="593" w:type="pct"/>
            <w:shd w:val="clear" w:color="auto" w:fill="auto"/>
            <w:vAlign w:val="bottom"/>
          </w:tcPr>
          <w:p w14:paraId="0B2FB89A" w14:textId="77777777" w:rsidR="007F1775" w:rsidRDefault="007F1775">
            <w:pPr>
              <w:rPr>
                <w:rFonts w:ascii="宋体"/>
              </w:rPr>
            </w:pPr>
          </w:p>
        </w:tc>
        <w:tc>
          <w:tcPr>
            <w:tcW w:w="5" w:type="pct"/>
            <w:shd w:val="clear" w:color="auto" w:fill="auto"/>
            <w:vAlign w:val="bottom"/>
          </w:tcPr>
          <w:p w14:paraId="0B2FB89B" w14:textId="77777777" w:rsidR="007F1775" w:rsidRDefault="007F1775">
            <w:pPr>
              <w:rPr>
                <w:rFonts w:ascii="宋体"/>
              </w:rPr>
            </w:pPr>
          </w:p>
        </w:tc>
        <w:tc>
          <w:tcPr>
            <w:tcW w:w="0" w:type="auto"/>
            <w:shd w:val="clear" w:color="auto" w:fill="auto"/>
            <w:vAlign w:val="bottom"/>
          </w:tcPr>
          <w:p w14:paraId="0B2FB89C" w14:textId="77777777" w:rsidR="007F1775" w:rsidRDefault="007F1775">
            <w:pPr>
              <w:rPr>
                <w:rFonts w:ascii="宋体"/>
                <w:vanish/>
              </w:rPr>
            </w:pPr>
          </w:p>
        </w:tc>
        <w:tc>
          <w:tcPr>
            <w:tcW w:w="0" w:type="auto"/>
            <w:shd w:val="clear" w:color="auto" w:fill="auto"/>
            <w:vAlign w:val="bottom"/>
          </w:tcPr>
          <w:p w14:paraId="0B2FB89D" w14:textId="77777777" w:rsidR="007F1775" w:rsidRDefault="007F1775">
            <w:pPr>
              <w:rPr>
                <w:rFonts w:ascii="宋体"/>
                <w:vanish/>
              </w:rPr>
            </w:pPr>
          </w:p>
        </w:tc>
        <w:tc>
          <w:tcPr>
            <w:tcW w:w="0" w:type="auto"/>
            <w:shd w:val="clear" w:color="auto" w:fill="auto"/>
            <w:vAlign w:val="bottom"/>
          </w:tcPr>
          <w:p w14:paraId="0B2FB89E" w14:textId="77777777" w:rsidR="007F1775" w:rsidRDefault="007F1775">
            <w:pPr>
              <w:rPr>
                <w:rFonts w:ascii="宋体"/>
                <w:vanish/>
              </w:rPr>
            </w:pPr>
          </w:p>
        </w:tc>
        <w:tc>
          <w:tcPr>
            <w:tcW w:w="0" w:type="auto"/>
            <w:shd w:val="clear" w:color="auto" w:fill="auto"/>
            <w:vAlign w:val="bottom"/>
          </w:tcPr>
          <w:p w14:paraId="0B2FB89F" w14:textId="77777777" w:rsidR="007F1775" w:rsidRDefault="007F1775">
            <w:pPr>
              <w:rPr>
                <w:rFonts w:ascii="宋体"/>
                <w:vanish/>
              </w:rPr>
            </w:pPr>
          </w:p>
        </w:tc>
        <w:tc>
          <w:tcPr>
            <w:tcW w:w="0" w:type="auto"/>
            <w:gridSpan w:val="3"/>
            <w:shd w:val="clear" w:color="auto" w:fill="auto"/>
            <w:vAlign w:val="bottom"/>
          </w:tcPr>
          <w:p w14:paraId="0B2FB8A0" w14:textId="77777777" w:rsidR="007F1775" w:rsidRDefault="007F1775">
            <w:pPr>
              <w:rPr>
                <w:rFonts w:ascii="宋体"/>
                <w:vanish/>
              </w:rPr>
            </w:pPr>
          </w:p>
        </w:tc>
        <w:tc>
          <w:tcPr>
            <w:tcW w:w="0" w:type="auto"/>
            <w:gridSpan w:val="3"/>
            <w:shd w:val="clear" w:color="auto" w:fill="auto"/>
            <w:vAlign w:val="bottom"/>
          </w:tcPr>
          <w:p w14:paraId="0B2FB8A1" w14:textId="77777777" w:rsidR="007F1775" w:rsidRDefault="007F1775">
            <w:pPr>
              <w:rPr>
                <w:rFonts w:ascii="宋体"/>
                <w:vanish/>
              </w:rPr>
            </w:pPr>
          </w:p>
        </w:tc>
      </w:tr>
      <w:tr w:rsidR="007F1775" w14:paraId="0B2FB8B1" w14:textId="77777777">
        <w:tc>
          <w:tcPr>
            <w:tcW w:w="0" w:type="auto"/>
            <w:gridSpan w:val="3"/>
            <w:shd w:val="clear" w:color="auto" w:fill="auto"/>
            <w:tcMar>
              <w:top w:w="40" w:type="dxa"/>
              <w:left w:w="20" w:type="dxa"/>
              <w:bottom w:w="40" w:type="dxa"/>
              <w:right w:w="20" w:type="dxa"/>
            </w:tcMar>
            <w:vAlign w:val="bottom"/>
          </w:tcPr>
          <w:p w14:paraId="0B2FB8A3"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8A4"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0B2FB8A5"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8A6" w14:textId="77777777" w:rsidR="007F1775" w:rsidRDefault="000F083E">
            <w:pPr>
              <w:textAlignment w:val="bottom"/>
            </w:pPr>
            <w:r>
              <w:rPr>
                <w:rFonts w:ascii="Times New Roman" w:eastAsia="宋体" w:hAnsi="Times New Roman"/>
                <w:color w:val="000000"/>
                <w:sz w:val="16"/>
                <w:szCs w:val="16"/>
              </w:rPr>
              <w:t> </w:t>
            </w:r>
          </w:p>
        </w:tc>
        <w:tc>
          <w:tcPr>
            <w:tcW w:w="0" w:type="auto"/>
            <w:shd w:val="clear" w:color="auto" w:fill="auto"/>
            <w:vAlign w:val="bottom"/>
          </w:tcPr>
          <w:p w14:paraId="0B2FB8A7" w14:textId="77777777" w:rsidR="007F1775" w:rsidRDefault="007F1775">
            <w:pPr>
              <w:rPr>
                <w:rFonts w:ascii="宋体"/>
                <w:vanish/>
              </w:rPr>
            </w:pPr>
          </w:p>
        </w:tc>
        <w:tc>
          <w:tcPr>
            <w:tcW w:w="0" w:type="auto"/>
            <w:shd w:val="clear" w:color="auto" w:fill="auto"/>
            <w:vAlign w:val="bottom"/>
          </w:tcPr>
          <w:p w14:paraId="0B2FB8A8" w14:textId="77777777" w:rsidR="007F1775" w:rsidRDefault="007F1775">
            <w:pPr>
              <w:rPr>
                <w:rFonts w:ascii="宋体"/>
                <w:vanish/>
              </w:rPr>
            </w:pPr>
          </w:p>
        </w:tc>
        <w:tc>
          <w:tcPr>
            <w:tcW w:w="0" w:type="auto"/>
            <w:shd w:val="clear" w:color="auto" w:fill="auto"/>
            <w:vAlign w:val="bottom"/>
          </w:tcPr>
          <w:p w14:paraId="0B2FB8A9" w14:textId="77777777" w:rsidR="007F1775" w:rsidRDefault="007F1775">
            <w:pPr>
              <w:rPr>
                <w:rFonts w:ascii="宋体"/>
                <w:vanish/>
              </w:rPr>
            </w:pPr>
          </w:p>
        </w:tc>
        <w:tc>
          <w:tcPr>
            <w:tcW w:w="0" w:type="auto"/>
            <w:shd w:val="clear" w:color="auto" w:fill="auto"/>
            <w:vAlign w:val="bottom"/>
          </w:tcPr>
          <w:p w14:paraId="0B2FB8AA" w14:textId="77777777" w:rsidR="007F1775" w:rsidRDefault="007F1775">
            <w:pPr>
              <w:rPr>
                <w:rFonts w:ascii="宋体"/>
                <w:vanish/>
              </w:rPr>
            </w:pPr>
          </w:p>
        </w:tc>
        <w:tc>
          <w:tcPr>
            <w:tcW w:w="0" w:type="auto"/>
            <w:shd w:val="clear" w:color="auto" w:fill="auto"/>
            <w:vAlign w:val="bottom"/>
          </w:tcPr>
          <w:p w14:paraId="0B2FB8AB" w14:textId="77777777" w:rsidR="007F1775" w:rsidRDefault="007F1775">
            <w:pPr>
              <w:rPr>
                <w:rFonts w:ascii="宋体"/>
              </w:rPr>
            </w:pPr>
          </w:p>
        </w:tc>
        <w:tc>
          <w:tcPr>
            <w:tcW w:w="0" w:type="auto"/>
            <w:shd w:val="clear" w:color="auto" w:fill="auto"/>
            <w:vAlign w:val="bottom"/>
          </w:tcPr>
          <w:p w14:paraId="0B2FB8AC" w14:textId="77777777" w:rsidR="007F1775" w:rsidRDefault="007F1775">
            <w:pPr>
              <w:rPr>
                <w:rFonts w:ascii="宋体"/>
              </w:rPr>
            </w:pPr>
          </w:p>
        </w:tc>
        <w:tc>
          <w:tcPr>
            <w:tcW w:w="0" w:type="auto"/>
            <w:shd w:val="clear" w:color="auto" w:fill="auto"/>
            <w:vAlign w:val="bottom"/>
          </w:tcPr>
          <w:p w14:paraId="0B2FB8AD" w14:textId="77777777" w:rsidR="007F1775" w:rsidRDefault="007F1775">
            <w:pPr>
              <w:rPr>
                <w:rFonts w:ascii="宋体"/>
              </w:rPr>
            </w:pPr>
          </w:p>
        </w:tc>
        <w:tc>
          <w:tcPr>
            <w:tcW w:w="0" w:type="auto"/>
            <w:shd w:val="clear" w:color="auto" w:fill="auto"/>
            <w:vAlign w:val="bottom"/>
          </w:tcPr>
          <w:p w14:paraId="0B2FB8AE" w14:textId="77777777" w:rsidR="007F1775" w:rsidRDefault="007F1775">
            <w:pPr>
              <w:rPr>
                <w:rFonts w:ascii="宋体"/>
              </w:rPr>
            </w:pPr>
          </w:p>
        </w:tc>
        <w:tc>
          <w:tcPr>
            <w:tcW w:w="0" w:type="auto"/>
            <w:shd w:val="clear" w:color="auto" w:fill="auto"/>
            <w:vAlign w:val="bottom"/>
          </w:tcPr>
          <w:p w14:paraId="0B2FB8AF" w14:textId="77777777" w:rsidR="007F1775" w:rsidRDefault="007F1775">
            <w:pPr>
              <w:rPr>
                <w:rFonts w:ascii="宋体"/>
              </w:rPr>
            </w:pPr>
          </w:p>
        </w:tc>
        <w:tc>
          <w:tcPr>
            <w:tcW w:w="0" w:type="auto"/>
            <w:shd w:val="clear" w:color="auto" w:fill="auto"/>
            <w:vAlign w:val="bottom"/>
          </w:tcPr>
          <w:p w14:paraId="0B2FB8B0" w14:textId="77777777" w:rsidR="007F1775" w:rsidRDefault="007F1775">
            <w:pPr>
              <w:rPr>
                <w:rFonts w:ascii="宋体"/>
              </w:rPr>
            </w:pPr>
          </w:p>
        </w:tc>
      </w:tr>
      <w:tr w:rsidR="007F1775" w14:paraId="0B2FB8BE" w14:textId="77777777">
        <w:tc>
          <w:tcPr>
            <w:tcW w:w="0" w:type="auto"/>
            <w:gridSpan w:val="3"/>
            <w:shd w:val="clear" w:color="auto" w:fill="auto"/>
            <w:tcMar>
              <w:top w:w="40" w:type="dxa"/>
              <w:left w:w="20" w:type="dxa"/>
              <w:bottom w:w="40" w:type="dxa"/>
              <w:right w:w="20" w:type="dxa"/>
            </w:tcMar>
            <w:vAlign w:val="bottom"/>
          </w:tcPr>
          <w:p w14:paraId="0B2FB8B2"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8B3"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8B4"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8B5"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B2FB8B6"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8B7" w14:textId="77777777" w:rsidR="007F1775" w:rsidRDefault="000F083E">
            <w:pPr>
              <w:jc w:val="center"/>
              <w:textAlignment w:val="bottom"/>
            </w:pPr>
            <w:r>
              <w:rPr>
                <w:rFonts w:ascii="Times New Roman" w:eastAsia="宋体" w:hAnsi="Times New Roman"/>
                <w:b/>
                <w:bCs/>
                <w:color w:val="000000"/>
                <w:sz w:val="16"/>
                <w:szCs w:val="16"/>
              </w:rPr>
              <w:t>% change</w:t>
            </w:r>
          </w:p>
        </w:tc>
        <w:tc>
          <w:tcPr>
            <w:tcW w:w="0" w:type="auto"/>
            <w:shd w:val="clear" w:color="auto" w:fill="auto"/>
            <w:vAlign w:val="bottom"/>
          </w:tcPr>
          <w:p w14:paraId="0B2FB8B8" w14:textId="77777777" w:rsidR="007F1775" w:rsidRDefault="007F1775">
            <w:pPr>
              <w:rPr>
                <w:rFonts w:ascii="宋体"/>
                <w:vanish/>
              </w:rPr>
            </w:pPr>
          </w:p>
        </w:tc>
        <w:tc>
          <w:tcPr>
            <w:tcW w:w="0" w:type="auto"/>
            <w:shd w:val="clear" w:color="auto" w:fill="auto"/>
            <w:vAlign w:val="bottom"/>
          </w:tcPr>
          <w:p w14:paraId="0B2FB8B9" w14:textId="77777777" w:rsidR="007F1775" w:rsidRDefault="007F1775">
            <w:pPr>
              <w:rPr>
                <w:rFonts w:ascii="宋体"/>
                <w:vanish/>
              </w:rPr>
            </w:pPr>
          </w:p>
        </w:tc>
        <w:tc>
          <w:tcPr>
            <w:tcW w:w="0" w:type="auto"/>
            <w:shd w:val="clear" w:color="auto" w:fill="auto"/>
            <w:vAlign w:val="bottom"/>
          </w:tcPr>
          <w:p w14:paraId="0B2FB8BA" w14:textId="77777777" w:rsidR="007F1775" w:rsidRDefault="007F1775">
            <w:pPr>
              <w:rPr>
                <w:rFonts w:ascii="宋体"/>
                <w:vanish/>
              </w:rPr>
            </w:pPr>
          </w:p>
        </w:tc>
        <w:tc>
          <w:tcPr>
            <w:tcW w:w="0" w:type="auto"/>
            <w:shd w:val="clear" w:color="auto" w:fill="auto"/>
            <w:vAlign w:val="bottom"/>
          </w:tcPr>
          <w:p w14:paraId="0B2FB8BB" w14:textId="77777777" w:rsidR="007F1775" w:rsidRDefault="007F1775">
            <w:pPr>
              <w:rPr>
                <w:rFonts w:ascii="宋体"/>
                <w:vanish/>
              </w:rPr>
            </w:pPr>
          </w:p>
        </w:tc>
        <w:tc>
          <w:tcPr>
            <w:tcW w:w="0" w:type="auto"/>
            <w:gridSpan w:val="3"/>
            <w:shd w:val="clear" w:color="auto" w:fill="auto"/>
            <w:vAlign w:val="bottom"/>
          </w:tcPr>
          <w:p w14:paraId="0B2FB8BC" w14:textId="77777777" w:rsidR="007F1775" w:rsidRDefault="007F1775">
            <w:pPr>
              <w:rPr>
                <w:rFonts w:ascii="宋体"/>
                <w:vanish/>
              </w:rPr>
            </w:pPr>
          </w:p>
        </w:tc>
        <w:tc>
          <w:tcPr>
            <w:tcW w:w="0" w:type="auto"/>
            <w:gridSpan w:val="3"/>
            <w:shd w:val="clear" w:color="auto" w:fill="auto"/>
            <w:vAlign w:val="bottom"/>
          </w:tcPr>
          <w:p w14:paraId="0B2FB8BD" w14:textId="77777777" w:rsidR="007F1775" w:rsidRDefault="007F1775">
            <w:pPr>
              <w:rPr>
                <w:rFonts w:ascii="宋体"/>
                <w:vanish/>
              </w:rPr>
            </w:pPr>
          </w:p>
        </w:tc>
      </w:tr>
      <w:tr w:rsidR="007F1775" w14:paraId="0B2FB8CB" w14:textId="77777777">
        <w:trPr>
          <w:trHeight w:val="60"/>
        </w:trPr>
        <w:tc>
          <w:tcPr>
            <w:tcW w:w="0" w:type="auto"/>
            <w:gridSpan w:val="3"/>
            <w:shd w:val="clear" w:color="auto" w:fill="auto"/>
            <w:tcMar>
              <w:top w:w="0" w:type="dxa"/>
              <w:left w:w="20" w:type="dxa"/>
              <w:bottom w:w="0" w:type="dxa"/>
              <w:right w:w="20" w:type="dxa"/>
            </w:tcMar>
            <w:vAlign w:val="bottom"/>
          </w:tcPr>
          <w:p w14:paraId="0B2FB8BF"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8C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8C1"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8C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8C3"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8C4" w14:textId="77777777" w:rsidR="007F1775" w:rsidRDefault="007F1775">
            <w:pPr>
              <w:rPr>
                <w:rFonts w:ascii="宋体"/>
              </w:rPr>
            </w:pPr>
          </w:p>
        </w:tc>
        <w:tc>
          <w:tcPr>
            <w:tcW w:w="0" w:type="auto"/>
            <w:shd w:val="clear" w:color="auto" w:fill="auto"/>
            <w:vAlign w:val="bottom"/>
          </w:tcPr>
          <w:p w14:paraId="0B2FB8C5" w14:textId="77777777" w:rsidR="007F1775" w:rsidRDefault="007F1775">
            <w:pPr>
              <w:rPr>
                <w:rFonts w:ascii="宋体"/>
                <w:vanish/>
              </w:rPr>
            </w:pPr>
          </w:p>
        </w:tc>
        <w:tc>
          <w:tcPr>
            <w:tcW w:w="0" w:type="auto"/>
            <w:shd w:val="clear" w:color="auto" w:fill="auto"/>
            <w:vAlign w:val="bottom"/>
          </w:tcPr>
          <w:p w14:paraId="0B2FB8C6" w14:textId="77777777" w:rsidR="007F1775" w:rsidRDefault="007F1775">
            <w:pPr>
              <w:rPr>
                <w:rFonts w:ascii="宋体"/>
                <w:vanish/>
              </w:rPr>
            </w:pPr>
          </w:p>
        </w:tc>
        <w:tc>
          <w:tcPr>
            <w:tcW w:w="0" w:type="auto"/>
            <w:shd w:val="clear" w:color="auto" w:fill="auto"/>
            <w:vAlign w:val="bottom"/>
          </w:tcPr>
          <w:p w14:paraId="0B2FB8C7" w14:textId="77777777" w:rsidR="007F1775" w:rsidRDefault="007F1775">
            <w:pPr>
              <w:rPr>
                <w:rFonts w:ascii="宋体"/>
                <w:vanish/>
              </w:rPr>
            </w:pPr>
          </w:p>
        </w:tc>
        <w:tc>
          <w:tcPr>
            <w:tcW w:w="0" w:type="auto"/>
            <w:shd w:val="clear" w:color="auto" w:fill="auto"/>
            <w:vAlign w:val="bottom"/>
          </w:tcPr>
          <w:p w14:paraId="0B2FB8C8" w14:textId="77777777" w:rsidR="007F1775" w:rsidRDefault="007F1775">
            <w:pPr>
              <w:rPr>
                <w:rFonts w:ascii="宋体"/>
                <w:vanish/>
              </w:rPr>
            </w:pPr>
          </w:p>
        </w:tc>
        <w:tc>
          <w:tcPr>
            <w:tcW w:w="0" w:type="auto"/>
            <w:gridSpan w:val="3"/>
            <w:shd w:val="clear" w:color="auto" w:fill="auto"/>
            <w:vAlign w:val="bottom"/>
          </w:tcPr>
          <w:p w14:paraId="0B2FB8C9" w14:textId="77777777" w:rsidR="007F1775" w:rsidRDefault="007F1775">
            <w:pPr>
              <w:rPr>
                <w:rFonts w:ascii="宋体"/>
                <w:vanish/>
              </w:rPr>
            </w:pPr>
          </w:p>
        </w:tc>
        <w:tc>
          <w:tcPr>
            <w:tcW w:w="0" w:type="auto"/>
            <w:gridSpan w:val="3"/>
            <w:shd w:val="clear" w:color="auto" w:fill="auto"/>
            <w:vAlign w:val="bottom"/>
          </w:tcPr>
          <w:p w14:paraId="0B2FB8CA" w14:textId="77777777" w:rsidR="007F1775" w:rsidRDefault="007F1775">
            <w:pPr>
              <w:rPr>
                <w:rFonts w:ascii="宋体"/>
                <w:vanish/>
              </w:rPr>
            </w:pPr>
          </w:p>
        </w:tc>
      </w:tr>
      <w:tr w:rsidR="007F1775" w14:paraId="0B2FB8D6" w14:textId="77777777">
        <w:tc>
          <w:tcPr>
            <w:tcW w:w="0" w:type="auto"/>
            <w:gridSpan w:val="3"/>
            <w:shd w:val="clear" w:color="auto" w:fill="auto"/>
            <w:tcMar>
              <w:top w:w="40" w:type="dxa"/>
              <w:left w:w="20" w:type="dxa"/>
              <w:bottom w:w="40" w:type="dxa"/>
              <w:right w:w="20" w:type="dxa"/>
            </w:tcMar>
            <w:vAlign w:val="bottom"/>
          </w:tcPr>
          <w:p w14:paraId="0B2FB8CC"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8CD" w14:textId="77777777" w:rsidR="007F1775" w:rsidRDefault="000F083E">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B2FB8C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8CF" w14:textId="77777777" w:rsidR="007F1775" w:rsidRDefault="007F1775">
            <w:pPr>
              <w:rPr>
                <w:rFonts w:ascii="宋体"/>
              </w:rPr>
            </w:pPr>
          </w:p>
        </w:tc>
        <w:tc>
          <w:tcPr>
            <w:tcW w:w="0" w:type="auto"/>
            <w:shd w:val="clear" w:color="auto" w:fill="auto"/>
            <w:vAlign w:val="bottom"/>
          </w:tcPr>
          <w:p w14:paraId="0B2FB8D0" w14:textId="77777777" w:rsidR="007F1775" w:rsidRDefault="007F1775">
            <w:pPr>
              <w:rPr>
                <w:rFonts w:ascii="宋体"/>
                <w:vanish/>
              </w:rPr>
            </w:pPr>
          </w:p>
        </w:tc>
        <w:tc>
          <w:tcPr>
            <w:tcW w:w="0" w:type="auto"/>
            <w:shd w:val="clear" w:color="auto" w:fill="auto"/>
            <w:vAlign w:val="bottom"/>
          </w:tcPr>
          <w:p w14:paraId="0B2FB8D1" w14:textId="77777777" w:rsidR="007F1775" w:rsidRDefault="007F1775">
            <w:pPr>
              <w:rPr>
                <w:rFonts w:ascii="宋体"/>
                <w:vanish/>
              </w:rPr>
            </w:pPr>
          </w:p>
        </w:tc>
        <w:tc>
          <w:tcPr>
            <w:tcW w:w="0" w:type="auto"/>
            <w:shd w:val="clear" w:color="auto" w:fill="auto"/>
            <w:vAlign w:val="bottom"/>
          </w:tcPr>
          <w:p w14:paraId="0B2FB8D2" w14:textId="77777777" w:rsidR="007F1775" w:rsidRDefault="007F1775">
            <w:pPr>
              <w:rPr>
                <w:rFonts w:ascii="宋体"/>
                <w:vanish/>
              </w:rPr>
            </w:pPr>
          </w:p>
        </w:tc>
        <w:tc>
          <w:tcPr>
            <w:tcW w:w="0" w:type="auto"/>
            <w:shd w:val="clear" w:color="auto" w:fill="auto"/>
            <w:vAlign w:val="bottom"/>
          </w:tcPr>
          <w:p w14:paraId="0B2FB8D3" w14:textId="77777777" w:rsidR="007F1775" w:rsidRDefault="007F1775">
            <w:pPr>
              <w:rPr>
                <w:rFonts w:ascii="宋体"/>
                <w:vanish/>
              </w:rPr>
            </w:pPr>
          </w:p>
        </w:tc>
        <w:tc>
          <w:tcPr>
            <w:tcW w:w="0" w:type="auto"/>
            <w:gridSpan w:val="3"/>
            <w:shd w:val="clear" w:color="auto" w:fill="auto"/>
            <w:vAlign w:val="bottom"/>
          </w:tcPr>
          <w:p w14:paraId="0B2FB8D4" w14:textId="77777777" w:rsidR="007F1775" w:rsidRDefault="007F1775">
            <w:pPr>
              <w:rPr>
                <w:rFonts w:ascii="宋体"/>
                <w:vanish/>
              </w:rPr>
            </w:pPr>
          </w:p>
        </w:tc>
        <w:tc>
          <w:tcPr>
            <w:tcW w:w="0" w:type="auto"/>
            <w:gridSpan w:val="3"/>
            <w:shd w:val="clear" w:color="auto" w:fill="auto"/>
            <w:vAlign w:val="bottom"/>
          </w:tcPr>
          <w:p w14:paraId="0B2FB8D5" w14:textId="77777777" w:rsidR="007F1775" w:rsidRDefault="007F1775">
            <w:pPr>
              <w:rPr>
                <w:rFonts w:ascii="宋体"/>
                <w:vanish/>
              </w:rPr>
            </w:pPr>
          </w:p>
        </w:tc>
      </w:tr>
      <w:tr w:rsidR="007F1775" w14:paraId="0B2FB8E8" w14:textId="77777777">
        <w:tc>
          <w:tcPr>
            <w:tcW w:w="0" w:type="auto"/>
            <w:gridSpan w:val="3"/>
            <w:shd w:val="clear" w:color="auto" w:fill="CCEEFF"/>
            <w:tcMar>
              <w:top w:w="40" w:type="dxa"/>
              <w:left w:w="20" w:type="dxa"/>
              <w:bottom w:w="40" w:type="dxa"/>
              <w:right w:w="20" w:type="dxa"/>
            </w:tcMar>
          </w:tcPr>
          <w:p w14:paraId="0B2FB8D7" w14:textId="77777777" w:rsidR="007F1775" w:rsidRDefault="000F083E">
            <w:pPr>
              <w:textAlignment w:val="top"/>
            </w:pPr>
            <w:r>
              <w:rPr>
                <w:rFonts w:ascii="Times New Roman" w:eastAsia="宋体" w:hAnsi="Times New Roman"/>
                <w:color w:val="000000"/>
                <w:sz w:val="20"/>
                <w:szCs w:val="20"/>
              </w:rPr>
              <w:t>Interest income, net</w:t>
            </w:r>
          </w:p>
        </w:tc>
        <w:tc>
          <w:tcPr>
            <w:tcW w:w="0" w:type="auto"/>
            <w:shd w:val="clear" w:color="auto" w:fill="CCEEFF"/>
            <w:tcMar>
              <w:top w:w="40" w:type="dxa"/>
              <w:left w:w="20" w:type="dxa"/>
              <w:bottom w:w="40" w:type="dxa"/>
              <w:right w:w="0" w:type="dxa"/>
            </w:tcMar>
            <w:vAlign w:val="bottom"/>
          </w:tcPr>
          <w:p w14:paraId="0B2FB8D8"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8D9" w14:textId="77777777" w:rsidR="007F1775" w:rsidRDefault="000F083E">
            <w:pPr>
              <w:jc w:val="right"/>
              <w:textAlignment w:val="bottom"/>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bottom"/>
          </w:tcPr>
          <w:p w14:paraId="0B2FB8DA"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8DB"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8DC"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8DD" w14:textId="77777777" w:rsidR="007F1775" w:rsidRDefault="000F083E">
            <w:pPr>
              <w:jc w:val="right"/>
              <w:textAlignment w:val="bottom"/>
            </w:pPr>
            <w:r>
              <w:rPr>
                <w:rFonts w:ascii="Times New Roman" w:eastAsia="宋体" w:hAnsi="Times New Roman"/>
                <w:color w:val="000000"/>
                <w:sz w:val="20"/>
                <w:szCs w:val="20"/>
              </w:rPr>
              <w:t>118 </w:t>
            </w:r>
          </w:p>
        </w:tc>
        <w:tc>
          <w:tcPr>
            <w:tcW w:w="0" w:type="auto"/>
            <w:shd w:val="clear" w:color="auto" w:fill="CCEEFF"/>
            <w:tcMar>
              <w:top w:w="40" w:type="dxa"/>
              <w:left w:w="0" w:type="dxa"/>
              <w:bottom w:w="40" w:type="dxa"/>
              <w:right w:w="20" w:type="dxa"/>
            </w:tcMar>
            <w:vAlign w:val="bottom"/>
          </w:tcPr>
          <w:p w14:paraId="0B2FB8D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8DF"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8E0" w14:textId="77777777" w:rsidR="007F1775" w:rsidRDefault="000F083E">
            <w:pPr>
              <w:jc w:val="right"/>
              <w:textAlignment w:val="bottom"/>
            </w:pPr>
            <w:r>
              <w:rPr>
                <w:rFonts w:ascii="Times New Roman" w:eastAsia="宋体" w:hAnsi="Times New Roman"/>
                <w:color w:val="000000"/>
                <w:sz w:val="20"/>
                <w:szCs w:val="20"/>
              </w:rPr>
              <w:t>(36)</w:t>
            </w:r>
          </w:p>
        </w:tc>
        <w:tc>
          <w:tcPr>
            <w:tcW w:w="0" w:type="auto"/>
            <w:shd w:val="clear" w:color="auto" w:fill="CCEEFF"/>
            <w:tcMar>
              <w:top w:w="40" w:type="dxa"/>
              <w:left w:w="0" w:type="dxa"/>
              <w:bottom w:w="40" w:type="dxa"/>
              <w:right w:w="20" w:type="dxa"/>
            </w:tcMar>
            <w:vAlign w:val="bottom"/>
          </w:tcPr>
          <w:p w14:paraId="0B2FB8E1"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8E2" w14:textId="77777777" w:rsidR="007F1775" w:rsidRDefault="007F1775">
            <w:pPr>
              <w:rPr>
                <w:rFonts w:ascii="宋体"/>
                <w:vanish/>
              </w:rPr>
            </w:pPr>
          </w:p>
        </w:tc>
        <w:tc>
          <w:tcPr>
            <w:tcW w:w="0" w:type="auto"/>
            <w:shd w:val="clear" w:color="auto" w:fill="auto"/>
            <w:vAlign w:val="bottom"/>
          </w:tcPr>
          <w:p w14:paraId="0B2FB8E3" w14:textId="77777777" w:rsidR="007F1775" w:rsidRDefault="007F1775">
            <w:pPr>
              <w:rPr>
                <w:rFonts w:ascii="宋体"/>
                <w:vanish/>
              </w:rPr>
            </w:pPr>
          </w:p>
        </w:tc>
        <w:tc>
          <w:tcPr>
            <w:tcW w:w="0" w:type="auto"/>
            <w:shd w:val="clear" w:color="auto" w:fill="auto"/>
            <w:vAlign w:val="bottom"/>
          </w:tcPr>
          <w:p w14:paraId="0B2FB8E4" w14:textId="77777777" w:rsidR="007F1775" w:rsidRDefault="007F1775">
            <w:pPr>
              <w:rPr>
                <w:rFonts w:ascii="宋体"/>
                <w:vanish/>
              </w:rPr>
            </w:pPr>
          </w:p>
        </w:tc>
        <w:tc>
          <w:tcPr>
            <w:tcW w:w="0" w:type="auto"/>
            <w:shd w:val="clear" w:color="auto" w:fill="auto"/>
            <w:vAlign w:val="bottom"/>
          </w:tcPr>
          <w:p w14:paraId="0B2FB8E5" w14:textId="77777777" w:rsidR="007F1775" w:rsidRDefault="007F1775">
            <w:pPr>
              <w:rPr>
                <w:rFonts w:ascii="宋体"/>
                <w:vanish/>
              </w:rPr>
            </w:pPr>
          </w:p>
        </w:tc>
        <w:tc>
          <w:tcPr>
            <w:tcW w:w="0" w:type="auto"/>
            <w:gridSpan w:val="3"/>
            <w:shd w:val="clear" w:color="auto" w:fill="auto"/>
            <w:vAlign w:val="bottom"/>
          </w:tcPr>
          <w:p w14:paraId="0B2FB8E6" w14:textId="77777777" w:rsidR="007F1775" w:rsidRDefault="007F1775">
            <w:pPr>
              <w:rPr>
                <w:rFonts w:ascii="宋体"/>
                <w:vanish/>
              </w:rPr>
            </w:pPr>
          </w:p>
        </w:tc>
        <w:tc>
          <w:tcPr>
            <w:tcW w:w="0" w:type="auto"/>
            <w:gridSpan w:val="3"/>
            <w:shd w:val="clear" w:color="auto" w:fill="auto"/>
            <w:vAlign w:val="bottom"/>
          </w:tcPr>
          <w:p w14:paraId="0B2FB8E7" w14:textId="77777777" w:rsidR="007F1775" w:rsidRDefault="007F1775">
            <w:pPr>
              <w:rPr>
                <w:rFonts w:ascii="宋体"/>
                <w:vanish/>
              </w:rPr>
            </w:pPr>
          </w:p>
        </w:tc>
      </w:tr>
      <w:tr w:rsidR="007F1775" w14:paraId="0B2FB8F8" w14:textId="77777777">
        <w:tc>
          <w:tcPr>
            <w:tcW w:w="0" w:type="auto"/>
            <w:gridSpan w:val="3"/>
            <w:shd w:val="clear" w:color="auto" w:fill="FFFFFF"/>
            <w:tcMar>
              <w:top w:w="40" w:type="dxa"/>
              <w:left w:w="20" w:type="dxa"/>
              <w:bottom w:w="40" w:type="dxa"/>
              <w:right w:w="20" w:type="dxa"/>
            </w:tcMar>
          </w:tcPr>
          <w:p w14:paraId="0B2FB8E9" w14:textId="77777777" w:rsidR="007F1775" w:rsidRDefault="000F083E">
            <w:pPr>
              <w:textAlignment w:val="top"/>
            </w:pPr>
            <w:r>
              <w:rPr>
                <w:rFonts w:ascii="Times New Roman" w:eastAsia="宋体" w:hAnsi="Times New Roman"/>
                <w:color w:val="000000"/>
                <w:sz w:val="20"/>
                <w:szCs w:val="20"/>
              </w:rPr>
              <w:t>Foreign currency exchange gains (losses), net</w:t>
            </w:r>
          </w:p>
        </w:tc>
        <w:tc>
          <w:tcPr>
            <w:tcW w:w="0" w:type="auto"/>
            <w:gridSpan w:val="2"/>
            <w:shd w:val="clear" w:color="auto" w:fill="FFFFFF"/>
            <w:tcMar>
              <w:top w:w="40" w:type="dxa"/>
              <w:left w:w="20" w:type="dxa"/>
              <w:bottom w:w="40" w:type="dxa"/>
              <w:right w:w="0" w:type="dxa"/>
            </w:tcMar>
            <w:vAlign w:val="bottom"/>
          </w:tcPr>
          <w:p w14:paraId="0B2FB8EA" w14:textId="77777777" w:rsidR="007F1775" w:rsidRDefault="000F083E">
            <w:pPr>
              <w:jc w:val="right"/>
              <w:textAlignment w:val="bottom"/>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bottom"/>
          </w:tcPr>
          <w:p w14:paraId="0B2FB8E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8EC"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8ED" w14:textId="77777777" w:rsidR="007F1775" w:rsidRDefault="000F083E">
            <w:pPr>
              <w:jc w:val="right"/>
              <w:textAlignment w:val="bottom"/>
            </w:pPr>
            <w:r>
              <w:rPr>
                <w:rFonts w:ascii="Times New Roman" w:eastAsia="宋体" w:hAnsi="Times New Roman"/>
                <w:color w:val="000000"/>
                <w:sz w:val="20"/>
                <w:szCs w:val="20"/>
              </w:rPr>
              <w:t>(93)</w:t>
            </w:r>
          </w:p>
        </w:tc>
        <w:tc>
          <w:tcPr>
            <w:tcW w:w="0" w:type="auto"/>
            <w:shd w:val="clear" w:color="auto" w:fill="FFFFFF"/>
            <w:tcMar>
              <w:top w:w="40" w:type="dxa"/>
              <w:left w:w="0" w:type="dxa"/>
              <w:bottom w:w="40" w:type="dxa"/>
              <w:right w:w="20" w:type="dxa"/>
            </w:tcMar>
            <w:vAlign w:val="bottom"/>
          </w:tcPr>
          <w:p w14:paraId="0B2FB8EE"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8EF"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8F0" w14:textId="77777777" w:rsidR="007F1775" w:rsidRDefault="000F083E">
            <w:pPr>
              <w:jc w:val="right"/>
              <w:textAlignment w:val="bottom"/>
            </w:pPr>
            <w:r>
              <w:rPr>
                <w:rFonts w:ascii="Times New Roman" w:eastAsia="宋体" w:hAnsi="Times New Roman"/>
                <w:color w:val="000000"/>
                <w:sz w:val="20"/>
                <w:szCs w:val="20"/>
              </w:rPr>
              <w:t>158 </w:t>
            </w:r>
          </w:p>
        </w:tc>
        <w:tc>
          <w:tcPr>
            <w:tcW w:w="0" w:type="auto"/>
            <w:shd w:val="clear" w:color="auto" w:fill="FFFFFF"/>
            <w:tcMar>
              <w:top w:w="40" w:type="dxa"/>
              <w:left w:w="0" w:type="dxa"/>
              <w:bottom w:w="40" w:type="dxa"/>
              <w:right w:w="20" w:type="dxa"/>
            </w:tcMar>
            <w:vAlign w:val="bottom"/>
          </w:tcPr>
          <w:p w14:paraId="0B2FB8F1"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8F2" w14:textId="77777777" w:rsidR="007F1775" w:rsidRDefault="007F1775">
            <w:pPr>
              <w:rPr>
                <w:rFonts w:ascii="宋体"/>
                <w:vanish/>
              </w:rPr>
            </w:pPr>
          </w:p>
        </w:tc>
        <w:tc>
          <w:tcPr>
            <w:tcW w:w="0" w:type="auto"/>
            <w:shd w:val="clear" w:color="auto" w:fill="auto"/>
            <w:vAlign w:val="bottom"/>
          </w:tcPr>
          <w:p w14:paraId="0B2FB8F3" w14:textId="77777777" w:rsidR="007F1775" w:rsidRDefault="007F1775">
            <w:pPr>
              <w:rPr>
                <w:rFonts w:ascii="宋体"/>
                <w:vanish/>
              </w:rPr>
            </w:pPr>
          </w:p>
        </w:tc>
        <w:tc>
          <w:tcPr>
            <w:tcW w:w="0" w:type="auto"/>
            <w:shd w:val="clear" w:color="auto" w:fill="auto"/>
            <w:vAlign w:val="bottom"/>
          </w:tcPr>
          <w:p w14:paraId="0B2FB8F4" w14:textId="77777777" w:rsidR="007F1775" w:rsidRDefault="007F1775">
            <w:pPr>
              <w:rPr>
                <w:rFonts w:ascii="宋体"/>
                <w:vanish/>
              </w:rPr>
            </w:pPr>
          </w:p>
        </w:tc>
        <w:tc>
          <w:tcPr>
            <w:tcW w:w="0" w:type="auto"/>
            <w:shd w:val="clear" w:color="auto" w:fill="auto"/>
            <w:vAlign w:val="bottom"/>
          </w:tcPr>
          <w:p w14:paraId="0B2FB8F5" w14:textId="77777777" w:rsidR="007F1775" w:rsidRDefault="007F1775">
            <w:pPr>
              <w:rPr>
                <w:rFonts w:ascii="宋体"/>
                <w:vanish/>
              </w:rPr>
            </w:pPr>
          </w:p>
        </w:tc>
        <w:tc>
          <w:tcPr>
            <w:tcW w:w="0" w:type="auto"/>
            <w:gridSpan w:val="3"/>
            <w:shd w:val="clear" w:color="auto" w:fill="auto"/>
            <w:vAlign w:val="bottom"/>
          </w:tcPr>
          <w:p w14:paraId="0B2FB8F6" w14:textId="77777777" w:rsidR="007F1775" w:rsidRDefault="007F1775">
            <w:pPr>
              <w:rPr>
                <w:rFonts w:ascii="宋体"/>
                <w:vanish/>
              </w:rPr>
            </w:pPr>
          </w:p>
        </w:tc>
        <w:tc>
          <w:tcPr>
            <w:tcW w:w="0" w:type="auto"/>
            <w:gridSpan w:val="3"/>
            <w:shd w:val="clear" w:color="auto" w:fill="auto"/>
            <w:vAlign w:val="bottom"/>
          </w:tcPr>
          <w:p w14:paraId="0B2FB8F7" w14:textId="77777777" w:rsidR="007F1775" w:rsidRDefault="007F1775">
            <w:pPr>
              <w:rPr>
                <w:rFonts w:ascii="宋体"/>
                <w:vanish/>
              </w:rPr>
            </w:pPr>
          </w:p>
        </w:tc>
      </w:tr>
      <w:tr w:rsidR="007F1775" w14:paraId="0B2FB908" w14:textId="77777777">
        <w:tc>
          <w:tcPr>
            <w:tcW w:w="0" w:type="auto"/>
            <w:gridSpan w:val="3"/>
            <w:shd w:val="clear" w:color="auto" w:fill="CCEEFF"/>
            <w:tcMar>
              <w:top w:w="40" w:type="dxa"/>
              <w:left w:w="20" w:type="dxa"/>
              <w:bottom w:w="40" w:type="dxa"/>
              <w:right w:w="20" w:type="dxa"/>
            </w:tcMar>
          </w:tcPr>
          <w:p w14:paraId="0B2FB8F9" w14:textId="77777777" w:rsidR="007F1775" w:rsidRDefault="000F083E">
            <w:pPr>
              <w:textAlignment w:val="top"/>
            </w:pPr>
            <w:r>
              <w:rPr>
                <w:rFonts w:ascii="Times New Roman" w:eastAsia="宋体" w:hAnsi="Times New Roman"/>
                <w:color w:val="000000"/>
                <w:sz w:val="20"/>
                <w:szCs w:val="20"/>
              </w:rPr>
              <w:t>Oth</w:t>
            </w:r>
            <w:r>
              <w:rPr>
                <w:rFonts w:ascii="Times New Roman" w:eastAsia="宋体" w:hAnsi="Times New Roman"/>
                <w:color w:val="000000"/>
                <w:sz w:val="20"/>
                <w:szCs w:val="20"/>
              </w:rPr>
              <w:t>er income, net</w:t>
            </w:r>
          </w:p>
        </w:tc>
        <w:tc>
          <w:tcPr>
            <w:tcW w:w="0" w:type="auto"/>
            <w:gridSpan w:val="2"/>
            <w:shd w:val="clear" w:color="auto" w:fill="CCEEFF"/>
            <w:tcMar>
              <w:top w:w="40" w:type="dxa"/>
              <w:left w:w="20" w:type="dxa"/>
              <w:bottom w:w="40" w:type="dxa"/>
              <w:right w:w="0" w:type="dxa"/>
            </w:tcMar>
            <w:vAlign w:val="bottom"/>
          </w:tcPr>
          <w:p w14:paraId="0B2FB8FA" w14:textId="77777777" w:rsidR="007F1775" w:rsidRDefault="000F083E">
            <w:pPr>
              <w:jc w:val="right"/>
              <w:textAlignment w:val="bottom"/>
            </w:pPr>
            <w:r>
              <w:rPr>
                <w:rFonts w:ascii="Times New Roman" w:eastAsia="宋体" w:hAnsi="Times New Roman"/>
                <w:color w:val="000000"/>
                <w:sz w:val="20"/>
                <w:szCs w:val="20"/>
              </w:rPr>
              <w:t>254 </w:t>
            </w:r>
          </w:p>
        </w:tc>
        <w:tc>
          <w:tcPr>
            <w:tcW w:w="0" w:type="auto"/>
            <w:shd w:val="clear" w:color="auto" w:fill="CCEEFF"/>
            <w:tcMar>
              <w:top w:w="40" w:type="dxa"/>
              <w:left w:w="0" w:type="dxa"/>
              <w:bottom w:w="40" w:type="dxa"/>
              <w:right w:w="20" w:type="dxa"/>
            </w:tcMar>
            <w:vAlign w:val="bottom"/>
          </w:tcPr>
          <w:p w14:paraId="0B2FB8FB"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8FC"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8FD" w14:textId="77777777" w:rsidR="007F1775" w:rsidRDefault="000F083E">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0B2FB8F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8FF"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900" w14:textId="77777777" w:rsidR="007F1775" w:rsidRDefault="000F083E">
            <w:pPr>
              <w:jc w:val="right"/>
              <w:textAlignment w:val="bottom"/>
            </w:pPr>
            <w:r>
              <w:rPr>
                <w:rFonts w:ascii="Times New Roman" w:eastAsia="宋体" w:hAnsi="Times New Roman"/>
                <w:color w:val="000000"/>
                <w:sz w:val="20"/>
                <w:szCs w:val="20"/>
              </w:rPr>
              <w:t>154 </w:t>
            </w:r>
          </w:p>
        </w:tc>
        <w:tc>
          <w:tcPr>
            <w:tcW w:w="0" w:type="auto"/>
            <w:shd w:val="clear" w:color="auto" w:fill="CCEEFF"/>
            <w:tcMar>
              <w:top w:w="40" w:type="dxa"/>
              <w:left w:w="0" w:type="dxa"/>
              <w:bottom w:w="40" w:type="dxa"/>
              <w:right w:w="20" w:type="dxa"/>
            </w:tcMar>
            <w:vAlign w:val="bottom"/>
          </w:tcPr>
          <w:p w14:paraId="0B2FB901"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902" w14:textId="77777777" w:rsidR="007F1775" w:rsidRDefault="007F1775">
            <w:pPr>
              <w:rPr>
                <w:rFonts w:ascii="宋体"/>
                <w:vanish/>
              </w:rPr>
            </w:pPr>
          </w:p>
        </w:tc>
        <w:tc>
          <w:tcPr>
            <w:tcW w:w="0" w:type="auto"/>
            <w:shd w:val="clear" w:color="auto" w:fill="auto"/>
            <w:vAlign w:val="bottom"/>
          </w:tcPr>
          <w:p w14:paraId="0B2FB903" w14:textId="77777777" w:rsidR="007F1775" w:rsidRDefault="007F1775">
            <w:pPr>
              <w:rPr>
                <w:rFonts w:ascii="宋体"/>
                <w:vanish/>
              </w:rPr>
            </w:pPr>
          </w:p>
        </w:tc>
        <w:tc>
          <w:tcPr>
            <w:tcW w:w="0" w:type="auto"/>
            <w:shd w:val="clear" w:color="auto" w:fill="auto"/>
            <w:vAlign w:val="bottom"/>
          </w:tcPr>
          <w:p w14:paraId="0B2FB904" w14:textId="77777777" w:rsidR="007F1775" w:rsidRDefault="007F1775">
            <w:pPr>
              <w:rPr>
                <w:rFonts w:ascii="宋体"/>
                <w:vanish/>
              </w:rPr>
            </w:pPr>
          </w:p>
        </w:tc>
        <w:tc>
          <w:tcPr>
            <w:tcW w:w="0" w:type="auto"/>
            <w:shd w:val="clear" w:color="auto" w:fill="auto"/>
            <w:vAlign w:val="bottom"/>
          </w:tcPr>
          <w:p w14:paraId="0B2FB905" w14:textId="77777777" w:rsidR="007F1775" w:rsidRDefault="007F1775">
            <w:pPr>
              <w:rPr>
                <w:rFonts w:ascii="宋体"/>
                <w:vanish/>
              </w:rPr>
            </w:pPr>
          </w:p>
        </w:tc>
        <w:tc>
          <w:tcPr>
            <w:tcW w:w="0" w:type="auto"/>
            <w:gridSpan w:val="3"/>
            <w:shd w:val="clear" w:color="auto" w:fill="auto"/>
            <w:vAlign w:val="bottom"/>
          </w:tcPr>
          <w:p w14:paraId="0B2FB906" w14:textId="77777777" w:rsidR="007F1775" w:rsidRDefault="007F1775">
            <w:pPr>
              <w:rPr>
                <w:rFonts w:ascii="宋体"/>
                <w:vanish/>
              </w:rPr>
            </w:pPr>
          </w:p>
        </w:tc>
        <w:tc>
          <w:tcPr>
            <w:tcW w:w="0" w:type="auto"/>
            <w:gridSpan w:val="3"/>
            <w:shd w:val="clear" w:color="auto" w:fill="auto"/>
            <w:vAlign w:val="bottom"/>
          </w:tcPr>
          <w:p w14:paraId="0B2FB907" w14:textId="77777777" w:rsidR="007F1775" w:rsidRDefault="007F1775">
            <w:pPr>
              <w:rPr>
                <w:rFonts w:ascii="宋体"/>
                <w:vanish/>
              </w:rPr>
            </w:pPr>
          </w:p>
        </w:tc>
      </w:tr>
      <w:tr w:rsidR="007F1775" w14:paraId="0B2FB91A" w14:textId="77777777">
        <w:tc>
          <w:tcPr>
            <w:tcW w:w="0" w:type="auto"/>
            <w:gridSpan w:val="3"/>
            <w:shd w:val="clear" w:color="auto" w:fill="FFFFFF"/>
            <w:tcMar>
              <w:top w:w="40" w:type="dxa"/>
              <w:left w:w="380" w:type="dxa"/>
              <w:bottom w:w="40" w:type="dxa"/>
              <w:right w:w="20" w:type="dxa"/>
            </w:tcMar>
          </w:tcPr>
          <w:p w14:paraId="0B2FB909" w14:textId="77777777" w:rsidR="007F1775" w:rsidRDefault="000F083E">
            <w:pPr>
              <w:textAlignment w:val="top"/>
            </w:pPr>
            <w:r>
              <w:rPr>
                <w:rFonts w:ascii="Times New Roman" w:eastAsia="宋体" w:hAnsi="Times New Roman"/>
                <w:color w:val="000000"/>
                <w:sz w:val="20"/>
                <w:szCs w:val="20"/>
              </w:rPr>
              <w:t>Int</w:t>
            </w:r>
            <w:r>
              <w:rPr>
                <w:rFonts w:ascii="Times New Roman" w:eastAsia="宋体" w:hAnsi="Times New Roman"/>
                <w:color w:val="000000"/>
                <w:sz w:val="20"/>
                <w:szCs w:val="20"/>
              </w:rPr>
              <w:t>erest and other income,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B90A"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B90B" w14:textId="77777777" w:rsidR="007F1775" w:rsidRDefault="000F083E">
            <w:pPr>
              <w:jc w:val="right"/>
              <w:textAlignment w:val="bottom"/>
            </w:pPr>
            <w:r>
              <w:rPr>
                <w:rFonts w:ascii="Times New Roman" w:eastAsia="宋体" w:hAnsi="Times New Roman"/>
                <w:color w:val="000000"/>
                <w:sz w:val="20"/>
                <w:szCs w:val="20"/>
              </w:rPr>
              <w:t>384 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B90C"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90D" w14:textId="77777777" w:rsidR="007F1775" w:rsidRDefault="007F177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B90E"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B2FB90F" w14:textId="77777777" w:rsidR="007F1775" w:rsidRDefault="000F083E">
            <w:pPr>
              <w:jc w:val="right"/>
              <w:textAlignment w:val="bottom"/>
            </w:pPr>
            <w:r>
              <w:rPr>
                <w:rFonts w:ascii="Times New Roman" w:eastAsia="宋体" w:hAnsi="Times New Roman"/>
                <w:color w:val="000000"/>
                <w:sz w:val="20"/>
                <w:szCs w:val="20"/>
              </w:rPr>
              <w:t>125 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B91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911"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912" w14:textId="77777777" w:rsidR="007F1775" w:rsidRDefault="000F083E">
            <w:pPr>
              <w:jc w:val="right"/>
              <w:textAlignment w:val="bottom"/>
            </w:pPr>
            <w:r>
              <w:rPr>
                <w:rFonts w:ascii="Times New Roman" w:eastAsia="宋体" w:hAnsi="Times New Roman"/>
                <w:color w:val="000000"/>
                <w:sz w:val="20"/>
                <w:szCs w:val="20"/>
              </w:rPr>
              <w:t>207 </w:t>
            </w:r>
          </w:p>
        </w:tc>
        <w:tc>
          <w:tcPr>
            <w:tcW w:w="0" w:type="auto"/>
            <w:shd w:val="clear" w:color="auto" w:fill="FFFFFF"/>
            <w:tcMar>
              <w:top w:w="40" w:type="dxa"/>
              <w:left w:w="0" w:type="dxa"/>
              <w:bottom w:w="40" w:type="dxa"/>
              <w:right w:w="20" w:type="dxa"/>
            </w:tcMar>
            <w:vAlign w:val="bottom"/>
          </w:tcPr>
          <w:p w14:paraId="0B2FB913"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914" w14:textId="77777777" w:rsidR="007F1775" w:rsidRDefault="007F1775">
            <w:pPr>
              <w:rPr>
                <w:rFonts w:ascii="宋体"/>
                <w:vanish/>
              </w:rPr>
            </w:pPr>
          </w:p>
        </w:tc>
        <w:tc>
          <w:tcPr>
            <w:tcW w:w="0" w:type="auto"/>
            <w:shd w:val="clear" w:color="auto" w:fill="auto"/>
            <w:vAlign w:val="bottom"/>
          </w:tcPr>
          <w:p w14:paraId="0B2FB915" w14:textId="77777777" w:rsidR="007F1775" w:rsidRDefault="007F1775">
            <w:pPr>
              <w:rPr>
                <w:rFonts w:ascii="宋体"/>
                <w:vanish/>
              </w:rPr>
            </w:pPr>
          </w:p>
        </w:tc>
        <w:tc>
          <w:tcPr>
            <w:tcW w:w="0" w:type="auto"/>
            <w:shd w:val="clear" w:color="auto" w:fill="auto"/>
            <w:vAlign w:val="bottom"/>
          </w:tcPr>
          <w:p w14:paraId="0B2FB916" w14:textId="77777777" w:rsidR="007F1775" w:rsidRDefault="007F1775">
            <w:pPr>
              <w:rPr>
                <w:rFonts w:ascii="宋体"/>
                <w:vanish/>
              </w:rPr>
            </w:pPr>
          </w:p>
        </w:tc>
        <w:tc>
          <w:tcPr>
            <w:tcW w:w="0" w:type="auto"/>
            <w:shd w:val="clear" w:color="auto" w:fill="auto"/>
            <w:vAlign w:val="bottom"/>
          </w:tcPr>
          <w:p w14:paraId="0B2FB917" w14:textId="77777777" w:rsidR="007F1775" w:rsidRDefault="007F1775">
            <w:pPr>
              <w:rPr>
                <w:rFonts w:ascii="宋体"/>
                <w:vanish/>
              </w:rPr>
            </w:pPr>
          </w:p>
        </w:tc>
        <w:tc>
          <w:tcPr>
            <w:tcW w:w="0" w:type="auto"/>
            <w:gridSpan w:val="3"/>
            <w:shd w:val="clear" w:color="auto" w:fill="auto"/>
            <w:vAlign w:val="bottom"/>
          </w:tcPr>
          <w:p w14:paraId="0B2FB918" w14:textId="77777777" w:rsidR="007F1775" w:rsidRDefault="007F1775">
            <w:pPr>
              <w:rPr>
                <w:rFonts w:ascii="宋体"/>
                <w:vanish/>
              </w:rPr>
            </w:pPr>
          </w:p>
        </w:tc>
        <w:tc>
          <w:tcPr>
            <w:tcW w:w="0" w:type="auto"/>
            <w:gridSpan w:val="3"/>
            <w:shd w:val="clear" w:color="auto" w:fill="auto"/>
            <w:vAlign w:val="bottom"/>
          </w:tcPr>
          <w:p w14:paraId="0B2FB919" w14:textId="77777777" w:rsidR="007F1775" w:rsidRDefault="007F1775">
            <w:pPr>
              <w:rPr>
                <w:rFonts w:ascii="宋体"/>
                <w:vanish/>
              </w:rPr>
            </w:pPr>
          </w:p>
        </w:tc>
      </w:tr>
    </w:tbl>
    <w:p w14:paraId="0B2FB91B" w14:textId="77777777" w:rsidR="007F1775" w:rsidRDefault="007F1775"/>
    <w:p w14:paraId="0B2FB91C" w14:textId="77777777" w:rsidR="007F1775" w:rsidRDefault="000F083E">
      <w:pPr>
        <w:ind w:firstLine="540"/>
        <w:jc w:val="both"/>
      </w:pPr>
      <w:r>
        <w:rPr>
          <w:rFonts w:ascii="Times New Roman" w:eastAsia="宋体" w:hAnsi="Times New Roman"/>
          <w:color w:val="000000"/>
          <w:sz w:val="20"/>
          <w:szCs w:val="20"/>
        </w:rPr>
        <w:t>Interest and other income, net in the three months ended March 31, 2022 increased $259 million compared to the same period in 2021. The increase was mainly due to an increase in other income,</w:t>
      </w:r>
      <w:r>
        <w:rPr>
          <w:rFonts w:ascii="Times New Roman" w:eastAsia="宋体" w:hAnsi="Times New Roman"/>
          <w:color w:val="000000"/>
          <w:sz w:val="20"/>
          <w:szCs w:val="20"/>
        </w:rPr>
        <w:t xml:space="preserve"> net from a gain on the sale of certain intangible assets in the three months ended March 31, 2022.</w:t>
      </w:r>
    </w:p>
    <w:p w14:paraId="0B2FB91D" w14:textId="77777777" w:rsidR="007F1775" w:rsidRDefault="007F1775"/>
    <w:p w14:paraId="0B2FB91E" w14:textId="77777777" w:rsidR="007F1775" w:rsidRDefault="000F083E">
      <w:r>
        <w:rPr>
          <w:rFonts w:ascii="Times New Roman" w:eastAsia="宋体" w:hAnsi="Times New Roman"/>
          <w:b/>
          <w:bCs/>
          <w:i/>
          <w:iCs/>
          <w:color w:val="000000"/>
          <w:sz w:val="20"/>
          <w:szCs w:val="20"/>
        </w:rPr>
        <w:t>Provision for income taxes</w:t>
      </w:r>
    </w:p>
    <w:tbl>
      <w:tblPr>
        <w:tblW w:w="4993" w:type="pct"/>
        <w:tblCellMar>
          <w:top w:w="15" w:type="dxa"/>
          <w:left w:w="15" w:type="dxa"/>
          <w:bottom w:w="15" w:type="dxa"/>
          <w:right w:w="15" w:type="dxa"/>
        </w:tblCellMar>
        <w:tblLook w:val="04A0" w:firstRow="1" w:lastRow="0" w:firstColumn="1" w:lastColumn="0" w:noHBand="0" w:noVBand="1"/>
      </w:tblPr>
      <w:tblGrid>
        <w:gridCol w:w="37"/>
        <w:gridCol w:w="4040"/>
        <w:gridCol w:w="36"/>
        <w:gridCol w:w="120"/>
        <w:gridCol w:w="1087"/>
        <w:gridCol w:w="187"/>
        <w:gridCol w:w="36"/>
        <w:gridCol w:w="36"/>
        <w:gridCol w:w="36"/>
        <w:gridCol w:w="120"/>
        <w:gridCol w:w="999"/>
        <w:gridCol w:w="187"/>
        <w:gridCol w:w="36"/>
        <w:gridCol w:w="36"/>
        <w:gridCol w:w="36"/>
        <w:gridCol w:w="41"/>
        <w:gridCol w:w="707"/>
        <w:gridCol w:w="187"/>
        <w:gridCol w:w="36"/>
        <w:gridCol w:w="36"/>
        <w:gridCol w:w="36"/>
        <w:gridCol w:w="36"/>
        <w:gridCol w:w="36"/>
        <w:gridCol w:w="36"/>
        <w:gridCol w:w="36"/>
        <w:gridCol w:w="36"/>
        <w:gridCol w:w="36"/>
        <w:gridCol w:w="36"/>
      </w:tblGrid>
      <w:tr w:rsidR="007F1775" w14:paraId="0B2FB937" w14:textId="77777777">
        <w:tc>
          <w:tcPr>
            <w:tcW w:w="50" w:type="pct"/>
            <w:shd w:val="clear" w:color="auto" w:fill="auto"/>
            <w:vAlign w:val="bottom"/>
          </w:tcPr>
          <w:p w14:paraId="0B2FB91F" w14:textId="77777777" w:rsidR="007F1775" w:rsidRDefault="007F1775">
            <w:pPr>
              <w:rPr>
                <w:rFonts w:ascii="宋体"/>
              </w:rPr>
            </w:pPr>
          </w:p>
        </w:tc>
        <w:tc>
          <w:tcPr>
            <w:tcW w:w="2627" w:type="pct"/>
            <w:shd w:val="clear" w:color="auto" w:fill="auto"/>
            <w:vAlign w:val="bottom"/>
          </w:tcPr>
          <w:p w14:paraId="0B2FB920" w14:textId="77777777" w:rsidR="007F1775" w:rsidRDefault="007F1775">
            <w:pPr>
              <w:rPr>
                <w:rFonts w:ascii="宋体"/>
              </w:rPr>
            </w:pPr>
          </w:p>
        </w:tc>
        <w:tc>
          <w:tcPr>
            <w:tcW w:w="5" w:type="pct"/>
            <w:shd w:val="clear" w:color="auto" w:fill="auto"/>
            <w:vAlign w:val="bottom"/>
          </w:tcPr>
          <w:p w14:paraId="0B2FB921" w14:textId="77777777" w:rsidR="007F1775" w:rsidRDefault="007F1775">
            <w:pPr>
              <w:rPr>
                <w:rFonts w:ascii="宋体"/>
              </w:rPr>
            </w:pPr>
          </w:p>
        </w:tc>
        <w:tc>
          <w:tcPr>
            <w:tcW w:w="50" w:type="pct"/>
            <w:shd w:val="clear" w:color="auto" w:fill="auto"/>
            <w:vAlign w:val="bottom"/>
          </w:tcPr>
          <w:p w14:paraId="0B2FB922" w14:textId="77777777" w:rsidR="007F1775" w:rsidRDefault="007F1775">
            <w:pPr>
              <w:rPr>
                <w:rFonts w:ascii="宋体"/>
              </w:rPr>
            </w:pPr>
          </w:p>
        </w:tc>
        <w:tc>
          <w:tcPr>
            <w:tcW w:w="742" w:type="pct"/>
            <w:shd w:val="clear" w:color="auto" w:fill="auto"/>
            <w:vAlign w:val="bottom"/>
          </w:tcPr>
          <w:p w14:paraId="0B2FB923" w14:textId="77777777" w:rsidR="007F1775" w:rsidRDefault="007F1775">
            <w:pPr>
              <w:rPr>
                <w:rFonts w:ascii="宋体"/>
              </w:rPr>
            </w:pPr>
          </w:p>
        </w:tc>
        <w:tc>
          <w:tcPr>
            <w:tcW w:w="5" w:type="pct"/>
            <w:shd w:val="clear" w:color="auto" w:fill="auto"/>
            <w:vAlign w:val="bottom"/>
          </w:tcPr>
          <w:p w14:paraId="0B2FB924" w14:textId="77777777" w:rsidR="007F1775" w:rsidRDefault="007F1775">
            <w:pPr>
              <w:rPr>
                <w:rFonts w:ascii="宋体"/>
              </w:rPr>
            </w:pPr>
          </w:p>
        </w:tc>
        <w:tc>
          <w:tcPr>
            <w:tcW w:w="5" w:type="pct"/>
            <w:shd w:val="clear" w:color="auto" w:fill="auto"/>
            <w:vAlign w:val="bottom"/>
          </w:tcPr>
          <w:p w14:paraId="0B2FB925" w14:textId="77777777" w:rsidR="007F1775" w:rsidRDefault="007F1775">
            <w:pPr>
              <w:rPr>
                <w:rFonts w:ascii="宋体"/>
              </w:rPr>
            </w:pPr>
          </w:p>
        </w:tc>
        <w:tc>
          <w:tcPr>
            <w:tcW w:w="27" w:type="pct"/>
            <w:shd w:val="clear" w:color="auto" w:fill="auto"/>
            <w:vAlign w:val="bottom"/>
          </w:tcPr>
          <w:p w14:paraId="0B2FB926" w14:textId="77777777" w:rsidR="007F1775" w:rsidRDefault="007F1775">
            <w:pPr>
              <w:rPr>
                <w:rFonts w:ascii="宋体"/>
              </w:rPr>
            </w:pPr>
          </w:p>
        </w:tc>
        <w:tc>
          <w:tcPr>
            <w:tcW w:w="5" w:type="pct"/>
            <w:shd w:val="clear" w:color="auto" w:fill="auto"/>
            <w:vAlign w:val="bottom"/>
          </w:tcPr>
          <w:p w14:paraId="0B2FB927" w14:textId="77777777" w:rsidR="007F1775" w:rsidRDefault="007F1775">
            <w:pPr>
              <w:rPr>
                <w:rFonts w:ascii="宋体"/>
              </w:rPr>
            </w:pPr>
          </w:p>
        </w:tc>
        <w:tc>
          <w:tcPr>
            <w:tcW w:w="50" w:type="pct"/>
            <w:shd w:val="clear" w:color="auto" w:fill="auto"/>
            <w:vAlign w:val="bottom"/>
          </w:tcPr>
          <w:p w14:paraId="0B2FB928" w14:textId="77777777" w:rsidR="007F1775" w:rsidRDefault="007F1775">
            <w:pPr>
              <w:rPr>
                <w:rFonts w:ascii="宋体"/>
              </w:rPr>
            </w:pPr>
          </w:p>
        </w:tc>
        <w:tc>
          <w:tcPr>
            <w:tcW w:w="742" w:type="pct"/>
            <w:shd w:val="clear" w:color="auto" w:fill="auto"/>
            <w:vAlign w:val="bottom"/>
          </w:tcPr>
          <w:p w14:paraId="0B2FB929" w14:textId="77777777" w:rsidR="007F1775" w:rsidRDefault="007F1775">
            <w:pPr>
              <w:rPr>
                <w:rFonts w:ascii="宋体"/>
              </w:rPr>
            </w:pPr>
          </w:p>
        </w:tc>
        <w:tc>
          <w:tcPr>
            <w:tcW w:w="5" w:type="pct"/>
            <w:shd w:val="clear" w:color="auto" w:fill="auto"/>
            <w:vAlign w:val="bottom"/>
          </w:tcPr>
          <w:p w14:paraId="0B2FB92A" w14:textId="77777777" w:rsidR="007F1775" w:rsidRDefault="007F1775">
            <w:pPr>
              <w:rPr>
                <w:rFonts w:ascii="宋体"/>
              </w:rPr>
            </w:pPr>
          </w:p>
        </w:tc>
        <w:tc>
          <w:tcPr>
            <w:tcW w:w="5" w:type="pct"/>
            <w:shd w:val="clear" w:color="auto" w:fill="auto"/>
            <w:vAlign w:val="bottom"/>
          </w:tcPr>
          <w:p w14:paraId="0B2FB92B" w14:textId="77777777" w:rsidR="007F1775" w:rsidRDefault="007F1775">
            <w:pPr>
              <w:rPr>
                <w:rFonts w:ascii="宋体"/>
              </w:rPr>
            </w:pPr>
          </w:p>
        </w:tc>
        <w:tc>
          <w:tcPr>
            <w:tcW w:w="27" w:type="pct"/>
            <w:shd w:val="clear" w:color="auto" w:fill="auto"/>
            <w:vAlign w:val="bottom"/>
          </w:tcPr>
          <w:p w14:paraId="0B2FB92C" w14:textId="77777777" w:rsidR="007F1775" w:rsidRDefault="007F1775">
            <w:pPr>
              <w:rPr>
                <w:rFonts w:ascii="宋体"/>
              </w:rPr>
            </w:pPr>
          </w:p>
        </w:tc>
        <w:tc>
          <w:tcPr>
            <w:tcW w:w="5" w:type="pct"/>
            <w:shd w:val="clear" w:color="auto" w:fill="auto"/>
            <w:vAlign w:val="bottom"/>
          </w:tcPr>
          <w:p w14:paraId="0B2FB92D" w14:textId="77777777" w:rsidR="007F1775" w:rsidRDefault="007F1775">
            <w:pPr>
              <w:rPr>
                <w:rFonts w:ascii="宋体"/>
              </w:rPr>
            </w:pPr>
          </w:p>
        </w:tc>
        <w:tc>
          <w:tcPr>
            <w:tcW w:w="50" w:type="pct"/>
            <w:shd w:val="clear" w:color="auto" w:fill="auto"/>
            <w:vAlign w:val="bottom"/>
          </w:tcPr>
          <w:p w14:paraId="0B2FB92E" w14:textId="77777777" w:rsidR="007F1775" w:rsidRDefault="007F1775">
            <w:pPr>
              <w:rPr>
                <w:rFonts w:ascii="宋体"/>
              </w:rPr>
            </w:pPr>
          </w:p>
        </w:tc>
        <w:tc>
          <w:tcPr>
            <w:tcW w:w="593" w:type="pct"/>
            <w:shd w:val="clear" w:color="auto" w:fill="auto"/>
            <w:vAlign w:val="bottom"/>
          </w:tcPr>
          <w:p w14:paraId="0B2FB92F" w14:textId="77777777" w:rsidR="007F1775" w:rsidRDefault="007F1775">
            <w:pPr>
              <w:rPr>
                <w:rFonts w:ascii="宋体"/>
              </w:rPr>
            </w:pPr>
          </w:p>
        </w:tc>
        <w:tc>
          <w:tcPr>
            <w:tcW w:w="5" w:type="pct"/>
            <w:shd w:val="clear" w:color="auto" w:fill="auto"/>
            <w:vAlign w:val="bottom"/>
          </w:tcPr>
          <w:p w14:paraId="0B2FB930" w14:textId="77777777" w:rsidR="007F1775" w:rsidRDefault="007F1775">
            <w:pPr>
              <w:rPr>
                <w:rFonts w:ascii="宋体"/>
              </w:rPr>
            </w:pPr>
          </w:p>
        </w:tc>
        <w:tc>
          <w:tcPr>
            <w:tcW w:w="0" w:type="auto"/>
            <w:shd w:val="clear" w:color="auto" w:fill="auto"/>
            <w:vAlign w:val="bottom"/>
          </w:tcPr>
          <w:p w14:paraId="0B2FB931" w14:textId="77777777" w:rsidR="007F1775" w:rsidRDefault="007F1775">
            <w:pPr>
              <w:rPr>
                <w:rFonts w:ascii="宋体"/>
                <w:vanish/>
              </w:rPr>
            </w:pPr>
          </w:p>
        </w:tc>
        <w:tc>
          <w:tcPr>
            <w:tcW w:w="0" w:type="auto"/>
            <w:shd w:val="clear" w:color="auto" w:fill="auto"/>
            <w:vAlign w:val="bottom"/>
          </w:tcPr>
          <w:p w14:paraId="0B2FB932" w14:textId="77777777" w:rsidR="007F1775" w:rsidRDefault="007F1775">
            <w:pPr>
              <w:rPr>
                <w:rFonts w:ascii="宋体"/>
                <w:vanish/>
              </w:rPr>
            </w:pPr>
          </w:p>
        </w:tc>
        <w:tc>
          <w:tcPr>
            <w:tcW w:w="0" w:type="auto"/>
            <w:shd w:val="clear" w:color="auto" w:fill="auto"/>
            <w:vAlign w:val="bottom"/>
          </w:tcPr>
          <w:p w14:paraId="0B2FB933" w14:textId="77777777" w:rsidR="007F1775" w:rsidRDefault="007F1775">
            <w:pPr>
              <w:rPr>
                <w:rFonts w:ascii="宋体"/>
                <w:vanish/>
              </w:rPr>
            </w:pPr>
          </w:p>
        </w:tc>
        <w:tc>
          <w:tcPr>
            <w:tcW w:w="0" w:type="auto"/>
            <w:shd w:val="clear" w:color="auto" w:fill="auto"/>
            <w:vAlign w:val="bottom"/>
          </w:tcPr>
          <w:p w14:paraId="0B2FB934" w14:textId="77777777" w:rsidR="007F1775" w:rsidRDefault="007F1775">
            <w:pPr>
              <w:rPr>
                <w:rFonts w:ascii="宋体"/>
                <w:vanish/>
              </w:rPr>
            </w:pPr>
          </w:p>
        </w:tc>
        <w:tc>
          <w:tcPr>
            <w:tcW w:w="0" w:type="auto"/>
            <w:gridSpan w:val="3"/>
            <w:shd w:val="clear" w:color="auto" w:fill="auto"/>
            <w:vAlign w:val="bottom"/>
          </w:tcPr>
          <w:p w14:paraId="0B2FB935" w14:textId="77777777" w:rsidR="007F1775" w:rsidRDefault="007F1775">
            <w:pPr>
              <w:rPr>
                <w:rFonts w:ascii="宋体"/>
                <w:vanish/>
              </w:rPr>
            </w:pPr>
          </w:p>
        </w:tc>
        <w:tc>
          <w:tcPr>
            <w:tcW w:w="0" w:type="auto"/>
            <w:gridSpan w:val="3"/>
            <w:shd w:val="clear" w:color="auto" w:fill="auto"/>
            <w:vAlign w:val="bottom"/>
          </w:tcPr>
          <w:p w14:paraId="0B2FB936" w14:textId="77777777" w:rsidR="007F1775" w:rsidRDefault="007F1775">
            <w:pPr>
              <w:rPr>
                <w:rFonts w:ascii="宋体"/>
                <w:vanish/>
              </w:rPr>
            </w:pPr>
          </w:p>
        </w:tc>
      </w:tr>
      <w:tr w:rsidR="007F1775" w14:paraId="0B2FB946" w14:textId="77777777">
        <w:tc>
          <w:tcPr>
            <w:tcW w:w="0" w:type="auto"/>
            <w:gridSpan w:val="3"/>
            <w:shd w:val="clear" w:color="auto" w:fill="auto"/>
            <w:tcMar>
              <w:top w:w="40" w:type="dxa"/>
              <w:left w:w="20" w:type="dxa"/>
              <w:bottom w:w="40" w:type="dxa"/>
              <w:right w:w="20" w:type="dxa"/>
            </w:tcMar>
            <w:vAlign w:val="bottom"/>
          </w:tcPr>
          <w:p w14:paraId="0B2FB938"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939"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gridSpan w:val="3"/>
            <w:shd w:val="clear" w:color="auto" w:fill="auto"/>
            <w:tcMar>
              <w:top w:w="0" w:type="dxa"/>
              <w:left w:w="20" w:type="dxa"/>
              <w:bottom w:w="0" w:type="dxa"/>
              <w:right w:w="20" w:type="dxa"/>
            </w:tcMar>
            <w:vAlign w:val="bottom"/>
          </w:tcPr>
          <w:p w14:paraId="0B2FB93A"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93B" w14:textId="77777777" w:rsidR="007F1775" w:rsidRDefault="000F083E">
            <w:pPr>
              <w:textAlignment w:val="bottom"/>
            </w:pPr>
            <w:r>
              <w:rPr>
                <w:rFonts w:ascii="Times New Roman" w:eastAsia="宋体" w:hAnsi="Times New Roman"/>
                <w:color w:val="000000"/>
                <w:sz w:val="16"/>
                <w:szCs w:val="16"/>
              </w:rPr>
              <w:t> </w:t>
            </w:r>
          </w:p>
        </w:tc>
        <w:tc>
          <w:tcPr>
            <w:tcW w:w="0" w:type="auto"/>
            <w:shd w:val="clear" w:color="auto" w:fill="auto"/>
            <w:vAlign w:val="bottom"/>
          </w:tcPr>
          <w:p w14:paraId="0B2FB93C" w14:textId="77777777" w:rsidR="007F1775" w:rsidRDefault="007F1775">
            <w:pPr>
              <w:rPr>
                <w:rFonts w:ascii="宋体"/>
                <w:vanish/>
              </w:rPr>
            </w:pPr>
          </w:p>
        </w:tc>
        <w:tc>
          <w:tcPr>
            <w:tcW w:w="0" w:type="auto"/>
            <w:shd w:val="clear" w:color="auto" w:fill="auto"/>
            <w:vAlign w:val="bottom"/>
          </w:tcPr>
          <w:p w14:paraId="0B2FB93D" w14:textId="77777777" w:rsidR="007F1775" w:rsidRDefault="007F1775">
            <w:pPr>
              <w:rPr>
                <w:rFonts w:ascii="宋体"/>
                <w:vanish/>
              </w:rPr>
            </w:pPr>
          </w:p>
        </w:tc>
        <w:tc>
          <w:tcPr>
            <w:tcW w:w="0" w:type="auto"/>
            <w:shd w:val="clear" w:color="auto" w:fill="auto"/>
            <w:vAlign w:val="bottom"/>
          </w:tcPr>
          <w:p w14:paraId="0B2FB93E" w14:textId="77777777" w:rsidR="007F1775" w:rsidRDefault="007F1775">
            <w:pPr>
              <w:rPr>
                <w:rFonts w:ascii="宋体"/>
                <w:vanish/>
              </w:rPr>
            </w:pPr>
          </w:p>
        </w:tc>
        <w:tc>
          <w:tcPr>
            <w:tcW w:w="0" w:type="auto"/>
            <w:shd w:val="clear" w:color="auto" w:fill="auto"/>
            <w:vAlign w:val="bottom"/>
          </w:tcPr>
          <w:p w14:paraId="0B2FB93F" w14:textId="77777777" w:rsidR="007F1775" w:rsidRDefault="007F1775">
            <w:pPr>
              <w:rPr>
                <w:rFonts w:ascii="宋体"/>
                <w:vanish/>
              </w:rPr>
            </w:pPr>
          </w:p>
        </w:tc>
        <w:tc>
          <w:tcPr>
            <w:tcW w:w="0" w:type="auto"/>
            <w:shd w:val="clear" w:color="auto" w:fill="auto"/>
            <w:vAlign w:val="bottom"/>
          </w:tcPr>
          <w:p w14:paraId="0B2FB940" w14:textId="77777777" w:rsidR="007F1775" w:rsidRDefault="007F1775">
            <w:pPr>
              <w:rPr>
                <w:rFonts w:ascii="宋体"/>
              </w:rPr>
            </w:pPr>
          </w:p>
        </w:tc>
        <w:tc>
          <w:tcPr>
            <w:tcW w:w="0" w:type="auto"/>
            <w:shd w:val="clear" w:color="auto" w:fill="auto"/>
            <w:vAlign w:val="bottom"/>
          </w:tcPr>
          <w:p w14:paraId="0B2FB941" w14:textId="77777777" w:rsidR="007F1775" w:rsidRDefault="007F1775">
            <w:pPr>
              <w:rPr>
                <w:rFonts w:ascii="宋体"/>
              </w:rPr>
            </w:pPr>
          </w:p>
        </w:tc>
        <w:tc>
          <w:tcPr>
            <w:tcW w:w="0" w:type="auto"/>
            <w:shd w:val="clear" w:color="auto" w:fill="auto"/>
            <w:vAlign w:val="bottom"/>
          </w:tcPr>
          <w:p w14:paraId="0B2FB942" w14:textId="77777777" w:rsidR="007F1775" w:rsidRDefault="007F1775">
            <w:pPr>
              <w:rPr>
                <w:rFonts w:ascii="宋体"/>
              </w:rPr>
            </w:pPr>
          </w:p>
        </w:tc>
        <w:tc>
          <w:tcPr>
            <w:tcW w:w="0" w:type="auto"/>
            <w:shd w:val="clear" w:color="auto" w:fill="auto"/>
            <w:vAlign w:val="bottom"/>
          </w:tcPr>
          <w:p w14:paraId="0B2FB943" w14:textId="77777777" w:rsidR="007F1775" w:rsidRDefault="007F1775">
            <w:pPr>
              <w:rPr>
                <w:rFonts w:ascii="宋体"/>
              </w:rPr>
            </w:pPr>
          </w:p>
        </w:tc>
        <w:tc>
          <w:tcPr>
            <w:tcW w:w="0" w:type="auto"/>
            <w:shd w:val="clear" w:color="auto" w:fill="auto"/>
            <w:vAlign w:val="bottom"/>
          </w:tcPr>
          <w:p w14:paraId="0B2FB944" w14:textId="77777777" w:rsidR="007F1775" w:rsidRDefault="007F1775">
            <w:pPr>
              <w:rPr>
                <w:rFonts w:ascii="宋体"/>
              </w:rPr>
            </w:pPr>
          </w:p>
        </w:tc>
        <w:tc>
          <w:tcPr>
            <w:tcW w:w="0" w:type="auto"/>
            <w:shd w:val="clear" w:color="auto" w:fill="auto"/>
            <w:vAlign w:val="bottom"/>
          </w:tcPr>
          <w:p w14:paraId="0B2FB945" w14:textId="77777777" w:rsidR="007F1775" w:rsidRDefault="007F1775">
            <w:pPr>
              <w:rPr>
                <w:rFonts w:ascii="宋体"/>
              </w:rPr>
            </w:pPr>
          </w:p>
        </w:tc>
      </w:tr>
      <w:tr w:rsidR="007F1775" w14:paraId="0B2FB953" w14:textId="77777777">
        <w:tc>
          <w:tcPr>
            <w:tcW w:w="0" w:type="auto"/>
            <w:gridSpan w:val="3"/>
            <w:shd w:val="clear" w:color="auto" w:fill="auto"/>
            <w:tcMar>
              <w:top w:w="40" w:type="dxa"/>
              <w:left w:w="20" w:type="dxa"/>
              <w:bottom w:w="40" w:type="dxa"/>
              <w:right w:w="20" w:type="dxa"/>
            </w:tcMar>
            <w:vAlign w:val="bottom"/>
          </w:tcPr>
          <w:p w14:paraId="0B2FB947" w14:textId="77777777" w:rsidR="007F1775" w:rsidRDefault="000F083E">
            <w:pP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948"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949"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94A"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gridSpan w:val="3"/>
            <w:shd w:val="clear" w:color="auto" w:fill="auto"/>
            <w:tcMar>
              <w:top w:w="0" w:type="dxa"/>
              <w:left w:w="20" w:type="dxa"/>
              <w:bottom w:w="0" w:type="dxa"/>
              <w:right w:w="20" w:type="dxa"/>
            </w:tcMar>
            <w:vAlign w:val="bottom"/>
          </w:tcPr>
          <w:p w14:paraId="0B2FB94B"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94C" w14:textId="77777777" w:rsidR="007F1775" w:rsidRDefault="000F083E">
            <w:pPr>
              <w:jc w:val="center"/>
              <w:textAlignment w:val="bottom"/>
            </w:pPr>
            <w:r>
              <w:rPr>
                <w:rFonts w:ascii="Times New Roman" w:eastAsia="宋体" w:hAnsi="Times New Roman"/>
                <w:b/>
                <w:bCs/>
                <w:color w:val="000000"/>
                <w:sz w:val="16"/>
                <w:szCs w:val="16"/>
              </w:rPr>
              <w:t>% change</w:t>
            </w:r>
          </w:p>
        </w:tc>
        <w:tc>
          <w:tcPr>
            <w:tcW w:w="0" w:type="auto"/>
            <w:shd w:val="clear" w:color="auto" w:fill="auto"/>
            <w:vAlign w:val="bottom"/>
          </w:tcPr>
          <w:p w14:paraId="0B2FB94D" w14:textId="77777777" w:rsidR="007F1775" w:rsidRDefault="007F1775">
            <w:pPr>
              <w:rPr>
                <w:rFonts w:ascii="宋体"/>
                <w:vanish/>
              </w:rPr>
            </w:pPr>
          </w:p>
        </w:tc>
        <w:tc>
          <w:tcPr>
            <w:tcW w:w="0" w:type="auto"/>
            <w:shd w:val="clear" w:color="auto" w:fill="auto"/>
            <w:vAlign w:val="bottom"/>
          </w:tcPr>
          <w:p w14:paraId="0B2FB94E" w14:textId="77777777" w:rsidR="007F1775" w:rsidRDefault="007F1775">
            <w:pPr>
              <w:rPr>
                <w:rFonts w:ascii="宋体"/>
                <w:vanish/>
              </w:rPr>
            </w:pPr>
          </w:p>
        </w:tc>
        <w:tc>
          <w:tcPr>
            <w:tcW w:w="0" w:type="auto"/>
            <w:shd w:val="clear" w:color="auto" w:fill="auto"/>
            <w:vAlign w:val="bottom"/>
          </w:tcPr>
          <w:p w14:paraId="0B2FB94F" w14:textId="77777777" w:rsidR="007F1775" w:rsidRDefault="007F1775">
            <w:pPr>
              <w:rPr>
                <w:rFonts w:ascii="宋体"/>
                <w:vanish/>
              </w:rPr>
            </w:pPr>
          </w:p>
        </w:tc>
        <w:tc>
          <w:tcPr>
            <w:tcW w:w="0" w:type="auto"/>
            <w:shd w:val="clear" w:color="auto" w:fill="auto"/>
            <w:vAlign w:val="bottom"/>
          </w:tcPr>
          <w:p w14:paraId="0B2FB950" w14:textId="77777777" w:rsidR="007F1775" w:rsidRDefault="007F1775">
            <w:pPr>
              <w:rPr>
                <w:rFonts w:ascii="宋体"/>
                <w:vanish/>
              </w:rPr>
            </w:pPr>
          </w:p>
        </w:tc>
        <w:tc>
          <w:tcPr>
            <w:tcW w:w="0" w:type="auto"/>
            <w:gridSpan w:val="3"/>
            <w:shd w:val="clear" w:color="auto" w:fill="auto"/>
            <w:vAlign w:val="bottom"/>
          </w:tcPr>
          <w:p w14:paraId="0B2FB951" w14:textId="77777777" w:rsidR="007F1775" w:rsidRDefault="007F1775">
            <w:pPr>
              <w:rPr>
                <w:rFonts w:ascii="宋体"/>
                <w:vanish/>
              </w:rPr>
            </w:pPr>
          </w:p>
        </w:tc>
        <w:tc>
          <w:tcPr>
            <w:tcW w:w="0" w:type="auto"/>
            <w:gridSpan w:val="3"/>
            <w:shd w:val="clear" w:color="auto" w:fill="auto"/>
            <w:vAlign w:val="bottom"/>
          </w:tcPr>
          <w:p w14:paraId="0B2FB952" w14:textId="77777777" w:rsidR="007F1775" w:rsidRDefault="007F1775">
            <w:pPr>
              <w:rPr>
                <w:rFonts w:ascii="宋体"/>
                <w:vanish/>
              </w:rPr>
            </w:pPr>
          </w:p>
        </w:tc>
      </w:tr>
      <w:tr w:rsidR="007F1775" w14:paraId="0B2FB960" w14:textId="77777777">
        <w:trPr>
          <w:trHeight w:val="60"/>
        </w:trPr>
        <w:tc>
          <w:tcPr>
            <w:tcW w:w="0" w:type="auto"/>
            <w:gridSpan w:val="3"/>
            <w:shd w:val="clear" w:color="auto" w:fill="auto"/>
            <w:tcMar>
              <w:top w:w="0" w:type="dxa"/>
              <w:left w:w="20" w:type="dxa"/>
              <w:bottom w:w="0" w:type="dxa"/>
              <w:right w:w="20" w:type="dxa"/>
            </w:tcMar>
            <w:vAlign w:val="bottom"/>
          </w:tcPr>
          <w:p w14:paraId="0B2FB954"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95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956"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95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958" w14:textId="77777777" w:rsidR="007F1775" w:rsidRDefault="007F177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959" w14:textId="77777777" w:rsidR="007F1775" w:rsidRDefault="007F1775">
            <w:pPr>
              <w:rPr>
                <w:rFonts w:ascii="宋体"/>
              </w:rPr>
            </w:pPr>
          </w:p>
        </w:tc>
        <w:tc>
          <w:tcPr>
            <w:tcW w:w="0" w:type="auto"/>
            <w:shd w:val="clear" w:color="auto" w:fill="auto"/>
            <w:vAlign w:val="bottom"/>
          </w:tcPr>
          <w:p w14:paraId="0B2FB95A" w14:textId="77777777" w:rsidR="007F1775" w:rsidRDefault="007F1775">
            <w:pPr>
              <w:rPr>
                <w:rFonts w:ascii="宋体"/>
                <w:vanish/>
              </w:rPr>
            </w:pPr>
          </w:p>
        </w:tc>
        <w:tc>
          <w:tcPr>
            <w:tcW w:w="0" w:type="auto"/>
            <w:shd w:val="clear" w:color="auto" w:fill="auto"/>
            <w:vAlign w:val="bottom"/>
          </w:tcPr>
          <w:p w14:paraId="0B2FB95B" w14:textId="77777777" w:rsidR="007F1775" w:rsidRDefault="007F1775">
            <w:pPr>
              <w:rPr>
                <w:rFonts w:ascii="宋体"/>
                <w:vanish/>
              </w:rPr>
            </w:pPr>
          </w:p>
        </w:tc>
        <w:tc>
          <w:tcPr>
            <w:tcW w:w="0" w:type="auto"/>
            <w:shd w:val="clear" w:color="auto" w:fill="auto"/>
            <w:vAlign w:val="bottom"/>
          </w:tcPr>
          <w:p w14:paraId="0B2FB95C" w14:textId="77777777" w:rsidR="007F1775" w:rsidRDefault="007F1775">
            <w:pPr>
              <w:rPr>
                <w:rFonts w:ascii="宋体"/>
                <w:vanish/>
              </w:rPr>
            </w:pPr>
          </w:p>
        </w:tc>
        <w:tc>
          <w:tcPr>
            <w:tcW w:w="0" w:type="auto"/>
            <w:shd w:val="clear" w:color="auto" w:fill="auto"/>
            <w:vAlign w:val="bottom"/>
          </w:tcPr>
          <w:p w14:paraId="0B2FB95D" w14:textId="77777777" w:rsidR="007F1775" w:rsidRDefault="007F1775">
            <w:pPr>
              <w:rPr>
                <w:rFonts w:ascii="宋体"/>
                <w:vanish/>
              </w:rPr>
            </w:pPr>
          </w:p>
        </w:tc>
        <w:tc>
          <w:tcPr>
            <w:tcW w:w="0" w:type="auto"/>
            <w:gridSpan w:val="3"/>
            <w:shd w:val="clear" w:color="auto" w:fill="auto"/>
            <w:vAlign w:val="bottom"/>
          </w:tcPr>
          <w:p w14:paraId="0B2FB95E" w14:textId="77777777" w:rsidR="007F1775" w:rsidRDefault="007F1775">
            <w:pPr>
              <w:rPr>
                <w:rFonts w:ascii="宋体"/>
                <w:vanish/>
              </w:rPr>
            </w:pPr>
          </w:p>
        </w:tc>
        <w:tc>
          <w:tcPr>
            <w:tcW w:w="0" w:type="auto"/>
            <w:gridSpan w:val="3"/>
            <w:shd w:val="clear" w:color="auto" w:fill="auto"/>
            <w:vAlign w:val="bottom"/>
          </w:tcPr>
          <w:p w14:paraId="0B2FB95F" w14:textId="77777777" w:rsidR="007F1775" w:rsidRDefault="007F1775">
            <w:pPr>
              <w:rPr>
                <w:rFonts w:ascii="宋体"/>
                <w:vanish/>
              </w:rPr>
            </w:pPr>
          </w:p>
        </w:tc>
      </w:tr>
      <w:tr w:rsidR="007F1775" w14:paraId="0B2FB96B" w14:textId="77777777">
        <w:tc>
          <w:tcPr>
            <w:tcW w:w="0" w:type="auto"/>
            <w:gridSpan w:val="3"/>
            <w:shd w:val="clear" w:color="auto" w:fill="auto"/>
            <w:tcMar>
              <w:top w:w="40" w:type="dxa"/>
              <w:left w:w="20" w:type="dxa"/>
              <w:bottom w:w="40" w:type="dxa"/>
              <w:right w:w="20" w:type="dxa"/>
            </w:tcMar>
            <w:vAlign w:val="bottom"/>
          </w:tcPr>
          <w:p w14:paraId="0B2FB961" w14:textId="77777777" w:rsidR="007F1775" w:rsidRDefault="000F083E">
            <w:pPr>
              <w:textAlignment w:val="bottom"/>
            </w:pPr>
            <w:r>
              <w:rPr>
                <w:rFonts w:ascii="Times New Roman" w:eastAsia="宋体" w:hAnsi="Times New Roman"/>
                <w:color w:val="000000"/>
                <w:sz w:val="16"/>
                <w:szCs w:val="16"/>
              </w:rPr>
              <w:t> </w:t>
            </w:r>
          </w:p>
        </w:tc>
        <w:tc>
          <w:tcPr>
            <w:tcW w:w="0" w:type="auto"/>
            <w:gridSpan w:val="9"/>
            <w:shd w:val="clear" w:color="auto" w:fill="auto"/>
            <w:tcMar>
              <w:top w:w="40" w:type="dxa"/>
              <w:left w:w="20" w:type="dxa"/>
              <w:bottom w:w="40" w:type="dxa"/>
              <w:right w:w="20" w:type="dxa"/>
            </w:tcMar>
            <w:vAlign w:val="bottom"/>
          </w:tcPr>
          <w:p w14:paraId="0B2FB962" w14:textId="77777777" w:rsidR="007F1775" w:rsidRDefault="000F083E">
            <w:pPr>
              <w:jc w:val="center"/>
              <w:textAlignment w:val="bottom"/>
            </w:pPr>
            <w:r>
              <w:rPr>
                <w:rFonts w:ascii="Times New Roman" w:eastAsia="宋体" w:hAnsi="Times New Roman"/>
                <w:b/>
                <w:bCs/>
                <w:color w:val="000000"/>
                <w:sz w:val="16"/>
                <w:szCs w:val="16"/>
              </w:rPr>
              <w:t>(dollars in millions)</w:t>
            </w:r>
          </w:p>
        </w:tc>
        <w:tc>
          <w:tcPr>
            <w:tcW w:w="0" w:type="auto"/>
            <w:gridSpan w:val="3"/>
            <w:shd w:val="clear" w:color="auto" w:fill="auto"/>
            <w:tcMar>
              <w:top w:w="0" w:type="dxa"/>
              <w:left w:w="20" w:type="dxa"/>
              <w:bottom w:w="0" w:type="dxa"/>
              <w:right w:w="20" w:type="dxa"/>
            </w:tcMar>
            <w:vAlign w:val="bottom"/>
          </w:tcPr>
          <w:p w14:paraId="0B2FB96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964" w14:textId="77777777" w:rsidR="007F1775" w:rsidRDefault="007F1775">
            <w:pPr>
              <w:rPr>
                <w:rFonts w:ascii="宋体"/>
              </w:rPr>
            </w:pPr>
          </w:p>
        </w:tc>
        <w:tc>
          <w:tcPr>
            <w:tcW w:w="0" w:type="auto"/>
            <w:shd w:val="clear" w:color="auto" w:fill="auto"/>
            <w:vAlign w:val="bottom"/>
          </w:tcPr>
          <w:p w14:paraId="0B2FB965" w14:textId="77777777" w:rsidR="007F1775" w:rsidRDefault="007F1775">
            <w:pPr>
              <w:rPr>
                <w:rFonts w:ascii="宋体"/>
                <w:vanish/>
              </w:rPr>
            </w:pPr>
          </w:p>
        </w:tc>
        <w:tc>
          <w:tcPr>
            <w:tcW w:w="0" w:type="auto"/>
            <w:shd w:val="clear" w:color="auto" w:fill="auto"/>
            <w:vAlign w:val="bottom"/>
          </w:tcPr>
          <w:p w14:paraId="0B2FB966" w14:textId="77777777" w:rsidR="007F1775" w:rsidRDefault="007F1775">
            <w:pPr>
              <w:rPr>
                <w:rFonts w:ascii="宋体"/>
                <w:vanish/>
              </w:rPr>
            </w:pPr>
          </w:p>
        </w:tc>
        <w:tc>
          <w:tcPr>
            <w:tcW w:w="0" w:type="auto"/>
            <w:shd w:val="clear" w:color="auto" w:fill="auto"/>
            <w:vAlign w:val="bottom"/>
          </w:tcPr>
          <w:p w14:paraId="0B2FB967" w14:textId="77777777" w:rsidR="007F1775" w:rsidRDefault="007F1775">
            <w:pPr>
              <w:rPr>
                <w:rFonts w:ascii="宋体"/>
                <w:vanish/>
              </w:rPr>
            </w:pPr>
          </w:p>
        </w:tc>
        <w:tc>
          <w:tcPr>
            <w:tcW w:w="0" w:type="auto"/>
            <w:shd w:val="clear" w:color="auto" w:fill="auto"/>
            <w:vAlign w:val="bottom"/>
          </w:tcPr>
          <w:p w14:paraId="0B2FB968" w14:textId="77777777" w:rsidR="007F1775" w:rsidRDefault="007F1775">
            <w:pPr>
              <w:rPr>
                <w:rFonts w:ascii="宋体"/>
                <w:vanish/>
              </w:rPr>
            </w:pPr>
          </w:p>
        </w:tc>
        <w:tc>
          <w:tcPr>
            <w:tcW w:w="0" w:type="auto"/>
            <w:gridSpan w:val="3"/>
            <w:shd w:val="clear" w:color="auto" w:fill="auto"/>
            <w:vAlign w:val="bottom"/>
          </w:tcPr>
          <w:p w14:paraId="0B2FB969" w14:textId="77777777" w:rsidR="007F1775" w:rsidRDefault="007F1775">
            <w:pPr>
              <w:rPr>
                <w:rFonts w:ascii="宋体"/>
                <w:vanish/>
              </w:rPr>
            </w:pPr>
          </w:p>
        </w:tc>
        <w:tc>
          <w:tcPr>
            <w:tcW w:w="0" w:type="auto"/>
            <w:gridSpan w:val="3"/>
            <w:shd w:val="clear" w:color="auto" w:fill="auto"/>
            <w:vAlign w:val="bottom"/>
          </w:tcPr>
          <w:p w14:paraId="0B2FB96A" w14:textId="77777777" w:rsidR="007F1775" w:rsidRDefault="007F1775">
            <w:pPr>
              <w:rPr>
                <w:rFonts w:ascii="宋体"/>
                <w:vanish/>
              </w:rPr>
            </w:pPr>
          </w:p>
        </w:tc>
      </w:tr>
      <w:tr w:rsidR="007F1775" w14:paraId="0B2FB97D" w14:textId="77777777">
        <w:tc>
          <w:tcPr>
            <w:tcW w:w="0" w:type="auto"/>
            <w:gridSpan w:val="3"/>
            <w:shd w:val="clear" w:color="auto" w:fill="CCEEFF"/>
            <w:tcMar>
              <w:top w:w="40" w:type="dxa"/>
              <w:left w:w="20" w:type="dxa"/>
              <w:bottom w:w="40" w:type="dxa"/>
              <w:right w:w="20" w:type="dxa"/>
            </w:tcMar>
          </w:tcPr>
          <w:p w14:paraId="0B2FB96C" w14:textId="77777777" w:rsidR="007F1775" w:rsidRDefault="000F083E">
            <w:pPr>
              <w:textAlignment w:val="top"/>
            </w:pPr>
            <w:r>
              <w:rPr>
                <w:rFonts w:ascii="Times New Roman" w:eastAsia="宋体" w:hAnsi="Times New Roman"/>
                <w:color w:val="000000"/>
                <w:sz w:val="20"/>
                <w:szCs w:val="20"/>
              </w:rPr>
              <w:t>Provision for income taxes</w:t>
            </w:r>
          </w:p>
        </w:tc>
        <w:tc>
          <w:tcPr>
            <w:tcW w:w="0" w:type="auto"/>
            <w:shd w:val="clear" w:color="auto" w:fill="CCEEFF"/>
            <w:tcMar>
              <w:top w:w="40" w:type="dxa"/>
              <w:left w:w="20" w:type="dxa"/>
              <w:bottom w:w="40" w:type="dxa"/>
              <w:right w:w="0" w:type="dxa"/>
            </w:tcMar>
            <w:vAlign w:val="bottom"/>
          </w:tcPr>
          <w:p w14:paraId="0B2FB96D"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96E" w14:textId="77777777" w:rsidR="007F1775" w:rsidRDefault="000F083E">
            <w:pPr>
              <w:jc w:val="right"/>
              <w:textAlignment w:val="bottom"/>
            </w:pPr>
            <w:r>
              <w:rPr>
                <w:rFonts w:ascii="Times New Roman" w:eastAsia="宋体" w:hAnsi="Times New Roman"/>
                <w:color w:val="000000"/>
                <w:sz w:val="20"/>
                <w:szCs w:val="20"/>
              </w:rPr>
              <w:t>1,443 </w:t>
            </w:r>
          </w:p>
        </w:tc>
        <w:tc>
          <w:tcPr>
            <w:tcW w:w="0" w:type="auto"/>
            <w:shd w:val="clear" w:color="auto" w:fill="CCEEFF"/>
            <w:tcMar>
              <w:top w:w="40" w:type="dxa"/>
              <w:left w:w="0" w:type="dxa"/>
              <w:bottom w:w="40" w:type="dxa"/>
              <w:right w:w="20" w:type="dxa"/>
            </w:tcMar>
            <w:vAlign w:val="bottom"/>
          </w:tcPr>
          <w:p w14:paraId="0B2FB96F"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970"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971"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972" w14:textId="77777777" w:rsidR="007F1775" w:rsidRDefault="000F083E">
            <w:pPr>
              <w:jc w:val="right"/>
              <w:textAlignment w:val="bottom"/>
            </w:pPr>
            <w:r>
              <w:rPr>
                <w:rFonts w:ascii="Times New Roman" w:eastAsia="宋体" w:hAnsi="Times New Roman"/>
                <w:color w:val="000000"/>
                <w:sz w:val="20"/>
                <w:szCs w:val="20"/>
              </w:rPr>
              <w:t>2,006 </w:t>
            </w:r>
          </w:p>
        </w:tc>
        <w:tc>
          <w:tcPr>
            <w:tcW w:w="0" w:type="auto"/>
            <w:shd w:val="clear" w:color="auto" w:fill="CCEEFF"/>
            <w:tcMar>
              <w:top w:w="40" w:type="dxa"/>
              <w:left w:w="0" w:type="dxa"/>
              <w:bottom w:w="40" w:type="dxa"/>
              <w:right w:w="20" w:type="dxa"/>
            </w:tcMar>
            <w:vAlign w:val="bottom"/>
          </w:tcPr>
          <w:p w14:paraId="0B2FB97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974"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975" w14:textId="77777777" w:rsidR="007F1775" w:rsidRDefault="000F083E">
            <w:pPr>
              <w:jc w:val="right"/>
              <w:textAlignment w:val="bottom"/>
            </w:pPr>
            <w:r>
              <w:rPr>
                <w:rFonts w:ascii="Times New Roman" w:eastAsia="宋体" w:hAnsi="Times New Roman"/>
                <w:color w:val="000000"/>
                <w:sz w:val="20"/>
                <w:szCs w:val="20"/>
              </w:rPr>
              <w:t>(28)</w:t>
            </w:r>
          </w:p>
        </w:tc>
        <w:tc>
          <w:tcPr>
            <w:tcW w:w="0" w:type="auto"/>
            <w:shd w:val="clear" w:color="auto" w:fill="CCEEFF"/>
            <w:tcMar>
              <w:top w:w="40" w:type="dxa"/>
              <w:left w:w="0" w:type="dxa"/>
              <w:bottom w:w="40" w:type="dxa"/>
              <w:right w:w="20" w:type="dxa"/>
            </w:tcMar>
            <w:vAlign w:val="bottom"/>
          </w:tcPr>
          <w:p w14:paraId="0B2FB976" w14:textId="77777777" w:rsidR="007F1775" w:rsidRDefault="000F083E">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B2FB977" w14:textId="77777777" w:rsidR="007F1775" w:rsidRDefault="007F1775">
            <w:pPr>
              <w:rPr>
                <w:rFonts w:ascii="宋体"/>
                <w:vanish/>
              </w:rPr>
            </w:pPr>
          </w:p>
        </w:tc>
        <w:tc>
          <w:tcPr>
            <w:tcW w:w="0" w:type="auto"/>
            <w:shd w:val="clear" w:color="auto" w:fill="auto"/>
            <w:vAlign w:val="bottom"/>
          </w:tcPr>
          <w:p w14:paraId="0B2FB978" w14:textId="77777777" w:rsidR="007F1775" w:rsidRDefault="007F1775">
            <w:pPr>
              <w:rPr>
                <w:rFonts w:ascii="宋体"/>
                <w:vanish/>
              </w:rPr>
            </w:pPr>
          </w:p>
        </w:tc>
        <w:tc>
          <w:tcPr>
            <w:tcW w:w="0" w:type="auto"/>
            <w:shd w:val="clear" w:color="auto" w:fill="auto"/>
            <w:vAlign w:val="bottom"/>
          </w:tcPr>
          <w:p w14:paraId="0B2FB979" w14:textId="77777777" w:rsidR="007F1775" w:rsidRDefault="007F1775">
            <w:pPr>
              <w:rPr>
                <w:rFonts w:ascii="宋体"/>
                <w:vanish/>
              </w:rPr>
            </w:pPr>
          </w:p>
        </w:tc>
        <w:tc>
          <w:tcPr>
            <w:tcW w:w="0" w:type="auto"/>
            <w:shd w:val="clear" w:color="auto" w:fill="auto"/>
            <w:vAlign w:val="bottom"/>
          </w:tcPr>
          <w:p w14:paraId="0B2FB97A" w14:textId="77777777" w:rsidR="007F1775" w:rsidRDefault="007F1775">
            <w:pPr>
              <w:rPr>
                <w:rFonts w:ascii="宋体"/>
                <w:vanish/>
              </w:rPr>
            </w:pPr>
          </w:p>
        </w:tc>
        <w:tc>
          <w:tcPr>
            <w:tcW w:w="0" w:type="auto"/>
            <w:gridSpan w:val="3"/>
            <w:shd w:val="clear" w:color="auto" w:fill="auto"/>
            <w:vAlign w:val="bottom"/>
          </w:tcPr>
          <w:p w14:paraId="0B2FB97B" w14:textId="77777777" w:rsidR="007F1775" w:rsidRDefault="007F1775">
            <w:pPr>
              <w:rPr>
                <w:rFonts w:ascii="宋体"/>
                <w:vanish/>
              </w:rPr>
            </w:pPr>
          </w:p>
        </w:tc>
        <w:tc>
          <w:tcPr>
            <w:tcW w:w="0" w:type="auto"/>
            <w:gridSpan w:val="3"/>
            <w:shd w:val="clear" w:color="auto" w:fill="auto"/>
            <w:vAlign w:val="bottom"/>
          </w:tcPr>
          <w:p w14:paraId="0B2FB97C" w14:textId="77777777" w:rsidR="007F1775" w:rsidRDefault="007F1775">
            <w:pPr>
              <w:rPr>
                <w:rFonts w:ascii="宋体"/>
                <w:vanish/>
              </w:rPr>
            </w:pPr>
          </w:p>
        </w:tc>
      </w:tr>
      <w:tr w:rsidR="007F1775" w14:paraId="0B2FB98C" w14:textId="77777777">
        <w:tc>
          <w:tcPr>
            <w:tcW w:w="0" w:type="auto"/>
            <w:gridSpan w:val="3"/>
            <w:shd w:val="clear" w:color="auto" w:fill="FFFFFF"/>
            <w:tcMar>
              <w:top w:w="40" w:type="dxa"/>
              <w:left w:w="20" w:type="dxa"/>
              <w:bottom w:w="40" w:type="dxa"/>
              <w:right w:w="20" w:type="dxa"/>
            </w:tcMar>
          </w:tcPr>
          <w:p w14:paraId="0B2FB97E" w14:textId="77777777" w:rsidR="007F1775" w:rsidRDefault="000F083E">
            <w:pPr>
              <w:textAlignment w:val="top"/>
            </w:pPr>
            <w:r>
              <w:rPr>
                <w:rFonts w:ascii="Times New Roman" w:eastAsia="宋体" w:hAnsi="Times New Roman"/>
                <w:color w:val="000000"/>
                <w:sz w:val="20"/>
                <w:szCs w:val="20"/>
              </w:rPr>
              <w:t>Effective tax rate</w:t>
            </w:r>
          </w:p>
        </w:tc>
        <w:tc>
          <w:tcPr>
            <w:tcW w:w="0" w:type="auto"/>
            <w:gridSpan w:val="2"/>
            <w:shd w:val="clear" w:color="auto" w:fill="auto"/>
            <w:tcMar>
              <w:top w:w="40" w:type="dxa"/>
              <w:left w:w="20" w:type="dxa"/>
              <w:bottom w:w="40" w:type="dxa"/>
              <w:right w:w="0" w:type="dxa"/>
            </w:tcMar>
            <w:vAlign w:val="bottom"/>
          </w:tcPr>
          <w:p w14:paraId="0B2FB97F" w14:textId="77777777" w:rsidR="007F1775" w:rsidRDefault="000F083E">
            <w:pPr>
              <w:jc w:val="right"/>
              <w:textAlignment w:val="bottom"/>
            </w:pPr>
            <w:r>
              <w:rPr>
                <w:rFonts w:ascii="Times New Roman" w:eastAsia="宋体" w:hAnsi="Times New Roman"/>
                <w:color w:val="000000"/>
                <w:sz w:val="20"/>
                <w:szCs w:val="20"/>
              </w:rPr>
              <w:t>16 </w:t>
            </w:r>
          </w:p>
        </w:tc>
        <w:tc>
          <w:tcPr>
            <w:tcW w:w="0" w:type="auto"/>
            <w:shd w:val="clear" w:color="auto" w:fill="auto"/>
            <w:tcMar>
              <w:top w:w="40" w:type="dxa"/>
              <w:left w:w="0" w:type="dxa"/>
              <w:bottom w:w="40" w:type="dxa"/>
              <w:right w:w="20" w:type="dxa"/>
            </w:tcMar>
            <w:vAlign w:val="bottom"/>
          </w:tcPr>
          <w:p w14:paraId="0B2FB980"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B2FB981" w14:textId="77777777" w:rsidR="007F1775" w:rsidRDefault="007F1775">
            <w:pPr>
              <w:rPr>
                <w:rFonts w:ascii="宋体"/>
              </w:rPr>
            </w:pPr>
          </w:p>
        </w:tc>
        <w:tc>
          <w:tcPr>
            <w:tcW w:w="0" w:type="auto"/>
            <w:gridSpan w:val="2"/>
            <w:shd w:val="clear" w:color="auto" w:fill="auto"/>
            <w:tcMar>
              <w:top w:w="40" w:type="dxa"/>
              <w:left w:w="20" w:type="dxa"/>
              <w:bottom w:w="40" w:type="dxa"/>
              <w:right w:w="0" w:type="dxa"/>
            </w:tcMar>
            <w:vAlign w:val="bottom"/>
          </w:tcPr>
          <w:p w14:paraId="0B2FB982" w14:textId="77777777" w:rsidR="007F1775" w:rsidRDefault="000F083E">
            <w:pPr>
              <w:jc w:val="right"/>
              <w:textAlignment w:val="bottom"/>
            </w:pPr>
            <w:r>
              <w:rPr>
                <w:rFonts w:ascii="Times New Roman" w:eastAsia="宋体" w:hAnsi="Times New Roman"/>
                <w:color w:val="000000"/>
                <w:sz w:val="20"/>
                <w:szCs w:val="20"/>
              </w:rPr>
              <w:t>17 </w:t>
            </w:r>
          </w:p>
        </w:tc>
        <w:tc>
          <w:tcPr>
            <w:tcW w:w="0" w:type="auto"/>
            <w:shd w:val="clear" w:color="auto" w:fill="auto"/>
            <w:tcMar>
              <w:top w:w="40" w:type="dxa"/>
              <w:left w:w="0" w:type="dxa"/>
              <w:bottom w:w="40" w:type="dxa"/>
              <w:right w:w="20" w:type="dxa"/>
            </w:tcMar>
            <w:vAlign w:val="bottom"/>
          </w:tcPr>
          <w:p w14:paraId="0B2FB983" w14:textId="77777777" w:rsidR="007F1775" w:rsidRDefault="000F083E">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B2FB984"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985" w14:textId="77777777" w:rsidR="007F1775" w:rsidRDefault="007F1775">
            <w:pPr>
              <w:rPr>
                <w:rFonts w:ascii="宋体"/>
              </w:rPr>
            </w:pPr>
          </w:p>
        </w:tc>
        <w:tc>
          <w:tcPr>
            <w:tcW w:w="0" w:type="auto"/>
            <w:shd w:val="clear" w:color="auto" w:fill="auto"/>
            <w:vAlign w:val="bottom"/>
          </w:tcPr>
          <w:p w14:paraId="0B2FB986" w14:textId="77777777" w:rsidR="007F1775" w:rsidRDefault="007F1775">
            <w:pPr>
              <w:rPr>
                <w:rFonts w:ascii="宋体"/>
                <w:vanish/>
              </w:rPr>
            </w:pPr>
          </w:p>
        </w:tc>
        <w:tc>
          <w:tcPr>
            <w:tcW w:w="0" w:type="auto"/>
            <w:shd w:val="clear" w:color="auto" w:fill="auto"/>
            <w:vAlign w:val="bottom"/>
          </w:tcPr>
          <w:p w14:paraId="0B2FB987" w14:textId="77777777" w:rsidR="007F1775" w:rsidRDefault="007F1775">
            <w:pPr>
              <w:rPr>
                <w:rFonts w:ascii="宋体"/>
                <w:vanish/>
              </w:rPr>
            </w:pPr>
          </w:p>
        </w:tc>
        <w:tc>
          <w:tcPr>
            <w:tcW w:w="0" w:type="auto"/>
            <w:shd w:val="clear" w:color="auto" w:fill="auto"/>
            <w:vAlign w:val="bottom"/>
          </w:tcPr>
          <w:p w14:paraId="0B2FB988" w14:textId="77777777" w:rsidR="007F1775" w:rsidRDefault="007F1775">
            <w:pPr>
              <w:rPr>
                <w:rFonts w:ascii="宋体"/>
                <w:vanish/>
              </w:rPr>
            </w:pPr>
          </w:p>
        </w:tc>
        <w:tc>
          <w:tcPr>
            <w:tcW w:w="0" w:type="auto"/>
            <w:shd w:val="clear" w:color="auto" w:fill="auto"/>
            <w:vAlign w:val="bottom"/>
          </w:tcPr>
          <w:p w14:paraId="0B2FB989" w14:textId="77777777" w:rsidR="007F1775" w:rsidRDefault="007F1775">
            <w:pPr>
              <w:rPr>
                <w:rFonts w:ascii="宋体"/>
                <w:vanish/>
              </w:rPr>
            </w:pPr>
          </w:p>
        </w:tc>
        <w:tc>
          <w:tcPr>
            <w:tcW w:w="0" w:type="auto"/>
            <w:gridSpan w:val="3"/>
            <w:shd w:val="clear" w:color="auto" w:fill="auto"/>
            <w:vAlign w:val="bottom"/>
          </w:tcPr>
          <w:p w14:paraId="0B2FB98A" w14:textId="77777777" w:rsidR="007F1775" w:rsidRDefault="007F1775">
            <w:pPr>
              <w:rPr>
                <w:rFonts w:ascii="宋体"/>
                <w:vanish/>
              </w:rPr>
            </w:pPr>
          </w:p>
        </w:tc>
        <w:tc>
          <w:tcPr>
            <w:tcW w:w="0" w:type="auto"/>
            <w:gridSpan w:val="3"/>
            <w:shd w:val="clear" w:color="auto" w:fill="auto"/>
            <w:vAlign w:val="bottom"/>
          </w:tcPr>
          <w:p w14:paraId="0B2FB98B" w14:textId="77777777" w:rsidR="007F1775" w:rsidRDefault="007F1775">
            <w:pPr>
              <w:rPr>
                <w:rFonts w:ascii="宋体"/>
                <w:vanish/>
              </w:rPr>
            </w:pPr>
          </w:p>
        </w:tc>
      </w:tr>
    </w:tbl>
    <w:p w14:paraId="0B2FB98D" w14:textId="77777777" w:rsidR="007F1775" w:rsidRDefault="007F1775">
      <w:pPr>
        <w:ind w:firstLine="540"/>
        <w:jc w:val="both"/>
      </w:pPr>
    </w:p>
    <w:p w14:paraId="0B2FB98E" w14:textId="77777777" w:rsidR="007F1775" w:rsidRDefault="000F083E">
      <w:pPr>
        <w:ind w:firstLine="540"/>
        <w:jc w:val="both"/>
      </w:pPr>
      <w:r>
        <w:rPr>
          <w:rFonts w:ascii="Times New Roman" w:eastAsia="宋体" w:hAnsi="Times New Roman"/>
          <w:color w:val="000000"/>
          <w:sz w:val="20"/>
          <w:szCs w:val="20"/>
        </w:rPr>
        <w:t xml:space="preserve">Our provision for income taxes in the three months ended March 31, 2022 decreased $563 million, or 28%, compared to the same period in 2021, primarily due to the decrease in income from operations. </w:t>
      </w:r>
    </w:p>
    <w:p w14:paraId="0B2FB98F" w14:textId="77777777" w:rsidR="007F1775" w:rsidRDefault="007F1775">
      <w:pPr>
        <w:ind w:firstLine="540"/>
        <w:jc w:val="both"/>
      </w:pPr>
    </w:p>
    <w:p w14:paraId="0B2FB990" w14:textId="77777777" w:rsidR="007F1775" w:rsidRDefault="000F083E">
      <w:pPr>
        <w:ind w:firstLine="540"/>
        <w:jc w:val="both"/>
      </w:pPr>
      <w:r>
        <w:rPr>
          <w:rFonts w:ascii="Times New Roman" w:eastAsia="宋体" w:hAnsi="Times New Roman"/>
          <w:color w:val="000000"/>
          <w:sz w:val="20"/>
          <w:szCs w:val="20"/>
        </w:rPr>
        <w:t>Our effective tax rate decreased in the three months end</w:t>
      </w:r>
      <w:r>
        <w:rPr>
          <w:rFonts w:ascii="Times New Roman" w:eastAsia="宋体" w:hAnsi="Times New Roman"/>
          <w:color w:val="000000"/>
          <w:sz w:val="20"/>
          <w:szCs w:val="20"/>
        </w:rPr>
        <w:t>ed March 31, 2022 compared to the same period in 2021, mostly due to an increase in tax benefit from foreign-derived intangible income, partially offset by a decrease in excess tax benefits recognized from share-based compensation.</w:t>
      </w:r>
    </w:p>
    <w:p w14:paraId="0B2FB991" w14:textId="77777777" w:rsidR="007F1775" w:rsidRDefault="007F1775">
      <w:pPr>
        <w:ind w:firstLine="540"/>
        <w:jc w:val="both"/>
      </w:pPr>
    </w:p>
    <w:p w14:paraId="0B2FB992" w14:textId="77777777" w:rsidR="007F1775" w:rsidRDefault="000F083E">
      <w:pPr>
        <w:ind w:firstLine="540"/>
        <w:jc w:val="both"/>
      </w:pPr>
      <w:r>
        <w:rPr>
          <w:rFonts w:ascii="Times New Roman" w:eastAsia="宋体" w:hAnsi="Times New Roman"/>
          <w:i/>
          <w:iCs/>
          <w:color w:val="000000"/>
          <w:sz w:val="20"/>
          <w:szCs w:val="20"/>
        </w:rPr>
        <w:t>Effective Tax Rate Item</w:t>
      </w:r>
      <w:r>
        <w:rPr>
          <w:rFonts w:ascii="Times New Roman" w:eastAsia="宋体" w:hAnsi="Times New Roman"/>
          <w:i/>
          <w:iCs/>
          <w:color w:val="000000"/>
          <w:sz w:val="20"/>
          <w:szCs w:val="20"/>
        </w:rPr>
        <w:t>s</w:t>
      </w:r>
      <w:r>
        <w:rPr>
          <w:rFonts w:ascii="Times New Roman" w:eastAsia="宋体" w:hAnsi="Times New Roman"/>
          <w:color w:val="000000"/>
          <w:sz w:val="20"/>
          <w:szCs w:val="20"/>
        </w:rPr>
        <w:t>. Our effective tax rate in the future will depend upon the proportion between the following items and income before provision for income taxes: U.S. tax benefits from foreign-derived intangible income, tax effects from share-based compensation, tax effec</w:t>
      </w:r>
      <w:r>
        <w:rPr>
          <w:rFonts w:ascii="Times New Roman" w:eastAsia="宋体" w:hAnsi="Times New Roman"/>
          <w:color w:val="000000"/>
          <w:sz w:val="20"/>
          <w:szCs w:val="20"/>
        </w:rPr>
        <w:t>ts of integrating intellectual property from acquisitions, settlement of tax contingency items, tax effects of changes in our business, and the effects of changes in tax law.</w:t>
      </w:r>
    </w:p>
    <w:p w14:paraId="0B2FB993" w14:textId="77777777" w:rsidR="007F1775" w:rsidRDefault="007F1775">
      <w:pPr>
        <w:ind w:firstLine="540"/>
        <w:jc w:val="both"/>
      </w:pPr>
    </w:p>
    <w:p w14:paraId="0B2FB994" w14:textId="77777777" w:rsidR="007F1775" w:rsidRDefault="000F083E">
      <w:pPr>
        <w:ind w:firstLine="540"/>
        <w:jc w:val="both"/>
      </w:pPr>
      <w:r>
        <w:rPr>
          <w:rFonts w:ascii="Times New Roman" w:eastAsia="宋体" w:hAnsi="Times New Roman"/>
          <w:color w:val="000000"/>
          <w:sz w:val="20"/>
          <w:szCs w:val="20"/>
        </w:rPr>
        <w:t xml:space="preserve">The accounting for share-based compensation may increase or decrease our </w:t>
      </w:r>
      <w:r>
        <w:rPr>
          <w:rFonts w:ascii="Times New Roman" w:eastAsia="宋体" w:hAnsi="Times New Roman"/>
          <w:color w:val="000000"/>
          <w:sz w:val="20"/>
          <w:szCs w:val="20"/>
        </w:rPr>
        <w:t>effective tax rate based upon the difference between our share-based compensation expense and the deductions taken on our tax return, which depend upon the stock price at the time of employee award vesting. If our stock price remains constant to the April </w:t>
      </w:r>
      <w:r>
        <w:rPr>
          <w:rFonts w:ascii="Times New Roman" w:eastAsia="宋体" w:hAnsi="Times New Roman"/>
          <w:color w:val="000000"/>
          <w:sz w:val="20"/>
          <w:szCs w:val="20"/>
        </w:rPr>
        <w:t>22, 2022 price, and absent any changes to U.S. tax law, we expect our effective tax rate for the full year of 2022 to be above the first quarter rate and in the high teens. This includes the effects of the mandatory capitalization and amortization of resea</w:t>
      </w:r>
      <w:r>
        <w:rPr>
          <w:rFonts w:ascii="Times New Roman" w:eastAsia="宋体" w:hAnsi="Times New Roman"/>
          <w:color w:val="000000"/>
          <w:sz w:val="20"/>
          <w:szCs w:val="20"/>
        </w:rPr>
        <w:t>rch and development expenses incurred in 2022, as required by the 2017 Tax Cuts and Jobs Act (Tax Act). The mandatory capitalization requirement increases our cash tax liabilities but also decreases our effective tax rate due to increasing the foreign-deri</w:t>
      </w:r>
      <w:r>
        <w:rPr>
          <w:rFonts w:ascii="Times New Roman" w:eastAsia="宋体" w:hAnsi="Times New Roman"/>
          <w:color w:val="000000"/>
          <w:sz w:val="20"/>
          <w:szCs w:val="20"/>
        </w:rPr>
        <w:t>ved intangible income deduction. If the mandatory capitalization requirement is deferred by a change in law, our effective tax rate in 2022 could be a few percentage points higher when compared to current law and our cash tax liabilities could be several b</w:t>
      </w:r>
      <w:r>
        <w:rPr>
          <w:rFonts w:ascii="Times New Roman" w:eastAsia="宋体" w:hAnsi="Times New Roman"/>
          <w:color w:val="000000"/>
          <w:sz w:val="20"/>
          <w:szCs w:val="20"/>
        </w:rPr>
        <w:t>illion dollars lower.</w:t>
      </w:r>
    </w:p>
    <w:p w14:paraId="0B2FB995" w14:textId="77777777" w:rsidR="007F1775" w:rsidRDefault="007F1775">
      <w:pPr>
        <w:ind w:firstLine="540"/>
        <w:jc w:val="both"/>
      </w:pPr>
    </w:p>
    <w:p w14:paraId="0B2FB996" w14:textId="77777777" w:rsidR="007F1775" w:rsidRDefault="000F083E">
      <w:pPr>
        <w:ind w:firstLine="540"/>
        <w:jc w:val="both"/>
      </w:pPr>
      <w:r>
        <w:rPr>
          <w:rFonts w:ascii="Times New Roman" w:eastAsia="宋体" w:hAnsi="Times New Roman"/>
          <w:color w:val="000000"/>
          <w:sz w:val="20"/>
          <w:szCs w:val="20"/>
        </w:rPr>
        <w:t>Integrating intellectual property from acquisitions into our business generally involves intercompany transactions that have the impact of increasing our provision for income taxes. Consequently, our provision for income taxes and ou</w:t>
      </w:r>
      <w:r>
        <w:rPr>
          <w:rFonts w:ascii="Times New Roman" w:eastAsia="宋体" w:hAnsi="Times New Roman"/>
          <w:color w:val="000000"/>
          <w:sz w:val="20"/>
          <w:szCs w:val="20"/>
        </w:rPr>
        <w:t>r effective tax rate may initially increase in the period of an acquisition and integration. The magnitude of this impact will depend upon the specific type, size, and taxing jurisdictions of the intellectual property as well as the relative contribution t</w:t>
      </w:r>
      <w:r>
        <w:rPr>
          <w:rFonts w:ascii="Times New Roman" w:eastAsia="宋体" w:hAnsi="Times New Roman"/>
          <w:color w:val="000000"/>
          <w:sz w:val="20"/>
          <w:szCs w:val="20"/>
        </w:rPr>
        <w:t>o income in subsequent periods.</w:t>
      </w:r>
    </w:p>
    <w:p w14:paraId="0B2FB997" w14:textId="77777777" w:rsidR="007F1775" w:rsidRDefault="007F1775">
      <w:pPr>
        <w:ind w:firstLine="540"/>
        <w:jc w:val="both"/>
      </w:pPr>
    </w:p>
    <w:p w14:paraId="0B2FB998" w14:textId="77777777" w:rsidR="007F1775" w:rsidRDefault="000F083E">
      <w:pPr>
        <w:ind w:firstLine="540"/>
        <w:jc w:val="both"/>
      </w:pPr>
      <w:r>
        <w:rPr>
          <w:rFonts w:ascii="Times New Roman" w:eastAsia="宋体" w:hAnsi="Times New Roman"/>
          <w:color w:val="000000"/>
          <w:sz w:val="20"/>
          <w:szCs w:val="20"/>
        </w:rPr>
        <w:t>See Note 12 — Income Taxes in the notes to the condensed consolidated financial statements included in Part I, Item 1, of this Quarterly Report on Form 10-Q for additional information regarding income tax contingencies.</w:t>
      </w:r>
    </w:p>
    <w:p w14:paraId="0B2FB999" w14:textId="77777777" w:rsidR="007F1775" w:rsidRDefault="000F083E">
      <w:pPr>
        <w:jc w:val="center"/>
      </w:pPr>
      <w:r>
        <w:rPr>
          <w:rFonts w:ascii="Times New Roman" w:eastAsia="宋体" w:hAnsi="Times New Roman"/>
          <w:color w:val="000000"/>
          <w:sz w:val="20"/>
          <w:szCs w:val="20"/>
        </w:rPr>
        <w:t>42</w:t>
      </w:r>
    </w:p>
    <w:p w14:paraId="0B2FB99A" w14:textId="77777777" w:rsidR="007F1775" w:rsidRDefault="000F083E">
      <w:r>
        <w:pict w14:anchorId="0B2FBFB7">
          <v:rect id="_x0000_i1066" style="width:415.3pt;height:1.5pt" o:hralign="center" o:hrstd="t" o:hr="t" fillcolor="#a0a0a0" stroked="f"/>
        </w:pict>
      </w:r>
    </w:p>
    <w:p w14:paraId="0B2FB99B" w14:textId="77777777" w:rsidR="007F1775" w:rsidRDefault="007F1775"/>
    <w:p w14:paraId="0B2FB99C" w14:textId="77777777" w:rsidR="007F1775" w:rsidRDefault="007F1775"/>
    <w:p w14:paraId="0B2FB99D" w14:textId="77777777" w:rsidR="007F1775" w:rsidRDefault="000F083E">
      <w:hyperlink r:id="rId120" w:anchor="iea70e328caa94cefb76a9db6ed6338fc_7" w:history="1">
        <w:r>
          <w:rPr>
            <w:rStyle w:val="a5"/>
            <w:rFonts w:ascii="Times New Roman" w:eastAsia="宋体" w:hAnsi="Times New Roman"/>
            <w:sz w:val="20"/>
            <w:szCs w:val="20"/>
          </w:rPr>
          <w:t>Table of Contents</w:t>
        </w:r>
      </w:hyperlink>
    </w:p>
    <w:p w14:paraId="0B2FB99E" w14:textId="77777777" w:rsidR="007F1775" w:rsidRDefault="000F083E">
      <w:r>
        <w:rPr>
          <w:rFonts w:ascii="Times New Roman" w:eastAsia="宋体" w:hAnsi="Times New Roman"/>
          <w:b/>
          <w:bCs/>
          <w:color w:val="000000"/>
          <w:sz w:val="20"/>
          <w:szCs w:val="20"/>
        </w:rPr>
        <w:t>Liquidity and Capital Resources</w:t>
      </w:r>
    </w:p>
    <w:p w14:paraId="0B2FB99F" w14:textId="77777777" w:rsidR="007F1775" w:rsidRDefault="007F1775"/>
    <w:p w14:paraId="0B2FB9A0" w14:textId="77777777" w:rsidR="007F1775" w:rsidRDefault="000F083E">
      <w:pPr>
        <w:ind w:firstLine="540"/>
        <w:jc w:val="both"/>
      </w:pPr>
      <w:r>
        <w:rPr>
          <w:rFonts w:ascii="Times New Roman" w:eastAsia="宋体" w:hAnsi="Times New Roman"/>
          <w:color w:val="000000"/>
          <w:sz w:val="20"/>
          <w:szCs w:val="20"/>
        </w:rPr>
        <w:t xml:space="preserve">Our principal sources of liquidity are our cash </w:t>
      </w:r>
      <w:r>
        <w:rPr>
          <w:rFonts w:ascii="Times New Roman" w:eastAsia="宋体" w:hAnsi="Times New Roman"/>
          <w:color w:val="000000"/>
          <w:sz w:val="20"/>
          <w:szCs w:val="20"/>
        </w:rPr>
        <w:t>and cash equivalents, marketable securities, and cash generated from operations. Cash and cash equivalents and marketable securities consist mostly of cash on deposit with banks, investments in money market funds, investments in U.S. government securities,</w:t>
      </w:r>
      <w:r>
        <w:rPr>
          <w:rFonts w:ascii="Times New Roman" w:eastAsia="宋体" w:hAnsi="Times New Roman"/>
          <w:color w:val="000000"/>
          <w:sz w:val="20"/>
          <w:szCs w:val="20"/>
        </w:rPr>
        <w:t xml:space="preserve"> U.S. government agency securities, and investment grade corporate debt securities. Cash and cash equivalents and marketable securities were $43.89 billion as of March 31, 2022, a decrease of $4.11 billion from December 31, 2021. The majority of the decrea</w:t>
      </w:r>
      <w:r>
        <w:rPr>
          <w:rFonts w:ascii="Times New Roman" w:eastAsia="宋体" w:hAnsi="Times New Roman"/>
          <w:color w:val="000000"/>
          <w:sz w:val="20"/>
          <w:szCs w:val="20"/>
        </w:rPr>
        <w:t>se was due to $9.51 billion for repurchases of our Class A common stock, $5.55 billion for capital expenditures, including principal payments on finance leases, $925 million of taxes paid related to net share settlement of employee restricted stock unit (R</w:t>
      </w:r>
      <w:r>
        <w:rPr>
          <w:rFonts w:ascii="Times New Roman" w:eastAsia="宋体" w:hAnsi="Times New Roman"/>
          <w:color w:val="000000"/>
          <w:sz w:val="20"/>
          <w:szCs w:val="20"/>
        </w:rPr>
        <w:t xml:space="preserve">SU) awards, and $853 million for acquisitions of businesses and intangible assets, partially offset by $14.08 billion of cash generated from operations. </w:t>
      </w:r>
    </w:p>
    <w:p w14:paraId="0B2FB9A1" w14:textId="77777777" w:rsidR="007F1775" w:rsidRDefault="007F1775">
      <w:pPr>
        <w:ind w:firstLine="540"/>
        <w:jc w:val="both"/>
      </w:pPr>
    </w:p>
    <w:p w14:paraId="0B2FB9A2" w14:textId="77777777" w:rsidR="007F1775" w:rsidRDefault="000F083E">
      <w:pPr>
        <w:ind w:firstLine="540"/>
        <w:jc w:val="both"/>
      </w:pPr>
      <w:r>
        <w:rPr>
          <w:rFonts w:ascii="Times New Roman" w:eastAsia="宋体" w:hAnsi="Times New Roman"/>
          <w:color w:val="000000"/>
          <w:sz w:val="20"/>
          <w:szCs w:val="20"/>
        </w:rPr>
        <w:t>Cash paid for income taxes was $502 million during the three months ended March 31, 2022. As of March</w:t>
      </w:r>
      <w:r>
        <w:rPr>
          <w:rFonts w:ascii="Times New Roman" w:eastAsia="宋体" w:hAnsi="Times New Roman"/>
          <w:color w:val="000000"/>
          <w:sz w:val="20"/>
          <w:szCs w:val="20"/>
        </w:rPr>
        <w:t xml:space="preserve"> 31, 2022, our federal net operating loss carryforward was $8.19 billion and our federal tax credit carryforward was $460 million. We anticipate the utilization of a significant portion of these net operating losses and credits within two years. </w:t>
      </w:r>
    </w:p>
    <w:p w14:paraId="0B2FB9A3" w14:textId="77777777" w:rsidR="007F1775" w:rsidRDefault="007F1775">
      <w:pPr>
        <w:ind w:firstLine="540"/>
        <w:jc w:val="both"/>
      </w:pPr>
    </w:p>
    <w:p w14:paraId="0B2FB9A4" w14:textId="77777777" w:rsidR="007F1775" w:rsidRDefault="000F083E">
      <w:pPr>
        <w:ind w:firstLine="540"/>
        <w:jc w:val="both"/>
      </w:pPr>
      <w:r>
        <w:rPr>
          <w:rFonts w:ascii="Times New Roman" w:eastAsia="宋体" w:hAnsi="Times New Roman"/>
          <w:color w:val="000000"/>
          <w:sz w:val="20"/>
          <w:szCs w:val="20"/>
        </w:rPr>
        <w:t>Our boar</w:t>
      </w:r>
      <w:r>
        <w:rPr>
          <w:rFonts w:ascii="Times New Roman" w:eastAsia="宋体" w:hAnsi="Times New Roman"/>
          <w:color w:val="000000"/>
          <w:sz w:val="20"/>
          <w:szCs w:val="20"/>
        </w:rPr>
        <w:t>d of directors has authorized a share repurchase program of our Class A common stock, which commenced in January 2017 and does not have an expiration date. As of December 31, 2021, $38.79 billion remained available and authorized for repurchases under this</w:t>
      </w:r>
      <w:r>
        <w:rPr>
          <w:rFonts w:ascii="Times New Roman" w:eastAsia="宋体" w:hAnsi="Times New Roman"/>
          <w:color w:val="000000"/>
          <w:sz w:val="20"/>
          <w:szCs w:val="20"/>
        </w:rPr>
        <w:t xml:space="preserve"> program. During the three months ended March 31, 2022, we repurchased and subsequently retired 34 million shares of our Class A common stock for an aggregate amount of $9.39 billion. As of March 31, 2022, $29.41 billion remained available and authorized f</w:t>
      </w:r>
      <w:r>
        <w:rPr>
          <w:rFonts w:ascii="Times New Roman" w:eastAsia="宋体" w:hAnsi="Times New Roman"/>
          <w:color w:val="000000"/>
          <w:sz w:val="20"/>
          <w:szCs w:val="20"/>
        </w:rPr>
        <w:t xml:space="preserve">or repurchases. </w:t>
      </w:r>
    </w:p>
    <w:p w14:paraId="0B2FB9A5" w14:textId="77777777" w:rsidR="007F1775" w:rsidRDefault="007F1775">
      <w:pPr>
        <w:ind w:firstLine="540"/>
        <w:jc w:val="both"/>
      </w:pPr>
    </w:p>
    <w:p w14:paraId="0B2FB9A6" w14:textId="77777777" w:rsidR="007F1775" w:rsidRDefault="000F083E">
      <w:pPr>
        <w:ind w:firstLine="540"/>
        <w:jc w:val="both"/>
      </w:pPr>
      <w:r>
        <w:rPr>
          <w:rFonts w:ascii="Times New Roman" w:eastAsia="宋体" w:hAnsi="Times New Roman"/>
          <w:color w:val="000000"/>
          <w:sz w:val="20"/>
          <w:szCs w:val="20"/>
        </w:rPr>
        <w:t>The following table presents our cash flows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931"/>
        <w:gridCol w:w="36"/>
        <w:gridCol w:w="120"/>
        <w:gridCol w:w="936"/>
        <w:gridCol w:w="36"/>
        <w:gridCol w:w="36"/>
        <w:gridCol w:w="36"/>
        <w:gridCol w:w="36"/>
        <w:gridCol w:w="120"/>
        <w:gridCol w:w="902"/>
        <w:gridCol w:w="36"/>
        <w:gridCol w:w="36"/>
        <w:gridCol w:w="36"/>
      </w:tblGrid>
      <w:tr w:rsidR="007F1775" w14:paraId="0B2FB9B5" w14:textId="77777777">
        <w:tc>
          <w:tcPr>
            <w:tcW w:w="50" w:type="pct"/>
            <w:shd w:val="clear" w:color="auto" w:fill="auto"/>
            <w:vAlign w:val="bottom"/>
          </w:tcPr>
          <w:p w14:paraId="0B2FB9A7" w14:textId="77777777" w:rsidR="007F1775" w:rsidRDefault="007F1775">
            <w:pPr>
              <w:rPr>
                <w:rFonts w:ascii="宋体"/>
              </w:rPr>
            </w:pPr>
          </w:p>
        </w:tc>
        <w:tc>
          <w:tcPr>
            <w:tcW w:w="3613" w:type="pct"/>
            <w:shd w:val="clear" w:color="auto" w:fill="auto"/>
            <w:vAlign w:val="bottom"/>
          </w:tcPr>
          <w:p w14:paraId="0B2FB9A8" w14:textId="77777777" w:rsidR="007F1775" w:rsidRDefault="007F1775">
            <w:pPr>
              <w:rPr>
                <w:rFonts w:ascii="宋体"/>
              </w:rPr>
            </w:pPr>
          </w:p>
        </w:tc>
        <w:tc>
          <w:tcPr>
            <w:tcW w:w="5" w:type="pct"/>
            <w:shd w:val="clear" w:color="auto" w:fill="auto"/>
            <w:vAlign w:val="bottom"/>
          </w:tcPr>
          <w:p w14:paraId="0B2FB9A9" w14:textId="77777777" w:rsidR="007F1775" w:rsidRDefault="007F1775">
            <w:pPr>
              <w:rPr>
                <w:rFonts w:ascii="宋体"/>
              </w:rPr>
            </w:pPr>
          </w:p>
        </w:tc>
        <w:tc>
          <w:tcPr>
            <w:tcW w:w="50" w:type="pct"/>
            <w:shd w:val="clear" w:color="auto" w:fill="auto"/>
            <w:vAlign w:val="bottom"/>
          </w:tcPr>
          <w:p w14:paraId="0B2FB9AA" w14:textId="77777777" w:rsidR="007F1775" w:rsidRDefault="007F1775">
            <w:pPr>
              <w:rPr>
                <w:rFonts w:ascii="宋体"/>
              </w:rPr>
            </w:pPr>
          </w:p>
        </w:tc>
        <w:tc>
          <w:tcPr>
            <w:tcW w:w="592" w:type="pct"/>
            <w:shd w:val="clear" w:color="auto" w:fill="auto"/>
            <w:vAlign w:val="bottom"/>
          </w:tcPr>
          <w:p w14:paraId="0B2FB9AB" w14:textId="77777777" w:rsidR="007F1775" w:rsidRDefault="007F1775">
            <w:pPr>
              <w:rPr>
                <w:rFonts w:ascii="宋体"/>
              </w:rPr>
            </w:pPr>
          </w:p>
        </w:tc>
        <w:tc>
          <w:tcPr>
            <w:tcW w:w="5" w:type="pct"/>
            <w:shd w:val="clear" w:color="auto" w:fill="auto"/>
            <w:vAlign w:val="bottom"/>
          </w:tcPr>
          <w:p w14:paraId="0B2FB9AC" w14:textId="77777777" w:rsidR="007F1775" w:rsidRDefault="007F1775">
            <w:pPr>
              <w:rPr>
                <w:rFonts w:ascii="宋体"/>
              </w:rPr>
            </w:pPr>
          </w:p>
        </w:tc>
        <w:tc>
          <w:tcPr>
            <w:tcW w:w="5" w:type="pct"/>
            <w:shd w:val="clear" w:color="auto" w:fill="auto"/>
            <w:vAlign w:val="bottom"/>
          </w:tcPr>
          <w:p w14:paraId="0B2FB9AD" w14:textId="77777777" w:rsidR="007F1775" w:rsidRDefault="007F1775">
            <w:pPr>
              <w:rPr>
                <w:rFonts w:ascii="宋体"/>
              </w:rPr>
            </w:pPr>
          </w:p>
        </w:tc>
        <w:tc>
          <w:tcPr>
            <w:tcW w:w="27" w:type="pct"/>
            <w:shd w:val="clear" w:color="auto" w:fill="auto"/>
            <w:vAlign w:val="bottom"/>
          </w:tcPr>
          <w:p w14:paraId="0B2FB9AE" w14:textId="77777777" w:rsidR="007F1775" w:rsidRDefault="007F1775">
            <w:pPr>
              <w:rPr>
                <w:rFonts w:ascii="宋体"/>
              </w:rPr>
            </w:pPr>
          </w:p>
        </w:tc>
        <w:tc>
          <w:tcPr>
            <w:tcW w:w="5" w:type="pct"/>
            <w:shd w:val="clear" w:color="auto" w:fill="auto"/>
            <w:vAlign w:val="bottom"/>
          </w:tcPr>
          <w:p w14:paraId="0B2FB9AF" w14:textId="77777777" w:rsidR="007F1775" w:rsidRDefault="007F1775">
            <w:pPr>
              <w:rPr>
                <w:rFonts w:ascii="宋体"/>
              </w:rPr>
            </w:pPr>
          </w:p>
        </w:tc>
        <w:tc>
          <w:tcPr>
            <w:tcW w:w="50" w:type="pct"/>
            <w:shd w:val="clear" w:color="auto" w:fill="auto"/>
            <w:vAlign w:val="bottom"/>
          </w:tcPr>
          <w:p w14:paraId="0B2FB9B0" w14:textId="77777777" w:rsidR="007F1775" w:rsidRDefault="007F1775">
            <w:pPr>
              <w:rPr>
                <w:rFonts w:ascii="宋体"/>
              </w:rPr>
            </w:pPr>
          </w:p>
        </w:tc>
        <w:tc>
          <w:tcPr>
            <w:tcW w:w="592" w:type="pct"/>
            <w:shd w:val="clear" w:color="auto" w:fill="auto"/>
            <w:vAlign w:val="bottom"/>
          </w:tcPr>
          <w:p w14:paraId="0B2FB9B1" w14:textId="77777777" w:rsidR="007F1775" w:rsidRDefault="007F1775">
            <w:pPr>
              <w:rPr>
                <w:rFonts w:ascii="宋体"/>
              </w:rPr>
            </w:pPr>
          </w:p>
        </w:tc>
        <w:tc>
          <w:tcPr>
            <w:tcW w:w="5" w:type="pct"/>
            <w:shd w:val="clear" w:color="auto" w:fill="auto"/>
            <w:vAlign w:val="bottom"/>
          </w:tcPr>
          <w:p w14:paraId="0B2FB9B2" w14:textId="77777777" w:rsidR="007F1775" w:rsidRDefault="007F1775">
            <w:pPr>
              <w:rPr>
                <w:rFonts w:ascii="宋体"/>
              </w:rPr>
            </w:pPr>
          </w:p>
        </w:tc>
        <w:tc>
          <w:tcPr>
            <w:tcW w:w="0" w:type="auto"/>
            <w:shd w:val="clear" w:color="auto" w:fill="auto"/>
            <w:vAlign w:val="bottom"/>
          </w:tcPr>
          <w:p w14:paraId="0B2FB9B3" w14:textId="77777777" w:rsidR="007F1775" w:rsidRDefault="007F1775">
            <w:pPr>
              <w:rPr>
                <w:rFonts w:ascii="宋体"/>
                <w:vanish/>
              </w:rPr>
            </w:pPr>
          </w:p>
        </w:tc>
        <w:tc>
          <w:tcPr>
            <w:tcW w:w="0" w:type="auto"/>
            <w:shd w:val="clear" w:color="auto" w:fill="auto"/>
            <w:vAlign w:val="bottom"/>
          </w:tcPr>
          <w:p w14:paraId="0B2FB9B4" w14:textId="77777777" w:rsidR="007F1775" w:rsidRDefault="007F1775">
            <w:pPr>
              <w:rPr>
                <w:rFonts w:ascii="宋体"/>
                <w:vanish/>
              </w:rPr>
            </w:pPr>
          </w:p>
        </w:tc>
      </w:tr>
      <w:tr w:rsidR="007F1775" w14:paraId="0B2FB9BA" w14:textId="77777777">
        <w:tc>
          <w:tcPr>
            <w:tcW w:w="0" w:type="auto"/>
            <w:gridSpan w:val="3"/>
            <w:shd w:val="clear" w:color="auto" w:fill="auto"/>
            <w:tcMar>
              <w:top w:w="0" w:type="dxa"/>
              <w:left w:w="20" w:type="dxa"/>
              <w:bottom w:w="0" w:type="dxa"/>
              <w:right w:w="20" w:type="dxa"/>
            </w:tcMar>
            <w:vAlign w:val="bottom"/>
          </w:tcPr>
          <w:p w14:paraId="0B2FB9B6" w14:textId="77777777" w:rsidR="007F1775" w:rsidRDefault="007F1775">
            <w:pPr>
              <w:rPr>
                <w:rFonts w:ascii="宋体"/>
              </w:rPr>
            </w:pPr>
          </w:p>
        </w:tc>
        <w:tc>
          <w:tcPr>
            <w:tcW w:w="0" w:type="auto"/>
            <w:gridSpan w:val="9"/>
            <w:shd w:val="clear" w:color="auto" w:fill="auto"/>
            <w:tcMar>
              <w:top w:w="40" w:type="dxa"/>
              <w:left w:w="20" w:type="dxa"/>
              <w:bottom w:w="40" w:type="dxa"/>
              <w:right w:w="20" w:type="dxa"/>
            </w:tcMar>
            <w:vAlign w:val="bottom"/>
          </w:tcPr>
          <w:p w14:paraId="0B2FB9B7" w14:textId="77777777" w:rsidR="007F1775" w:rsidRDefault="000F083E">
            <w:pPr>
              <w:jc w:val="center"/>
              <w:textAlignment w:val="bottom"/>
            </w:pPr>
            <w:r>
              <w:rPr>
                <w:rFonts w:ascii="Times New Roman" w:eastAsia="宋体" w:hAnsi="Times New Roman"/>
                <w:b/>
                <w:bCs/>
                <w:color w:val="000000"/>
                <w:sz w:val="16"/>
                <w:szCs w:val="16"/>
              </w:rPr>
              <w:t>Three Months Ended March 31,</w:t>
            </w:r>
          </w:p>
        </w:tc>
        <w:tc>
          <w:tcPr>
            <w:tcW w:w="0" w:type="auto"/>
            <w:shd w:val="clear" w:color="auto" w:fill="auto"/>
            <w:vAlign w:val="bottom"/>
          </w:tcPr>
          <w:p w14:paraId="0B2FB9B8" w14:textId="77777777" w:rsidR="007F1775" w:rsidRDefault="007F1775">
            <w:pPr>
              <w:rPr>
                <w:rFonts w:ascii="宋体"/>
                <w:vanish/>
              </w:rPr>
            </w:pPr>
          </w:p>
        </w:tc>
        <w:tc>
          <w:tcPr>
            <w:tcW w:w="0" w:type="auto"/>
            <w:shd w:val="clear" w:color="auto" w:fill="auto"/>
            <w:vAlign w:val="bottom"/>
          </w:tcPr>
          <w:p w14:paraId="0B2FB9B9" w14:textId="77777777" w:rsidR="007F1775" w:rsidRDefault="007F1775">
            <w:pPr>
              <w:rPr>
                <w:rFonts w:ascii="宋体"/>
                <w:vanish/>
              </w:rPr>
            </w:pPr>
          </w:p>
        </w:tc>
      </w:tr>
      <w:tr w:rsidR="007F1775" w14:paraId="0B2FB9C1" w14:textId="77777777">
        <w:tc>
          <w:tcPr>
            <w:tcW w:w="0" w:type="auto"/>
            <w:gridSpan w:val="3"/>
            <w:shd w:val="clear" w:color="auto" w:fill="auto"/>
            <w:tcMar>
              <w:top w:w="0" w:type="dxa"/>
              <w:left w:w="20" w:type="dxa"/>
              <w:bottom w:w="0" w:type="dxa"/>
              <w:right w:w="20" w:type="dxa"/>
            </w:tcMar>
            <w:vAlign w:val="bottom"/>
          </w:tcPr>
          <w:p w14:paraId="0B2FB9BB"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9BC" w14:textId="77777777" w:rsidR="007F1775" w:rsidRDefault="000F083E">
            <w:pPr>
              <w:jc w:val="center"/>
              <w:textAlignment w:val="bottom"/>
            </w:pPr>
            <w:r>
              <w:rPr>
                <w:rFonts w:ascii="Times New Roman" w:eastAsia="宋体" w:hAnsi="Times New Roman"/>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9BD"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9BE" w14:textId="77777777" w:rsidR="007F1775" w:rsidRDefault="000F083E">
            <w:pPr>
              <w:jc w:val="center"/>
              <w:textAlignment w:val="bottom"/>
            </w:pPr>
            <w:r>
              <w:rPr>
                <w:rFonts w:ascii="Times New Roman" w:eastAsia="宋体" w:hAnsi="Times New Roman"/>
                <w:b/>
                <w:bCs/>
                <w:color w:val="000000"/>
                <w:sz w:val="16"/>
                <w:szCs w:val="16"/>
              </w:rPr>
              <w:t>2021</w:t>
            </w:r>
          </w:p>
        </w:tc>
        <w:tc>
          <w:tcPr>
            <w:tcW w:w="0" w:type="auto"/>
            <w:shd w:val="clear" w:color="auto" w:fill="auto"/>
            <w:vAlign w:val="bottom"/>
          </w:tcPr>
          <w:p w14:paraId="0B2FB9BF" w14:textId="77777777" w:rsidR="007F1775" w:rsidRDefault="007F1775">
            <w:pPr>
              <w:rPr>
                <w:rFonts w:ascii="宋体"/>
                <w:vanish/>
              </w:rPr>
            </w:pPr>
          </w:p>
        </w:tc>
        <w:tc>
          <w:tcPr>
            <w:tcW w:w="0" w:type="auto"/>
            <w:shd w:val="clear" w:color="auto" w:fill="auto"/>
            <w:vAlign w:val="bottom"/>
          </w:tcPr>
          <w:p w14:paraId="0B2FB9C0" w14:textId="77777777" w:rsidR="007F1775" w:rsidRDefault="007F1775">
            <w:pPr>
              <w:rPr>
                <w:rFonts w:ascii="宋体"/>
                <w:vanish/>
              </w:rPr>
            </w:pPr>
          </w:p>
        </w:tc>
      </w:tr>
      <w:tr w:rsidR="007F1775" w14:paraId="0B2FB9CC" w14:textId="77777777">
        <w:tc>
          <w:tcPr>
            <w:tcW w:w="0" w:type="auto"/>
            <w:gridSpan w:val="3"/>
            <w:shd w:val="clear" w:color="auto" w:fill="CCEEFF"/>
            <w:tcMar>
              <w:top w:w="40" w:type="dxa"/>
              <w:left w:w="20" w:type="dxa"/>
              <w:bottom w:w="40" w:type="dxa"/>
              <w:right w:w="20" w:type="dxa"/>
            </w:tcMar>
            <w:vAlign w:val="bottom"/>
          </w:tcPr>
          <w:p w14:paraId="0B2FB9C2" w14:textId="77777777" w:rsidR="007F1775" w:rsidRDefault="000F083E">
            <w:pPr>
              <w:textAlignment w:val="bottom"/>
            </w:pPr>
            <w:r>
              <w:rPr>
                <w:rFonts w:ascii="Times New Roman" w:eastAsia="宋体" w:hAnsi="Times New Roman"/>
                <w:color w:val="000000"/>
                <w:sz w:val="20"/>
                <w:szCs w:val="20"/>
              </w:rPr>
              <w:t>Net cash provided by operating activities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0B2FB9C3"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B9C4" w14:textId="77777777" w:rsidR="007F1775" w:rsidRDefault="000F083E">
            <w:pPr>
              <w:jc w:val="right"/>
              <w:textAlignment w:val="bottom"/>
            </w:pPr>
            <w:r>
              <w:rPr>
                <w:rFonts w:ascii="Times New Roman" w:eastAsia="宋体" w:hAnsi="Times New Roman"/>
                <w:color w:val="000000"/>
                <w:sz w:val="20"/>
                <w:szCs w:val="20"/>
              </w:rPr>
              <w:t>14,076 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9C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9C6" w14:textId="77777777" w:rsidR="007F1775" w:rsidRDefault="007F1775">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B2FB9C7" w14:textId="77777777" w:rsidR="007F1775" w:rsidRDefault="000F083E">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B2FB9C8" w14:textId="77777777" w:rsidR="007F1775" w:rsidRDefault="000F083E">
            <w:pPr>
              <w:jc w:val="right"/>
              <w:textAlignment w:val="bottom"/>
            </w:pPr>
            <w:r>
              <w:rPr>
                <w:rFonts w:ascii="Times New Roman" w:eastAsia="宋体" w:hAnsi="Times New Roman"/>
                <w:color w:val="000000"/>
                <w:sz w:val="20"/>
                <w:szCs w:val="20"/>
              </w:rPr>
              <w:t>12,242 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0B2FB9C9" w14:textId="77777777" w:rsidR="007F1775" w:rsidRDefault="007F1775">
            <w:pPr>
              <w:jc w:val="right"/>
              <w:rPr>
                <w:rFonts w:ascii="宋体"/>
              </w:rPr>
            </w:pPr>
          </w:p>
        </w:tc>
        <w:tc>
          <w:tcPr>
            <w:tcW w:w="0" w:type="auto"/>
            <w:shd w:val="clear" w:color="auto" w:fill="auto"/>
            <w:vAlign w:val="bottom"/>
          </w:tcPr>
          <w:p w14:paraId="0B2FB9CA" w14:textId="77777777" w:rsidR="007F1775" w:rsidRDefault="007F1775">
            <w:pPr>
              <w:rPr>
                <w:rFonts w:ascii="宋体"/>
                <w:vanish/>
              </w:rPr>
            </w:pPr>
          </w:p>
        </w:tc>
        <w:tc>
          <w:tcPr>
            <w:tcW w:w="0" w:type="auto"/>
            <w:shd w:val="clear" w:color="auto" w:fill="auto"/>
            <w:vAlign w:val="bottom"/>
          </w:tcPr>
          <w:p w14:paraId="0B2FB9CB" w14:textId="77777777" w:rsidR="007F1775" w:rsidRDefault="007F1775">
            <w:pPr>
              <w:rPr>
                <w:rFonts w:ascii="宋体"/>
                <w:vanish/>
              </w:rPr>
            </w:pPr>
          </w:p>
        </w:tc>
      </w:tr>
      <w:tr w:rsidR="007F1775" w14:paraId="0B2FB9D7" w14:textId="77777777">
        <w:tc>
          <w:tcPr>
            <w:tcW w:w="0" w:type="auto"/>
            <w:gridSpan w:val="3"/>
            <w:shd w:val="clear" w:color="auto" w:fill="FFFFFF"/>
            <w:tcMar>
              <w:top w:w="40" w:type="dxa"/>
              <w:left w:w="20" w:type="dxa"/>
              <w:bottom w:w="40" w:type="dxa"/>
              <w:right w:w="20" w:type="dxa"/>
            </w:tcMar>
            <w:vAlign w:val="bottom"/>
          </w:tcPr>
          <w:p w14:paraId="0B2FB9CD" w14:textId="77777777" w:rsidR="007F1775" w:rsidRDefault="000F083E">
            <w:pPr>
              <w:textAlignment w:val="bottom"/>
            </w:pPr>
            <w:r>
              <w:rPr>
                <w:rFonts w:ascii="Times New Roman" w:eastAsia="宋体" w:hAnsi="Times New Roman"/>
                <w:color w:val="000000"/>
                <w:sz w:val="20"/>
                <w:szCs w:val="20"/>
              </w:rPr>
              <w:t>Net cash used in investing activities</w:t>
            </w:r>
          </w:p>
        </w:tc>
        <w:tc>
          <w:tcPr>
            <w:tcW w:w="0" w:type="auto"/>
            <w:shd w:val="clear" w:color="auto" w:fill="FFFFFF"/>
            <w:tcMar>
              <w:top w:w="40" w:type="dxa"/>
              <w:left w:w="20" w:type="dxa"/>
              <w:bottom w:w="40" w:type="dxa"/>
              <w:right w:w="0" w:type="dxa"/>
            </w:tcMar>
            <w:vAlign w:val="bottom"/>
          </w:tcPr>
          <w:p w14:paraId="0B2FB9CE"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B9CF" w14:textId="77777777" w:rsidR="007F1775" w:rsidRDefault="000F083E">
            <w:pPr>
              <w:jc w:val="right"/>
              <w:textAlignment w:val="bottom"/>
            </w:pPr>
            <w:r>
              <w:rPr>
                <w:rFonts w:ascii="Times New Roman" w:eastAsia="宋体" w:hAnsi="Times New Roman"/>
                <w:color w:val="000000"/>
                <w:sz w:val="20"/>
                <w:szCs w:val="20"/>
              </w:rPr>
              <w:t>(4,779)</w:t>
            </w:r>
          </w:p>
        </w:tc>
        <w:tc>
          <w:tcPr>
            <w:tcW w:w="0" w:type="auto"/>
            <w:shd w:val="clear" w:color="auto" w:fill="FFFFFF"/>
            <w:tcMar>
              <w:top w:w="40" w:type="dxa"/>
              <w:left w:w="0" w:type="dxa"/>
              <w:bottom w:w="40" w:type="dxa"/>
              <w:right w:w="20" w:type="dxa"/>
            </w:tcMar>
            <w:vAlign w:val="bottom"/>
          </w:tcPr>
          <w:p w14:paraId="0B2FB9D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9D1"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B9D2"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B9D3" w14:textId="77777777" w:rsidR="007F1775" w:rsidRDefault="000F083E">
            <w:pPr>
              <w:jc w:val="right"/>
              <w:textAlignment w:val="bottom"/>
            </w:pPr>
            <w:r>
              <w:rPr>
                <w:rFonts w:ascii="Times New Roman" w:eastAsia="宋体" w:hAnsi="Times New Roman"/>
                <w:color w:val="000000"/>
                <w:sz w:val="20"/>
                <w:szCs w:val="20"/>
              </w:rPr>
              <w:t>(4,874)</w:t>
            </w:r>
          </w:p>
        </w:tc>
        <w:tc>
          <w:tcPr>
            <w:tcW w:w="0" w:type="auto"/>
            <w:shd w:val="clear" w:color="auto" w:fill="FFFFFF"/>
            <w:tcMar>
              <w:top w:w="40" w:type="dxa"/>
              <w:left w:w="0" w:type="dxa"/>
              <w:bottom w:w="40" w:type="dxa"/>
              <w:right w:w="20" w:type="dxa"/>
            </w:tcMar>
            <w:vAlign w:val="bottom"/>
          </w:tcPr>
          <w:p w14:paraId="0B2FB9D4" w14:textId="77777777" w:rsidR="007F1775" w:rsidRDefault="007F1775">
            <w:pPr>
              <w:jc w:val="right"/>
              <w:rPr>
                <w:rFonts w:ascii="宋体"/>
              </w:rPr>
            </w:pPr>
          </w:p>
        </w:tc>
        <w:tc>
          <w:tcPr>
            <w:tcW w:w="0" w:type="auto"/>
            <w:shd w:val="clear" w:color="auto" w:fill="auto"/>
            <w:vAlign w:val="bottom"/>
          </w:tcPr>
          <w:p w14:paraId="0B2FB9D5" w14:textId="77777777" w:rsidR="007F1775" w:rsidRDefault="007F1775">
            <w:pPr>
              <w:rPr>
                <w:rFonts w:ascii="宋体"/>
                <w:vanish/>
              </w:rPr>
            </w:pPr>
          </w:p>
        </w:tc>
        <w:tc>
          <w:tcPr>
            <w:tcW w:w="0" w:type="auto"/>
            <w:shd w:val="clear" w:color="auto" w:fill="auto"/>
            <w:vAlign w:val="bottom"/>
          </w:tcPr>
          <w:p w14:paraId="0B2FB9D6" w14:textId="77777777" w:rsidR="007F1775" w:rsidRDefault="007F1775">
            <w:pPr>
              <w:rPr>
                <w:rFonts w:ascii="宋体"/>
                <w:vanish/>
              </w:rPr>
            </w:pPr>
          </w:p>
        </w:tc>
      </w:tr>
      <w:tr w:rsidR="007F1775" w14:paraId="0B2FB9E2" w14:textId="77777777">
        <w:tc>
          <w:tcPr>
            <w:tcW w:w="0" w:type="auto"/>
            <w:gridSpan w:val="3"/>
            <w:shd w:val="clear" w:color="auto" w:fill="CCEEFF"/>
            <w:tcMar>
              <w:top w:w="40" w:type="dxa"/>
              <w:left w:w="20" w:type="dxa"/>
              <w:bottom w:w="40" w:type="dxa"/>
              <w:right w:w="20" w:type="dxa"/>
            </w:tcMar>
            <w:vAlign w:val="bottom"/>
          </w:tcPr>
          <w:p w14:paraId="0B2FB9D8" w14:textId="77777777" w:rsidR="007F1775" w:rsidRDefault="000F083E">
            <w:pPr>
              <w:textAlignment w:val="bottom"/>
            </w:pPr>
            <w:r>
              <w:rPr>
                <w:rFonts w:ascii="Times New Roman" w:eastAsia="宋体" w:hAnsi="Times New Roman"/>
                <w:color w:val="000000"/>
                <w:sz w:val="20"/>
                <w:szCs w:val="20"/>
              </w:rPr>
              <w:t>Net cash used in financing activities</w:t>
            </w:r>
          </w:p>
        </w:tc>
        <w:tc>
          <w:tcPr>
            <w:tcW w:w="0" w:type="auto"/>
            <w:shd w:val="clear" w:color="auto" w:fill="CCEEFF"/>
            <w:tcMar>
              <w:top w:w="40" w:type="dxa"/>
              <w:left w:w="20" w:type="dxa"/>
              <w:bottom w:w="40" w:type="dxa"/>
              <w:right w:w="0" w:type="dxa"/>
            </w:tcMar>
            <w:vAlign w:val="bottom"/>
          </w:tcPr>
          <w:p w14:paraId="0B2FB9D9"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9DA" w14:textId="77777777" w:rsidR="007F1775" w:rsidRDefault="000F083E">
            <w:pPr>
              <w:jc w:val="right"/>
              <w:textAlignment w:val="bottom"/>
            </w:pPr>
            <w:r>
              <w:rPr>
                <w:rFonts w:ascii="Times New Roman" w:eastAsia="宋体" w:hAnsi="Times New Roman"/>
                <w:color w:val="000000"/>
                <w:sz w:val="20"/>
                <w:szCs w:val="20"/>
              </w:rPr>
              <w:t>(10,660)</w:t>
            </w:r>
          </w:p>
        </w:tc>
        <w:tc>
          <w:tcPr>
            <w:tcW w:w="0" w:type="auto"/>
            <w:shd w:val="clear" w:color="auto" w:fill="CCEEFF"/>
            <w:tcMar>
              <w:top w:w="40" w:type="dxa"/>
              <w:left w:w="0" w:type="dxa"/>
              <w:bottom w:w="40" w:type="dxa"/>
              <w:right w:w="20" w:type="dxa"/>
            </w:tcMar>
            <w:vAlign w:val="bottom"/>
          </w:tcPr>
          <w:p w14:paraId="0B2FB9DB"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9DC"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9DD"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9DE" w14:textId="77777777" w:rsidR="007F1775" w:rsidRDefault="000F083E">
            <w:pPr>
              <w:jc w:val="right"/>
              <w:textAlignment w:val="bottom"/>
            </w:pPr>
            <w:r>
              <w:rPr>
                <w:rFonts w:ascii="Times New Roman" w:eastAsia="宋体" w:hAnsi="Times New Roman"/>
                <w:color w:val="000000"/>
                <w:sz w:val="20"/>
                <w:szCs w:val="20"/>
              </w:rPr>
              <w:t>(5,185)</w:t>
            </w:r>
          </w:p>
        </w:tc>
        <w:tc>
          <w:tcPr>
            <w:tcW w:w="0" w:type="auto"/>
            <w:shd w:val="clear" w:color="auto" w:fill="CCEEFF"/>
            <w:tcMar>
              <w:top w:w="40" w:type="dxa"/>
              <w:left w:w="0" w:type="dxa"/>
              <w:bottom w:w="40" w:type="dxa"/>
              <w:right w:w="20" w:type="dxa"/>
            </w:tcMar>
            <w:vAlign w:val="bottom"/>
          </w:tcPr>
          <w:p w14:paraId="0B2FB9DF" w14:textId="77777777" w:rsidR="007F1775" w:rsidRDefault="007F1775">
            <w:pPr>
              <w:jc w:val="right"/>
              <w:rPr>
                <w:rFonts w:ascii="宋体"/>
              </w:rPr>
            </w:pPr>
          </w:p>
        </w:tc>
        <w:tc>
          <w:tcPr>
            <w:tcW w:w="0" w:type="auto"/>
            <w:shd w:val="clear" w:color="auto" w:fill="auto"/>
            <w:vAlign w:val="bottom"/>
          </w:tcPr>
          <w:p w14:paraId="0B2FB9E0" w14:textId="77777777" w:rsidR="007F1775" w:rsidRDefault="007F1775">
            <w:pPr>
              <w:rPr>
                <w:rFonts w:ascii="宋体"/>
                <w:vanish/>
              </w:rPr>
            </w:pPr>
          </w:p>
        </w:tc>
        <w:tc>
          <w:tcPr>
            <w:tcW w:w="0" w:type="auto"/>
            <w:shd w:val="clear" w:color="auto" w:fill="auto"/>
            <w:vAlign w:val="bottom"/>
          </w:tcPr>
          <w:p w14:paraId="0B2FB9E1" w14:textId="77777777" w:rsidR="007F1775" w:rsidRDefault="007F1775">
            <w:pPr>
              <w:rPr>
                <w:rFonts w:ascii="宋体"/>
                <w:vanish/>
              </w:rPr>
            </w:pPr>
          </w:p>
        </w:tc>
      </w:tr>
      <w:tr w:rsidR="007F1775" w14:paraId="0B2FB9E9" w14:textId="77777777">
        <w:trPr>
          <w:hidden/>
        </w:trPr>
        <w:tc>
          <w:tcPr>
            <w:tcW w:w="0" w:type="auto"/>
            <w:gridSpan w:val="3"/>
            <w:shd w:val="clear" w:color="auto" w:fill="auto"/>
            <w:vAlign w:val="bottom"/>
          </w:tcPr>
          <w:p w14:paraId="0B2FB9E3" w14:textId="77777777" w:rsidR="007F1775" w:rsidRDefault="007F1775">
            <w:pPr>
              <w:rPr>
                <w:rFonts w:ascii="宋体"/>
                <w:vanish/>
              </w:rPr>
            </w:pPr>
          </w:p>
        </w:tc>
        <w:tc>
          <w:tcPr>
            <w:tcW w:w="0" w:type="auto"/>
            <w:gridSpan w:val="3"/>
            <w:shd w:val="clear" w:color="auto" w:fill="auto"/>
            <w:vAlign w:val="bottom"/>
          </w:tcPr>
          <w:p w14:paraId="0B2FB9E4" w14:textId="77777777" w:rsidR="007F1775" w:rsidRDefault="007F1775">
            <w:pPr>
              <w:rPr>
                <w:rFonts w:ascii="宋体"/>
                <w:vanish/>
              </w:rPr>
            </w:pPr>
          </w:p>
        </w:tc>
        <w:tc>
          <w:tcPr>
            <w:tcW w:w="0" w:type="auto"/>
            <w:gridSpan w:val="3"/>
            <w:shd w:val="clear" w:color="auto" w:fill="auto"/>
            <w:vAlign w:val="bottom"/>
          </w:tcPr>
          <w:p w14:paraId="0B2FB9E5" w14:textId="77777777" w:rsidR="007F1775" w:rsidRDefault="007F1775">
            <w:pPr>
              <w:rPr>
                <w:rFonts w:ascii="宋体"/>
                <w:vanish/>
              </w:rPr>
            </w:pPr>
          </w:p>
        </w:tc>
        <w:tc>
          <w:tcPr>
            <w:tcW w:w="0" w:type="auto"/>
            <w:gridSpan w:val="3"/>
            <w:shd w:val="clear" w:color="auto" w:fill="auto"/>
            <w:vAlign w:val="bottom"/>
          </w:tcPr>
          <w:p w14:paraId="0B2FB9E6" w14:textId="77777777" w:rsidR="007F1775" w:rsidRDefault="007F1775">
            <w:pPr>
              <w:rPr>
                <w:rFonts w:ascii="宋体"/>
                <w:vanish/>
              </w:rPr>
            </w:pPr>
          </w:p>
        </w:tc>
        <w:tc>
          <w:tcPr>
            <w:tcW w:w="0" w:type="auto"/>
            <w:shd w:val="clear" w:color="auto" w:fill="auto"/>
            <w:vAlign w:val="bottom"/>
          </w:tcPr>
          <w:p w14:paraId="0B2FB9E7" w14:textId="77777777" w:rsidR="007F1775" w:rsidRDefault="007F1775">
            <w:pPr>
              <w:rPr>
                <w:rFonts w:ascii="宋体"/>
                <w:vanish/>
              </w:rPr>
            </w:pPr>
          </w:p>
        </w:tc>
        <w:tc>
          <w:tcPr>
            <w:tcW w:w="0" w:type="auto"/>
            <w:shd w:val="clear" w:color="auto" w:fill="auto"/>
            <w:vAlign w:val="bottom"/>
          </w:tcPr>
          <w:p w14:paraId="0B2FB9E8" w14:textId="77777777" w:rsidR="007F1775" w:rsidRDefault="007F1775">
            <w:pPr>
              <w:rPr>
                <w:rFonts w:ascii="宋体"/>
                <w:vanish/>
              </w:rPr>
            </w:pPr>
          </w:p>
        </w:tc>
      </w:tr>
      <w:tr w:rsidR="007F1775" w14:paraId="0B2FB9F0" w14:textId="77777777">
        <w:trPr>
          <w:hidden/>
        </w:trPr>
        <w:tc>
          <w:tcPr>
            <w:tcW w:w="0" w:type="auto"/>
            <w:gridSpan w:val="3"/>
            <w:shd w:val="clear" w:color="auto" w:fill="auto"/>
            <w:vAlign w:val="bottom"/>
          </w:tcPr>
          <w:p w14:paraId="0B2FB9EA" w14:textId="77777777" w:rsidR="007F1775" w:rsidRDefault="007F1775">
            <w:pPr>
              <w:rPr>
                <w:rFonts w:ascii="宋体"/>
                <w:vanish/>
              </w:rPr>
            </w:pPr>
          </w:p>
        </w:tc>
        <w:tc>
          <w:tcPr>
            <w:tcW w:w="0" w:type="auto"/>
            <w:gridSpan w:val="3"/>
            <w:shd w:val="clear" w:color="auto" w:fill="auto"/>
            <w:vAlign w:val="bottom"/>
          </w:tcPr>
          <w:p w14:paraId="0B2FB9EB" w14:textId="77777777" w:rsidR="007F1775" w:rsidRDefault="007F1775">
            <w:pPr>
              <w:rPr>
                <w:rFonts w:ascii="宋体"/>
                <w:vanish/>
              </w:rPr>
            </w:pPr>
          </w:p>
        </w:tc>
        <w:tc>
          <w:tcPr>
            <w:tcW w:w="0" w:type="auto"/>
            <w:gridSpan w:val="3"/>
            <w:shd w:val="clear" w:color="auto" w:fill="auto"/>
            <w:vAlign w:val="bottom"/>
          </w:tcPr>
          <w:p w14:paraId="0B2FB9EC" w14:textId="77777777" w:rsidR="007F1775" w:rsidRDefault="007F1775">
            <w:pPr>
              <w:rPr>
                <w:rFonts w:ascii="宋体"/>
                <w:vanish/>
              </w:rPr>
            </w:pPr>
          </w:p>
        </w:tc>
        <w:tc>
          <w:tcPr>
            <w:tcW w:w="0" w:type="auto"/>
            <w:gridSpan w:val="3"/>
            <w:shd w:val="clear" w:color="auto" w:fill="auto"/>
            <w:vAlign w:val="bottom"/>
          </w:tcPr>
          <w:p w14:paraId="0B2FB9ED" w14:textId="77777777" w:rsidR="007F1775" w:rsidRDefault="007F1775">
            <w:pPr>
              <w:rPr>
                <w:rFonts w:ascii="宋体"/>
                <w:vanish/>
              </w:rPr>
            </w:pPr>
          </w:p>
        </w:tc>
        <w:tc>
          <w:tcPr>
            <w:tcW w:w="0" w:type="auto"/>
            <w:shd w:val="clear" w:color="auto" w:fill="auto"/>
            <w:vAlign w:val="bottom"/>
          </w:tcPr>
          <w:p w14:paraId="0B2FB9EE" w14:textId="77777777" w:rsidR="007F1775" w:rsidRDefault="007F1775">
            <w:pPr>
              <w:rPr>
                <w:rFonts w:ascii="宋体"/>
                <w:vanish/>
              </w:rPr>
            </w:pPr>
          </w:p>
        </w:tc>
        <w:tc>
          <w:tcPr>
            <w:tcW w:w="0" w:type="auto"/>
            <w:shd w:val="clear" w:color="auto" w:fill="auto"/>
            <w:vAlign w:val="bottom"/>
          </w:tcPr>
          <w:p w14:paraId="0B2FB9EF" w14:textId="77777777" w:rsidR="007F1775" w:rsidRDefault="007F1775">
            <w:pPr>
              <w:rPr>
                <w:rFonts w:ascii="宋体"/>
                <w:vanish/>
              </w:rPr>
            </w:pPr>
          </w:p>
        </w:tc>
      </w:tr>
      <w:tr w:rsidR="007F1775" w14:paraId="0B2FB9F7" w14:textId="77777777">
        <w:trPr>
          <w:hidden/>
        </w:trPr>
        <w:tc>
          <w:tcPr>
            <w:tcW w:w="0" w:type="auto"/>
            <w:gridSpan w:val="3"/>
            <w:shd w:val="clear" w:color="auto" w:fill="auto"/>
            <w:vAlign w:val="bottom"/>
          </w:tcPr>
          <w:p w14:paraId="0B2FB9F1" w14:textId="77777777" w:rsidR="007F1775" w:rsidRDefault="007F1775">
            <w:pPr>
              <w:rPr>
                <w:rFonts w:ascii="宋体"/>
                <w:vanish/>
              </w:rPr>
            </w:pPr>
          </w:p>
        </w:tc>
        <w:tc>
          <w:tcPr>
            <w:tcW w:w="0" w:type="auto"/>
            <w:gridSpan w:val="3"/>
            <w:shd w:val="clear" w:color="auto" w:fill="auto"/>
            <w:vAlign w:val="bottom"/>
          </w:tcPr>
          <w:p w14:paraId="0B2FB9F2" w14:textId="77777777" w:rsidR="007F1775" w:rsidRDefault="007F1775">
            <w:pPr>
              <w:rPr>
                <w:rFonts w:ascii="宋体"/>
                <w:vanish/>
              </w:rPr>
            </w:pPr>
          </w:p>
        </w:tc>
        <w:tc>
          <w:tcPr>
            <w:tcW w:w="0" w:type="auto"/>
            <w:gridSpan w:val="3"/>
            <w:shd w:val="clear" w:color="auto" w:fill="auto"/>
            <w:vAlign w:val="bottom"/>
          </w:tcPr>
          <w:p w14:paraId="0B2FB9F3" w14:textId="77777777" w:rsidR="007F1775" w:rsidRDefault="007F1775">
            <w:pPr>
              <w:rPr>
                <w:rFonts w:ascii="宋体"/>
                <w:vanish/>
              </w:rPr>
            </w:pPr>
          </w:p>
        </w:tc>
        <w:tc>
          <w:tcPr>
            <w:tcW w:w="0" w:type="auto"/>
            <w:gridSpan w:val="3"/>
            <w:shd w:val="clear" w:color="auto" w:fill="auto"/>
            <w:vAlign w:val="bottom"/>
          </w:tcPr>
          <w:p w14:paraId="0B2FB9F4" w14:textId="77777777" w:rsidR="007F1775" w:rsidRDefault="007F1775">
            <w:pPr>
              <w:rPr>
                <w:rFonts w:ascii="宋体"/>
                <w:vanish/>
              </w:rPr>
            </w:pPr>
          </w:p>
        </w:tc>
        <w:tc>
          <w:tcPr>
            <w:tcW w:w="0" w:type="auto"/>
            <w:shd w:val="clear" w:color="auto" w:fill="auto"/>
            <w:vAlign w:val="bottom"/>
          </w:tcPr>
          <w:p w14:paraId="0B2FB9F5" w14:textId="77777777" w:rsidR="007F1775" w:rsidRDefault="007F1775">
            <w:pPr>
              <w:rPr>
                <w:rFonts w:ascii="宋体"/>
                <w:vanish/>
              </w:rPr>
            </w:pPr>
          </w:p>
        </w:tc>
        <w:tc>
          <w:tcPr>
            <w:tcW w:w="0" w:type="auto"/>
            <w:shd w:val="clear" w:color="auto" w:fill="auto"/>
            <w:vAlign w:val="bottom"/>
          </w:tcPr>
          <w:p w14:paraId="0B2FB9F6" w14:textId="77777777" w:rsidR="007F1775" w:rsidRDefault="007F1775">
            <w:pPr>
              <w:rPr>
                <w:rFonts w:ascii="宋体"/>
                <w:vanish/>
              </w:rPr>
            </w:pPr>
          </w:p>
        </w:tc>
      </w:tr>
      <w:tr w:rsidR="007F1775" w14:paraId="0B2FB9FE" w14:textId="77777777">
        <w:trPr>
          <w:hidden/>
        </w:trPr>
        <w:tc>
          <w:tcPr>
            <w:tcW w:w="0" w:type="auto"/>
            <w:gridSpan w:val="3"/>
            <w:shd w:val="clear" w:color="auto" w:fill="auto"/>
            <w:vAlign w:val="bottom"/>
          </w:tcPr>
          <w:p w14:paraId="0B2FB9F8" w14:textId="77777777" w:rsidR="007F1775" w:rsidRDefault="007F1775">
            <w:pPr>
              <w:rPr>
                <w:rFonts w:ascii="宋体"/>
                <w:vanish/>
              </w:rPr>
            </w:pPr>
          </w:p>
        </w:tc>
        <w:tc>
          <w:tcPr>
            <w:tcW w:w="0" w:type="auto"/>
            <w:gridSpan w:val="3"/>
            <w:shd w:val="clear" w:color="auto" w:fill="auto"/>
            <w:vAlign w:val="bottom"/>
          </w:tcPr>
          <w:p w14:paraId="0B2FB9F9" w14:textId="77777777" w:rsidR="007F1775" w:rsidRDefault="007F1775">
            <w:pPr>
              <w:rPr>
                <w:rFonts w:ascii="宋体"/>
                <w:vanish/>
              </w:rPr>
            </w:pPr>
          </w:p>
        </w:tc>
        <w:tc>
          <w:tcPr>
            <w:tcW w:w="0" w:type="auto"/>
            <w:gridSpan w:val="3"/>
            <w:shd w:val="clear" w:color="auto" w:fill="auto"/>
            <w:vAlign w:val="bottom"/>
          </w:tcPr>
          <w:p w14:paraId="0B2FB9FA" w14:textId="77777777" w:rsidR="007F1775" w:rsidRDefault="007F1775">
            <w:pPr>
              <w:rPr>
                <w:rFonts w:ascii="宋体"/>
                <w:vanish/>
              </w:rPr>
            </w:pPr>
          </w:p>
        </w:tc>
        <w:tc>
          <w:tcPr>
            <w:tcW w:w="0" w:type="auto"/>
            <w:gridSpan w:val="3"/>
            <w:shd w:val="clear" w:color="auto" w:fill="auto"/>
            <w:vAlign w:val="bottom"/>
          </w:tcPr>
          <w:p w14:paraId="0B2FB9FB" w14:textId="77777777" w:rsidR="007F1775" w:rsidRDefault="007F1775">
            <w:pPr>
              <w:rPr>
                <w:rFonts w:ascii="宋体"/>
                <w:vanish/>
              </w:rPr>
            </w:pPr>
          </w:p>
        </w:tc>
        <w:tc>
          <w:tcPr>
            <w:tcW w:w="0" w:type="auto"/>
            <w:shd w:val="clear" w:color="auto" w:fill="auto"/>
            <w:vAlign w:val="bottom"/>
          </w:tcPr>
          <w:p w14:paraId="0B2FB9FC" w14:textId="77777777" w:rsidR="007F1775" w:rsidRDefault="007F1775">
            <w:pPr>
              <w:rPr>
                <w:rFonts w:ascii="宋体"/>
                <w:vanish/>
              </w:rPr>
            </w:pPr>
          </w:p>
        </w:tc>
        <w:tc>
          <w:tcPr>
            <w:tcW w:w="0" w:type="auto"/>
            <w:shd w:val="clear" w:color="auto" w:fill="auto"/>
            <w:vAlign w:val="bottom"/>
          </w:tcPr>
          <w:p w14:paraId="0B2FB9FD" w14:textId="77777777" w:rsidR="007F1775" w:rsidRDefault="007F1775">
            <w:pPr>
              <w:rPr>
                <w:rFonts w:ascii="宋体"/>
                <w:vanish/>
              </w:rPr>
            </w:pPr>
          </w:p>
        </w:tc>
      </w:tr>
    </w:tbl>
    <w:p w14:paraId="0B2FB9FF" w14:textId="77777777" w:rsidR="007F1775" w:rsidRDefault="007F1775">
      <w:pPr>
        <w:ind w:firstLine="540"/>
        <w:jc w:val="both"/>
      </w:pPr>
    </w:p>
    <w:p w14:paraId="0B2FBA00" w14:textId="77777777" w:rsidR="007F1775" w:rsidRDefault="000F083E">
      <w:pPr>
        <w:ind w:firstLine="540"/>
        <w:jc w:val="both"/>
      </w:pPr>
      <w:r>
        <w:rPr>
          <w:rFonts w:ascii="Times New Roman" w:eastAsia="宋体" w:hAnsi="Times New Roman"/>
          <w:b/>
          <w:bCs/>
          <w:i/>
          <w:iCs/>
          <w:color w:val="000000"/>
          <w:sz w:val="20"/>
          <w:szCs w:val="20"/>
        </w:rPr>
        <w:t>Cash Provided by Operating Activities</w:t>
      </w:r>
    </w:p>
    <w:p w14:paraId="0B2FBA01" w14:textId="77777777" w:rsidR="007F1775" w:rsidRDefault="007F1775">
      <w:pPr>
        <w:ind w:firstLine="540"/>
        <w:jc w:val="both"/>
      </w:pPr>
    </w:p>
    <w:p w14:paraId="0B2FBA02" w14:textId="77777777" w:rsidR="007F1775" w:rsidRDefault="000F083E">
      <w:pPr>
        <w:ind w:firstLine="540"/>
        <w:jc w:val="both"/>
      </w:pPr>
      <w:r>
        <w:rPr>
          <w:rFonts w:ascii="Times New Roman" w:eastAsia="宋体" w:hAnsi="Times New Roman"/>
          <w:color w:val="000000"/>
          <w:sz w:val="20"/>
          <w:szCs w:val="20"/>
        </w:rPr>
        <w:t>Cash provided by operating activities during the three months ended March 31, 2022 primarily consisted of net income adjusted for certain non-cash items, such as $2.50 billion of share-based compensation expense and $2.16 billion of depreciation and amorti</w:t>
      </w:r>
      <w:r>
        <w:rPr>
          <w:rFonts w:ascii="Times New Roman" w:eastAsia="宋体" w:hAnsi="Times New Roman"/>
          <w:color w:val="000000"/>
          <w:sz w:val="20"/>
          <w:szCs w:val="20"/>
        </w:rPr>
        <w:t>zation. The increase in cash flows from operating activities during the three months ended March 31, 2022, compared to the same period in 2021, was mostly due to an increase in cash collected from our customers and lower cash payments of income taxes, part</w:t>
      </w:r>
      <w:r>
        <w:rPr>
          <w:rFonts w:ascii="Times New Roman" w:eastAsia="宋体" w:hAnsi="Times New Roman"/>
          <w:color w:val="000000"/>
          <w:sz w:val="20"/>
          <w:szCs w:val="20"/>
        </w:rPr>
        <w:t xml:space="preserve">ially offset by an increase in payments to our vendors as a result of higher operating spending and timing of payments. </w:t>
      </w:r>
    </w:p>
    <w:p w14:paraId="0B2FBA03" w14:textId="77777777" w:rsidR="007F1775" w:rsidRDefault="007F1775">
      <w:pPr>
        <w:ind w:firstLine="540"/>
        <w:jc w:val="both"/>
      </w:pPr>
    </w:p>
    <w:p w14:paraId="0B2FBA04" w14:textId="77777777" w:rsidR="007F1775" w:rsidRDefault="000F083E">
      <w:pPr>
        <w:ind w:firstLine="540"/>
        <w:jc w:val="both"/>
      </w:pPr>
      <w:r>
        <w:rPr>
          <w:rFonts w:ascii="Times New Roman" w:eastAsia="宋体" w:hAnsi="Times New Roman"/>
          <w:b/>
          <w:bCs/>
          <w:i/>
          <w:iCs/>
          <w:color w:val="000000"/>
          <w:sz w:val="20"/>
          <w:szCs w:val="20"/>
        </w:rPr>
        <w:t>Cash Used in Investing Activities</w:t>
      </w:r>
    </w:p>
    <w:p w14:paraId="0B2FBA05" w14:textId="77777777" w:rsidR="007F1775" w:rsidRDefault="007F1775">
      <w:pPr>
        <w:ind w:firstLine="540"/>
        <w:jc w:val="both"/>
      </w:pPr>
    </w:p>
    <w:p w14:paraId="0B2FBA06" w14:textId="77777777" w:rsidR="007F1775" w:rsidRDefault="000F083E">
      <w:pPr>
        <w:ind w:firstLine="540"/>
        <w:jc w:val="both"/>
      </w:pPr>
      <w:r>
        <w:rPr>
          <w:rFonts w:ascii="Times New Roman" w:eastAsia="宋体" w:hAnsi="Times New Roman"/>
          <w:color w:val="000000"/>
          <w:sz w:val="20"/>
          <w:szCs w:val="20"/>
        </w:rPr>
        <w:t xml:space="preserve">Cash used in investing activities during the three months ended March 31, 2022 consisted mostly of </w:t>
      </w:r>
      <w:r>
        <w:rPr>
          <w:rFonts w:ascii="Times New Roman" w:eastAsia="宋体" w:hAnsi="Times New Roman"/>
          <w:color w:val="000000"/>
          <w:sz w:val="20"/>
          <w:szCs w:val="20"/>
        </w:rPr>
        <w:t>$5.31 billion of net purchases of property and equipment as we continued to invest in data centers, servers, network infrastructure, and office facilities, and $853 million for acquisitions of businesses and intangible assets, partially offset by $1.40 bil</w:t>
      </w:r>
      <w:r>
        <w:rPr>
          <w:rFonts w:ascii="Times New Roman" w:eastAsia="宋体" w:hAnsi="Times New Roman"/>
          <w:color w:val="000000"/>
          <w:sz w:val="20"/>
          <w:szCs w:val="20"/>
        </w:rPr>
        <w:t>lion proceeds from net sales of marketable securities. The amount of cash used in investing activities during the three months ended March 31, 2022 was consistent with the same period in 2021.</w:t>
      </w:r>
    </w:p>
    <w:p w14:paraId="0B2FBA07" w14:textId="77777777" w:rsidR="007F1775" w:rsidRDefault="007F1775">
      <w:pPr>
        <w:ind w:firstLine="540"/>
        <w:jc w:val="both"/>
      </w:pPr>
    </w:p>
    <w:p w14:paraId="0B2FBA08" w14:textId="77777777" w:rsidR="007F1775" w:rsidRDefault="000F083E">
      <w:pPr>
        <w:ind w:firstLine="540"/>
        <w:jc w:val="both"/>
      </w:pPr>
      <w:r>
        <w:rPr>
          <w:rFonts w:ascii="Times New Roman" w:eastAsia="宋体" w:hAnsi="Times New Roman"/>
          <w:color w:val="000000"/>
          <w:sz w:val="20"/>
          <w:szCs w:val="20"/>
        </w:rPr>
        <w:t>We anticipate making capital expenditures of approximately $29</w:t>
      </w:r>
      <w:r>
        <w:rPr>
          <w:rFonts w:ascii="Times New Roman" w:eastAsia="宋体" w:hAnsi="Times New Roman"/>
          <w:color w:val="000000"/>
          <w:sz w:val="20"/>
          <w:szCs w:val="20"/>
        </w:rPr>
        <w:t> billion to $34 billion in 2022.</w:t>
      </w:r>
    </w:p>
    <w:p w14:paraId="0B2FBA09" w14:textId="77777777" w:rsidR="007F1775" w:rsidRDefault="007F1775">
      <w:pPr>
        <w:ind w:firstLine="540"/>
        <w:jc w:val="both"/>
      </w:pPr>
    </w:p>
    <w:p w14:paraId="0B2FBA0A" w14:textId="77777777" w:rsidR="007F1775" w:rsidRDefault="000F083E">
      <w:pPr>
        <w:ind w:firstLine="540"/>
        <w:jc w:val="both"/>
      </w:pPr>
      <w:r>
        <w:rPr>
          <w:rFonts w:ascii="Times New Roman" w:eastAsia="宋体" w:hAnsi="Times New Roman"/>
          <w:b/>
          <w:bCs/>
          <w:i/>
          <w:iCs/>
          <w:color w:val="000000"/>
          <w:sz w:val="20"/>
          <w:szCs w:val="20"/>
        </w:rPr>
        <w:t>Cash Used in Financing Activities</w:t>
      </w:r>
    </w:p>
    <w:p w14:paraId="0B2FBA0B" w14:textId="77777777" w:rsidR="007F1775" w:rsidRDefault="007F1775">
      <w:pPr>
        <w:ind w:firstLine="540"/>
        <w:jc w:val="both"/>
      </w:pPr>
    </w:p>
    <w:p w14:paraId="0B2FBA0C" w14:textId="77777777" w:rsidR="007F1775" w:rsidRDefault="000F083E">
      <w:pPr>
        <w:ind w:firstLine="540"/>
        <w:jc w:val="both"/>
      </w:pPr>
      <w:r>
        <w:rPr>
          <w:rFonts w:ascii="Times New Roman" w:eastAsia="宋体" w:hAnsi="Times New Roman"/>
          <w:color w:val="000000"/>
          <w:sz w:val="20"/>
          <w:szCs w:val="20"/>
        </w:rPr>
        <w:t xml:space="preserve">Cash used in financing activities during the three months ended March 31, 2022 mostly consisted of $9.51 billion for repurchases of our Class A common stock and $925 million of taxes </w:t>
      </w:r>
      <w:r>
        <w:rPr>
          <w:rFonts w:ascii="Times New Roman" w:eastAsia="宋体" w:hAnsi="Times New Roman"/>
          <w:color w:val="000000"/>
          <w:sz w:val="20"/>
          <w:szCs w:val="20"/>
        </w:rPr>
        <w:t>paid related to net share settlement of RSUs. The increase in cash used in financing activities during the three months ended March 31, 2022, compared to the same period in 2021, was mostly due to an increase in repurchases of our Class A common stock.</w:t>
      </w:r>
    </w:p>
    <w:p w14:paraId="0B2FBA0D" w14:textId="77777777" w:rsidR="007F1775" w:rsidRDefault="007F1775"/>
    <w:p w14:paraId="0B2FBA0E" w14:textId="77777777" w:rsidR="007F1775" w:rsidRDefault="000F083E">
      <w:pPr>
        <w:jc w:val="center"/>
      </w:pPr>
      <w:r>
        <w:rPr>
          <w:rFonts w:ascii="Times New Roman" w:eastAsia="宋体" w:hAnsi="Times New Roman"/>
          <w:color w:val="000000"/>
          <w:sz w:val="20"/>
          <w:szCs w:val="20"/>
        </w:rPr>
        <w:t>43</w:t>
      </w:r>
    </w:p>
    <w:p w14:paraId="0B2FBA0F" w14:textId="77777777" w:rsidR="007F1775" w:rsidRDefault="000F083E">
      <w:r>
        <w:pict w14:anchorId="0B2FBFB8">
          <v:rect id="_x0000_i1067" style="width:415.3pt;height:1.5pt" o:hralign="center" o:hrstd="t" o:hr="t" fillcolor="#a0a0a0" stroked="f"/>
        </w:pict>
      </w:r>
    </w:p>
    <w:p w14:paraId="0B2FBA10" w14:textId="77777777" w:rsidR="007F1775" w:rsidRDefault="007F1775"/>
    <w:p w14:paraId="0B2FBA11" w14:textId="77777777" w:rsidR="007F1775" w:rsidRDefault="007F1775"/>
    <w:p w14:paraId="0B2FBA12" w14:textId="77777777" w:rsidR="007F1775" w:rsidRDefault="000F083E">
      <w:hyperlink r:id="rId121" w:anchor="iea70e328caa94cefb76a9db6ed6338fc_7" w:history="1">
        <w:r>
          <w:rPr>
            <w:rStyle w:val="a5"/>
            <w:rFonts w:ascii="Times New Roman" w:eastAsia="宋体" w:hAnsi="Times New Roman"/>
            <w:sz w:val="20"/>
            <w:szCs w:val="20"/>
          </w:rPr>
          <w:t>Table of Contents</w:t>
        </w:r>
      </w:hyperlink>
    </w:p>
    <w:p w14:paraId="0B2FBA13" w14:textId="77777777" w:rsidR="007F1775" w:rsidRDefault="000F083E">
      <w:pPr>
        <w:jc w:val="both"/>
      </w:pPr>
      <w:r>
        <w:rPr>
          <w:rFonts w:ascii="Times New Roman" w:eastAsia="宋体" w:hAnsi="Times New Roman"/>
          <w:b/>
          <w:bCs/>
          <w:color w:val="000000"/>
          <w:sz w:val="20"/>
          <w:szCs w:val="20"/>
        </w:rPr>
        <w:t>Material Cash Requirements</w:t>
      </w:r>
    </w:p>
    <w:p w14:paraId="0B2FBA14" w14:textId="77777777" w:rsidR="007F1775" w:rsidRDefault="007F1775">
      <w:pPr>
        <w:jc w:val="both"/>
      </w:pPr>
    </w:p>
    <w:p w14:paraId="0B2FBA15" w14:textId="77777777" w:rsidR="007F1775" w:rsidRDefault="000F083E">
      <w:pPr>
        <w:ind w:firstLine="540"/>
        <w:jc w:val="both"/>
      </w:pPr>
      <w:r>
        <w:rPr>
          <w:rFonts w:ascii="Times New Roman" w:eastAsia="宋体" w:hAnsi="Times New Roman"/>
          <w:color w:val="000000"/>
          <w:sz w:val="20"/>
          <w:szCs w:val="20"/>
        </w:rPr>
        <w:t xml:space="preserve">We currently anticipate that our available </w:t>
      </w:r>
      <w:r>
        <w:rPr>
          <w:rFonts w:ascii="Times New Roman" w:eastAsia="宋体" w:hAnsi="Times New Roman"/>
          <w:color w:val="000000"/>
          <w:sz w:val="20"/>
          <w:szCs w:val="20"/>
        </w:rPr>
        <w:t>funds and cash flow from operations will be sufficient to meet our operational cash needs and fund our share repurchase program for at least the next 12 months and thereafter for the foreseeable future.</w:t>
      </w:r>
    </w:p>
    <w:p w14:paraId="0B2FBA16" w14:textId="77777777" w:rsidR="007F1775" w:rsidRDefault="007F1775">
      <w:pPr>
        <w:ind w:firstLine="540"/>
        <w:jc w:val="both"/>
      </w:pPr>
    </w:p>
    <w:p w14:paraId="0B2FBA17" w14:textId="77777777" w:rsidR="007F1775" w:rsidRDefault="000F083E">
      <w:pPr>
        <w:ind w:firstLine="540"/>
        <w:jc w:val="both"/>
      </w:pPr>
      <w:r>
        <w:rPr>
          <w:rFonts w:ascii="Times New Roman" w:eastAsia="宋体" w:hAnsi="Times New Roman"/>
          <w:b/>
          <w:bCs/>
          <w:i/>
          <w:iCs/>
          <w:color w:val="000000"/>
          <w:sz w:val="20"/>
          <w:szCs w:val="20"/>
        </w:rPr>
        <w:t>Leases and contractual commitments</w:t>
      </w:r>
    </w:p>
    <w:p w14:paraId="0B2FBA18" w14:textId="77777777" w:rsidR="007F1775" w:rsidRDefault="007F1775">
      <w:pPr>
        <w:ind w:firstLine="540"/>
        <w:jc w:val="both"/>
      </w:pPr>
    </w:p>
    <w:p w14:paraId="0B2FBA19" w14:textId="77777777" w:rsidR="007F1775" w:rsidRDefault="000F083E">
      <w:pPr>
        <w:ind w:firstLine="540"/>
        <w:jc w:val="both"/>
      </w:pPr>
      <w:r>
        <w:rPr>
          <w:rFonts w:ascii="Times New Roman" w:eastAsia="宋体" w:hAnsi="Times New Roman"/>
          <w:color w:val="000000"/>
          <w:sz w:val="20"/>
          <w:szCs w:val="20"/>
        </w:rPr>
        <w:t>Our operating le</w:t>
      </w:r>
      <w:r>
        <w:rPr>
          <w:rFonts w:ascii="Times New Roman" w:eastAsia="宋体" w:hAnsi="Times New Roman"/>
          <w:color w:val="000000"/>
          <w:sz w:val="20"/>
          <w:szCs w:val="20"/>
        </w:rPr>
        <w:t>ase obligations mostly include, among others, certain of our offices, data centers, colocations, and land and our finance lease obligations include certain network infrastructure. Our contractual commitments are primarily related to our investments in serv</w:t>
      </w:r>
      <w:r>
        <w:rPr>
          <w:rFonts w:ascii="Times New Roman" w:eastAsia="宋体" w:hAnsi="Times New Roman"/>
          <w:color w:val="000000"/>
          <w:sz w:val="20"/>
          <w:szCs w:val="20"/>
        </w:rPr>
        <w:t xml:space="preserve">ers, network infrastructure, and Reality Labs. </w:t>
      </w:r>
    </w:p>
    <w:p w14:paraId="0B2FBA1A" w14:textId="77777777" w:rsidR="007F1775" w:rsidRDefault="007F1775">
      <w:pPr>
        <w:ind w:firstLine="540"/>
        <w:jc w:val="both"/>
      </w:pPr>
    </w:p>
    <w:p w14:paraId="0B2FBA1B" w14:textId="77777777" w:rsidR="007F1775" w:rsidRDefault="000F083E">
      <w:pPr>
        <w:ind w:firstLine="540"/>
        <w:jc w:val="both"/>
      </w:pPr>
      <w:r>
        <w:rPr>
          <w:rFonts w:ascii="Times New Roman" w:eastAsia="宋体" w:hAnsi="Times New Roman"/>
          <w:b/>
          <w:bCs/>
          <w:i/>
          <w:iCs/>
          <w:color w:val="000000"/>
          <w:sz w:val="20"/>
          <w:szCs w:val="20"/>
        </w:rPr>
        <w:t>Taxes</w:t>
      </w:r>
    </w:p>
    <w:p w14:paraId="0B2FBA1C" w14:textId="77777777" w:rsidR="007F1775" w:rsidRDefault="007F1775">
      <w:pPr>
        <w:ind w:firstLine="540"/>
        <w:jc w:val="both"/>
      </w:pPr>
    </w:p>
    <w:p w14:paraId="0B2FBA1D" w14:textId="77777777" w:rsidR="007F1775" w:rsidRDefault="000F083E">
      <w:pPr>
        <w:ind w:firstLine="540"/>
        <w:jc w:val="both"/>
      </w:pPr>
      <w:r>
        <w:rPr>
          <w:rFonts w:ascii="Times New Roman" w:eastAsia="宋体" w:hAnsi="Times New Roman"/>
          <w:color w:val="000000"/>
          <w:sz w:val="20"/>
          <w:szCs w:val="20"/>
        </w:rPr>
        <w:t xml:space="preserve">As of March 31, 2022, other liabilities include long-term taxes payable of $1.51 billion related to a one-time transition tax payable incurred as a result of the Tax Act. As permitted by the Tax Act, </w:t>
      </w:r>
      <w:r>
        <w:rPr>
          <w:rFonts w:ascii="Times New Roman" w:eastAsia="宋体" w:hAnsi="Times New Roman"/>
          <w:color w:val="000000"/>
          <w:sz w:val="20"/>
          <w:szCs w:val="20"/>
        </w:rPr>
        <w:t>we will pay the transition tax in annual interest-free installments through 2025. Our other liabilities also include $4.39 billion related to the uncertain tax positions as of March 31, 2022. Due to uncertainties in the timing of the completion of tax audi</w:t>
      </w:r>
      <w:r>
        <w:rPr>
          <w:rFonts w:ascii="Times New Roman" w:eastAsia="宋体" w:hAnsi="Times New Roman"/>
          <w:color w:val="000000"/>
          <w:sz w:val="20"/>
          <w:szCs w:val="20"/>
        </w:rPr>
        <w:t>ts, the timing of the resolution of these positions is uncertain and we are unable to make a reasonably reliable estimate of the timing of payments.</w:t>
      </w:r>
    </w:p>
    <w:p w14:paraId="0B2FBA1E" w14:textId="77777777" w:rsidR="007F1775" w:rsidRDefault="007F1775">
      <w:pPr>
        <w:ind w:firstLine="540"/>
        <w:jc w:val="both"/>
      </w:pPr>
    </w:p>
    <w:p w14:paraId="0B2FBA1F" w14:textId="77777777" w:rsidR="007F1775" w:rsidRDefault="000F083E">
      <w:pPr>
        <w:ind w:firstLine="540"/>
        <w:jc w:val="both"/>
      </w:pPr>
      <w:r>
        <w:rPr>
          <w:rFonts w:ascii="Times New Roman" w:eastAsia="宋体" w:hAnsi="Times New Roman"/>
          <w:b/>
          <w:bCs/>
          <w:i/>
          <w:iCs/>
          <w:color w:val="000000"/>
          <w:sz w:val="20"/>
          <w:szCs w:val="20"/>
        </w:rPr>
        <w:t>Contingencies</w:t>
      </w:r>
    </w:p>
    <w:p w14:paraId="0B2FBA20" w14:textId="77777777" w:rsidR="007F1775" w:rsidRDefault="007F1775">
      <w:pPr>
        <w:ind w:firstLine="540"/>
        <w:jc w:val="both"/>
      </w:pPr>
    </w:p>
    <w:p w14:paraId="0B2FBA21" w14:textId="77777777" w:rsidR="007F1775" w:rsidRDefault="000F083E">
      <w:pPr>
        <w:ind w:firstLine="540"/>
        <w:jc w:val="both"/>
      </w:pPr>
      <w:r>
        <w:rPr>
          <w:rFonts w:ascii="Times New Roman" w:eastAsia="宋体" w:hAnsi="Times New Roman"/>
          <w:color w:val="000000"/>
          <w:sz w:val="20"/>
          <w:szCs w:val="20"/>
        </w:rPr>
        <w:t>We are involved in legal proceedings, claims, and regulatory, tax or government inquiries a</w:t>
      </w:r>
      <w:r>
        <w:rPr>
          <w:rFonts w:ascii="Times New Roman" w:eastAsia="宋体" w:hAnsi="Times New Roman"/>
          <w:color w:val="000000"/>
          <w:sz w:val="20"/>
          <w:szCs w:val="20"/>
        </w:rPr>
        <w:t>nd investigations. We record a liability when we believe that it is both probable that a liability has been incurred, and that the amount can be reasonably estimated. If we determine there is a reasonable possibility that we may incur a loss and the loss o</w:t>
      </w:r>
      <w:r>
        <w:rPr>
          <w:rFonts w:ascii="Times New Roman" w:eastAsia="宋体" w:hAnsi="Times New Roman"/>
          <w:color w:val="000000"/>
          <w:sz w:val="20"/>
          <w:szCs w:val="20"/>
        </w:rPr>
        <w:t xml:space="preserve">r range of loss can be estimated, we disclose the possible loss in the accompanying notes to the condensed consolidated financial statements to the extent material. Significant judgment is required to determine both probability and the estimated amount of </w:t>
      </w:r>
      <w:r>
        <w:rPr>
          <w:rFonts w:ascii="Times New Roman" w:eastAsia="宋体" w:hAnsi="Times New Roman"/>
          <w:color w:val="000000"/>
          <w:sz w:val="20"/>
          <w:szCs w:val="20"/>
        </w:rPr>
        <w:t>loss. Such matters are inherently unpredictable and subject to significant uncertainties, some of which are beyond our control. Should any of these estimates and assumptions change or prove to be incorrect, it could have a material impact on our results of</w:t>
      </w:r>
      <w:r>
        <w:rPr>
          <w:rFonts w:ascii="Times New Roman" w:eastAsia="宋体" w:hAnsi="Times New Roman"/>
          <w:color w:val="000000"/>
          <w:sz w:val="20"/>
          <w:szCs w:val="20"/>
        </w:rPr>
        <w:t xml:space="preserve"> operations, financial position, and cash flows.</w:t>
      </w:r>
    </w:p>
    <w:p w14:paraId="0B2FBA22" w14:textId="77777777" w:rsidR="007F1775" w:rsidRDefault="007F1775">
      <w:pPr>
        <w:ind w:firstLine="540"/>
        <w:jc w:val="both"/>
      </w:pPr>
    </w:p>
    <w:p w14:paraId="0B2FBA23" w14:textId="77777777" w:rsidR="007F1775" w:rsidRDefault="000F083E">
      <w:pPr>
        <w:ind w:firstLine="540"/>
        <w:jc w:val="both"/>
      </w:pPr>
      <w:r>
        <w:rPr>
          <w:rFonts w:ascii="Times New Roman" w:eastAsia="宋体" w:hAnsi="Times New Roman"/>
          <w:color w:val="000000"/>
          <w:sz w:val="20"/>
          <w:szCs w:val="20"/>
        </w:rPr>
        <w:t>See Note 8 — Leases, Note 10 — Commitments and Contingencies, and Note 12 — Income Taxes in the notes to the condensed consolidated financial statements included in Part I, Item 1, and "Legal Proceedings" c</w:t>
      </w:r>
      <w:r>
        <w:rPr>
          <w:rFonts w:ascii="Times New Roman" w:eastAsia="宋体" w:hAnsi="Times New Roman"/>
          <w:color w:val="000000"/>
          <w:sz w:val="20"/>
          <w:szCs w:val="20"/>
        </w:rPr>
        <w:t>ontained in Part II, Item 1 of this Quarterly Report on Form 10-Q for additional information regarding leases and contractual commitments, taxes, and contingencies.</w:t>
      </w:r>
    </w:p>
    <w:p w14:paraId="0B2FBA24" w14:textId="77777777" w:rsidR="007F1775" w:rsidRDefault="000F083E">
      <w:pPr>
        <w:jc w:val="center"/>
      </w:pPr>
      <w:r>
        <w:rPr>
          <w:rFonts w:ascii="Times New Roman" w:eastAsia="宋体" w:hAnsi="Times New Roman"/>
          <w:color w:val="000000"/>
          <w:sz w:val="20"/>
          <w:szCs w:val="20"/>
        </w:rPr>
        <w:t>44</w:t>
      </w:r>
    </w:p>
    <w:p w14:paraId="0B2FBA25" w14:textId="77777777" w:rsidR="007F1775" w:rsidRDefault="000F083E">
      <w:r>
        <w:pict w14:anchorId="0B2FBFB9">
          <v:rect id="_x0000_i1068" style="width:415.3pt;height:1.5pt" o:hralign="center" o:hrstd="t" o:hr="t" fillcolor="#a0a0a0" stroked="f"/>
        </w:pict>
      </w:r>
    </w:p>
    <w:p w14:paraId="0B2FBA26" w14:textId="77777777" w:rsidR="007F1775" w:rsidRDefault="007F1775"/>
    <w:p w14:paraId="0B2FBA27" w14:textId="77777777" w:rsidR="007F1775" w:rsidRDefault="007F1775"/>
    <w:p w14:paraId="0B2FBA28" w14:textId="77777777" w:rsidR="007F1775" w:rsidRDefault="000F083E">
      <w:hyperlink r:id="rId122" w:anchor="iea70e328caa94cefb76a9db6ed6338fc_7" w:history="1">
        <w:r>
          <w:rPr>
            <w:rStyle w:val="a5"/>
            <w:rFonts w:ascii="Times New Roman" w:eastAsia="宋体" w:hAnsi="Times New Roman"/>
            <w:sz w:val="20"/>
            <w:szCs w:val="20"/>
          </w:rPr>
          <w:t>Table of Contents</w:t>
        </w:r>
      </w:hyperlink>
    </w:p>
    <w:p w14:paraId="0B2FBA29" w14:textId="77777777" w:rsidR="007F1775" w:rsidRDefault="007F1775">
      <w:pPr>
        <w:jc w:val="both"/>
      </w:pPr>
    </w:p>
    <w:p w14:paraId="0B2FBA2A" w14:textId="77777777" w:rsidR="007F1775" w:rsidRDefault="000F083E">
      <w:pPr>
        <w:jc w:val="both"/>
      </w:pPr>
      <w:r>
        <w:rPr>
          <w:rFonts w:ascii="Times New Roman" w:eastAsia="宋体" w:hAnsi="Times New Roman"/>
          <w:b/>
          <w:bCs/>
          <w:color w:val="000000"/>
          <w:sz w:val="20"/>
          <w:szCs w:val="20"/>
        </w:rPr>
        <w:t>Critical Accounting Policies and Estimates</w:t>
      </w:r>
    </w:p>
    <w:p w14:paraId="0B2FBA2B" w14:textId="77777777" w:rsidR="007F1775" w:rsidRDefault="007F1775">
      <w:pPr>
        <w:ind w:firstLine="540"/>
        <w:jc w:val="both"/>
      </w:pPr>
    </w:p>
    <w:p w14:paraId="0B2FBA2C" w14:textId="77777777" w:rsidR="007F1775" w:rsidRDefault="000F083E">
      <w:pPr>
        <w:ind w:firstLine="540"/>
        <w:jc w:val="both"/>
      </w:pPr>
      <w:r>
        <w:rPr>
          <w:rFonts w:ascii="Times New Roman" w:eastAsia="宋体" w:hAnsi="Times New Roman"/>
          <w:color w:val="000000"/>
          <w:sz w:val="20"/>
          <w:szCs w:val="20"/>
        </w:rPr>
        <w:t>Our condensed consolidated financial sta</w:t>
      </w:r>
      <w:r>
        <w:rPr>
          <w:rFonts w:ascii="Times New Roman" w:eastAsia="宋体" w:hAnsi="Times New Roman"/>
          <w:color w:val="000000"/>
          <w:sz w:val="20"/>
          <w:szCs w:val="20"/>
        </w:rPr>
        <w:t xml:space="preserve">tements are prepared in accordance with U.S. GAAP. The preparation of these condensed consolidated financial statements requires us to make estimates and assumptions that affect the reported amounts of assets, liabilities, revenue, costs and expenses, and </w:t>
      </w:r>
      <w:r>
        <w:rPr>
          <w:rFonts w:ascii="Times New Roman" w:eastAsia="宋体" w:hAnsi="Times New Roman"/>
          <w:color w:val="000000"/>
          <w:sz w:val="20"/>
          <w:szCs w:val="20"/>
        </w:rPr>
        <w:t>related disclosures. On an ongoing basis, we evaluate our estimates and assumptions based on historical experience and on various other assumptions that we believe are reasonable under the circumstances. Our actual results could differ from these estimates</w:t>
      </w:r>
      <w:r>
        <w:rPr>
          <w:rFonts w:ascii="Times New Roman" w:eastAsia="宋体" w:hAnsi="Times New Roman"/>
          <w:color w:val="000000"/>
          <w:sz w:val="20"/>
          <w:szCs w:val="20"/>
        </w:rPr>
        <w:t xml:space="preserve"> under different assumptions or conditions. Refer to "Critical Accounting Policies and Estimates" contained in Part II, Item 7 of our Annual Report on Form 10-K for the year ended December 31, 2021 for a complete discussion of our critical accounting polic</w:t>
      </w:r>
      <w:r>
        <w:rPr>
          <w:rFonts w:ascii="Times New Roman" w:eastAsia="宋体" w:hAnsi="Times New Roman"/>
          <w:color w:val="000000"/>
          <w:sz w:val="20"/>
          <w:szCs w:val="20"/>
        </w:rPr>
        <w:t xml:space="preserve">ies and estimates. There have been no material changes to our critical accounting policies and estimates since our Annual Report on Form 10-K for the year ended December 31, 2021. </w:t>
      </w:r>
    </w:p>
    <w:p w14:paraId="0B2FBA2D" w14:textId="77777777" w:rsidR="007F1775" w:rsidRDefault="007F1775">
      <w:pPr>
        <w:ind w:firstLine="540"/>
        <w:jc w:val="both"/>
      </w:pPr>
    </w:p>
    <w:p w14:paraId="0B2FBA2E" w14:textId="77777777" w:rsidR="007F1775" w:rsidRDefault="007F1775">
      <w:pPr>
        <w:ind w:firstLine="540"/>
        <w:jc w:val="both"/>
      </w:pPr>
    </w:p>
    <w:p w14:paraId="0B2FBA2F" w14:textId="77777777" w:rsidR="007F1775" w:rsidRDefault="007F1775">
      <w:pPr>
        <w:ind w:firstLine="540"/>
        <w:jc w:val="both"/>
      </w:pPr>
    </w:p>
    <w:p w14:paraId="0B2FBA30" w14:textId="77777777" w:rsidR="007F1775" w:rsidRDefault="000F083E">
      <w:pPr>
        <w:jc w:val="center"/>
      </w:pPr>
      <w:r>
        <w:rPr>
          <w:rFonts w:ascii="Times New Roman" w:eastAsia="宋体" w:hAnsi="Times New Roman"/>
          <w:color w:val="000000"/>
          <w:sz w:val="20"/>
          <w:szCs w:val="20"/>
        </w:rPr>
        <w:t>45</w:t>
      </w:r>
    </w:p>
    <w:p w14:paraId="0B2FBA31" w14:textId="77777777" w:rsidR="007F1775" w:rsidRDefault="000F083E">
      <w:r>
        <w:pict w14:anchorId="0B2FBFBA">
          <v:rect id="_x0000_i1069" style="width:415.3pt;height:1.5pt" o:hralign="center" o:hrstd="t" o:hr="t" fillcolor="#a0a0a0" stroked="f"/>
        </w:pict>
      </w:r>
    </w:p>
    <w:p w14:paraId="0B2FBA32" w14:textId="77777777" w:rsidR="007F1775" w:rsidRDefault="007F1775"/>
    <w:p w14:paraId="0B2FBA33" w14:textId="77777777" w:rsidR="007F1775" w:rsidRDefault="007F1775"/>
    <w:p w14:paraId="0B2FBA34" w14:textId="77777777" w:rsidR="007F1775" w:rsidRDefault="000F083E">
      <w:hyperlink r:id="rId123" w:anchor="iea70e328caa94cefb76a9db6ed6338fc_7" w:history="1">
        <w:r>
          <w:rPr>
            <w:rStyle w:val="a5"/>
            <w:rFonts w:ascii="Times New Roman" w:eastAsia="宋体" w:hAnsi="Times New Roman"/>
            <w:sz w:val="20"/>
            <w:szCs w:val="20"/>
          </w:rPr>
          <w:t>Table of Contents</w:t>
        </w:r>
      </w:hyperlink>
    </w:p>
    <w:p w14:paraId="0B2FBA35" w14:textId="77777777" w:rsidR="007F1775" w:rsidRDefault="000F083E">
      <w:pPr>
        <w:pBdr>
          <w:left w:val="none" w:sz="0" w:space="0" w:color="auto"/>
        </w:pBdr>
        <w:spacing w:before="180"/>
        <w:ind w:hanging="360"/>
        <w:jc w:val="both"/>
      </w:pPr>
      <w:r>
        <w:rPr>
          <w:rFonts w:ascii="Times New Roman" w:eastAsia="宋体" w:hAnsi="Times New Roman"/>
          <w:b/>
          <w:bCs/>
          <w:color w:val="000000"/>
          <w:sz w:val="20"/>
          <w:szCs w:val="20"/>
        </w:rPr>
        <w:t>Item 3.Quantitative and Qualitative Disclosures About Market Risk</w:t>
      </w:r>
    </w:p>
    <w:p w14:paraId="0B2FBA36" w14:textId="77777777" w:rsidR="007F1775" w:rsidRDefault="007F1775">
      <w:pPr>
        <w:ind w:firstLine="540"/>
        <w:jc w:val="both"/>
      </w:pPr>
    </w:p>
    <w:p w14:paraId="0B2FBA37" w14:textId="77777777" w:rsidR="007F1775" w:rsidRDefault="000F083E">
      <w:pPr>
        <w:ind w:firstLine="540"/>
        <w:jc w:val="both"/>
      </w:pPr>
      <w:r>
        <w:rPr>
          <w:rFonts w:ascii="Times New Roman" w:eastAsia="宋体" w:hAnsi="Times New Roman"/>
          <w:color w:val="000000"/>
          <w:sz w:val="20"/>
          <w:szCs w:val="20"/>
        </w:rPr>
        <w:t xml:space="preserve">We are exposed to market risks, including changes to foreign currency </w:t>
      </w:r>
      <w:r>
        <w:rPr>
          <w:rFonts w:ascii="Times New Roman" w:eastAsia="宋体" w:hAnsi="Times New Roman"/>
          <w:color w:val="000000"/>
          <w:sz w:val="20"/>
          <w:szCs w:val="20"/>
        </w:rPr>
        <w:t>exchange rates, interest rates, and equity investment risk.</w:t>
      </w:r>
    </w:p>
    <w:p w14:paraId="0B2FBA38" w14:textId="77777777" w:rsidR="007F1775" w:rsidRDefault="007F1775">
      <w:pPr>
        <w:jc w:val="both"/>
      </w:pPr>
    </w:p>
    <w:p w14:paraId="0B2FBA39" w14:textId="77777777" w:rsidR="007F1775" w:rsidRDefault="000F083E">
      <w:pPr>
        <w:jc w:val="both"/>
      </w:pPr>
      <w:r>
        <w:rPr>
          <w:rFonts w:ascii="Times New Roman" w:eastAsia="宋体" w:hAnsi="Times New Roman"/>
          <w:b/>
          <w:bCs/>
          <w:color w:val="000000"/>
          <w:sz w:val="20"/>
          <w:szCs w:val="20"/>
        </w:rPr>
        <w:t>Foreign Currency Exchange Risk</w:t>
      </w:r>
    </w:p>
    <w:p w14:paraId="0B2FBA3A" w14:textId="77777777" w:rsidR="007F1775" w:rsidRDefault="007F1775">
      <w:pPr>
        <w:ind w:firstLine="540"/>
        <w:jc w:val="both"/>
      </w:pPr>
    </w:p>
    <w:p w14:paraId="0B2FBA3B" w14:textId="77777777" w:rsidR="007F1775" w:rsidRDefault="000F083E">
      <w:pPr>
        <w:ind w:firstLine="540"/>
        <w:jc w:val="both"/>
      </w:pPr>
      <w:r>
        <w:rPr>
          <w:rFonts w:ascii="Times New Roman" w:eastAsia="宋体" w:hAnsi="Times New Roman"/>
          <w:color w:val="000000"/>
          <w:sz w:val="20"/>
          <w:szCs w:val="20"/>
        </w:rPr>
        <w:t>We have foreign currency risks related to our revenue and operating expenses denominated in currencies other than the U.S. dollar, primarily the Euro. Accordingly,</w:t>
      </w:r>
      <w:r>
        <w:rPr>
          <w:rFonts w:ascii="Times New Roman" w:eastAsia="宋体" w:hAnsi="Times New Roman"/>
          <w:color w:val="000000"/>
          <w:sz w:val="20"/>
          <w:szCs w:val="20"/>
        </w:rPr>
        <w:t xml:space="preserve"> changes in exchange rates, and in particular a strengthening of the U.S. dollar, have in the past, and may in the future, negatively affect our revenue and other operating results as expressed in U.S. dollars.</w:t>
      </w:r>
    </w:p>
    <w:p w14:paraId="0B2FBA3C" w14:textId="77777777" w:rsidR="007F1775" w:rsidRDefault="007F1775">
      <w:pPr>
        <w:ind w:firstLine="540"/>
        <w:jc w:val="both"/>
      </w:pPr>
    </w:p>
    <w:p w14:paraId="0B2FBA3D" w14:textId="77777777" w:rsidR="007F1775" w:rsidRDefault="000F083E">
      <w:pPr>
        <w:ind w:firstLine="540"/>
        <w:jc w:val="both"/>
      </w:pPr>
      <w:r>
        <w:rPr>
          <w:rFonts w:ascii="Times New Roman" w:eastAsia="宋体" w:hAnsi="Times New Roman"/>
          <w:color w:val="000000"/>
          <w:sz w:val="20"/>
          <w:szCs w:val="20"/>
        </w:rPr>
        <w:t xml:space="preserve">We have experienced and will </w:t>
      </w:r>
      <w:r>
        <w:rPr>
          <w:rFonts w:ascii="Times New Roman" w:eastAsia="宋体" w:hAnsi="Times New Roman"/>
          <w:color w:val="000000"/>
          <w:sz w:val="20"/>
          <w:szCs w:val="20"/>
        </w:rPr>
        <w:t xml:space="preserve">continue to experience fluctuations in our net income as a result of transaction gains or losses related to revaluing monetary asset and liability balances that are denominated in currencies other than the functional currency of the entities in which they </w:t>
      </w:r>
      <w:r>
        <w:rPr>
          <w:rFonts w:ascii="Times New Roman" w:eastAsia="宋体" w:hAnsi="Times New Roman"/>
          <w:color w:val="000000"/>
          <w:sz w:val="20"/>
          <w:szCs w:val="20"/>
        </w:rPr>
        <w:t xml:space="preserve">are recorded. At this time, we have not entered into, but in the future we may enter into, derivatives or other financial instruments in an attempt to hedge our foreign currency exchange risk. It is difficult to predict the effect hedging activities would </w:t>
      </w:r>
      <w:r>
        <w:rPr>
          <w:rFonts w:ascii="Times New Roman" w:eastAsia="宋体" w:hAnsi="Times New Roman"/>
          <w:color w:val="000000"/>
          <w:sz w:val="20"/>
          <w:szCs w:val="20"/>
        </w:rPr>
        <w:t>have on our results of operations. A foreign currency gain, net, of $54 million and a foreign currency loss, net, of $93 million were recognized in the three months ended March 31, 2022 and 2021, respectively, as interest and other income, net in our conde</w:t>
      </w:r>
      <w:r>
        <w:rPr>
          <w:rFonts w:ascii="Times New Roman" w:eastAsia="宋体" w:hAnsi="Times New Roman"/>
          <w:color w:val="000000"/>
          <w:sz w:val="20"/>
          <w:szCs w:val="20"/>
        </w:rPr>
        <w:t>nsed consolidated statements of income.</w:t>
      </w:r>
    </w:p>
    <w:p w14:paraId="0B2FBA3E" w14:textId="77777777" w:rsidR="007F1775" w:rsidRDefault="007F1775">
      <w:pPr>
        <w:jc w:val="both"/>
      </w:pPr>
    </w:p>
    <w:p w14:paraId="0B2FBA3F" w14:textId="77777777" w:rsidR="007F1775" w:rsidRDefault="000F083E">
      <w:pPr>
        <w:jc w:val="both"/>
      </w:pPr>
      <w:r>
        <w:rPr>
          <w:rFonts w:ascii="Times New Roman" w:eastAsia="宋体" w:hAnsi="Times New Roman"/>
          <w:b/>
          <w:bCs/>
          <w:color w:val="000000"/>
          <w:sz w:val="20"/>
          <w:szCs w:val="20"/>
        </w:rPr>
        <w:t>Interest Rate Sensitivity</w:t>
      </w:r>
    </w:p>
    <w:p w14:paraId="0B2FBA40" w14:textId="77777777" w:rsidR="007F1775" w:rsidRDefault="007F1775">
      <w:pPr>
        <w:ind w:firstLine="540"/>
        <w:jc w:val="both"/>
      </w:pPr>
    </w:p>
    <w:p w14:paraId="0B2FBA41" w14:textId="77777777" w:rsidR="007F1775" w:rsidRDefault="000F083E">
      <w:pPr>
        <w:ind w:firstLine="540"/>
        <w:jc w:val="both"/>
      </w:pPr>
      <w:r>
        <w:rPr>
          <w:rFonts w:ascii="Times New Roman" w:eastAsia="宋体" w:hAnsi="Times New Roman"/>
          <w:color w:val="000000"/>
          <w:sz w:val="20"/>
          <w:szCs w:val="20"/>
        </w:rPr>
        <w:t>Our exposure to changes in interest rates relates primarily to interest earned and market value on our cash and cash equivalents and marketable securities.</w:t>
      </w:r>
    </w:p>
    <w:p w14:paraId="0B2FBA42" w14:textId="77777777" w:rsidR="007F1775" w:rsidRDefault="007F1775">
      <w:pPr>
        <w:ind w:firstLine="540"/>
        <w:jc w:val="both"/>
      </w:pPr>
    </w:p>
    <w:p w14:paraId="0B2FBA43" w14:textId="77777777" w:rsidR="007F1775" w:rsidRDefault="000F083E">
      <w:pPr>
        <w:ind w:firstLine="540"/>
        <w:jc w:val="both"/>
      </w:pPr>
      <w:r>
        <w:rPr>
          <w:rFonts w:ascii="Times New Roman" w:eastAsia="宋体" w:hAnsi="Times New Roman"/>
          <w:color w:val="000000"/>
          <w:sz w:val="20"/>
          <w:szCs w:val="20"/>
        </w:rPr>
        <w:t>Our cash and cash equivalents a</w:t>
      </w:r>
      <w:r>
        <w:rPr>
          <w:rFonts w:ascii="Times New Roman" w:eastAsia="宋体" w:hAnsi="Times New Roman"/>
          <w:color w:val="000000"/>
          <w:sz w:val="20"/>
          <w:szCs w:val="20"/>
        </w:rPr>
        <w:t>nd marketable securities consist of cash, certificates of deposit, time deposits, money market funds, U.S. government securities, U.S. government agency securities, and investment grade corporate debt securities. Our investment policy and strategy are focu</w:t>
      </w:r>
      <w:r>
        <w:rPr>
          <w:rFonts w:ascii="Times New Roman" w:eastAsia="宋体" w:hAnsi="Times New Roman"/>
          <w:color w:val="000000"/>
          <w:sz w:val="20"/>
          <w:szCs w:val="20"/>
        </w:rPr>
        <w:t>sed on preservation of capital and supporting our liquidity requirements. Changes in U.S. interest rates affect the interest earned on our cash and cash equivalents and marketable securities, and the market value of those securities. A hypothetical 100 bas</w:t>
      </w:r>
      <w:r>
        <w:rPr>
          <w:rFonts w:ascii="Times New Roman" w:eastAsia="宋体" w:hAnsi="Times New Roman"/>
          <w:color w:val="000000"/>
          <w:sz w:val="20"/>
          <w:szCs w:val="20"/>
        </w:rPr>
        <w:t>is point increase in interest rates would have resulted in a decrease of $678 million and $714 million in the market value of our available-for-sale debt securities as of March 31, 2022 and December 31, 2021, respectively. Any realized gains or losses resu</w:t>
      </w:r>
      <w:r>
        <w:rPr>
          <w:rFonts w:ascii="Times New Roman" w:eastAsia="宋体" w:hAnsi="Times New Roman"/>
          <w:color w:val="000000"/>
          <w:sz w:val="20"/>
          <w:szCs w:val="20"/>
        </w:rPr>
        <w:t>lting from such interest rate changes and from the current unrealized losses would only occur if we sold the investments prior to maturity.</w:t>
      </w:r>
    </w:p>
    <w:p w14:paraId="0B2FBA44" w14:textId="77777777" w:rsidR="007F1775" w:rsidRDefault="007F1775">
      <w:pPr>
        <w:jc w:val="both"/>
      </w:pPr>
    </w:p>
    <w:p w14:paraId="0B2FBA45" w14:textId="77777777" w:rsidR="007F1775" w:rsidRDefault="000F083E">
      <w:pPr>
        <w:jc w:val="both"/>
      </w:pPr>
      <w:r>
        <w:rPr>
          <w:rFonts w:ascii="Times New Roman" w:eastAsia="宋体" w:hAnsi="Times New Roman"/>
          <w:b/>
          <w:bCs/>
          <w:color w:val="000000"/>
          <w:sz w:val="20"/>
          <w:szCs w:val="20"/>
        </w:rPr>
        <w:t>Equity Investment Risk</w:t>
      </w:r>
    </w:p>
    <w:p w14:paraId="0B2FBA46" w14:textId="77777777" w:rsidR="007F1775" w:rsidRDefault="007F1775">
      <w:pPr>
        <w:ind w:firstLine="540"/>
        <w:jc w:val="both"/>
      </w:pPr>
    </w:p>
    <w:p w14:paraId="0B2FBA47" w14:textId="77777777" w:rsidR="007F1775" w:rsidRDefault="000F083E">
      <w:pPr>
        <w:ind w:firstLine="540"/>
        <w:jc w:val="both"/>
      </w:pPr>
      <w:r>
        <w:rPr>
          <w:rFonts w:ascii="Times New Roman" w:eastAsia="宋体" w:hAnsi="Times New Roman"/>
          <w:color w:val="000000"/>
          <w:sz w:val="20"/>
          <w:szCs w:val="20"/>
        </w:rPr>
        <w:t>Our equity investments are subject to a wide variety of market-related risks that could hav</w:t>
      </w:r>
      <w:r>
        <w:rPr>
          <w:rFonts w:ascii="Times New Roman" w:eastAsia="宋体" w:hAnsi="Times New Roman"/>
          <w:color w:val="000000"/>
          <w:sz w:val="20"/>
          <w:szCs w:val="20"/>
        </w:rPr>
        <w:t>e a material impact on the carrying value of our holdings. We continually evaluate our equity investments in privately-held companies.</w:t>
      </w:r>
    </w:p>
    <w:p w14:paraId="0B2FBA48" w14:textId="77777777" w:rsidR="007F1775" w:rsidRDefault="007F1775">
      <w:pPr>
        <w:ind w:firstLine="540"/>
        <w:jc w:val="both"/>
      </w:pPr>
    </w:p>
    <w:p w14:paraId="0B2FBA49" w14:textId="77777777" w:rsidR="007F1775" w:rsidRDefault="000F083E">
      <w:pPr>
        <w:ind w:firstLine="540"/>
        <w:jc w:val="both"/>
      </w:pPr>
      <w:r>
        <w:rPr>
          <w:rFonts w:ascii="Times New Roman" w:eastAsia="宋体" w:hAnsi="Times New Roman"/>
          <w:color w:val="000000"/>
          <w:sz w:val="20"/>
          <w:szCs w:val="20"/>
        </w:rPr>
        <w:t>Our equity investments are investments in equity securities of privately-held companies without readily determinable fai</w:t>
      </w:r>
      <w:r>
        <w:rPr>
          <w:rFonts w:ascii="Times New Roman" w:eastAsia="宋体" w:hAnsi="Times New Roman"/>
          <w:color w:val="000000"/>
          <w:sz w:val="20"/>
          <w:szCs w:val="20"/>
        </w:rPr>
        <w:t xml:space="preserve">r values. We elected to account for most of our equity investments using the measurement alternative, which is cost, less any impairment, adjusted for changes in fair value resulting from observable transactions for identical or similar investments of the </w:t>
      </w:r>
      <w:r>
        <w:rPr>
          <w:rFonts w:ascii="Times New Roman" w:eastAsia="宋体" w:hAnsi="Times New Roman"/>
          <w:color w:val="000000"/>
          <w:sz w:val="20"/>
          <w:szCs w:val="20"/>
        </w:rPr>
        <w:t>same issuer. We perform a qualitative assessment at each reporting date to determine whether there are triggering events for impairment. The qualitative assessment considers factors such as, but not limited to, the investee's financial condition and busine</w:t>
      </w:r>
      <w:r>
        <w:rPr>
          <w:rFonts w:ascii="Times New Roman" w:eastAsia="宋体" w:hAnsi="Times New Roman"/>
          <w:color w:val="000000"/>
          <w:sz w:val="20"/>
          <w:szCs w:val="20"/>
        </w:rPr>
        <w:t>ss outlook; industry and sector performance; economic or technological environment; and other relevant events and factors affecting the investee. Valuations of our equity investments are complex due to the lack of readily available market data and observab</w:t>
      </w:r>
      <w:r>
        <w:rPr>
          <w:rFonts w:ascii="Times New Roman" w:eastAsia="宋体" w:hAnsi="Times New Roman"/>
          <w:color w:val="000000"/>
          <w:sz w:val="20"/>
          <w:szCs w:val="20"/>
        </w:rPr>
        <w:t>le transactions. Volatility in the global economic climate and financial markets, including the recent and ongoing impact of the COVID</w:t>
      </w:r>
      <w:r>
        <w:rPr>
          <w:rFonts w:ascii="Times New Roman" w:eastAsia="宋体" w:hAnsi="Times New Roman"/>
          <w:color w:val="000000"/>
          <w:sz w:val="20"/>
          <w:szCs w:val="20"/>
        </w:rPr>
        <w:noBreakHyphen/>
        <w:t>19 pandemic, could result in a material impairment charge on our equity investments. Equity investments accounted for und</w:t>
      </w:r>
      <w:r>
        <w:rPr>
          <w:rFonts w:ascii="Times New Roman" w:eastAsia="宋体" w:hAnsi="Times New Roman"/>
          <w:color w:val="000000"/>
          <w:sz w:val="20"/>
          <w:szCs w:val="20"/>
        </w:rPr>
        <w:t>er the equity method were immaterial as of March 31, 2022 and December 31, 2021. Our total equity investments had a carrying value of $6.78 billion as of March 31, 2022 and December 31, 2021.</w:t>
      </w:r>
    </w:p>
    <w:p w14:paraId="0B2FBA4A" w14:textId="77777777" w:rsidR="007F1775" w:rsidRDefault="007F1775">
      <w:pPr>
        <w:ind w:firstLine="540"/>
        <w:jc w:val="both"/>
      </w:pPr>
    </w:p>
    <w:p w14:paraId="0B2FBA4B" w14:textId="77777777" w:rsidR="007F1775" w:rsidRDefault="000F083E">
      <w:pPr>
        <w:ind w:firstLine="540"/>
        <w:jc w:val="both"/>
      </w:pPr>
      <w:r>
        <w:rPr>
          <w:rFonts w:ascii="Times New Roman" w:eastAsia="宋体" w:hAnsi="Times New Roman"/>
          <w:color w:val="000000"/>
          <w:sz w:val="20"/>
          <w:szCs w:val="20"/>
        </w:rPr>
        <w:t>For additional information about our equity investments, see No</w:t>
      </w:r>
      <w:r>
        <w:rPr>
          <w:rFonts w:ascii="Times New Roman" w:eastAsia="宋体" w:hAnsi="Times New Roman"/>
          <w:color w:val="000000"/>
          <w:sz w:val="20"/>
          <w:szCs w:val="20"/>
        </w:rPr>
        <w:t>te 5 — Equity Investments in the notes to the condensed consolidated financial statements included in Part I, Item 1 of this Quarterly Report on Form 10-Q.</w:t>
      </w:r>
    </w:p>
    <w:p w14:paraId="0B2FBA4C" w14:textId="77777777" w:rsidR="007F1775" w:rsidRDefault="000F083E">
      <w:pPr>
        <w:jc w:val="center"/>
      </w:pPr>
      <w:r>
        <w:rPr>
          <w:rFonts w:ascii="Times New Roman" w:eastAsia="宋体" w:hAnsi="Times New Roman"/>
          <w:color w:val="000000"/>
          <w:sz w:val="20"/>
          <w:szCs w:val="20"/>
        </w:rPr>
        <w:t>46</w:t>
      </w:r>
    </w:p>
    <w:p w14:paraId="0B2FBA4D" w14:textId="77777777" w:rsidR="007F1775" w:rsidRDefault="000F083E">
      <w:r>
        <w:pict w14:anchorId="0B2FBFBB">
          <v:rect id="_x0000_i1070" style="width:415.3pt;height:1.5pt" o:hralign="center" o:hrstd="t" o:hr="t" fillcolor="#a0a0a0" stroked="f"/>
        </w:pict>
      </w:r>
    </w:p>
    <w:p w14:paraId="0B2FBA4E" w14:textId="77777777" w:rsidR="007F1775" w:rsidRDefault="007F1775"/>
    <w:p w14:paraId="0B2FBA4F" w14:textId="77777777" w:rsidR="007F1775" w:rsidRDefault="007F1775"/>
    <w:p w14:paraId="0B2FBA50" w14:textId="77777777" w:rsidR="007F1775" w:rsidRDefault="000F083E">
      <w:hyperlink r:id="rId124" w:anchor="iea70e328caa94cefb76a9db6ed6338fc_7" w:history="1">
        <w:r>
          <w:rPr>
            <w:rStyle w:val="a5"/>
            <w:rFonts w:ascii="Times New Roman" w:eastAsia="宋体" w:hAnsi="Times New Roman"/>
            <w:sz w:val="20"/>
            <w:szCs w:val="20"/>
          </w:rPr>
          <w:t>Table of Contents</w:t>
        </w:r>
      </w:hyperlink>
    </w:p>
    <w:p w14:paraId="0B2FBA51" w14:textId="77777777" w:rsidR="007F1775" w:rsidRDefault="000F083E">
      <w:pPr>
        <w:pBdr>
          <w:left w:val="none" w:sz="0" w:space="0" w:color="auto"/>
        </w:pBdr>
        <w:spacing w:before="180"/>
        <w:ind w:hanging="360"/>
      </w:pPr>
      <w:r>
        <w:rPr>
          <w:rFonts w:ascii="Times New Roman" w:eastAsia="宋体" w:hAnsi="Times New Roman"/>
          <w:b/>
          <w:bCs/>
          <w:color w:val="000000"/>
          <w:sz w:val="20"/>
          <w:szCs w:val="20"/>
        </w:rPr>
        <w:t>Item 4.Controls and Procedures</w:t>
      </w:r>
    </w:p>
    <w:p w14:paraId="0B2FBA52" w14:textId="77777777" w:rsidR="007F1775" w:rsidRDefault="007F1775"/>
    <w:p w14:paraId="0B2FBA53" w14:textId="77777777" w:rsidR="007F1775" w:rsidRDefault="000F083E">
      <w:r>
        <w:rPr>
          <w:rFonts w:ascii="Times New Roman" w:eastAsia="宋体" w:hAnsi="Times New Roman"/>
          <w:b/>
          <w:bCs/>
          <w:color w:val="000000"/>
          <w:sz w:val="20"/>
          <w:szCs w:val="20"/>
        </w:rPr>
        <w:t>Evaluation of Disclosure Controls and Procedures</w:t>
      </w:r>
    </w:p>
    <w:p w14:paraId="0B2FBA54" w14:textId="77777777" w:rsidR="007F1775" w:rsidRDefault="007F1775">
      <w:pPr>
        <w:ind w:firstLine="540"/>
        <w:jc w:val="both"/>
      </w:pPr>
    </w:p>
    <w:p w14:paraId="0B2FBA55" w14:textId="77777777" w:rsidR="007F1775" w:rsidRDefault="000F083E">
      <w:pPr>
        <w:ind w:firstLine="540"/>
        <w:jc w:val="both"/>
      </w:pPr>
      <w:r>
        <w:rPr>
          <w:rFonts w:ascii="Times New Roman" w:eastAsia="宋体" w:hAnsi="Times New Roman"/>
          <w:color w:val="000000"/>
          <w:sz w:val="20"/>
          <w:szCs w:val="20"/>
        </w:rPr>
        <w:t xml:space="preserve">Our management, with the participation of our chief executive officer (CEO) and chief financial </w:t>
      </w:r>
      <w:r>
        <w:rPr>
          <w:rFonts w:ascii="Times New Roman" w:eastAsia="宋体" w:hAnsi="Times New Roman"/>
          <w:color w:val="000000"/>
          <w:sz w:val="20"/>
          <w:szCs w:val="20"/>
        </w:rPr>
        <w:t>officer (CFO), has evaluated the effectiveness of our disclosure controls and procedures (as defined in Rules 13a- 15(e) and 15d- 15(e) under the Securities Exchange Act of 1934, as amended (Exchange Act)), as of the end of the period covered by this Quart</w:t>
      </w:r>
      <w:r>
        <w:rPr>
          <w:rFonts w:ascii="Times New Roman" w:eastAsia="宋体" w:hAnsi="Times New Roman"/>
          <w:color w:val="000000"/>
          <w:sz w:val="20"/>
          <w:szCs w:val="20"/>
        </w:rPr>
        <w:t>erly Report on Form 10-Q. Based on such evaluation, our CEO and CFO have concluded that as of March 31, 2022, our disclosure controls and procedures are designed at a reasonable assurance level and are effective to provide reasonable assurance that informa</w:t>
      </w:r>
      <w:r>
        <w:rPr>
          <w:rFonts w:ascii="Times New Roman" w:eastAsia="宋体" w:hAnsi="Times New Roman"/>
          <w:color w:val="000000"/>
          <w:sz w:val="20"/>
          <w:szCs w:val="20"/>
        </w:rPr>
        <w:t>tion we are required to disclose in reports that we file or submit under the Exchange Act is recorded, processed, summarized, and reported within the time periods specified in the rules and forms of the Securities and Exchange Commission, and that such inf</w:t>
      </w:r>
      <w:r>
        <w:rPr>
          <w:rFonts w:ascii="Times New Roman" w:eastAsia="宋体" w:hAnsi="Times New Roman"/>
          <w:color w:val="000000"/>
          <w:sz w:val="20"/>
          <w:szCs w:val="20"/>
        </w:rPr>
        <w:t>ormation is accumulated and communicated to our management, including our CEO and CFO, as appropriate, to allow timely decisions regarding required disclosure.</w:t>
      </w:r>
    </w:p>
    <w:p w14:paraId="0B2FBA56" w14:textId="77777777" w:rsidR="007F1775" w:rsidRDefault="000F083E">
      <w:pPr>
        <w:spacing w:before="180"/>
      </w:pPr>
      <w:r>
        <w:rPr>
          <w:rFonts w:ascii="Times New Roman" w:eastAsia="宋体" w:hAnsi="Times New Roman"/>
          <w:b/>
          <w:bCs/>
          <w:color w:val="000000"/>
          <w:sz w:val="20"/>
          <w:szCs w:val="20"/>
        </w:rPr>
        <w:t>Changes in Internal Control</w:t>
      </w:r>
    </w:p>
    <w:p w14:paraId="0B2FBA57" w14:textId="77777777" w:rsidR="007F1775" w:rsidRDefault="007F1775">
      <w:pPr>
        <w:ind w:firstLine="540"/>
        <w:jc w:val="both"/>
      </w:pPr>
    </w:p>
    <w:p w14:paraId="0B2FBA58" w14:textId="77777777" w:rsidR="007F1775" w:rsidRDefault="000F083E">
      <w:pPr>
        <w:ind w:firstLine="540"/>
        <w:jc w:val="both"/>
      </w:pPr>
      <w:r>
        <w:rPr>
          <w:rFonts w:ascii="Times New Roman" w:eastAsia="宋体" w:hAnsi="Times New Roman"/>
          <w:color w:val="000000"/>
          <w:sz w:val="20"/>
          <w:szCs w:val="20"/>
        </w:rPr>
        <w:t xml:space="preserve">There were no changes in our internal control over </w:t>
      </w:r>
      <w:r>
        <w:rPr>
          <w:rFonts w:ascii="Times New Roman" w:eastAsia="宋体" w:hAnsi="Times New Roman"/>
          <w:color w:val="000000"/>
          <w:sz w:val="20"/>
          <w:szCs w:val="20"/>
        </w:rPr>
        <w:t xml:space="preserve">financial reporting identified in management's evaluation pursuant to Rules 13a-15(d) or 15d-15(d) of the Exchange Act during the period covered by this Quarterly Report on Form 10-Q that materially affected, or are reasonably likely to materially affect, </w:t>
      </w:r>
      <w:r>
        <w:rPr>
          <w:rFonts w:ascii="Times New Roman" w:eastAsia="宋体" w:hAnsi="Times New Roman"/>
          <w:color w:val="000000"/>
          <w:sz w:val="20"/>
          <w:szCs w:val="20"/>
        </w:rPr>
        <w:t>our internal control over financial reporting.</w:t>
      </w:r>
    </w:p>
    <w:p w14:paraId="0B2FBA59" w14:textId="77777777" w:rsidR="007F1775" w:rsidRDefault="000F083E">
      <w:pPr>
        <w:spacing w:before="180"/>
      </w:pPr>
      <w:r>
        <w:rPr>
          <w:rFonts w:ascii="Times New Roman" w:eastAsia="宋体" w:hAnsi="Times New Roman"/>
          <w:b/>
          <w:bCs/>
          <w:color w:val="000000"/>
          <w:sz w:val="20"/>
          <w:szCs w:val="20"/>
        </w:rPr>
        <w:t>Limitations on Effectiveness of Controls and Procedures</w:t>
      </w:r>
    </w:p>
    <w:p w14:paraId="0B2FBA5A" w14:textId="77777777" w:rsidR="007F1775" w:rsidRDefault="007F1775">
      <w:pPr>
        <w:ind w:firstLine="540"/>
        <w:jc w:val="both"/>
      </w:pPr>
    </w:p>
    <w:p w14:paraId="0B2FBA5B" w14:textId="77777777" w:rsidR="007F1775" w:rsidRDefault="000F083E">
      <w:pPr>
        <w:ind w:firstLine="540"/>
        <w:jc w:val="both"/>
      </w:pPr>
      <w:r>
        <w:rPr>
          <w:rFonts w:ascii="Times New Roman" w:eastAsia="宋体" w:hAnsi="Times New Roman"/>
          <w:color w:val="000000"/>
          <w:sz w:val="20"/>
          <w:szCs w:val="20"/>
        </w:rPr>
        <w:t>In designing and evaluating the disclosure controls and procedures and internal control over financial reporting, management recognizes that any control</w:t>
      </w:r>
      <w:r>
        <w:rPr>
          <w:rFonts w:ascii="Times New Roman" w:eastAsia="宋体" w:hAnsi="Times New Roman"/>
          <w:color w:val="000000"/>
          <w:sz w:val="20"/>
          <w:szCs w:val="20"/>
        </w:rPr>
        <w:t xml:space="preserve">s and procedures, no matter how well designed and operated, can provide only reasonable assurance of achieving the desired control objectives. In addition, the design of disclosure controls and procedures and internal control over financial reporting must </w:t>
      </w:r>
      <w:r>
        <w:rPr>
          <w:rFonts w:ascii="Times New Roman" w:eastAsia="宋体" w:hAnsi="Times New Roman"/>
          <w:color w:val="000000"/>
          <w:sz w:val="20"/>
          <w:szCs w:val="20"/>
        </w:rPr>
        <w:t>reflect the fact that there are resource constraints and that management is required to apply judgment in evaluating the benefits of possible controls and procedures relative to their costs.</w:t>
      </w:r>
    </w:p>
    <w:p w14:paraId="0B2FBA5C" w14:textId="77777777" w:rsidR="007F1775" w:rsidRDefault="007F1775">
      <w:pPr>
        <w:spacing w:before="180"/>
        <w:ind w:firstLine="540"/>
        <w:jc w:val="both"/>
      </w:pPr>
    </w:p>
    <w:p w14:paraId="0B2FBA5D" w14:textId="77777777" w:rsidR="007F1775" w:rsidRDefault="000F083E">
      <w:pPr>
        <w:jc w:val="center"/>
      </w:pPr>
      <w:r>
        <w:rPr>
          <w:rFonts w:ascii="Times New Roman" w:eastAsia="宋体" w:hAnsi="Times New Roman"/>
          <w:color w:val="000000"/>
          <w:sz w:val="20"/>
          <w:szCs w:val="20"/>
        </w:rPr>
        <w:t>47</w:t>
      </w:r>
    </w:p>
    <w:p w14:paraId="0B2FBA5E" w14:textId="77777777" w:rsidR="007F1775" w:rsidRDefault="000F083E">
      <w:r>
        <w:pict w14:anchorId="0B2FBFBC">
          <v:rect id="_x0000_i1071" style="width:415.3pt;height:1.5pt" o:hralign="center" o:hrstd="t" o:hr="t" fillcolor="#a0a0a0" stroked="f"/>
        </w:pict>
      </w:r>
    </w:p>
    <w:p w14:paraId="0B2FBA5F" w14:textId="77777777" w:rsidR="007F1775" w:rsidRDefault="007F1775"/>
    <w:p w14:paraId="0B2FBA60" w14:textId="77777777" w:rsidR="007F1775" w:rsidRDefault="007F1775"/>
    <w:p w14:paraId="0B2FBA61" w14:textId="77777777" w:rsidR="007F1775" w:rsidRDefault="000F083E">
      <w:hyperlink r:id="rId125" w:anchor="iea70e328caa94cefb76a9db6ed6338fc_7" w:history="1">
        <w:r>
          <w:rPr>
            <w:rStyle w:val="a5"/>
            <w:rFonts w:ascii="Times New Roman" w:eastAsia="宋体" w:hAnsi="Times New Roman"/>
            <w:sz w:val="20"/>
            <w:szCs w:val="20"/>
          </w:rPr>
          <w:t>Table of Contents</w:t>
        </w:r>
      </w:hyperlink>
    </w:p>
    <w:p w14:paraId="0B2FBA62" w14:textId="77777777" w:rsidR="007F1775" w:rsidRDefault="000F083E">
      <w:r>
        <w:rPr>
          <w:rFonts w:ascii="Times New Roman" w:eastAsia="宋体" w:hAnsi="Times New Roman"/>
          <w:b/>
          <w:bCs/>
          <w:color w:val="000000"/>
          <w:sz w:val="20"/>
          <w:szCs w:val="20"/>
        </w:rPr>
        <w:t>PART II—OTHER INFORMATION</w:t>
      </w:r>
    </w:p>
    <w:p w14:paraId="0B2FBA63" w14:textId="77777777" w:rsidR="007F1775" w:rsidRDefault="000F083E">
      <w:pPr>
        <w:pBdr>
          <w:left w:val="none" w:sz="0" w:space="0" w:color="auto"/>
        </w:pBdr>
        <w:spacing w:before="180"/>
        <w:ind w:hanging="360"/>
      </w:pPr>
      <w:r>
        <w:rPr>
          <w:rFonts w:ascii="Times New Roman" w:eastAsia="宋体" w:hAnsi="Times New Roman"/>
          <w:b/>
          <w:bCs/>
          <w:color w:val="000000"/>
          <w:sz w:val="20"/>
          <w:szCs w:val="20"/>
        </w:rPr>
        <w:t>Item 1.Legal Proceedings</w:t>
      </w:r>
    </w:p>
    <w:p w14:paraId="0B2FBA64" w14:textId="77777777" w:rsidR="007F1775" w:rsidRDefault="007F1775">
      <w:pPr>
        <w:ind w:firstLine="540"/>
        <w:jc w:val="both"/>
      </w:pPr>
    </w:p>
    <w:p w14:paraId="0B2FBA65" w14:textId="77777777" w:rsidR="007F1775" w:rsidRDefault="000F083E">
      <w:pPr>
        <w:ind w:firstLine="540"/>
        <w:jc w:val="both"/>
      </w:pPr>
      <w:r>
        <w:rPr>
          <w:rFonts w:ascii="Times New Roman" w:eastAsia="宋体" w:hAnsi="Times New Roman"/>
          <w:color w:val="000000"/>
          <w:sz w:val="20"/>
          <w:szCs w:val="20"/>
        </w:rPr>
        <w:t>Beginning on March 20, 2018, multiple putative class actions and derivative actions were filed in state and federal courts in the United States and elsewhere against us and certain of our directors and officers alleging violations of securities laws, breac</w:t>
      </w:r>
      <w:r>
        <w:rPr>
          <w:rFonts w:ascii="Times New Roman" w:eastAsia="宋体" w:hAnsi="Times New Roman"/>
          <w:color w:val="000000"/>
          <w:sz w:val="20"/>
          <w:szCs w:val="20"/>
        </w:rPr>
        <w:t>h of fiduciary duties, and other causes of action in connection with our platform and user data practices as well as the misuse of certain data by a developer that shared such data with third parties in violation of our terms and policies, and seeking unsp</w:t>
      </w:r>
      <w:r>
        <w:rPr>
          <w:rFonts w:ascii="Times New Roman" w:eastAsia="宋体" w:hAnsi="Times New Roman"/>
          <w:color w:val="000000"/>
          <w:sz w:val="20"/>
          <w:szCs w:val="20"/>
        </w:rPr>
        <w:t>ecified damages and injunctive relief. Beginning on July 27, 2018, two putative class actions were filed in federal court in the United States against us and certain of our directors and officers alleging violations of securities laws in connection with th</w:t>
      </w:r>
      <w:r>
        <w:rPr>
          <w:rFonts w:ascii="Times New Roman" w:eastAsia="宋体" w:hAnsi="Times New Roman"/>
          <w:color w:val="000000"/>
          <w:sz w:val="20"/>
          <w:szCs w:val="20"/>
        </w:rPr>
        <w:t>e disclosure of our earnings results for the second quarter of 2018 and seeking unspecified damages. These two actions subsequently were transferred and consolidated in the U.S. District Court for the Northern District of California with the putative secur</w:t>
      </w:r>
      <w:r>
        <w:rPr>
          <w:rFonts w:ascii="Times New Roman" w:eastAsia="宋体" w:hAnsi="Times New Roman"/>
          <w:color w:val="000000"/>
          <w:sz w:val="20"/>
          <w:szCs w:val="20"/>
        </w:rPr>
        <w:t>ities class action described above relating to our platform and user data practices. On September 25, 2019, the district court granted our motion to dismiss the consolidated putative securities class action, with leave to amend. On November 15, 2019, a sec</w:t>
      </w:r>
      <w:r>
        <w:rPr>
          <w:rFonts w:ascii="Times New Roman" w:eastAsia="宋体" w:hAnsi="Times New Roman"/>
          <w:color w:val="000000"/>
          <w:sz w:val="20"/>
          <w:szCs w:val="20"/>
        </w:rPr>
        <w:t xml:space="preserve">ond amended complaint was filed in the consolidated putative securities class action. On August 7, 2020, the district court granted our motion to dismiss the second amended complaint, with leave to amend. On October 16, 2020, a third amended complaint was </w:t>
      </w:r>
      <w:r>
        <w:rPr>
          <w:rFonts w:ascii="Times New Roman" w:eastAsia="宋体" w:hAnsi="Times New Roman"/>
          <w:color w:val="000000"/>
          <w:sz w:val="20"/>
          <w:szCs w:val="20"/>
        </w:rPr>
        <w:t>filed in the consolidated putative securities class action. On December 20, 2021, the district court granted our motion to dismiss the third amended complaint, with prejudice. On January 17, 2022, the plaintiffs filed a notice of appeal of the order dismis</w:t>
      </w:r>
      <w:r>
        <w:rPr>
          <w:rFonts w:ascii="Times New Roman" w:eastAsia="宋体" w:hAnsi="Times New Roman"/>
          <w:color w:val="000000"/>
          <w:sz w:val="20"/>
          <w:szCs w:val="20"/>
        </w:rPr>
        <w:t>sing their case, and the appeal is now pending before the U.S. Court of Appeals for the Ninth Circuit. With respect to the multiple putative class actions filed against us beginning on March 20, 2018 alleging fraud and violations of consumer protection, pr</w:t>
      </w:r>
      <w:r>
        <w:rPr>
          <w:rFonts w:ascii="Times New Roman" w:eastAsia="宋体" w:hAnsi="Times New Roman"/>
          <w:color w:val="000000"/>
          <w:sz w:val="20"/>
          <w:szCs w:val="20"/>
        </w:rPr>
        <w:t>ivacy, and other laws in connection with the same matters, several of the cases brought on behalf of consumers in the United States were consolidated in the U.S. District Court for the Northern District of California. On September 9, 2019, the court grante</w:t>
      </w:r>
      <w:r>
        <w:rPr>
          <w:rFonts w:ascii="Times New Roman" w:eastAsia="宋体" w:hAnsi="Times New Roman"/>
          <w:color w:val="000000"/>
          <w:sz w:val="20"/>
          <w:szCs w:val="20"/>
        </w:rPr>
        <w:t>d, in part, and denied, in part, our motion to dismiss the consolidated putative consumer class action. In addition, our platform and user data practices, as well as the events surrounding the misuse of certain data by a developer, became the subject of U.</w:t>
      </w:r>
      <w:r>
        <w:rPr>
          <w:rFonts w:ascii="Times New Roman" w:eastAsia="宋体" w:hAnsi="Times New Roman"/>
          <w:color w:val="000000"/>
          <w:sz w:val="20"/>
          <w:szCs w:val="20"/>
        </w:rPr>
        <w:t>S. Federal Trade Commission (FTC), state attorneys general, and other government inquiries in the United States, Europe, and other jurisdictions. We entered into a settlement and modified consent order to resolve the FTC inquiry, which took effect in April</w:t>
      </w:r>
      <w:r>
        <w:rPr>
          <w:rFonts w:ascii="Times New Roman" w:eastAsia="宋体" w:hAnsi="Times New Roman"/>
          <w:color w:val="000000"/>
          <w:sz w:val="20"/>
          <w:szCs w:val="20"/>
        </w:rPr>
        <w:t xml:space="preserve"> 2020 and required us to pay a penalty of $5.0 billion and to significantly enhance our practices and processes for privacy compliance and oversight. The state attorneys general inquiry and certain government inquiries in other jurisdictions remain ongoing</w:t>
      </w:r>
      <w:r>
        <w:rPr>
          <w:rFonts w:ascii="Times New Roman" w:eastAsia="宋体" w:hAnsi="Times New Roman"/>
          <w:color w:val="000000"/>
          <w:sz w:val="20"/>
          <w:szCs w:val="20"/>
        </w:rPr>
        <w:t xml:space="preserve"> and could subject us to additional substantial fines and costs, require us to change our business practices, divert resources and the attention of management from our business, or adversely affect our business. On July 16, 2021, a stockholder derivative a</w:t>
      </w:r>
      <w:r>
        <w:rPr>
          <w:rFonts w:ascii="Times New Roman" w:eastAsia="宋体" w:hAnsi="Times New Roman"/>
          <w:color w:val="000000"/>
          <w:sz w:val="20"/>
          <w:szCs w:val="20"/>
        </w:rPr>
        <w:t xml:space="preserve">ction was filed in Delaware Chancery Court against certain of our directors and officers asserting breach of fiduciary duty and related claims relating to our historical platform and user data practices, as well as our settlement with the FTC. On July 20, </w:t>
      </w:r>
      <w:r>
        <w:rPr>
          <w:rFonts w:ascii="Times New Roman" w:eastAsia="宋体" w:hAnsi="Times New Roman"/>
          <w:color w:val="000000"/>
          <w:sz w:val="20"/>
          <w:szCs w:val="20"/>
        </w:rPr>
        <w:t>2021, other stockholders filed an amended derivative complaint in a related Delaware Chancery Court action, asserting breach of fiduciary duty and related claims against certain of our current and former directors and officers in connection with our histor</w:t>
      </w:r>
      <w:r>
        <w:rPr>
          <w:rFonts w:ascii="Times New Roman" w:eastAsia="宋体" w:hAnsi="Times New Roman"/>
          <w:color w:val="000000"/>
          <w:sz w:val="20"/>
          <w:szCs w:val="20"/>
        </w:rPr>
        <w:t>ical platform and user data practices. On November 4, 2021, the lead plaintiffs filed a second amended and consolidated complaint in the stockholder derivative action. We believe the lawsuits described above are without merit, and we are vigorously defendi</w:t>
      </w:r>
      <w:r>
        <w:rPr>
          <w:rFonts w:ascii="Times New Roman" w:eastAsia="宋体" w:hAnsi="Times New Roman"/>
          <w:color w:val="000000"/>
          <w:sz w:val="20"/>
          <w:szCs w:val="20"/>
        </w:rPr>
        <w:t>ng them.</w:t>
      </w:r>
    </w:p>
    <w:p w14:paraId="0B2FBA66" w14:textId="77777777" w:rsidR="007F1775" w:rsidRDefault="007F1775">
      <w:pPr>
        <w:ind w:firstLine="540"/>
        <w:jc w:val="both"/>
      </w:pPr>
    </w:p>
    <w:p w14:paraId="0B2FBA67" w14:textId="77777777" w:rsidR="007F1775" w:rsidRDefault="000F083E">
      <w:pPr>
        <w:ind w:firstLine="540"/>
        <w:jc w:val="both"/>
      </w:pPr>
      <w:r>
        <w:rPr>
          <w:rFonts w:ascii="Times New Roman" w:eastAsia="宋体" w:hAnsi="Times New Roman"/>
          <w:color w:val="000000"/>
          <w:sz w:val="20"/>
          <w:szCs w:val="20"/>
        </w:rPr>
        <w:t>We also notify the Irish Data Protection Commission (IDPC), our lead European Union privacy regulator under the General Data Protection Regulation (GDPR), of certain other personal data breaches and privacy issues, and are subject to inquiries an</w:t>
      </w:r>
      <w:r>
        <w:rPr>
          <w:rFonts w:ascii="Times New Roman" w:eastAsia="宋体" w:hAnsi="Times New Roman"/>
          <w:color w:val="000000"/>
          <w:sz w:val="20"/>
          <w:szCs w:val="20"/>
        </w:rPr>
        <w:t>d investigations by the IDPC and other European regulators regarding various aspects of our regulatory compliance. For example, in August 2020, we received a preliminary draft decision from the IDPC that preliminarily concluded that Meta Platforms Ireland'</w:t>
      </w:r>
      <w:r>
        <w:rPr>
          <w:rFonts w:ascii="Times New Roman" w:eastAsia="宋体" w:hAnsi="Times New Roman"/>
          <w:color w:val="000000"/>
          <w:sz w:val="20"/>
          <w:szCs w:val="20"/>
        </w:rPr>
        <w:t>s reliance on Standard Contractual Clauses in respect of European user data does not achieve compliance with the GDPR and preliminarily proposed that such transfers of user data from the European Union to the United States should therefore be suspended. Me</w:t>
      </w:r>
      <w:r>
        <w:rPr>
          <w:rFonts w:ascii="Times New Roman" w:eastAsia="宋体" w:hAnsi="Times New Roman"/>
          <w:color w:val="000000"/>
          <w:sz w:val="20"/>
          <w:szCs w:val="20"/>
        </w:rPr>
        <w:t>ta Platforms Ireland challenged procedural aspects of this IDPC inquiry in a judicial review commenced in the Irish High Court in September 2020. On May 14, 2021, the court rejected Meta Platforms Ireland's procedural challenges, and the inquiry subsequent</w:t>
      </w:r>
      <w:r>
        <w:rPr>
          <w:rFonts w:ascii="Times New Roman" w:eastAsia="宋体" w:hAnsi="Times New Roman"/>
          <w:color w:val="000000"/>
          <w:sz w:val="20"/>
          <w:szCs w:val="20"/>
        </w:rPr>
        <w:t xml:space="preserve">ly recommenced. In February 2022, we received a revised preliminary draft decision in which the IDPC maintained its preliminary conclusion that Meta Platforms Ireland's transfers of European user data from the European Union to the United States should be </w:t>
      </w:r>
      <w:r>
        <w:rPr>
          <w:rFonts w:ascii="Times New Roman" w:eastAsia="宋体" w:hAnsi="Times New Roman"/>
          <w:color w:val="000000"/>
          <w:sz w:val="20"/>
          <w:szCs w:val="20"/>
        </w:rPr>
        <w:t>suspended as they relate to users of the Facebook service. We believe a final decision in this inquiry may issue as early as the second half of 2022. For additional information, see Part II, Item 1A, "Risk Factors—Our business is subject to complex and evo</w:t>
      </w:r>
      <w:r>
        <w:rPr>
          <w:rFonts w:ascii="Times New Roman" w:eastAsia="宋体" w:hAnsi="Times New Roman"/>
          <w:color w:val="000000"/>
          <w:sz w:val="20"/>
          <w:szCs w:val="20"/>
        </w:rPr>
        <w:t>lving U.S. and foreign laws and regulations regarding privacy, data use and data protection, content, competition, safety and consumer protection, e</w:t>
      </w:r>
      <w:r>
        <w:rPr>
          <w:rFonts w:ascii="sans-serif" w:eastAsia="sans-serif" w:hAnsi="sans-serif" w:cs="sans-serif"/>
          <w:color w:val="2B2E2F"/>
          <w:sz w:val="21"/>
          <w:szCs w:val="21"/>
        </w:rPr>
        <w:noBreakHyphen/>
      </w:r>
      <w:r>
        <w:rPr>
          <w:rFonts w:ascii="Times New Roman" w:eastAsia="宋体" w:hAnsi="Times New Roman"/>
          <w:color w:val="000000"/>
          <w:sz w:val="20"/>
          <w:szCs w:val="20"/>
        </w:rPr>
        <w:t>commerce, and other matters" in this Quarterly Report on Form 10-Q. Any such inquiries or investigations co</w:t>
      </w:r>
      <w:r>
        <w:rPr>
          <w:rFonts w:ascii="Times New Roman" w:eastAsia="宋体" w:hAnsi="Times New Roman"/>
          <w:color w:val="000000"/>
          <w:sz w:val="20"/>
          <w:szCs w:val="20"/>
        </w:rPr>
        <w:t xml:space="preserve">uld subject us </w:t>
      </w:r>
    </w:p>
    <w:p w14:paraId="0B2FBA68" w14:textId="77777777" w:rsidR="007F1775" w:rsidRDefault="000F083E">
      <w:pPr>
        <w:jc w:val="center"/>
      </w:pPr>
      <w:r>
        <w:rPr>
          <w:rFonts w:ascii="Times New Roman" w:eastAsia="宋体" w:hAnsi="Times New Roman"/>
          <w:color w:val="000000"/>
          <w:sz w:val="20"/>
          <w:szCs w:val="20"/>
        </w:rPr>
        <w:t>48</w:t>
      </w:r>
    </w:p>
    <w:p w14:paraId="0B2FBA69" w14:textId="77777777" w:rsidR="007F1775" w:rsidRDefault="000F083E">
      <w:r>
        <w:pict w14:anchorId="0B2FBFBD">
          <v:rect id="_x0000_i1072" style="width:415.3pt;height:1.5pt" o:hralign="center" o:hrstd="t" o:hr="t" fillcolor="#a0a0a0" stroked="f"/>
        </w:pict>
      </w:r>
    </w:p>
    <w:p w14:paraId="0B2FBA6A" w14:textId="77777777" w:rsidR="007F1775" w:rsidRDefault="007F1775"/>
    <w:p w14:paraId="0B2FBA6B" w14:textId="77777777" w:rsidR="007F1775" w:rsidRDefault="007F1775"/>
    <w:p w14:paraId="0B2FBA6C" w14:textId="77777777" w:rsidR="007F1775" w:rsidRDefault="000F083E">
      <w:hyperlink r:id="rId126" w:anchor="iea70e328caa94cefb76a9db6ed6338fc_7" w:history="1">
        <w:r>
          <w:rPr>
            <w:rStyle w:val="a5"/>
            <w:rFonts w:ascii="Times New Roman" w:eastAsia="宋体" w:hAnsi="Times New Roman"/>
            <w:sz w:val="20"/>
            <w:szCs w:val="20"/>
          </w:rPr>
          <w:t>Table of Contents</w:t>
        </w:r>
      </w:hyperlink>
    </w:p>
    <w:p w14:paraId="0B2FBA6D" w14:textId="77777777" w:rsidR="007F1775" w:rsidRDefault="000F083E">
      <w:pPr>
        <w:jc w:val="both"/>
      </w:pPr>
      <w:r>
        <w:rPr>
          <w:rFonts w:ascii="Times New Roman" w:eastAsia="宋体" w:hAnsi="Times New Roman"/>
          <w:color w:val="000000"/>
          <w:sz w:val="20"/>
          <w:szCs w:val="20"/>
        </w:rPr>
        <w:t xml:space="preserve">to substantial fines and costs, require us to change our </w:t>
      </w:r>
      <w:r>
        <w:rPr>
          <w:rFonts w:ascii="Times New Roman" w:eastAsia="宋体" w:hAnsi="Times New Roman"/>
          <w:color w:val="000000"/>
          <w:sz w:val="20"/>
          <w:szCs w:val="20"/>
        </w:rPr>
        <w:t>business practices, divert resources and the attention of management from our business, or adversely affect our business.</w:t>
      </w:r>
    </w:p>
    <w:p w14:paraId="0B2FBA6E" w14:textId="77777777" w:rsidR="007F1775" w:rsidRDefault="007F1775">
      <w:pPr>
        <w:ind w:firstLine="540"/>
        <w:jc w:val="both"/>
      </w:pPr>
    </w:p>
    <w:p w14:paraId="0B2FBA6F" w14:textId="77777777" w:rsidR="007F1775" w:rsidRDefault="000F083E">
      <w:pPr>
        <w:ind w:firstLine="540"/>
        <w:jc w:val="both"/>
      </w:pPr>
      <w:r>
        <w:rPr>
          <w:rFonts w:ascii="Times New Roman" w:eastAsia="宋体" w:hAnsi="Times New Roman"/>
          <w:color w:val="000000"/>
          <w:sz w:val="20"/>
          <w:szCs w:val="20"/>
        </w:rPr>
        <w:t>In addition, we are subject to various litigation and government inquiries and investigations, formal or informal, by competition aut</w:t>
      </w:r>
      <w:r>
        <w:rPr>
          <w:rFonts w:ascii="Times New Roman" w:eastAsia="宋体" w:hAnsi="Times New Roman"/>
          <w:color w:val="000000"/>
          <w:sz w:val="20"/>
          <w:szCs w:val="20"/>
        </w:rPr>
        <w:t xml:space="preserve">horities in the United States, Europe, and other jurisdictions. Such investigations, inquiries, and lawsuits concern, among other things, our business practices in the areas of social networking or social media services, digital advertising, and/or mobile </w:t>
      </w:r>
      <w:r>
        <w:rPr>
          <w:rFonts w:ascii="Times New Roman" w:eastAsia="宋体" w:hAnsi="Times New Roman"/>
          <w:color w:val="000000"/>
          <w:sz w:val="20"/>
          <w:szCs w:val="20"/>
        </w:rPr>
        <w:t>or online applications, as well as our acquisitions. For example, in June 2019 we were informed by the FTC that it had opened an antitrust investigation of our company. On December 9, 2020, the FTC filed a complaint against us in the U.S. District Court fo</w:t>
      </w:r>
      <w:r>
        <w:rPr>
          <w:rFonts w:ascii="Times New Roman" w:eastAsia="宋体" w:hAnsi="Times New Roman"/>
          <w:color w:val="000000"/>
          <w:sz w:val="20"/>
          <w:szCs w:val="20"/>
        </w:rPr>
        <w:t>r the District of Columbia alleging that we engaged in anticompetitive conduct and unfair methods of competition in violation of Section 5 of the Federal Trade Commission Act and Section 2 of the Sherman Act, including by acquiring Instagram in 2012 and Wh</w:t>
      </w:r>
      <w:r>
        <w:rPr>
          <w:rFonts w:ascii="Times New Roman" w:eastAsia="宋体" w:hAnsi="Times New Roman"/>
          <w:color w:val="000000"/>
          <w:sz w:val="20"/>
          <w:szCs w:val="20"/>
        </w:rPr>
        <w:t>atsApp in 2014 and by maintaining conditions on access to our platform. In addition, beginning in the third quarter of 2019, we became the subject of antitrust investigations by the U.S. Department of Justice and state attorneys general. On December 9, 202</w:t>
      </w:r>
      <w:r>
        <w:rPr>
          <w:rFonts w:ascii="Times New Roman" w:eastAsia="宋体" w:hAnsi="Times New Roman"/>
          <w:color w:val="000000"/>
          <w:sz w:val="20"/>
          <w:szCs w:val="20"/>
        </w:rPr>
        <w:t xml:space="preserve">0, the attorneys general from 46 states, the territory of Guam, and the District of Columbia filed a complaint against us in the U.S. District Court for the District of Columbia alleging that we engaged in anticompetitive conduct in violation of Section 2 </w:t>
      </w:r>
      <w:r>
        <w:rPr>
          <w:rFonts w:ascii="Times New Roman" w:eastAsia="宋体" w:hAnsi="Times New Roman"/>
          <w:color w:val="000000"/>
          <w:sz w:val="20"/>
          <w:szCs w:val="20"/>
        </w:rPr>
        <w:t>of the Sherman Act, including by acquiring Instagram in 2012 and WhatsApp in 2014 and by maintaining conditions on access to our platform. The complaint also alleged that we violated Section 7 of the Clayton Act by acquiring Instagram and WhatsApp. The com</w:t>
      </w:r>
      <w:r>
        <w:rPr>
          <w:rFonts w:ascii="Times New Roman" w:eastAsia="宋体" w:hAnsi="Times New Roman"/>
          <w:color w:val="000000"/>
          <w:sz w:val="20"/>
          <w:szCs w:val="20"/>
        </w:rPr>
        <w:t>plaints of the FTC and attorneys general both sought a permanent injunction against our company's alleged violations of the antitrust laws, and other equitable relief, including divestiture or reconstruction of Instagram and WhatsApp. On June 28, 2021, the</w:t>
      </w:r>
      <w:r>
        <w:rPr>
          <w:rFonts w:ascii="Times New Roman" w:eastAsia="宋体" w:hAnsi="Times New Roman"/>
          <w:color w:val="000000"/>
          <w:sz w:val="20"/>
          <w:szCs w:val="20"/>
        </w:rPr>
        <w:t xml:space="preserve"> court granted our motions to dismiss the complaints filed by the FTC and attorneys general, dismissing the FTC's complaint with leave to amend and dismissing the attorneys general's case without prejudice. On July 28, 2021, the attorneys general filed a n</w:t>
      </w:r>
      <w:r>
        <w:rPr>
          <w:rFonts w:ascii="Times New Roman" w:eastAsia="宋体" w:hAnsi="Times New Roman"/>
          <w:color w:val="000000"/>
          <w:sz w:val="20"/>
          <w:szCs w:val="20"/>
        </w:rPr>
        <w:t>otice of appeal of the order dismissing their case and that appeal is now pending before the U.S. Court of Appeals for the District of Columbia Circuit. On August 19, 2021, the FTC filed an amended complaint, and on October 4, 2021, we filed a motion to di</w:t>
      </w:r>
      <w:r>
        <w:rPr>
          <w:rFonts w:ascii="Times New Roman" w:eastAsia="宋体" w:hAnsi="Times New Roman"/>
          <w:color w:val="000000"/>
          <w:sz w:val="20"/>
          <w:szCs w:val="20"/>
        </w:rPr>
        <w:t>smiss this amended complaint. On January 11, 2022, the court denied our motion to dismiss the FTC's amended complaint. Multiple putative class actions have also been filed in state and federal courts in the United States and in the United Kingdom against u</w:t>
      </w:r>
      <w:r>
        <w:rPr>
          <w:rFonts w:ascii="Times New Roman" w:eastAsia="宋体" w:hAnsi="Times New Roman"/>
          <w:color w:val="000000"/>
          <w:sz w:val="20"/>
          <w:szCs w:val="20"/>
        </w:rPr>
        <w:t xml:space="preserve">s alleging violations of antitrust laws and other causes of action in connection with these acquisitions and/or other alleged anticompetitive conduct, and seeking damages and injunctive relief. Several of the cases brought on behalf of certain advertisers </w:t>
      </w:r>
      <w:r>
        <w:rPr>
          <w:rFonts w:ascii="Times New Roman" w:eastAsia="宋体" w:hAnsi="Times New Roman"/>
          <w:color w:val="000000"/>
          <w:sz w:val="20"/>
          <w:szCs w:val="20"/>
        </w:rPr>
        <w:t>and users in the United States were consolidated in the U.S. District Court for the Northern District of California. On January 14, 2022, the court granted, in part, and denied, in part, our motion to dismiss the consolidated actions. We believe these laws</w:t>
      </w:r>
      <w:r>
        <w:rPr>
          <w:rFonts w:ascii="Times New Roman" w:eastAsia="宋体" w:hAnsi="Times New Roman"/>
          <w:color w:val="000000"/>
          <w:sz w:val="20"/>
          <w:szCs w:val="20"/>
        </w:rPr>
        <w:t>uits are without merit, and we are vigorously defending them. The result of such litigation, investigations or inquiries could subject us to substantial monetary remedies and costs, interrupt or require us to change our business practices, divert resources</w:t>
      </w:r>
      <w:r>
        <w:rPr>
          <w:rFonts w:ascii="Times New Roman" w:eastAsia="宋体" w:hAnsi="Times New Roman"/>
          <w:color w:val="000000"/>
          <w:sz w:val="20"/>
          <w:szCs w:val="20"/>
        </w:rPr>
        <w:t xml:space="preserve"> and the attention of management from our business, or subject us to other structural or behavioral remedies that adversely affect our business.</w:t>
      </w:r>
    </w:p>
    <w:p w14:paraId="0B2FBA70" w14:textId="77777777" w:rsidR="007F1775" w:rsidRDefault="007F1775">
      <w:pPr>
        <w:ind w:firstLine="540"/>
        <w:jc w:val="both"/>
      </w:pPr>
    </w:p>
    <w:p w14:paraId="0B2FBA71" w14:textId="77777777" w:rsidR="007F1775" w:rsidRDefault="000F083E">
      <w:pPr>
        <w:ind w:firstLine="540"/>
        <w:jc w:val="both"/>
      </w:pPr>
      <w:r>
        <w:rPr>
          <w:rFonts w:ascii="Times New Roman" w:eastAsia="宋体" w:hAnsi="Times New Roman"/>
          <w:color w:val="000000"/>
          <w:sz w:val="20"/>
          <w:szCs w:val="20"/>
        </w:rPr>
        <w:t>We are also subject to other government inquiries and investigations relating to our business activities and d</w:t>
      </w:r>
      <w:r>
        <w:rPr>
          <w:rFonts w:ascii="Times New Roman" w:eastAsia="宋体" w:hAnsi="Times New Roman"/>
          <w:color w:val="000000"/>
          <w:sz w:val="20"/>
          <w:szCs w:val="20"/>
        </w:rPr>
        <w:t>isclosure practices. For example, beginning in September 2021, we became subject to government investigations and requests relating to a former employee's allegations and release of internal company documents concerning, among other things, our algorithms,</w:t>
      </w:r>
      <w:r>
        <w:rPr>
          <w:rFonts w:ascii="Times New Roman" w:eastAsia="宋体" w:hAnsi="Times New Roman"/>
          <w:color w:val="000000"/>
          <w:sz w:val="20"/>
          <w:szCs w:val="20"/>
        </w:rPr>
        <w:t xml:space="preserve"> advertising and user metrics, and content enforcement practices, as well as misinformation and other undesirable activity on our platform, and user well-being. Beginning on October 27, 2021, multiple putative class actions and derivative actions were file</w:t>
      </w:r>
      <w:r>
        <w:rPr>
          <w:rFonts w:ascii="Times New Roman" w:eastAsia="宋体" w:hAnsi="Times New Roman"/>
          <w:color w:val="000000"/>
          <w:sz w:val="20"/>
          <w:szCs w:val="20"/>
        </w:rPr>
        <w:t>d in the U.S. District Court for the Northern District of California against us and certain of our directors and officers alleging violations of securities laws, breach of fiduciary duties, and other causes of action in connection with the same matters. We</w:t>
      </w:r>
      <w:r>
        <w:rPr>
          <w:rFonts w:ascii="Times New Roman" w:eastAsia="宋体" w:hAnsi="Times New Roman"/>
          <w:color w:val="000000"/>
          <w:sz w:val="20"/>
          <w:szCs w:val="20"/>
        </w:rPr>
        <w:t xml:space="preserve"> believe these lawsuits are without merit, and we are vigorously defending them.</w:t>
      </w:r>
    </w:p>
    <w:p w14:paraId="0B2FBA72" w14:textId="77777777" w:rsidR="007F1775" w:rsidRDefault="007F1775">
      <w:pPr>
        <w:ind w:firstLine="540"/>
        <w:jc w:val="both"/>
      </w:pPr>
    </w:p>
    <w:p w14:paraId="0B2FBA73" w14:textId="77777777" w:rsidR="007F1775" w:rsidRDefault="000F083E">
      <w:pPr>
        <w:ind w:firstLine="540"/>
        <w:jc w:val="both"/>
      </w:pPr>
      <w:r>
        <w:rPr>
          <w:rFonts w:ascii="Times New Roman" w:eastAsia="宋体" w:hAnsi="Times New Roman"/>
          <w:color w:val="000000"/>
          <w:sz w:val="20"/>
          <w:szCs w:val="20"/>
        </w:rPr>
        <w:t>On March 8, 2022, a putative class action was filed in the U.S. District Court for the Northern District of California against us and certain of our directors and officers al</w:t>
      </w:r>
      <w:r>
        <w:rPr>
          <w:rFonts w:ascii="Times New Roman" w:eastAsia="宋体" w:hAnsi="Times New Roman"/>
          <w:color w:val="000000"/>
          <w:sz w:val="20"/>
          <w:szCs w:val="20"/>
        </w:rPr>
        <w:t>leging violations of securities laws in connection with the disclosure of our earnings results for the fourth quarter of 2021 and seeking unspecified damages. We believe this lawsuit is without merit, and we are vigorously defending it.</w:t>
      </w:r>
    </w:p>
    <w:p w14:paraId="0B2FBA74" w14:textId="77777777" w:rsidR="007F1775" w:rsidRDefault="007F1775">
      <w:pPr>
        <w:ind w:firstLine="540"/>
        <w:jc w:val="both"/>
      </w:pPr>
    </w:p>
    <w:p w14:paraId="0B2FBA75" w14:textId="77777777" w:rsidR="007F1775" w:rsidRDefault="000F083E">
      <w:pPr>
        <w:ind w:firstLine="540"/>
        <w:jc w:val="both"/>
      </w:pPr>
      <w:r>
        <w:rPr>
          <w:rFonts w:ascii="Times New Roman" w:eastAsia="宋体" w:hAnsi="Times New Roman"/>
          <w:color w:val="000000"/>
          <w:sz w:val="20"/>
          <w:szCs w:val="20"/>
        </w:rPr>
        <w:t>Beginning on Augus</w:t>
      </w:r>
      <w:r>
        <w:rPr>
          <w:rFonts w:ascii="Times New Roman" w:eastAsia="宋体" w:hAnsi="Times New Roman"/>
          <w:color w:val="000000"/>
          <w:sz w:val="20"/>
          <w:szCs w:val="20"/>
        </w:rPr>
        <w:t>t 15, 2018, multiple putative class actions were filed against us alleging that we inflated our estimates of the potential audience size for advertisements, resulting in artificially increased demand and higher prices. The cases were consolidated in the U.</w:t>
      </w:r>
      <w:r>
        <w:rPr>
          <w:rFonts w:ascii="Times New Roman" w:eastAsia="宋体" w:hAnsi="Times New Roman"/>
          <w:color w:val="000000"/>
          <w:sz w:val="20"/>
          <w:szCs w:val="20"/>
        </w:rPr>
        <w:t>S. District Court for the Northern District of California and seek unspecified damages and injunctive relief. In a series of rulings in 2019, 2021, and 2022, the court dismissed certain of the plaintiffs' claims, but permitted its fraud and unfair competit</w:t>
      </w:r>
      <w:r>
        <w:rPr>
          <w:rFonts w:ascii="Times New Roman" w:eastAsia="宋体" w:hAnsi="Times New Roman"/>
          <w:color w:val="000000"/>
          <w:sz w:val="20"/>
          <w:szCs w:val="20"/>
        </w:rPr>
        <w:t>ion claims to proceed. On March 29, 2022, the court granted the plaintiffs' motion for class certification. We believe this lawsuit is without merit, and we are vigorously defending it.</w:t>
      </w:r>
    </w:p>
    <w:p w14:paraId="0B2FBA76" w14:textId="77777777" w:rsidR="007F1775" w:rsidRDefault="007F1775">
      <w:pPr>
        <w:ind w:firstLine="540"/>
        <w:jc w:val="both"/>
      </w:pPr>
    </w:p>
    <w:p w14:paraId="0B2FBA77" w14:textId="77777777" w:rsidR="007F1775" w:rsidRDefault="000F083E">
      <w:pPr>
        <w:jc w:val="center"/>
      </w:pPr>
      <w:r>
        <w:rPr>
          <w:rFonts w:ascii="Times New Roman" w:eastAsia="宋体" w:hAnsi="Times New Roman"/>
          <w:color w:val="000000"/>
          <w:sz w:val="20"/>
          <w:szCs w:val="20"/>
        </w:rPr>
        <w:t>49</w:t>
      </w:r>
    </w:p>
    <w:p w14:paraId="0B2FBA78" w14:textId="77777777" w:rsidR="007F1775" w:rsidRDefault="000F083E">
      <w:r>
        <w:pict w14:anchorId="0B2FBFBE">
          <v:rect id="_x0000_i1073" style="width:415.3pt;height:1.5pt" o:hralign="center" o:hrstd="t" o:hr="t" fillcolor="#a0a0a0" stroked="f"/>
        </w:pict>
      </w:r>
    </w:p>
    <w:p w14:paraId="0B2FBA79" w14:textId="77777777" w:rsidR="007F1775" w:rsidRDefault="007F1775"/>
    <w:p w14:paraId="0B2FBA7A" w14:textId="77777777" w:rsidR="007F1775" w:rsidRDefault="007F1775"/>
    <w:p w14:paraId="0B2FBA7B" w14:textId="77777777" w:rsidR="007F1775" w:rsidRDefault="000F083E">
      <w:hyperlink r:id="rId127" w:anchor="iea70e328caa94cefb76a9db6ed6338fc_7" w:history="1">
        <w:r>
          <w:rPr>
            <w:rStyle w:val="a5"/>
            <w:rFonts w:ascii="Times New Roman" w:eastAsia="宋体" w:hAnsi="Times New Roman"/>
            <w:sz w:val="20"/>
            <w:szCs w:val="20"/>
          </w:rPr>
          <w:t>Table of Contents</w:t>
        </w:r>
      </w:hyperlink>
    </w:p>
    <w:p w14:paraId="0B2FBA7C" w14:textId="77777777" w:rsidR="007F1775" w:rsidRDefault="000F083E">
      <w:pPr>
        <w:ind w:firstLine="540"/>
        <w:jc w:val="both"/>
      </w:pPr>
      <w:r>
        <w:rPr>
          <w:rFonts w:ascii="Times New Roman" w:eastAsia="宋体" w:hAnsi="Times New Roman"/>
          <w:color w:val="000000"/>
          <w:sz w:val="20"/>
          <w:szCs w:val="20"/>
        </w:rPr>
        <w:t>In addition, we are subject to litigation and other proceedings involving law enforcement and other regulatory agencies, including in particular in</w:t>
      </w:r>
      <w:r>
        <w:rPr>
          <w:rFonts w:ascii="Times New Roman" w:eastAsia="宋体" w:hAnsi="Times New Roman"/>
          <w:color w:val="000000"/>
          <w:sz w:val="20"/>
          <w:szCs w:val="20"/>
        </w:rPr>
        <w:t xml:space="preserve"> Brazil, Russia, and other countries in Europe, in order to ascertain the precise scope of our legal obligations to comply with the requests of those agencies, including our obligation to disclose user information in particular circumstances. A number of s</w:t>
      </w:r>
      <w:r>
        <w:rPr>
          <w:rFonts w:ascii="Times New Roman" w:eastAsia="宋体" w:hAnsi="Times New Roman"/>
          <w:color w:val="000000"/>
          <w:sz w:val="20"/>
          <w:szCs w:val="20"/>
        </w:rPr>
        <w:t>uch instances have resulted in the assessment of fines and penalties against us. We believe we have multiple legal grounds to satisfy these requests or prevail against associated fines and penalties, and we intend to vigorously defend such fines and penalt</w:t>
      </w:r>
      <w:r>
        <w:rPr>
          <w:rFonts w:ascii="Times New Roman" w:eastAsia="宋体" w:hAnsi="Times New Roman"/>
          <w:color w:val="000000"/>
          <w:sz w:val="20"/>
          <w:szCs w:val="20"/>
        </w:rPr>
        <w:t>ies.</w:t>
      </w:r>
    </w:p>
    <w:p w14:paraId="0B2FBA7D" w14:textId="77777777" w:rsidR="007F1775" w:rsidRDefault="007F1775">
      <w:pPr>
        <w:ind w:firstLine="540"/>
        <w:jc w:val="both"/>
      </w:pPr>
    </w:p>
    <w:p w14:paraId="0B2FBA7E" w14:textId="77777777" w:rsidR="007F1775" w:rsidRDefault="000F083E">
      <w:pPr>
        <w:ind w:firstLine="540"/>
        <w:jc w:val="both"/>
      </w:pPr>
      <w:r>
        <w:rPr>
          <w:rFonts w:ascii="Times New Roman" w:eastAsia="宋体" w:hAnsi="Times New Roman"/>
          <w:color w:val="000000"/>
          <w:sz w:val="20"/>
          <w:szCs w:val="20"/>
        </w:rPr>
        <w:t>We are also party to various other legal proceedings, claims, and regulatory, tax or government inquiries and investigations that arise in the ordinary course of business, and we may in the future be subject to additional legal proceedings and disput</w:t>
      </w:r>
      <w:r>
        <w:rPr>
          <w:rFonts w:ascii="Times New Roman" w:eastAsia="宋体" w:hAnsi="Times New Roman"/>
          <w:color w:val="000000"/>
          <w:sz w:val="20"/>
          <w:szCs w:val="20"/>
        </w:rPr>
        <w:t>es.</w:t>
      </w:r>
    </w:p>
    <w:p w14:paraId="0B2FBA7F" w14:textId="77777777" w:rsidR="007F1775" w:rsidRDefault="000F083E">
      <w:pPr>
        <w:jc w:val="center"/>
      </w:pPr>
      <w:r>
        <w:rPr>
          <w:rFonts w:ascii="Times New Roman" w:eastAsia="宋体" w:hAnsi="Times New Roman"/>
          <w:color w:val="000000"/>
          <w:sz w:val="20"/>
          <w:szCs w:val="20"/>
        </w:rPr>
        <w:t>50</w:t>
      </w:r>
    </w:p>
    <w:p w14:paraId="0B2FBA80" w14:textId="77777777" w:rsidR="007F1775" w:rsidRDefault="000F083E">
      <w:r>
        <w:pict w14:anchorId="0B2FBFBF">
          <v:rect id="_x0000_i1074" style="width:415.3pt;height:1.5pt" o:hralign="center" o:hrstd="t" o:hr="t" fillcolor="#a0a0a0" stroked="f"/>
        </w:pict>
      </w:r>
    </w:p>
    <w:p w14:paraId="0B2FBA81" w14:textId="77777777" w:rsidR="007F1775" w:rsidRDefault="007F1775"/>
    <w:p w14:paraId="0B2FBA82" w14:textId="77777777" w:rsidR="007F1775" w:rsidRDefault="007F1775"/>
    <w:p w14:paraId="0B2FBA83" w14:textId="77777777" w:rsidR="007F1775" w:rsidRDefault="000F083E">
      <w:hyperlink r:id="rId128" w:anchor="iea70e328caa94cefb76a9db6ed6338fc_7" w:history="1">
        <w:r>
          <w:rPr>
            <w:rStyle w:val="a5"/>
            <w:rFonts w:ascii="Times New Roman" w:eastAsia="宋体" w:hAnsi="Times New Roman"/>
            <w:sz w:val="20"/>
            <w:szCs w:val="20"/>
          </w:rPr>
          <w:t>Table of Contents</w:t>
        </w:r>
      </w:hyperlink>
    </w:p>
    <w:p w14:paraId="0B2FBA84" w14:textId="77777777" w:rsidR="007F1775" w:rsidRDefault="000F083E">
      <w:pPr>
        <w:pBdr>
          <w:left w:val="none" w:sz="0" w:space="0" w:color="auto"/>
        </w:pBdr>
        <w:spacing w:before="180"/>
        <w:ind w:hanging="810"/>
        <w:jc w:val="both"/>
      </w:pPr>
      <w:r>
        <w:rPr>
          <w:rFonts w:ascii="Times New Roman" w:eastAsia="宋体" w:hAnsi="Times New Roman"/>
          <w:b/>
          <w:bCs/>
          <w:color w:val="000000"/>
          <w:sz w:val="20"/>
          <w:szCs w:val="20"/>
        </w:rPr>
        <w:t xml:space="preserve">Item 1A. Risk Factors </w:t>
      </w:r>
    </w:p>
    <w:p w14:paraId="0B2FBA85" w14:textId="77777777" w:rsidR="007F1775" w:rsidRDefault="007F1775">
      <w:pPr>
        <w:jc w:val="both"/>
      </w:pPr>
    </w:p>
    <w:p w14:paraId="0B2FBA86" w14:textId="77777777" w:rsidR="007F1775" w:rsidRDefault="000F083E">
      <w:pPr>
        <w:jc w:val="both"/>
      </w:pPr>
      <w:r>
        <w:rPr>
          <w:rFonts w:ascii="Times New Roman" w:eastAsia="宋体" w:hAnsi="Times New Roman"/>
          <w:i/>
          <w:iCs/>
          <w:color w:val="000000"/>
          <w:sz w:val="20"/>
          <w:szCs w:val="20"/>
        </w:rPr>
        <w:t xml:space="preserve">Certain factors may have a material adverse </w:t>
      </w:r>
      <w:r>
        <w:rPr>
          <w:rFonts w:ascii="Times New Roman" w:eastAsia="宋体" w:hAnsi="Times New Roman"/>
          <w:i/>
          <w:iCs/>
          <w:color w:val="000000"/>
          <w:sz w:val="20"/>
          <w:szCs w:val="20"/>
        </w:rPr>
        <w:t>effect on our business, financial condition, and results of operations. You should consider carefully the risks and uncertainties described below, in addition to other information contained in this Quarterly Report on Form 10-Q, including our condensed con</w:t>
      </w:r>
      <w:r>
        <w:rPr>
          <w:rFonts w:ascii="Times New Roman" w:eastAsia="宋体" w:hAnsi="Times New Roman"/>
          <w:i/>
          <w:iCs/>
          <w:color w:val="000000"/>
          <w:sz w:val="20"/>
          <w:szCs w:val="20"/>
        </w:rPr>
        <w:t>solidated financial statements and related notes. The risks and uncertainties described below are not the only ones we face. Additional risks and uncertainties that we are unaware of, or that we currently believe are not material, may also become important</w:t>
      </w:r>
      <w:r>
        <w:rPr>
          <w:rFonts w:ascii="Times New Roman" w:eastAsia="宋体" w:hAnsi="Times New Roman"/>
          <w:i/>
          <w:iCs/>
          <w:color w:val="000000"/>
          <w:sz w:val="20"/>
          <w:szCs w:val="20"/>
        </w:rPr>
        <w:t xml:space="preserve"> factors that adversely affect our business. If any of the following risks actually occurs, our business, financial condition, results of operations, and future prospects could be materially and adversely affected. In that event, the trading price of our C</w:t>
      </w:r>
      <w:r>
        <w:rPr>
          <w:rFonts w:ascii="Times New Roman" w:eastAsia="宋体" w:hAnsi="Times New Roman"/>
          <w:i/>
          <w:iCs/>
          <w:color w:val="000000"/>
          <w:sz w:val="20"/>
          <w:szCs w:val="20"/>
        </w:rPr>
        <w:t>lass A common stock could decline, and you could lose part or all of your investment.</w:t>
      </w:r>
    </w:p>
    <w:p w14:paraId="0B2FBA87" w14:textId="77777777" w:rsidR="007F1775" w:rsidRDefault="000F083E">
      <w:pPr>
        <w:spacing w:before="180"/>
        <w:jc w:val="both"/>
      </w:pPr>
      <w:r>
        <w:rPr>
          <w:rFonts w:ascii="Times New Roman" w:eastAsia="宋体" w:hAnsi="Times New Roman"/>
          <w:b/>
          <w:bCs/>
          <w:color w:val="000000"/>
          <w:sz w:val="20"/>
          <w:szCs w:val="20"/>
        </w:rPr>
        <w:t>Summary Risk Factors</w:t>
      </w:r>
    </w:p>
    <w:p w14:paraId="0B2FBA88" w14:textId="77777777" w:rsidR="007F1775" w:rsidRDefault="007F1775">
      <w:pPr>
        <w:ind w:firstLine="540"/>
        <w:jc w:val="both"/>
      </w:pPr>
    </w:p>
    <w:p w14:paraId="0B2FBA89" w14:textId="77777777" w:rsidR="007F1775" w:rsidRDefault="000F083E">
      <w:pPr>
        <w:ind w:firstLine="540"/>
        <w:jc w:val="both"/>
      </w:pPr>
      <w:r>
        <w:rPr>
          <w:rFonts w:ascii="Times New Roman" w:eastAsia="宋体" w:hAnsi="Times New Roman"/>
          <w:color w:val="000000"/>
          <w:sz w:val="20"/>
          <w:szCs w:val="20"/>
        </w:rPr>
        <w:t>Our business is subject to a number of risks, including risks that may prevent us from achieving our business objectives or may adversely affect our</w:t>
      </w:r>
      <w:r>
        <w:rPr>
          <w:rFonts w:ascii="Times New Roman" w:eastAsia="宋体" w:hAnsi="Times New Roman"/>
          <w:color w:val="000000"/>
          <w:sz w:val="20"/>
          <w:szCs w:val="20"/>
        </w:rPr>
        <w:t xml:space="preserve"> business, financial condition, results of operations, cash flows, and prospects. These risks are discussed more fully below and include, but are not limited to, risks related to:</w:t>
      </w:r>
    </w:p>
    <w:p w14:paraId="0B2FBA8A" w14:textId="77777777" w:rsidR="007F1775" w:rsidRDefault="000F083E">
      <w:pPr>
        <w:spacing w:before="180"/>
      </w:pPr>
      <w:r>
        <w:rPr>
          <w:rFonts w:ascii="Times New Roman" w:eastAsia="宋体" w:hAnsi="Times New Roman"/>
          <w:b/>
          <w:bCs/>
          <w:i/>
          <w:iCs/>
          <w:color w:val="000000"/>
          <w:sz w:val="20"/>
          <w:szCs w:val="20"/>
        </w:rPr>
        <w:t>Risks Related to Our Product Offerings</w:t>
      </w:r>
    </w:p>
    <w:p w14:paraId="0B2FBA8B"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 xml:space="preserve">•our ability to add and retain users </w:t>
      </w:r>
      <w:r>
        <w:rPr>
          <w:rFonts w:ascii="Times New Roman" w:eastAsia="宋体" w:hAnsi="Times New Roman"/>
          <w:color w:val="000000"/>
          <w:sz w:val="20"/>
          <w:szCs w:val="20"/>
        </w:rPr>
        <w:t>and maintain levels of user engagement with our products;</w:t>
      </w:r>
    </w:p>
    <w:p w14:paraId="0B2FBA8C"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•the loss of, or reduction in spending by, our marketers;</w:t>
      </w:r>
    </w:p>
    <w:p w14:paraId="0B2FBA8D"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•reduced availability of data signals used by our ad targeting and measurement tools;</w:t>
      </w:r>
    </w:p>
    <w:p w14:paraId="0B2FBA8E"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•ineffective operation with mobile operating systems o</w:t>
      </w:r>
      <w:r>
        <w:rPr>
          <w:rFonts w:ascii="Times New Roman" w:eastAsia="宋体" w:hAnsi="Times New Roman"/>
          <w:color w:val="000000"/>
          <w:sz w:val="20"/>
          <w:szCs w:val="20"/>
        </w:rPr>
        <w:t>r changes in our relationships with mobile operating system partners;</w:t>
      </w:r>
    </w:p>
    <w:p w14:paraId="0B2FBA8F"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•failure of our new products, or changes to our existing products, to attract or retain users or generate revenue;</w:t>
      </w:r>
    </w:p>
    <w:p w14:paraId="0B2FBA90" w14:textId="77777777" w:rsidR="007F1775" w:rsidRDefault="000F083E">
      <w:pPr>
        <w:spacing w:before="180"/>
        <w:jc w:val="both"/>
      </w:pPr>
      <w:r>
        <w:rPr>
          <w:rFonts w:ascii="Times New Roman" w:eastAsia="宋体" w:hAnsi="Times New Roman"/>
          <w:b/>
          <w:bCs/>
          <w:i/>
          <w:iCs/>
          <w:color w:val="000000"/>
          <w:sz w:val="20"/>
          <w:szCs w:val="20"/>
        </w:rPr>
        <w:t>Risks Related to Our Business Operations and Financial Results</w:t>
      </w:r>
    </w:p>
    <w:p w14:paraId="0B2FBA91"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•our abi</w:t>
      </w:r>
      <w:r>
        <w:rPr>
          <w:rFonts w:ascii="Times New Roman" w:eastAsia="宋体" w:hAnsi="Times New Roman"/>
          <w:color w:val="000000"/>
          <w:sz w:val="20"/>
          <w:szCs w:val="20"/>
        </w:rPr>
        <w:t xml:space="preserve">lity to compete effectively; </w:t>
      </w:r>
    </w:p>
    <w:p w14:paraId="0B2FBA92"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 xml:space="preserve">•unfavorable media coverage and other risks affecting our ability to maintain and enhance our brands; </w:t>
      </w:r>
    </w:p>
    <w:p w14:paraId="0B2FBA93"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•the COVID-19 pandemic, including its impact on our advertising business;</w:t>
      </w:r>
    </w:p>
    <w:p w14:paraId="0B2FBA94"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•volatile or slower user and revenue growth rates</w:t>
      </w:r>
      <w:r>
        <w:rPr>
          <w:rFonts w:ascii="Times New Roman" w:eastAsia="宋体" w:hAnsi="Times New Roman"/>
          <w:color w:val="000000"/>
          <w:sz w:val="20"/>
          <w:szCs w:val="20"/>
        </w:rPr>
        <w:t xml:space="preserve"> in the future;</w:t>
      </w:r>
    </w:p>
    <w:p w14:paraId="0B2FBA95"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•acquisitions and our ability to successfully integrate our acquisitions;</w:t>
      </w:r>
    </w:p>
    <w:p w14:paraId="0B2FBA96"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•our ability to build, maintain, and scale our technical infrastructure, and risks associated with disruptions in our service;</w:t>
      </w:r>
    </w:p>
    <w:p w14:paraId="0B2FBA97"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•operating our business in multiple cou</w:t>
      </w:r>
      <w:r>
        <w:rPr>
          <w:rFonts w:ascii="Times New Roman" w:eastAsia="宋体" w:hAnsi="Times New Roman"/>
          <w:color w:val="000000"/>
          <w:sz w:val="20"/>
          <w:szCs w:val="20"/>
        </w:rPr>
        <w:t xml:space="preserve">ntries around the world; </w:t>
      </w:r>
    </w:p>
    <w:p w14:paraId="0B2FBA98"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 xml:space="preserve">•litigation, including class action lawsuits; </w:t>
      </w:r>
    </w:p>
    <w:p w14:paraId="0B2FBA99" w14:textId="77777777" w:rsidR="007F1775" w:rsidRDefault="000F083E">
      <w:pPr>
        <w:spacing w:before="180"/>
        <w:jc w:val="both"/>
      </w:pPr>
      <w:r>
        <w:rPr>
          <w:rFonts w:ascii="Times New Roman" w:eastAsia="宋体" w:hAnsi="Times New Roman"/>
          <w:b/>
          <w:bCs/>
          <w:i/>
          <w:iCs/>
          <w:color w:val="000000"/>
          <w:sz w:val="20"/>
          <w:szCs w:val="20"/>
        </w:rPr>
        <w:t>Risks Related to Government Regulation and Enforcement</w:t>
      </w:r>
    </w:p>
    <w:p w14:paraId="0B2FBA9A"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•government restrictions on access to Facebook or our other products, or other actions that impair our ability to sell advertisi</w:t>
      </w:r>
      <w:r>
        <w:rPr>
          <w:rFonts w:ascii="Times New Roman" w:eastAsia="宋体" w:hAnsi="Times New Roman"/>
          <w:color w:val="000000"/>
          <w:sz w:val="20"/>
          <w:szCs w:val="20"/>
        </w:rPr>
        <w:t>ng, in their countries;</w:t>
      </w:r>
    </w:p>
    <w:p w14:paraId="0B2FBA9B"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 xml:space="preserve">•complex and evolving U.S. and foreign privacy, data use and data protection, content, competition, consumer protection, and other laws and regulations; </w:t>
      </w:r>
    </w:p>
    <w:p w14:paraId="0B2FBA9C"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•the impact of government investigations, enforcement actions, and settlements</w:t>
      </w:r>
      <w:r>
        <w:rPr>
          <w:rFonts w:ascii="Times New Roman" w:eastAsia="宋体" w:hAnsi="Times New Roman"/>
          <w:color w:val="000000"/>
          <w:sz w:val="20"/>
          <w:szCs w:val="20"/>
        </w:rPr>
        <w:t>, including litigation and investigations by privacy and competition authorities;</w:t>
      </w:r>
    </w:p>
    <w:p w14:paraId="0B2FBA9D" w14:textId="77777777" w:rsidR="007F1775" w:rsidRDefault="000F083E">
      <w:pPr>
        <w:jc w:val="center"/>
      </w:pPr>
      <w:r>
        <w:rPr>
          <w:rFonts w:ascii="Times New Roman" w:eastAsia="宋体" w:hAnsi="Times New Roman"/>
          <w:color w:val="000000"/>
          <w:sz w:val="20"/>
          <w:szCs w:val="20"/>
        </w:rPr>
        <w:t>51</w:t>
      </w:r>
    </w:p>
    <w:p w14:paraId="0B2FBA9E" w14:textId="77777777" w:rsidR="007F1775" w:rsidRDefault="000F083E">
      <w:r>
        <w:pict w14:anchorId="0B2FBFC0">
          <v:rect id="_x0000_i1075" style="width:415.3pt;height:1.5pt" o:hralign="center" o:hrstd="t" o:hr="t" fillcolor="#a0a0a0" stroked="f"/>
        </w:pict>
      </w:r>
    </w:p>
    <w:p w14:paraId="0B2FBA9F" w14:textId="77777777" w:rsidR="007F1775" w:rsidRDefault="007F1775"/>
    <w:p w14:paraId="0B2FBAA0" w14:textId="77777777" w:rsidR="007F1775" w:rsidRDefault="007F1775"/>
    <w:p w14:paraId="0B2FBAA1" w14:textId="77777777" w:rsidR="007F1775" w:rsidRDefault="000F083E">
      <w:hyperlink r:id="rId129" w:anchor="iea70e328caa94cefb76a9db6ed6338fc_7" w:history="1">
        <w:r>
          <w:rPr>
            <w:rStyle w:val="a5"/>
            <w:rFonts w:ascii="Times New Roman" w:eastAsia="宋体" w:hAnsi="Times New Roman"/>
            <w:sz w:val="20"/>
            <w:szCs w:val="20"/>
          </w:rPr>
          <w:t>Table of Contents</w:t>
        </w:r>
      </w:hyperlink>
    </w:p>
    <w:p w14:paraId="0B2FBAA2"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 xml:space="preserve">•our ability to comply with regulatory and legislative privacy requirements, including our consent order with the Federal Trade Commission (FTC); </w:t>
      </w:r>
    </w:p>
    <w:p w14:paraId="0B2FBAA3" w14:textId="77777777" w:rsidR="007F1775" w:rsidRDefault="000F083E">
      <w:pPr>
        <w:spacing w:before="180"/>
        <w:jc w:val="both"/>
      </w:pPr>
      <w:r>
        <w:rPr>
          <w:rFonts w:ascii="Times New Roman" w:eastAsia="宋体" w:hAnsi="Times New Roman"/>
          <w:b/>
          <w:bCs/>
          <w:i/>
          <w:iCs/>
          <w:color w:val="000000"/>
          <w:sz w:val="20"/>
          <w:szCs w:val="20"/>
        </w:rPr>
        <w:t>Risks Related to Data, Security, and Intellectual Property</w:t>
      </w:r>
    </w:p>
    <w:p w14:paraId="0B2FBAA4" w14:textId="77777777" w:rsidR="007F1775" w:rsidRDefault="000F083E">
      <w:pPr>
        <w:pBdr>
          <w:left w:val="none" w:sz="0" w:space="0" w:color="auto"/>
        </w:pBdr>
        <w:spacing w:before="180"/>
        <w:ind w:hanging="360"/>
        <w:jc w:val="both"/>
      </w:pPr>
      <w:r>
        <w:rPr>
          <w:rFonts w:ascii="Times New Roman" w:eastAsia="宋体" w:hAnsi="Times New Roman"/>
          <w:b/>
          <w:bCs/>
          <w:color w:val="000000"/>
          <w:sz w:val="20"/>
          <w:szCs w:val="20"/>
        </w:rPr>
        <w:t>•</w:t>
      </w:r>
      <w:r>
        <w:rPr>
          <w:rFonts w:ascii="Times New Roman" w:eastAsia="宋体" w:hAnsi="Times New Roman"/>
          <w:color w:val="000000"/>
          <w:sz w:val="20"/>
          <w:szCs w:val="20"/>
        </w:rPr>
        <w:t>the occurrence of security breaches, improper acc</w:t>
      </w:r>
      <w:r>
        <w:rPr>
          <w:rFonts w:ascii="Times New Roman" w:eastAsia="宋体" w:hAnsi="Times New Roman"/>
          <w:color w:val="000000"/>
          <w:sz w:val="20"/>
          <w:szCs w:val="20"/>
        </w:rPr>
        <w:t>ess to or disclosure of our data or user data, and other cyber incidents or undesirable activity on our platform;</w:t>
      </w:r>
    </w:p>
    <w:p w14:paraId="0B2FBAA5"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•our ability to obtain, maintain, protect, and enforce our intellectual property rights; and</w:t>
      </w:r>
    </w:p>
    <w:p w14:paraId="0B2FBAA6" w14:textId="77777777" w:rsidR="007F1775" w:rsidRDefault="000F083E">
      <w:pPr>
        <w:spacing w:before="180"/>
        <w:jc w:val="both"/>
      </w:pPr>
      <w:r>
        <w:rPr>
          <w:rFonts w:ascii="Times New Roman" w:eastAsia="宋体" w:hAnsi="Times New Roman"/>
          <w:b/>
          <w:bCs/>
          <w:i/>
          <w:iCs/>
          <w:color w:val="000000"/>
          <w:sz w:val="20"/>
          <w:szCs w:val="20"/>
        </w:rPr>
        <w:t xml:space="preserve">Risks Related to Ownership of Our Class A Common </w:t>
      </w:r>
      <w:r>
        <w:rPr>
          <w:rFonts w:ascii="Times New Roman" w:eastAsia="宋体" w:hAnsi="Times New Roman"/>
          <w:b/>
          <w:bCs/>
          <w:i/>
          <w:iCs/>
          <w:color w:val="000000"/>
          <w:sz w:val="20"/>
          <w:szCs w:val="20"/>
        </w:rPr>
        <w:t>Stock</w:t>
      </w:r>
    </w:p>
    <w:p w14:paraId="0B2FBAA7" w14:textId="77777777" w:rsidR="007F1775" w:rsidRDefault="000F083E">
      <w:pPr>
        <w:pBdr>
          <w:left w:val="none" w:sz="0" w:space="0" w:color="auto"/>
        </w:pBdr>
        <w:spacing w:before="180"/>
        <w:ind w:hanging="360"/>
        <w:jc w:val="both"/>
      </w:pPr>
      <w:r>
        <w:rPr>
          <w:rFonts w:ascii="Times New Roman" w:eastAsia="宋体" w:hAnsi="Times New Roman"/>
          <w:color w:val="000000"/>
          <w:sz w:val="20"/>
          <w:szCs w:val="20"/>
        </w:rPr>
        <w:t>•limitations on the ability of holders of our Class A Common Stock to influence corporate matters due to the dual class structure of our common stock and the control of a majority of the voting power of our outstanding capital stock by our founder, C</w:t>
      </w:r>
      <w:r>
        <w:rPr>
          <w:rFonts w:ascii="Times New Roman" w:eastAsia="宋体" w:hAnsi="Times New Roman"/>
          <w:color w:val="000000"/>
          <w:sz w:val="20"/>
          <w:szCs w:val="20"/>
        </w:rPr>
        <w:t>hairman, and CEO.</w:t>
      </w:r>
    </w:p>
    <w:p w14:paraId="0B2FBAA8" w14:textId="77777777" w:rsidR="007F1775" w:rsidRDefault="000F083E">
      <w:pPr>
        <w:spacing w:before="180"/>
        <w:jc w:val="center"/>
      </w:pPr>
      <w:r>
        <w:rPr>
          <w:rFonts w:ascii="Times New Roman" w:eastAsia="宋体" w:hAnsi="Times New Roman"/>
          <w:b/>
          <w:bCs/>
          <w:color w:val="000000"/>
          <w:sz w:val="20"/>
          <w:szCs w:val="20"/>
        </w:rPr>
        <w:t>Risks Related to Our Product Offerings</w:t>
      </w:r>
    </w:p>
    <w:p w14:paraId="0B2FBAA9" w14:textId="77777777" w:rsidR="007F1775" w:rsidRDefault="000F083E">
      <w:pPr>
        <w:spacing w:before="180"/>
        <w:jc w:val="both"/>
      </w:pPr>
      <w:r>
        <w:rPr>
          <w:rFonts w:ascii="Times New Roman" w:eastAsia="宋体" w:hAnsi="Times New Roman"/>
          <w:b/>
          <w:bCs/>
          <w:i/>
          <w:iCs/>
          <w:color w:val="000000"/>
          <w:sz w:val="20"/>
          <w:szCs w:val="20"/>
        </w:rPr>
        <w:t>If we fail to retain existing users or add new users, or if our users decrease their level of engagement with our products, our revenue, financial results, and business may be significantly harmed.</w:t>
      </w:r>
    </w:p>
    <w:p w14:paraId="0B2FBAAA" w14:textId="77777777" w:rsidR="007F1775" w:rsidRDefault="007F1775">
      <w:pPr>
        <w:ind w:firstLine="540"/>
        <w:jc w:val="both"/>
      </w:pPr>
    </w:p>
    <w:p w14:paraId="0B2FBAAB" w14:textId="77777777" w:rsidR="007F1775" w:rsidRDefault="000F083E">
      <w:pPr>
        <w:ind w:firstLine="540"/>
        <w:jc w:val="both"/>
      </w:pPr>
      <w:r>
        <w:rPr>
          <w:rFonts w:ascii="Times New Roman" w:eastAsia="宋体" w:hAnsi="Times New Roman"/>
          <w:color w:val="000000"/>
          <w:sz w:val="20"/>
          <w:szCs w:val="20"/>
        </w:rPr>
        <w:t>The size of our user base and our users' level of engagement across our products are critical to our success. Our financial performance has been and will continue to be significantly determined by our success in adding, retaining, and engaging active users</w:t>
      </w:r>
      <w:r>
        <w:rPr>
          <w:rFonts w:ascii="Times New Roman" w:eastAsia="宋体" w:hAnsi="Times New Roman"/>
          <w:color w:val="000000"/>
          <w:sz w:val="20"/>
          <w:szCs w:val="20"/>
        </w:rPr>
        <w:t xml:space="preserve"> of our products that deliver ad impressions, particularly for Facebook and Instagram. We anticipate that our active user growth rate will continue to generally decline over time as the size of our active user base increases. In addition, we have experienc</w:t>
      </w:r>
      <w:r>
        <w:rPr>
          <w:rFonts w:ascii="Times New Roman" w:eastAsia="宋体" w:hAnsi="Times New Roman"/>
          <w:color w:val="000000"/>
          <w:sz w:val="20"/>
          <w:szCs w:val="20"/>
        </w:rPr>
        <w:t>ed, and expect to continue to experience, fluctuations and declines in the size of our active user base in one or more markets from time to time, particularly in markets where we have achieved higher penetration rates. User growth and engagement are also i</w:t>
      </w:r>
      <w:r>
        <w:rPr>
          <w:rFonts w:ascii="Times New Roman" w:eastAsia="宋体" w:hAnsi="Times New Roman"/>
          <w:color w:val="000000"/>
          <w:sz w:val="20"/>
          <w:szCs w:val="20"/>
        </w:rPr>
        <w:t>mpacted by a number of other factors, including competitive products and services, such as TikTok, that have reduced some users' engagement with our products and services, as well as global and regional business, macroeconomic, and geopolitical conditions.</w:t>
      </w:r>
      <w:r>
        <w:rPr>
          <w:rFonts w:ascii="Times New Roman" w:eastAsia="宋体" w:hAnsi="Times New Roman"/>
          <w:color w:val="000000"/>
          <w:sz w:val="20"/>
          <w:szCs w:val="20"/>
        </w:rPr>
        <w:t xml:space="preserve"> For example, beginning in the first quarter of 2020, we experienced significant increases in the size and engagement of our active user base across a number of regions as a result of the COVID-19 pandemic. More recently, we have seen these pandemic-relate</w:t>
      </w:r>
      <w:r>
        <w:rPr>
          <w:rFonts w:ascii="Times New Roman" w:eastAsia="宋体" w:hAnsi="Times New Roman"/>
          <w:color w:val="000000"/>
          <w:sz w:val="20"/>
          <w:szCs w:val="20"/>
        </w:rPr>
        <w:t>d trends subside. We are unable to predict the impact of the pandemic on user growth and engagement with any certainty, and these trends may continue to be subject to volatility. In addition, in connection with the war in Ukraine, access to Facebook and In</w:t>
      </w:r>
      <w:r>
        <w:rPr>
          <w:rFonts w:ascii="Times New Roman" w:eastAsia="宋体" w:hAnsi="Times New Roman"/>
          <w:color w:val="000000"/>
          <w:sz w:val="20"/>
          <w:szCs w:val="20"/>
        </w:rPr>
        <w:t>stagram was restricted in Russia and these services were then prohibited by the Russian government, which led to slight declines on a quarter-over-quarter basis in the number of DAUs and MAUs on Facebook in Europe in the first quarter of 2022. Any future d</w:t>
      </w:r>
      <w:r>
        <w:rPr>
          <w:rFonts w:ascii="Times New Roman" w:eastAsia="宋体" w:hAnsi="Times New Roman"/>
          <w:color w:val="000000"/>
          <w:sz w:val="20"/>
          <w:szCs w:val="20"/>
        </w:rPr>
        <w:t>eclines in the size of our active user base may adversely impact our ability to deliver ad impressions and, in turn, our financial performance.</w:t>
      </w:r>
    </w:p>
    <w:p w14:paraId="0B2FBAAC" w14:textId="77777777" w:rsidR="007F1775" w:rsidRDefault="007F1775">
      <w:pPr>
        <w:ind w:firstLine="540"/>
        <w:jc w:val="both"/>
      </w:pPr>
    </w:p>
    <w:p w14:paraId="0B2FBAAD" w14:textId="77777777" w:rsidR="007F1775" w:rsidRDefault="000F083E">
      <w:pPr>
        <w:ind w:firstLine="540"/>
        <w:jc w:val="both"/>
      </w:pPr>
      <w:r>
        <w:rPr>
          <w:rFonts w:ascii="Times New Roman" w:eastAsia="宋体" w:hAnsi="Times New Roman"/>
          <w:color w:val="000000"/>
          <w:sz w:val="20"/>
          <w:szCs w:val="20"/>
        </w:rPr>
        <w:t>If people do not perceive our products to be useful, reliable, and trustworthy, we may not be able to attract o</w:t>
      </w:r>
      <w:r>
        <w:rPr>
          <w:rFonts w:ascii="Times New Roman" w:eastAsia="宋体" w:hAnsi="Times New Roman"/>
          <w:color w:val="000000"/>
          <w:sz w:val="20"/>
          <w:szCs w:val="20"/>
        </w:rPr>
        <w:t>r retain users or otherwise maintain or increase the frequency and duration of their engagement. A number of other social networking companies that achieved early popularity have since seen their active user bases or levels of engagement decline, in some c</w:t>
      </w:r>
      <w:r>
        <w:rPr>
          <w:rFonts w:ascii="Times New Roman" w:eastAsia="宋体" w:hAnsi="Times New Roman"/>
          <w:color w:val="000000"/>
          <w:sz w:val="20"/>
          <w:szCs w:val="20"/>
        </w:rPr>
        <w:t>ases precipitously. There is no guarantee that we will not experience a similar erosion of our active user base or engagement levels. Our user engagement patterns have changed over time, and user engagement can be difficult to measure, particularly as we i</w:t>
      </w:r>
      <w:r>
        <w:rPr>
          <w:rFonts w:ascii="Times New Roman" w:eastAsia="宋体" w:hAnsi="Times New Roman"/>
          <w:color w:val="000000"/>
          <w:sz w:val="20"/>
          <w:szCs w:val="20"/>
        </w:rPr>
        <w:t>ntroduce new and different products and services. Any number of factors can negatively affect user retention, growth, and engagement, including if:</w:t>
      </w:r>
    </w:p>
    <w:p w14:paraId="0B2FBAA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•users increasingly engage with other competitive products or services;</w:t>
      </w:r>
    </w:p>
    <w:p w14:paraId="0B2FBAA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•we fail to introduce new features, </w:t>
      </w:r>
      <w:r>
        <w:rPr>
          <w:rFonts w:ascii="Times New Roman" w:eastAsia="宋体" w:hAnsi="Times New Roman"/>
          <w:color w:val="000000"/>
          <w:sz w:val="20"/>
          <w:szCs w:val="20"/>
        </w:rPr>
        <w:t>products, or services that users find engaging or if we introduce new products or services, or make changes to existing products and services, that are not favorably received;</w:t>
      </w:r>
    </w:p>
    <w:p w14:paraId="0B2FBAB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•users feel that their experience is diminished as a result of the decisions we </w:t>
      </w:r>
      <w:r>
        <w:rPr>
          <w:rFonts w:ascii="Times New Roman" w:eastAsia="宋体" w:hAnsi="Times New Roman"/>
          <w:color w:val="000000"/>
          <w:sz w:val="20"/>
          <w:szCs w:val="20"/>
        </w:rPr>
        <w:t>make with respect to the frequency, prominence, format, size, and quality of ads that we display;</w:t>
      </w:r>
    </w:p>
    <w:p w14:paraId="0B2FBAB1"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•users have difficulty installing, updating, or otherwise accessing our products on mobile devices as a result of actions by us or third parties that we rely </w:t>
      </w:r>
      <w:r>
        <w:rPr>
          <w:rFonts w:ascii="Times New Roman" w:eastAsia="宋体" w:hAnsi="Times New Roman"/>
          <w:color w:val="000000"/>
          <w:sz w:val="20"/>
          <w:szCs w:val="20"/>
        </w:rPr>
        <w:t>on to distribute our products and deliver our services;</w:t>
      </w:r>
    </w:p>
    <w:p w14:paraId="0B2FBAB2"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•user behavior on any of our products changes, including decreases in the quality and frequency of content </w:t>
      </w:r>
    </w:p>
    <w:p w14:paraId="0B2FBAB3" w14:textId="77777777" w:rsidR="007F1775" w:rsidRDefault="000F083E">
      <w:pPr>
        <w:jc w:val="center"/>
      </w:pPr>
      <w:r>
        <w:rPr>
          <w:rFonts w:ascii="Times New Roman" w:eastAsia="宋体" w:hAnsi="Times New Roman"/>
          <w:color w:val="000000"/>
          <w:sz w:val="20"/>
          <w:szCs w:val="20"/>
        </w:rPr>
        <w:t>52</w:t>
      </w:r>
    </w:p>
    <w:p w14:paraId="0B2FBAB4" w14:textId="77777777" w:rsidR="007F1775" w:rsidRDefault="000F083E">
      <w:r>
        <w:pict w14:anchorId="0B2FBFC1">
          <v:rect id="_x0000_i1076" style="width:415.3pt;height:1.5pt" o:hralign="center" o:hrstd="t" o:hr="t" fillcolor="#a0a0a0" stroked="f"/>
        </w:pict>
      </w:r>
    </w:p>
    <w:p w14:paraId="0B2FBAB5" w14:textId="77777777" w:rsidR="007F1775" w:rsidRDefault="007F1775"/>
    <w:p w14:paraId="0B2FBAB6" w14:textId="77777777" w:rsidR="007F1775" w:rsidRDefault="007F1775"/>
    <w:p w14:paraId="0B2FBAB7" w14:textId="77777777" w:rsidR="007F1775" w:rsidRDefault="000F083E">
      <w:hyperlink r:id="rId130" w:anchor="iea70e328caa94cefb76a9db6ed6338fc_7" w:history="1">
        <w:r>
          <w:rPr>
            <w:rStyle w:val="a5"/>
            <w:rFonts w:ascii="Times New Roman" w:eastAsia="宋体" w:hAnsi="Times New Roman"/>
            <w:sz w:val="20"/>
            <w:szCs w:val="20"/>
          </w:rPr>
          <w:t>Table of Contents</w:t>
        </w:r>
      </w:hyperlink>
    </w:p>
    <w:p w14:paraId="0B2FBAB8" w14:textId="77777777" w:rsidR="007F1775" w:rsidRDefault="000F083E">
      <w:pPr>
        <w:pBdr>
          <w:left w:val="none" w:sz="0" w:space="0" w:color="auto"/>
        </w:pBdr>
        <w:spacing w:before="180"/>
        <w:jc w:val="both"/>
      </w:pPr>
      <w:r>
        <w:rPr>
          <w:rFonts w:ascii="Times New Roman" w:eastAsia="宋体" w:hAnsi="Times New Roman"/>
          <w:color w:val="000000"/>
          <w:sz w:val="20"/>
          <w:szCs w:val="20"/>
        </w:rPr>
        <w:t>shared on our products and services;</w:t>
      </w:r>
    </w:p>
    <w:p w14:paraId="0B2FBAB9"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•we are unable to continue to develop </w:t>
      </w:r>
      <w:r>
        <w:rPr>
          <w:rFonts w:ascii="Times New Roman" w:eastAsia="宋体" w:hAnsi="Times New Roman"/>
          <w:color w:val="000000"/>
          <w:sz w:val="20"/>
          <w:szCs w:val="20"/>
        </w:rPr>
        <w:t>products for mobile devices that users find engaging, that work with a variety of mobile operating systems and networks, and that achieve a high level of market acceptance;</w:t>
      </w:r>
    </w:p>
    <w:p w14:paraId="0B2FBABA"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•there are decreases in user sentiment due to questions about the quality or useful</w:t>
      </w:r>
      <w:r>
        <w:rPr>
          <w:rFonts w:ascii="Times New Roman" w:eastAsia="宋体" w:hAnsi="Times New Roman"/>
          <w:color w:val="000000"/>
          <w:sz w:val="20"/>
          <w:szCs w:val="20"/>
        </w:rPr>
        <w:t>ness of our products or our user data practices, concerns about the nature of content made available on our products, or concerns related to privacy, safety, security, well-being, or other factors;</w:t>
      </w:r>
    </w:p>
    <w:p w14:paraId="0B2FBABB"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•we are unable to manage and prioritize information to ens</w:t>
      </w:r>
      <w:r>
        <w:rPr>
          <w:rFonts w:ascii="Times New Roman" w:eastAsia="宋体" w:hAnsi="Times New Roman"/>
          <w:color w:val="000000"/>
          <w:sz w:val="20"/>
          <w:szCs w:val="20"/>
        </w:rPr>
        <w:t>ure users are presented with content that is appropriate, interesting, useful, and relevant to them;</w:t>
      </w:r>
    </w:p>
    <w:p w14:paraId="0B2FBABC"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•we are unable to obtain or attract engaging third-party content;</w:t>
      </w:r>
    </w:p>
    <w:p w14:paraId="0B2FBABD"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•we are unable to successfully maintain or grow usage of and engagement with mobile and w</w:t>
      </w:r>
      <w:r>
        <w:rPr>
          <w:rFonts w:ascii="Times New Roman" w:eastAsia="宋体" w:hAnsi="Times New Roman"/>
          <w:color w:val="000000"/>
          <w:sz w:val="20"/>
          <w:szCs w:val="20"/>
        </w:rPr>
        <w:t>eb applications that integrate with our products;</w:t>
      </w:r>
    </w:p>
    <w:p w14:paraId="0B2FBAB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•users adopt new technologies where our products may be displaced in favor of other products or services, or may not be featured or otherwise available;</w:t>
      </w:r>
    </w:p>
    <w:p w14:paraId="0B2FBAB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•there are changes mandated by legislation, governmen</w:t>
      </w:r>
      <w:r>
        <w:rPr>
          <w:rFonts w:ascii="Times New Roman" w:eastAsia="宋体" w:hAnsi="Times New Roman"/>
          <w:color w:val="000000"/>
          <w:sz w:val="20"/>
          <w:szCs w:val="20"/>
        </w:rPr>
        <w:t>t and regulatory authorities, or litigation that adversely affect our products or users;</w:t>
      </w:r>
    </w:p>
    <w:p w14:paraId="0B2FBAC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•we are unable to offer a number of our most significant products and services, including Facebook and Instagram, in Europe, or are otherwise limited in our business o</w:t>
      </w:r>
      <w:r>
        <w:rPr>
          <w:rFonts w:ascii="Times New Roman" w:eastAsia="宋体" w:hAnsi="Times New Roman"/>
          <w:color w:val="000000"/>
          <w:sz w:val="20"/>
          <w:szCs w:val="20"/>
        </w:rPr>
        <w:t>perations, as a result of European regulators, courts, or legislative bodies determining that our reliance on Standard Contractual Clauses (SCCs) or other legal bases we rely upon to transfer user data from the European Union to the United States is invali</w:t>
      </w:r>
      <w:r>
        <w:rPr>
          <w:rFonts w:ascii="Times New Roman" w:eastAsia="宋体" w:hAnsi="Times New Roman"/>
          <w:color w:val="000000"/>
          <w:sz w:val="20"/>
          <w:szCs w:val="20"/>
        </w:rPr>
        <w:t>d;</w:t>
      </w:r>
    </w:p>
    <w:p w14:paraId="0B2FBAC1"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•there is decreased engagement with our products, or failure to accept our terms of service, as part of privacy-focused changes that we have implemented or may implement in the future, whether voluntarily, in connection with the General Data Protection </w:t>
      </w:r>
      <w:r>
        <w:rPr>
          <w:rFonts w:ascii="Times New Roman" w:eastAsia="宋体" w:hAnsi="Times New Roman"/>
          <w:color w:val="000000"/>
          <w:sz w:val="20"/>
          <w:szCs w:val="20"/>
        </w:rPr>
        <w:t>Regulation (GDPR), the European Union's ePrivacy Directive, the California Consumer Privacy Act (CCPA), or other laws, regulations, or regulatory actions, or otherwise;</w:t>
      </w:r>
    </w:p>
    <w:p w14:paraId="0B2FBAC2"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•technical or other problems prevent us from delivering our products in a rapid and rel</w:t>
      </w:r>
      <w:r>
        <w:rPr>
          <w:rFonts w:ascii="Times New Roman" w:eastAsia="宋体" w:hAnsi="Times New Roman"/>
          <w:color w:val="000000"/>
          <w:sz w:val="20"/>
          <w:szCs w:val="20"/>
        </w:rPr>
        <w:t xml:space="preserve">iable manner or otherwise affect the user experience, such as security breaches or failure to prevent or limit spam or similar content; </w:t>
      </w:r>
    </w:p>
    <w:p w14:paraId="0B2FBAC3"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•we adopt terms, policies, or procedures related to areas such as sharing, content, user data, or advertising, or we ta</w:t>
      </w:r>
      <w:r>
        <w:rPr>
          <w:rFonts w:ascii="Times New Roman" w:eastAsia="宋体" w:hAnsi="Times New Roman"/>
          <w:color w:val="000000"/>
          <w:sz w:val="20"/>
          <w:szCs w:val="20"/>
        </w:rPr>
        <w:t>ke, or fail to take, actions to enforce our policies, that are perceived negatively by our users or the general public, including as a result of decisions or recommendations from the independent Oversight Board regarding content on our platform;</w:t>
      </w:r>
    </w:p>
    <w:p w14:paraId="0B2FBAC4"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•we elect </w:t>
      </w:r>
      <w:r>
        <w:rPr>
          <w:rFonts w:ascii="Times New Roman" w:eastAsia="宋体" w:hAnsi="Times New Roman"/>
          <w:color w:val="000000"/>
          <w:sz w:val="20"/>
          <w:szCs w:val="20"/>
        </w:rPr>
        <w:t>to focus our product decisions on longer-term initiatives that do not prioritize near-term user growth and engagement (for example, we have announced plans to focus product decisions on optimizing the young adult experience in the long term);</w:t>
      </w:r>
    </w:p>
    <w:p w14:paraId="0B2FBAC5"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•we make chan</w:t>
      </w:r>
      <w:r>
        <w:rPr>
          <w:rFonts w:ascii="Times New Roman" w:eastAsia="宋体" w:hAnsi="Times New Roman"/>
          <w:color w:val="000000"/>
          <w:sz w:val="20"/>
          <w:szCs w:val="20"/>
        </w:rPr>
        <w:t>ges in how we promote different products and services across our family of products;</w:t>
      </w:r>
    </w:p>
    <w:p w14:paraId="0B2FBAC6"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•initiatives designed to attract and retain users and engagement are unsuccessful or discontinued, whether as a result of actions by us, third parties, or otherwise;</w:t>
      </w:r>
    </w:p>
    <w:p w14:paraId="0B2FBAC7"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•thir</w:t>
      </w:r>
      <w:r>
        <w:rPr>
          <w:rFonts w:ascii="Times New Roman" w:eastAsia="宋体" w:hAnsi="Times New Roman"/>
          <w:color w:val="000000"/>
          <w:sz w:val="20"/>
          <w:szCs w:val="20"/>
        </w:rPr>
        <w:t>d-party initiatives that may enable greater use of our products, including low-cost or discounted data plans, are scaled back or discontinued, or the pricing of data plans otherwise increases;</w:t>
      </w:r>
    </w:p>
    <w:p w14:paraId="0B2FBAC8"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•there is decreased engagement with our products as a result of</w:t>
      </w:r>
      <w:r>
        <w:rPr>
          <w:rFonts w:ascii="Times New Roman" w:eastAsia="宋体" w:hAnsi="Times New Roman"/>
          <w:color w:val="000000"/>
          <w:sz w:val="20"/>
          <w:szCs w:val="20"/>
        </w:rPr>
        <w:t xml:space="preserve"> taxes imposed on the use of social media or other mobile applications in certain countries, internet shutdowns, or other actions by governments that affect the accessibility of our products in their countries (for example, beginning in the first quarter o</w:t>
      </w:r>
      <w:r>
        <w:rPr>
          <w:rFonts w:ascii="Times New Roman" w:eastAsia="宋体" w:hAnsi="Times New Roman"/>
          <w:color w:val="000000"/>
          <w:sz w:val="20"/>
          <w:szCs w:val="20"/>
        </w:rPr>
        <w:t>f 2022, our user growth and engagement were adversely affected by the war in Ukraine and service restrictions imposed by the Russian government);</w:t>
      </w:r>
    </w:p>
    <w:p w14:paraId="0B2FBAC9" w14:textId="77777777" w:rsidR="007F1775" w:rsidRDefault="000F083E">
      <w:pPr>
        <w:jc w:val="center"/>
      </w:pPr>
      <w:r>
        <w:rPr>
          <w:rFonts w:ascii="Times New Roman" w:eastAsia="宋体" w:hAnsi="Times New Roman"/>
          <w:color w:val="000000"/>
          <w:sz w:val="20"/>
          <w:szCs w:val="20"/>
        </w:rPr>
        <w:t>53</w:t>
      </w:r>
    </w:p>
    <w:p w14:paraId="0B2FBACA" w14:textId="77777777" w:rsidR="007F1775" w:rsidRDefault="000F083E">
      <w:r>
        <w:pict w14:anchorId="0B2FBFC2">
          <v:rect id="_x0000_i1077" style="width:415.3pt;height:1.5pt" o:hralign="center" o:hrstd="t" o:hr="t" fillcolor="#a0a0a0" stroked="f"/>
        </w:pict>
      </w:r>
    </w:p>
    <w:p w14:paraId="0B2FBACB" w14:textId="77777777" w:rsidR="007F1775" w:rsidRDefault="007F1775"/>
    <w:p w14:paraId="0B2FBACC" w14:textId="77777777" w:rsidR="007F1775" w:rsidRDefault="007F1775"/>
    <w:p w14:paraId="0B2FBACD" w14:textId="77777777" w:rsidR="007F1775" w:rsidRDefault="000F083E">
      <w:hyperlink r:id="rId131" w:anchor="iea70e328caa94cefb76a9db6ed6338fc_7" w:history="1">
        <w:r>
          <w:rPr>
            <w:rStyle w:val="a5"/>
            <w:rFonts w:ascii="Times New Roman" w:eastAsia="宋体" w:hAnsi="Times New Roman"/>
            <w:sz w:val="20"/>
            <w:szCs w:val="20"/>
          </w:rPr>
          <w:t>Table of Contents</w:t>
        </w:r>
      </w:hyperlink>
    </w:p>
    <w:p w14:paraId="0B2FBAC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•we fail to provide adequate customer service to users, marketers, developers, or oth</w:t>
      </w:r>
      <w:r>
        <w:rPr>
          <w:rFonts w:ascii="Times New Roman" w:eastAsia="宋体" w:hAnsi="Times New Roman"/>
          <w:color w:val="000000"/>
          <w:sz w:val="20"/>
          <w:szCs w:val="20"/>
        </w:rPr>
        <w:t>er partners;</w:t>
      </w:r>
    </w:p>
    <w:p w14:paraId="0B2FBAC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•we, developers whose products are integrated with our products, or other partners and companies in our industry are the subject of adverse media reports or other negative publicity, including as a result of our or their user data practices; o</w:t>
      </w:r>
      <w:r>
        <w:rPr>
          <w:rFonts w:ascii="Times New Roman" w:eastAsia="宋体" w:hAnsi="Times New Roman"/>
          <w:color w:val="000000"/>
          <w:sz w:val="20"/>
          <w:szCs w:val="20"/>
        </w:rPr>
        <w:t>r</w:t>
      </w:r>
    </w:p>
    <w:p w14:paraId="0B2FBAD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•our current or future products, such as our development tools and application programming interfaces that enable developers to build, grow, and monetize mobile and web applications, reduce user activity on our products by making it easier for our users </w:t>
      </w:r>
      <w:r>
        <w:rPr>
          <w:rFonts w:ascii="Times New Roman" w:eastAsia="宋体" w:hAnsi="Times New Roman"/>
          <w:color w:val="000000"/>
          <w:sz w:val="20"/>
          <w:szCs w:val="20"/>
        </w:rPr>
        <w:t>to interact and share on third-party mobile and web applications.</w:t>
      </w:r>
    </w:p>
    <w:p w14:paraId="0B2FBAD1" w14:textId="77777777" w:rsidR="007F1775" w:rsidRDefault="007F1775">
      <w:pPr>
        <w:ind w:firstLine="540"/>
        <w:jc w:val="both"/>
      </w:pPr>
    </w:p>
    <w:p w14:paraId="0B2FBAD2" w14:textId="77777777" w:rsidR="007F1775" w:rsidRDefault="000F083E">
      <w:pPr>
        <w:ind w:firstLine="540"/>
        <w:jc w:val="both"/>
      </w:pPr>
      <w:r>
        <w:rPr>
          <w:rFonts w:ascii="Times New Roman" w:eastAsia="宋体" w:hAnsi="Times New Roman"/>
          <w:color w:val="000000"/>
          <w:sz w:val="20"/>
          <w:szCs w:val="20"/>
        </w:rPr>
        <w:t>From time to time, certain of these factors have negatively affected user retention, growth, and engagement to varying degrees. If we are unable to maintain or increase our user base and us</w:t>
      </w:r>
      <w:r>
        <w:rPr>
          <w:rFonts w:ascii="Times New Roman" w:eastAsia="宋体" w:hAnsi="Times New Roman"/>
          <w:color w:val="000000"/>
          <w:sz w:val="20"/>
          <w:szCs w:val="20"/>
        </w:rPr>
        <w:t>er engagement, particularly for our significant revenue</w:t>
      </w:r>
      <w:r>
        <w:rPr>
          <w:rFonts w:ascii="Times New Roman" w:eastAsia="宋体" w:hAnsi="Times New Roman"/>
          <w:color w:val="000000"/>
          <w:sz w:val="20"/>
          <w:szCs w:val="20"/>
        </w:rPr>
        <w:noBreakHyphen/>
        <w:t>generating products like Facebook and Instagram, our revenue and financial results may be adversely affected. Any significant decrease in user retention, growth, or engagement could render our product</w:t>
      </w:r>
      <w:r>
        <w:rPr>
          <w:rFonts w:ascii="Times New Roman" w:eastAsia="宋体" w:hAnsi="Times New Roman"/>
          <w:color w:val="000000"/>
          <w:sz w:val="20"/>
          <w:szCs w:val="20"/>
        </w:rPr>
        <w:t>s less attractive to users, marketers, and developers, which is likely to have a material and adverse impact on our ability to deliver ad impressions and, accordingly, our revenue, business, financial condition, and results of operations. As our active use</w:t>
      </w:r>
      <w:r>
        <w:rPr>
          <w:rFonts w:ascii="Times New Roman" w:eastAsia="宋体" w:hAnsi="Times New Roman"/>
          <w:color w:val="000000"/>
          <w:sz w:val="20"/>
          <w:szCs w:val="20"/>
        </w:rPr>
        <w:t>r growth rate continues to slow, we will become increasingly dependent on our ability to maintain or increase levels of user engagement and monetization in order to drive revenue growth.</w:t>
      </w:r>
    </w:p>
    <w:p w14:paraId="0B2FBAD3" w14:textId="77777777" w:rsidR="007F1775" w:rsidRDefault="000F083E">
      <w:pPr>
        <w:spacing w:before="180"/>
        <w:jc w:val="both"/>
      </w:pPr>
      <w:r>
        <w:rPr>
          <w:rFonts w:ascii="Times New Roman" w:eastAsia="宋体" w:hAnsi="Times New Roman"/>
          <w:b/>
          <w:bCs/>
          <w:i/>
          <w:iCs/>
          <w:color w:val="000000"/>
          <w:sz w:val="20"/>
          <w:szCs w:val="20"/>
        </w:rPr>
        <w:t>We generate substantially all of our revenue from advertising. The lo</w:t>
      </w:r>
      <w:r>
        <w:rPr>
          <w:rFonts w:ascii="Times New Roman" w:eastAsia="宋体" w:hAnsi="Times New Roman"/>
          <w:b/>
          <w:bCs/>
          <w:i/>
          <w:iCs/>
          <w:color w:val="000000"/>
          <w:sz w:val="20"/>
          <w:szCs w:val="20"/>
        </w:rPr>
        <w:t>ss of marketers, or reduction in spending by marketers, could seriously harm our business.</w:t>
      </w:r>
    </w:p>
    <w:p w14:paraId="0B2FBAD4" w14:textId="77777777" w:rsidR="007F1775" w:rsidRDefault="007F1775">
      <w:pPr>
        <w:ind w:firstLine="540"/>
        <w:jc w:val="both"/>
      </w:pPr>
    </w:p>
    <w:p w14:paraId="0B2FBAD5" w14:textId="77777777" w:rsidR="007F1775" w:rsidRDefault="000F083E">
      <w:pPr>
        <w:ind w:firstLine="540"/>
        <w:jc w:val="both"/>
      </w:pPr>
      <w:r>
        <w:rPr>
          <w:rFonts w:ascii="Times New Roman" w:eastAsia="宋体" w:hAnsi="Times New Roman"/>
          <w:color w:val="000000"/>
          <w:sz w:val="20"/>
          <w:szCs w:val="20"/>
        </w:rPr>
        <w:t>Substantially all of our revenue is currently generated from third parties advertising on Facebook and Instagram. As is common in the industry, our marketers do not</w:t>
      </w:r>
      <w:r>
        <w:rPr>
          <w:rFonts w:ascii="Times New Roman" w:eastAsia="宋体" w:hAnsi="Times New Roman"/>
          <w:color w:val="000000"/>
          <w:sz w:val="20"/>
          <w:szCs w:val="20"/>
        </w:rPr>
        <w:t xml:space="preserve"> have long-term advertising commitments with us. Many of our marketers spend only a relatively small portion of their overall advertising budget with us. Marketers will not continue to do business with us, or they will reduce the budgets they are willing t</w:t>
      </w:r>
      <w:r>
        <w:rPr>
          <w:rFonts w:ascii="Times New Roman" w:eastAsia="宋体" w:hAnsi="Times New Roman"/>
          <w:color w:val="000000"/>
          <w:sz w:val="20"/>
          <w:szCs w:val="20"/>
        </w:rPr>
        <w:t>o commit to us, if we do not deliver ads in an effective manner, if they do not believe that their investment in advertising with us will generate a competitive return relative to other alternatives, or if they are not satisfied for any other reason. We ha</w:t>
      </w:r>
      <w:r>
        <w:rPr>
          <w:rFonts w:ascii="Times New Roman" w:eastAsia="宋体" w:hAnsi="Times New Roman"/>
          <w:color w:val="000000"/>
          <w:sz w:val="20"/>
          <w:szCs w:val="20"/>
        </w:rPr>
        <w:t>ve implemented, and we will continue to implement, changes to our user data practices. Some of these changes reduce our ability to effectively target ads, which has to some extent adversely affected, and will continue to adversely affect, our advertising b</w:t>
      </w:r>
      <w:r>
        <w:rPr>
          <w:rFonts w:ascii="Times New Roman" w:eastAsia="宋体" w:hAnsi="Times New Roman"/>
          <w:color w:val="000000"/>
          <w:sz w:val="20"/>
          <w:szCs w:val="20"/>
        </w:rPr>
        <w:t>usiness. If we are unable to provide marketers with a suitable return on investment, the pricing of our ads may not increase, or may decline, in which case our revenue and financial results may be harmed.</w:t>
      </w:r>
    </w:p>
    <w:p w14:paraId="0B2FBAD6" w14:textId="77777777" w:rsidR="007F1775" w:rsidRDefault="000F083E">
      <w:pPr>
        <w:spacing w:before="180"/>
        <w:ind w:firstLine="540"/>
        <w:jc w:val="both"/>
      </w:pPr>
      <w:r>
        <w:rPr>
          <w:rFonts w:ascii="Times New Roman" w:eastAsia="宋体" w:hAnsi="Times New Roman"/>
          <w:color w:val="000000"/>
          <w:sz w:val="20"/>
          <w:szCs w:val="20"/>
        </w:rPr>
        <w:t xml:space="preserve">Our advertising revenue can also be </w:t>
      </w:r>
      <w:r>
        <w:rPr>
          <w:rFonts w:ascii="Times New Roman" w:eastAsia="宋体" w:hAnsi="Times New Roman"/>
          <w:color w:val="000000"/>
          <w:sz w:val="20"/>
          <w:szCs w:val="20"/>
        </w:rPr>
        <w:t>adversely affected by a number of other factors, including:</w:t>
      </w:r>
    </w:p>
    <w:p w14:paraId="0B2FBAD7"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•decreases in user engagement, including time spent on our products;</w:t>
      </w:r>
    </w:p>
    <w:p w14:paraId="0B2FBAD8"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inability to continue to increase user access to and engagement with our products;</w:t>
      </w:r>
    </w:p>
    <w:p w14:paraId="0B2FBAD9"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•product changes or inventory managemen</w:t>
      </w:r>
      <w:r>
        <w:rPr>
          <w:rFonts w:ascii="Times New Roman" w:eastAsia="宋体" w:hAnsi="Times New Roman"/>
          <w:color w:val="000000"/>
          <w:sz w:val="20"/>
          <w:szCs w:val="20"/>
        </w:rPr>
        <w:t>t decisions we may make that change the size, format, frequency, or relative prominence of ads displayed on our products or of other unpaid content shared by marketers on our products;</w:t>
      </w:r>
    </w:p>
    <w:p w14:paraId="0B2FBADA"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•our inability to maintain or increase marketer demand, the pricing of </w:t>
      </w:r>
      <w:r>
        <w:rPr>
          <w:rFonts w:ascii="Times New Roman" w:eastAsia="宋体" w:hAnsi="Times New Roman"/>
          <w:color w:val="000000"/>
          <w:sz w:val="20"/>
          <w:szCs w:val="20"/>
        </w:rPr>
        <w:t>our ads, or both;</w:t>
      </w:r>
    </w:p>
    <w:p w14:paraId="0B2FBADB"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inability to maintain or increase the quantity or quality of ads shown to users;</w:t>
      </w:r>
    </w:p>
    <w:p w14:paraId="0B2FBADC"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to the content or application of third-party policies that limit our ability to deliver, target, or measure the effectiveness of advertising, i</w:t>
      </w:r>
      <w:r>
        <w:rPr>
          <w:rFonts w:ascii="Times New Roman" w:eastAsia="宋体" w:hAnsi="Times New Roman"/>
          <w:color w:val="000000"/>
          <w:sz w:val="20"/>
          <w:szCs w:val="20"/>
        </w:rPr>
        <w:t>ncluding changes by mobile operating system and browser providers such as Apple and Google;</w:t>
      </w:r>
    </w:p>
    <w:p w14:paraId="0B2FBADD"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•adverse government actions or legislative, regulatory, or other legal developments relating to advertising, including developments that may impact our ability to d</w:t>
      </w:r>
      <w:r>
        <w:rPr>
          <w:rFonts w:ascii="Times New Roman" w:eastAsia="宋体" w:hAnsi="Times New Roman"/>
          <w:color w:val="000000"/>
          <w:sz w:val="20"/>
          <w:szCs w:val="20"/>
        </w:rPr>
        <w:t>eliver, target, or measure the effectiveness of advertising;</w:t>
      </w:r>
    </w:p>
    <w:p w14:paraId="0B2FBAD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•user behavior or product changes that may reduce traffic to features or products that we successfully monetize, such as our feed and Stories products, including as a result of increased usage of</w:t>
      </w:r>
      <w:r>
        <w:rPr>
          <w:rFonts w:ascii="Times New Roman" w:eastAsia="宋体" w:hAnsi="Times New Roman"/>
          <w:color w:val="000000"/>
          <w:sz w:val="20"/>
          <w:szCs w:val="20"/>
        </w:rPr>
        <w:t xml:space="preserve"> our Reels or other video or messaging products;</w:t>
      </w:r>
    </w:p>
    <w:p w14:paraId="0B2FBADF" w14:textId="77777777" w:rsidR="007F1775" w:rsidRDefault="000F083E">
      <w:pPr>
        <w:jc w:val="center"/>
      </w:pPr>
      <w:r>
        <w:rPr>
          <w:rFonts w:ascii="Times New Roman" w:eastAsia="宋体" w:hAnsi="Times New Roman"/>
          <w:color w:val="000000"/>
          <w:sz w:val="20"/>
          <w:szCs w:val="20"/>
        </w:rPr>
        <w:t>54</w:t>
      </w:r>
    </w:p>
    <w:p w14:paraId="0B2FBAE0" w14:textId="77777777" w:rsidR="007F1775" w:rsidRDefault="000F083E">
      <w:r>
        <w:pict w14:anchorId="0B2FBFC3">
          <v:rect id="_x0000_i1078" style="width:415.3pt;height:1.5pt" o:hralign="center" o:hrstd="t" o:hr="t" fillcolor="#a0a0a0" stroked="f"/>
        </w:pict>
      </w:r>
    </w:p>
    <w:p w14:paraId="0B2FBAE1" w14:textId="77777777" w:rsidR="007F1775" w:rsidRDefault="007F1775"/>
    <w:p w14:paraId="0B2FBAE2" w14:textId="77777777" w:rsidR="007F1775" w:rsidRDefault="007F1775"/>
    <w:p w14:paraId="0B2FBAE3" w14:textId="77777777" w:rsidR="007F1775" w:rsidRDefault="000F083E">
      <w:hyperlink r:id="rId132" w:anchor="iea70e328caa94cefb76a9db6ed6338fc_7" w:history="1">
        <w:r>
          <w:rPr>
            <w:rStyle w:val="a5"/>
            <w:rFonts w:ascii="Times New Roman" w:eastAsia="宋体" w:hAnsi="Times New Roman"/>
            <w:sz w:val="20"/>
            <w:szCs w:val="20"/>
          </w:rPr>
          <w:t>Table of Contents</w:t>
        </w:r>
      </w:hyperlink>
    </w:p>
    <w:p w14:paraId="0B2FBAE4"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•reductions of advertising by marketers due to our efforts to implement or enforce ad</w:t>
      </w:r>
      <w:r>
        <w:rPr>
          <w:rFonts w:ascii="Times New Roman" w:eastAsia="宋体" w:hAnsi="Times New Roman"/>
          <w:color w:val="000000"/>
          <w:sz w:val="20"/>
          <w:szCs w:val="20"/>
        </w:rPr>
        <w:t>vertising policies that protect the security and integrity of our platform;</w:t>
      </w:r>
    </w:p>
    <w:p w14:paraId="0B2FBAE5"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•the availability, accuracy, utility, and security of analytics and measurement solutions offered by us or third parties that demonstrate the value of our ads to marketers, or our </w:t>
      </w:r>
      <w:r>
        <w:rPr>
          <w:rFonts w:ascii="Times New Roman" w:eastAsia="宋体" w:hAnsi="Times New Roman"/>
          <w:color w:val="000000"/>
          <w:sz w:val="20"/>
          <w:szCs w:val="20"/>
        </w:rPr>
        <w:t>ability to further improve such tools;</w:t>
      </w:r>
    </w:p>
    <w:p w14:paraId="0B2FBAE6"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•loss of advertising market share to our competitors, including if prices to purchase our ads increase or if competitors offer lower priced, more integrated, or otherwise more effective products;</w:t>
      </w:r>
    </w:p>
    <w:p w14:paraId="0B2FBAE7"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•limitations on our a</w:t>
      </w:r>
      <w:r>
        <w:rPr>
          <w:rFonts w:ascii="Times New Roman" w:eastAsia="宋体" w:hAnsi="Times New Roman"/>
          <w:color w:val="000000"/>
          <w:sz w:val="20"/>
          <w:szCs w:val="20"/>
        </w:rPr>
        <w:t>bility to offer a number of our most significant products and services, including Facebook and Instagram, in Europe as a result of European regulators, courts, or legislative bodies determining that our reliance on SCCs or other legal bases we rely upon to</w:t>
      </w:r>
      <w:r>
        <w:rPr>
          <w:rFonts w:ascii="Times New Roman" w:eastAsia="宋体" w:hAnsi="Times New Roman"/>
          <w:color w:val="000000"/>
          <w:sz w:val="20"/>
          <w:szCs w:val="20"/>
        </w:rPr>
        <w:t xml:space="preserve"> transfer user data from the European Union to the United States is invalid;</w:t>
      </w:r>
    </w:p>
    <w:p w14:paraId="0B2FBAE8"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in our marketing and sales or other operations that we are required to or elect to make as a result of risks related to complying with foreign laws or regulatory requirem</w:t>
      </w:r>
      <w:r>
        <w:rPr>
          <w:rFonts w:ascii="Times New Roman" w:eastAsia="宋体" w:hAnsi="Times New Roman"/>
          <w:color w:val="000000"/>
          <w:sz w:val="20"/>
          <w:szCs w:val="20"/>
        </w:rPr>
        <w:t>ents or other government actions;</w:t>
      </w:r>
    </w:p>
    <w:p w14:paraId="0B2FBAE9"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•decisions by marketers to reduce their advertising as a result of announcements by us or adverse media reports or other negative publicity involving us, our user data practices, our advertising metrics or tools, content o</w:t>
      </w:r>
      <w:r>
        <w:rPr>
          <w:rFonts w:ascii="Times New Roman" w:eastAsia="宋体" w:hAnsi="Times New Roman"/>
          <w:color w:val="000000"/>
          <w:sz w:val="20"/>
          <w:szCs w:val="20"/>
        </w:rPr>
        <w:t>n our products, our interpretation, implementation, or enforcement of policies relating to content on our products (including as a result of decisions or recommendations from the independent Oversight Board), developers with mobile and web applications tha</w:t>
      </w:r>
      <w:r>
        <w:rPr>
          <w:rFonts w:ascii="Times New Roman" w:eastAsia="宋体" w:hAnsi="Times New Roman"/>
          <w:color w:val="000000"/>
          <w:sz w:val="20"/>
          <w:szCs w:val="20"/>
        </w:rPr>
        <w:t>t are integrated with our products, or other companies in our industry;</w:t>
      </w:r>
    </w:p>
    <w:p w14:paraId="0B2FBAEA"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•reductions of advertising by marketers due to objectionable content made available on our products by third parties, questions about our user data practices or the security of our pla</w:t>
      </w:r>
      <w:r>
        <w:rPr>
          <w:rFonts w:ascii="Times New Roman" w:eastAsia="宋体" w:hAnsi="Times New Roman"/>
          <w:color w:val="000000"/>
          <w:sz w:val="20"/>
          <w:szCs w:val="20"/>
        </w:rPr>
        <w:t>tform, concerns about brand safety or potential legal liability, or uncertainty regarding their own legal and compliance obligations (for example, a number of marketers announced that they paused advertising with us in July 2020 due to concerns about conte</w:t>
      </w:r>
      <w:r>
        <w:rPr>
          <w:rFonts w:ascii="Times New Roman" w:eastAsia="宋体" w:hAnsi="Times New Roman"/>
          <w:color w:val="000000"/>
          <w:sz w:val="20"/>
          <w:szCs w:val="20"/>
        </w:rPr>
        <w:t>nt on our products);</w:t>
      </w:r>
    </w:p>
    <w:p w14:paraId="0B2FBAEB"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•the effectiveness of our ad targeting or degree to which users opt in or out of the use of data for ads, including as a result of product changes and controls that we have implemented or may implement in the future in connection with </w:t>
      </w:r>
      <w:r>
        <w:rPr>
          <w:rFonts w:ascii="Times New Roman" w:eastAsia="宋体" w:hAnsi="Times New Roman"/>
          <w:color w:val="000000"/>
          <w:sz w:val="20"/>
          <w:szCs w:val="20"/>
        </w:rPr>
        <w:t>the GDPR, ePrivacy Directive, California Consumer Privacy Act (CCPA), the proposed Digital Markets Act (DMA), other laws, regulations, regulatory actions, or litigation, or otherwise, that impact our ability to use data for advertising purposes;</w:t>
      </w:r>
    </w:p>
    <w:p w14:paraId="0B2FBAEC"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degre</w:t>
      </w:r>
      <w:r>
        <w:rPr>
          <w:rFonts w:ascii="Times New Roman" w:eastAsia="宋体" w:hAnsi="Times New Roman"/>
          <w:color w:val="000000"/>
          <w:sz w:val="20"/>
          <w:szCs w:val="20"/>
        </w:rPr>
        <w:t>e to which users cease or reduce the number of times they engage with our ads;</w:t>
      </w:r>
    </w:p>
    <w:p w14:paraId="0B2FBAED"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in the way advertising on mobile devices or on personal computers is measured or priced;</w:t>
      </w:r>
    </w:p>
    <w:p w14:paraId="0B2FBAE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success of technologies designed to block the display of ads or ad measure</w:t>
      </w:r>
      <w:r>
        <w:rPr>
          <w:rFonts w:ascii="Times New Roman" w:eastAsia="宋体" w:hAnsi="Times New Roman"/>
          <w:color w:val="000000"/>
          <w:sz w:val="20"/>
          <w:szCs w:val="20"/>
        </w:rPr>
        <w:t>ment tools;</w:t>
      </w:r>
    </w:p>
    <w:p w14:paraId="0B2FBAE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in the composition of our marketer base or our inability to maintain or grow our marketer base; and</w:t>
      </w:r>
    </w:p>
    <w:p w14:paraId="0B2FBAF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impact of macroeconomic and geopolitical conditions, whether in the advertising industry in general, or among specific types of ma</w:t>
      </w:r>
      <w:r>
        <w:rPr>
          <w:rFonts w:ascii="Times New Roman" w:eastAsia="宋体" w:hAnsi="Times New Roman"/>
          <w:color w:val="000000"/>
          <w:sz w:val="20"/>
          <w:szCs w:val="20"/>
        </w:rPr>
        <w:t>rketers or within particular geographies (for example, the war in Ukraine and service restrictions imposed by the Russian government have adversely affected our advertising business in Europe and other regions).</w:t>
      </w:r>
    </w:p>
    <w:p w14:paraId="0B2FBAF1" w14:textId="77777777" w:rsidR="007F1775" w:rsidRDefault="007F1775">
      <w:pPr>
        <w:ind w:firstLine="540"/>
        <w:jc w:val="both"/>
      </w:pPr>
    </w:p>
    <w:p w14:paraId="0B2FBAF2" w14:textId="77777777" w:rsidR="007F1775" w:rsidRDefault="000F083E">
      <w:pPr>
        <w:ind w:firstLine="540"/>
        <w:jc w:val="both"/>
      </w:pPr>
      <w:r>
        <w:rPr>
          <w:rFonts w:ascii="Times New Roman" w:eastAsia="宋体" w:hAnsi="Times New Roman"/>
          <w:color w:val="000000"/>
          <w:sz w:val="20"/>
          <w:szCs w:val="20"/>
        </w:rPr>
        <w:t>From time to time, certain of these factors</w:t>
      </w:r>
      <w:r>
        <w:rPr>
          <w:rFonts w:ascii="Times New Roman" w:eastAsia="宋体" w:hAnsi="Times New Roman"/>
          <w:color w:val="000000"/>
          <w:sz w:val="20"/>
          <w:szCs w:val="20"/>
        </w:rPr>
        <w:t xml:space="preserve"> have adversely affected our advertising revenue to varying degrees. The occurrence of any of these or other factors in the future could result in a reduction in demand for our ads, which may reduce the prices we receive for our ads, or cause marketers to </w:t>
      </w:r>
      <w:r>
        <w:rPr>
          <w:rFonts w:ascii="Times New Roman" w:eastAsia="宋体" w:hAnsi="Times New Roman"/>
          <w:color w:val="000000"/>
          <w:sz w:val="20"/>
          <w:szCs w:val="20"/>
        </w:rPr>
        <w:t>stop advertising with us altogether, either of which would negatively affect our revenue and financial results.</w:t>
      </w:r>
    </w:p>
    <w:p w14:paraId="0B2FBAF3" w14:textId="77777777" w:rsidR="007F1775" w:rsidRDefault="000F083E">
      <w:pPr>
        <w:jc w:val="center"/>
      </w:pPr>
      <w:r>
        <w:rPr>
          <w:rFonts w:ascii="Times New Roman" w:eastAsia="宋体" w:hAnsi="Times New Roman"/>
          <w:color w:val="000000"/>
          <w:sz w:val="20"/>
          <w:szCs w:val="20"/>
        </w:rPr>
        <w:t>55</w:t>
      </w:r>
    </w:p>
    <w:p w14:paraId="0B2FBAF4" w14:textId="77777777" w:rsidR="007F1775" w:rsidRDefault="000F083E">
      <w:r>
        <w:pict w14:anchorId="0B2FBFC4">
          <v:rect id="_x0000_i1079" style="width:415.3pt;height:1.5pt" o:hralign="center" o:hrstd="t" o:hr="t" fillcolor="#a0a0a0" stroked="f"/>
        </w:pict>
      </w:r>
    </w:p>
    <w:p w14:paraId="0B2FBAF5" w14:textId="77777777" w:rsidR="007F1775" w:rsidRDefault="007F1775"/>
    <w:p w14:paraId="0B2FBAF6" w14:textId="77777777" w:rsidR="007F1775" w:rsidRDefault="007F1775"/>
    <w:p w14:paraId="0B2FBAF7" w14:textId="77777777" w:rsidR="007F1775" w:rsidRDefault="000F083E">
      <w:hyperlink r:id="rId133" w:anchor="iea70e328caa94cefb76a9db6ed6338fc_7" w:history="1">
        <w:r>
          <w:rPr>
            <w:rStyle w:val="a5"/>
            <w:rFonts w:ascii="Times New Roman" w:eastAsia="宋体" w:hAnsi="Times New Roman"/>
            <w:sz w:val="20"/>
            <w:szCs w:val="20"/>
          </w:rPr>
          <w:t>Table of Contents</w:t>
        </w:r>
      </w:hyperlink>
    </w:p>
    <w:p w14:paraId="0B2FBAF8" w14:textId="77777777" w:rsidR="007F1775" w:rsidRDefault="000F083E">
      <w:pPr>
        <w:spacing w:before="180"/>
        <w:jc w:val="both"/>
      </w:pPr>
      <w:r>
        <w:rPr>
          <w:rFonts w:ascii="Times New Roman" w:eastAsia="宋体" w:hAnsi="Times New Roman"/>
          <w:b/>
          <w:bCs/>
          <w:i/>
          <w:iCs/>
          <w:color w:val="000000"/>
          <w:sz w:val="20"/>
          <w:szCs w:val="20"/>
        </w:rPr>
        <w:t xml:space="preserve">Our advertising revenue is dependent on targeting and measurement tools that incorporate data signals from user activity on websites and services that we do not control, and changes to the regulatory </w:t>
      </w:r>
      <w:r>
        <w:rPr>
          <w:rFonts w:ascii="Times New Roman" w:eastAsia="宋体" w:hAnsi="Times New Roman"/>
          <w:b/>
          <w:bCs/>
          <w:i/>
          <w:iCs/>
          <w:color w:val="000000"/>
          <w:sz w:val="20"/>
          <w:szCs w:val="20"/>
        </w:rPr>
        <w:t>environment, third-party mobile operating systems and browsers, and our own products have impacted, and we expect will continue to impact, the availability of such signals, which will adversely affect our advertising revenue.</w:t>
      </w:r>
    </w:p>
    <w:p w14:paraId="0B2FBAF9" w14:textId="77777777" w:rsidR="007F1775" w:rsidRDefault="007F1775">
      <w:pPr>
        <w:ind w:firstLine="540"/>
        <w:jc w:val="both"/>
      </w:pPr>
    </w:p>
    <w:p w14:paraId="0B2FBAFA" w14:textId="77777777" w:rsidR="007F1775" w:rsidRDefault="000F083E">
      <w:pPr>
        <w:ind w:firstLine="540"/>
        <w:jc w:val="both"/>
      </w:pPr>
      <w:r>
        <w:rPr>
          <w:rFonts w:ascii="Times New Roman" w:eastAsia="宋体" w:hAnsi="Times New Roman"/>
          <w:color w:val="000000"/>
          <w:sz w:val="20"/>
          <w:szCs w:val="20"/>
        </w:rPr>
        <w:t xml:space="preserve">We rely on data signals from user activity on websites and services that we do not control in order to deliver relevant and effective ads to our users. Our advertising revenue is dependent on targeting and measurement tools that incorporate these signals, </w:t>
      </w:r>
      <w:r>
        <w:rPr>
          <w:rFonts w:ascii="Times New Roman" w:eastAsia="宋体" w:hAnsi="Times New Roman"/>
          <w:color w:val="000000"/>
          <w:sz w:val="20"/>
          <w:szCs w:val="20"/>
        </w:rPr>
        <w:t>and any changes in our ability to use such signals will adversely affect our business. For example, legislative and regulatory developments, such as the GDPR, ePrivacy Directive, and CCPA, have impacted, and we expect will continue to impact, our ability t</w:t>
      </w:r>
      <w:r>
        <w:rPr>
          <w:rFonts w:ascii="Times New Roman" w:eastAsia="宋体" w:hAnsi="Times New Roman"/>
          <w:color w:val="000000"/>
          <w:sz w:val="20"/>
          <w:szCs w:val="20"/>
        </w:rPr>
        <w:t>o use such signals in our ad products. In particular, we have seen an increasing number of users opt to control certain types of ad targeting in Europe following adoption of the GDPR, which will increase further with expanded control over certain third-par</w:t>
      </w:r>
      <w:r>
        <w:rPr>
          <w:rFonts w:ascii="Times New Roman" w:eastAsia="宋体" w:hAnsi="Times New Roman"/>
          <w:color w:val="000000"/>
          <w:sz w:val="20"/>
          <w:szCs w:val="20"/>
        </w:rPr>
        <w:t>ty data as part of our ePrivacy Directive compliance, and we have introduced product changes that limit data signal use for certain users in California following adoption of the CCPA. Regulatory guidance or decisions or new legislation in these or other ju</w:t>
      </w:r>
      <w:r>
        <w:rPr>
          <w:rFonts w:ascii="Times New Roman" w:eastAsia="宋体" w:hAnsi="Times New Roman"/>
          <w:color w:val="000000"/>
          <w:sz w:val="20"/>
          <w:szCs w:val="20"/>
        </w:rPr>
        <w:t xml:space="preserve">risdictions, such as the proposed DMA, may require us to make additional changes to our products in the future that further reduce our ability to use these signals. </w:t>
      </w:r>
    </w:p>
    <w:p w14:paraId="0B2FBAFB" w14:textId="77777777" w:rsidR="007F1775" w:rsidRDefault="007F1775">
      <w:pPr>
        <w:ind w:firstLine="540"/>
        <w:jc w:val="both"/>
      </w:pPr>
    </w:p>
    <w:p w14:paraId="0B2FBAFC" w14:textId="77777777" w:rsidR="007F1775" w:rsidRDefault="000F083E">
      <w:pPr>
        <w:ind w:firstLine="540"/>
        <w:jc w:val="both"/>
      </w:pPr>
      <w:r>
        <w:rPr>
          <w:rFonts w:ascii="Times New Roman" w:eastAsia="宋体" w:hAnsi="Times New Roman"/>
          <w:color w:val="000000"/>
          <w:sz w:val="20"/>
          <w:szCs w:val="20"/>
        </w:rPr>
        <w:t>In addition, mobile operating system and browser providers, such as Apple and Google, hav</w:t>
      </w:r>
      <w:r>
        <w:rPr>
          <w:rFonts w:ascii="Times New Roman" w:eastAsia="宋体" w:hAnsi="Times New Roman"/>
          <w:color w:val="000000"/>
          <w:sz w:val="20"/>
          <w:szCs w:val="20"/>
        </w:rPr>
        <w:t>e implemented product changes and/or announced future plans to limit the ability of websites and application developers to collect and use these signals to target and measure advertising. For example, in 2021, Apple made certain changes to its products and</w:t>
      </w:r>
      <w:r>
        <w:rPr>
          <w:rFonts w:ascii="Times New Roman" w:eastAsia="宋体" w:hAnsi="Times New Roman"/>
          <w:color w:val="000000"/>
          <w:sz w:val="20"/>
          <w:szCs w:val="20"/>
        </w:rPr>
        <w:t xml:space="preserve"> data use policies in connection with changes to its iOS operating system that reduce our and other iOS developers' ability to target and measure advertising, which has negatively impacted, and we expect will continue to negatively impact, the size of the </w:t>
      </w:r>
      <w:r>
        <w:rPr>
          <w:rFonts w:ascii="Times New Roman" w:eastAsia="宋体" w:hAnsi="Times New Roman"/>
          <w:color w:val="000000"/>
          <w:sz w:val="20"/>
          <w:szCs w:val="20"/>
        </w:rPr>
        <w:t>budgets marketers are willing to commit to us and other advertising platforms. In addition, we have implemented, and may continue to implement, product changes that give users the ability to limit our use of such data signals to improve ads and other exper</w:t>
      </w:r>
      <w:r>
        <w:rPr>
          <w:rFonts w:ascii="Times New Roman" w:eastAsia="宋体" w:hAnsi="Times New Roman"/>
          <w:color w:val="000000"/>
          <w:sz w:val="20"/>
          <w:szCs w:val="20"/>
        </w:rPr>
        <w:t xml:space="preserve">iences on our products and services, including our Off-Facebook Activity tool and our worldwide offering of certain product changes we implemented in connection with the GDPR. </w:t>
      </w:r>
    </w:p>
    <w:p w14:paraId="0B2FBAFD" w14:textId="77777777" w:rsidR="007F1775" w:rsidRDefault="007F1775">
      <w:pPr>
        <w:ind w:firstLine="540"/>
        <w:jc w:val="both"/>
      </w:pPr>
    </w:p>
    <w:p w14:paraId="0B2FBAFE" w14:textId="77777777" w:rsidR="007F1775" w:rsidRDefault="000F083E">
      <w:pPr>
        <w:ind w:firstLine="540"/>
        <w:jc w:val="both"/>
      </w:pPr>
      <w:r>
        <w:rPr>
          <w:rFonts w:ascii="Times New Roman" w:eastAsia="宋体" w:hAnsi="Times New Roman"/>
          <w:color w:val="000000"/>
          <w:sz w:val="20"/>
          <w:szCs w:val="20"/>
        </w:rPr>
        <w:t>These developments have limited our ability to target and measure the effectiv</w:t>
      </w:r>
      <w:r>
        <w:rPr>
          <w:rFonts w:ascii="Times New Roman" w:eastAsia="宋体" w:hAnsi="Times New Roman"/>
          <w:color w:val="000000"/>
          <w:sz w:val="20"/>
          <w:szCs w:val="20"/>
        </w:rPr>
        <w:t>eness of ads on our platform and negatively impacted our advertising revenue. For example, our advertising revenue has been negatively impacted by marketer reaction to targeting and measurement challenges associated with iOS changes beginning in 2021. If w</w:t>
      </w:r>
      <w:r>
        <w:rPr>
          <w:rFonts w:ascii="Times New Roman" w:eastAsia="宋体" w:hAnsi="Times New Roman"/>
          <w:color w:val="000000"/>
          <w:sz w:val="20"/>
          <w:szCs w:val="20"/>
        </w:rPr>
        <w:t>e are unable to mitigate these developments as they take further effect in the future, our targeting and measurement capabilities will be materially and adversely affected, which would in turn significantly impact our future advertising revenue growth.</w:t>
      </w:r>
    </w:p>
    <w:p w14:paraId="0B2FBAFF" w14:textId="77777777" w:rsidR="007F1775" w:rsidRDefault="000F083E">
      <w:pPr>
        <w:spacing w:before="180"/>
        <w:jc w:val="both"/>
      </w:pPr>
      <w:r>
        <w:rPr>
          <w:rFonts w:ascii="Times New Roman" w:eastAsia="宋体" w:hAnsi="Times New Roman"/>
          <w:b/>
          <w:bCs/>
          <w:i/>
          <w:iCs/>
          <w:color w:val="000000"/>
          <w:sz w:val="20"/>
          <w:szCs w:val="20"/>
        </w:rPr>
        <w:t>Our</w:t>
      </w:r>
      <w:r>
        <w:rPr>
          <w:rFonts w:ascii="Times New Roman" w:eastAsia="宋体" w:hAnsi="Times New Roman"/>
          <w:b/>
          <w:bCs/>
          <w:i/>
          <w:iCs/>
          <w:color w:val="000000"/>
          <w:sz w:val="20"/>
          <w:szCs w:val="20"/>
        </w:rPr>
        <w:t xml:space="preserve"> user growth, engagement, and monetization on mobile devices depend upon effective operation with mobile operating systems, networks, technologies, products, and standards that we do not control.</w:t>
      </w:r>
    </w:p>
    <w:p w14:paraId="0B2FBB00" w14:textId="77777777" w:rsidR="007F1775" w:rsidRDefault="007F1775">
      <w:pPr>
        <w:ind w:firstLine="540"/>
        <w:jc w:val="both"/>
      </w:pPr>
    </w:p>
    <w:p w14:paraId="0B2FBB01" w14:textId="77777777" w:rsidR="007F1775" w:rsidRDefault="000F083E">
      <w:pPr>
        <w:ind w:firstLine="540"/>
        <w:jc w:val="both"/>
      </w:pPr>
      <w:r>
        <w:rPr>
          <w:rFonts w:ascii="Times New Roman" w:eastAsia="宋体" w:hAnsi="Times New Roman"/>
          <w:color w:val="000000"/>
          <w:sz w:val="20"/>
          <w:szCs w:val="20"/>
        </w:rPr>
        <w:t>The substantial majority of our revenue is generated from a</w:t>
      </w:r>
      <w:r>
        <w:rPr>
          <w:rFonts w:ascii="Times New Roman" w:eastAsia="宋体" w:hAnsi="Times New Roman"/>
          <w:color w:val="000000"/>
          <w:sz w:val="20"/>
          <w:szCs w:val="20"/>
        </w:rPr>
        <w:t>dvertising on mobile devices. There is no guarantee that popular mobile devices will continue to feature our products, or that mobile device users will continue to use our products rather than competing products. We are dependent on the interoperability of</w:t>
      </w:r>
      <w:r>
        <w:rPr>
          <w:rFonts w:ascii="Times New Roman" w:eastAsia="宋体" w:hAnsi="Times New Roman"/>
          <w:color w:val="000000"/>
          <w:sz w:val="20"/>
          <w:szCs w:val="20"/>
        </w:rPr>
        <w:t xml:space="preserve"> our products with popular mobile operating systems, networks, technologies, products, and standards that we do not control, such as the Android and iOS operating systems and mobile browsers. Any changes, bugs, or technical issues in such systems, or chang</w:t>
      </w:r>
      <w:r>
        <w:rPr>
          <w:rFonts w:ascii="Times New Roman" w:eastAsia="宋体" w:hAnsi="Times New Roman"/>
          <w:color w:val="000000"/>
          <w:sz w:val="20"/>
          <w:szCs w:val="20"/>
        </w:rPr>
        <w:t>es in our relationships with mobile operating system partners, handset manufacturers, browser developers, or mobile carriers, or in the content or application of their terms of service or policies that degrade our products' functionality, reduce or elimina</w:t>
      </w:r>
      <w:r>
        <w:rPr>
          <w:rFonts w:ascii="Times New Roman" w:eastAsia="宋体" w:hAnsi="Times New Roman"/>
          <w:color w:val="000000"/>
          <w:sz w:val="20"/>
          <w:szCs w:val="20"/>
        </w:rPr>
        <w:t xml:space="preserve">te our ability to update or distribute our products, give preferential treatment to competitive products, limit our ability to deliver, target, or measure the effectiveness of ads, or charge fees related to the distribution of our products or our delivery </w:t>
      </w:r>
      <w:r>
        <w:rPr>
          <w:rFonts w:ascii="Times New Roman" w:eastAsia="宋体" w:hAnsi="Times New Roman"/>
          <w:color w:val="000000"/>
          <w:sz w:val="20"/>
          <w:szCs w:val="20"/>
        </w:rPr>
        <w:t>of ads could adversely affect the usage of our products and monetization on mobile devices. For example, Apple previously released an update to its Safari browser that limits the use of third-party cookies, which reduces our ability to provide the most rel</w:t>
      </w:r>
      <w:r>
        <w:rPr>
          <w:rFonts w:ascii="Times New Roman" w:eastAsia="宋体" w:hAnsi="Times New Roman"/>
          <w:color w:val="000000"/>
          <w:sz w:val="20"/>
          <w:szCs w:val="20"/>
        </w:rPr>
        <w:t>evant ads to our users and impacts monetization, and also released changes to iOS that limit our ability to target and measure ads effectively. We expect that any similar changes to its, Google's, or other browser or mobile platforms will further limit our</w:t>
      </w:r>
      <w:r>
        <w:rPr>
          <w:rFonts w:ascii="Times New Roman" w:eastAsia="宋体" w:hAnsi="Times New Roman"/>
          <w:color w:val="000000"/>
          <w:sz w:val="20"/>
          <w:szCs w:val="20"/>
        </w:rPr>
        <w:t xml:space="preserve"> ability to target and measure the effectiveness of ads and impact monetization. Additionally, in order to deliver high quality mobile products, it is important that our products work well with a range of mobile technologies, products, systems, networks, a</w:t>
      </w:r>
      <w:r>
        <w:rPr>
          <w:rFonts w:ascii="Times New Roman" w:eastAsia="宋体" w:hAnsi="Times New Roman"/>
          <w:color w:val="000000"/>
          <w:sz w:val="20"/>
          <w:szCs w:val="20"/>
        </w:rPr>
        <w:t xml:space="preserve">nd standards that we do not control, and that we have good relationships with handset manufacturers, mobile carriers, and browser developers. We may not be successful in maintaining or developing relationships with key participants in the mobile ecosystem </w:t>
      </w:r>
      <w:r>
        <w:rPr>
          <w:rFonts w:ascii="Times New Roman" w:eastAsia="宋体" w:hAnsi="Times New Roman"/>
          <w:color w:val="000000"/>
          <w:sz w:val="20"/>
          <w:szCs w:val="20"/>
        </w:rPr>
        <w:t>or in developing products that operate effectively with these technologies, products, systems, networks, or standards. In the event that it is more difficult for our users to access and use our products on their mobile devices, or if our users choose not t</w:t>
      </w:r>
      <w:r>
        <w:rPr>
          <w:rFonts w:ascii="Times New Roman" w:eastAsia="宋体" w:hAnsi="Times New Roman"/>
          <w:color w:val="000000"/>
          <w:sz w:val="20"/>
          <w:szCs w:val="20"/>
        </w:rPr>
        <w:t xml:space="preserve">o access or use our products on their mobile devices or use mobile products that do not </w:t>
      </w:r>
    </w:p>
    <w:p w14:paraId="0B2FBB02" w14:textId="77777777" w:rsidR="007F1775" w:rsidRDefault="000F083E">
      <w:pPr>
        <w:jc w:val="center"/>
      </w:pPr>
      <w:r>
        <w:rPr>
          <w:rFonts w:ascii="Times New Roman" w:eastAsia="宋体" w:hAnsi="Times New Roman"/>
          <w:color w:val="000000"/>
          <w:sz w:val="20"/>
          <w:szCs w:val="20"/>
        </w:rPr>
        <w:t>56</w:t>
      </w:r>
    </w:p>
    <w:p w14:paraId="0B2FBB03" w14:textId="77777777" w:rsidR="007F1775" w:rsidRDefault="000F083E">
      <w:r>
        <w:pict w14:anchorId="0B2FBFC5">
          <v:rect id="_x0000_i1080" style="width:415.3pt;height:1.5pt" o:hralign="center" o:hrstd="t" o:hr="t" fillcolor="#a0a0a0" stroked="f"/>
        </w:pict>
      </w:r>
    </w:p>
    <w:p w14:paraId="0B2FBB04" w14:textId="77777777" w:rsidR="007F1775" w:rsidRDefault="007F1775"/>
    <w:p w14:paraId="0B2FBB05" w14:textId="77777777" w:rsidR="007F1775" w:rsidRDefault="007F1775"/>
    <w:p w14:paraId="0B2FBB06" w14:textId="77777777" w:rsidR="007F1775" w:rsidRDefault="000F083E">
      <w:hyperlink r:id="rId134" w:anchor="iea70e328caa94cefb76a9db6ed6338fc_7" w:history="1">
        <w:r>
          <w:rPr>
            <w:rStyle w:val="a5"/>
            <w:rFonts w:ascii="Times New Roman" w:eastAsia="宋体" w:hAnsi="Times New Roman"/>
            <w:sz w:val="20"/>
            <w:szCs w:val="20"/>
          </w:rPr>
          <w:t>Table of C</w:t>
        </w:r>
        <w:r>
          <w:rPr>
            <w:rStyle w:val="a5"/>
            <w:rFonts w:ascii="Times New Roman" w:eastAsia="宋体" w:hAnsi="Times New Roman"/>
            <w:sz w:val="20"/>
            <w:szCs w:val="20"/>
          </w:rPr>
          <w:t>ontents</w:t>
        </w:r>
      </w:hyperlink>
    </w:p>
    <w:p w14:paraId="0B2FBB07" w14:textId="77777777" w:rsidR="007F1775" w:rsidRDefault="000F083E">
      <w:pPr>
        <w:jc w:val="both"/>
      </w:pPr>
      <w:r>
        <w:rPr>
          <w:rFonts w:ascii="Times New Roman" w:eastAsia="宋体" w:hAnsi="Times New Roman"/>
          <w:color w:val="000000"/>
          <w:sz w:val="20"/>
          <w:szCs w:val="20"/>
        </w:rPr>
        <w:t>offer access to our products, our user growth and user engagement could be harmed. From time to time, we may also take actions regarding the distribution of our products or the operation of our business based on what we believe to be in our long</w:t>
      </w:r>
      <w:r>
        <w:rPr>
          <w:rFonts w:ascii="Times New Roman" w:eastAsia="宋体" w:hAnsi="Times New Roman"/>
          <w:color w:val="000000"/>
          <w:sz w:val="20"/>
          <w:szCs w:val="20"/>
        </w:rPr>
        <w:t>-term best interests. Such actions may adversely affect our users and our relationships with the operators of mobile operating systems, handset manufacturers, mobile carriers, browser developers, other business partners, or advertisers, and there is no ass</w:t>
      </w:r>
      <w:r>
        <w:rPr>
          <w:rFonts w:ascii="Times New Roman" w:eastAsia="宋体" w:hAnsi="Times New Roman"/>
          <w:color w:val="000000"/>
          <w:sz w:val="20"/>
          <w:szCs w:val="20"/>
        </w:rPr>
        <w:t>urance that these actions will result in the anticipated long-term benefits. In the event that our users are adversely affected by these actions or if our relationships with such third parties deteriorate, our user growth, engagement, and monetization coul</w:t>
      </w:r>
      <w:r>
        <w:rPr>
          <w:rFonts w:ascii="Times New Roman" w:eastAsia="宋体" w:hAnsi="Times New Roman"/>
          <w:color w:val="000000"/>
          <w:sz w:val="20"/>
          <w:szCs w:val="20"/>
        </w:rPr>
        <w:t xml:space="preserve">d be adversely affected and our business could be harmed. We have in the past experienced challenges in operating with mobile operating systems, networks, technologies, products, and standards that we do not control, and any such occurrences in the future </w:t>
      </w:r>
      <w:r>
        <w:rPr>
          <w:rFonts w:ascii="Times New Roman" w:eastAsia="宋体" w:hAnsi="Times New Roman"/>
          <w:color w:val="000000"/>
          <w:sz w:val="20"/>
          <w:szCs w:val="20"/>
        </w:rPr>
        <w:t>may negatively impact our user growth, engagement, and monetization on mobile devices, which may in turn materially and adversely affect our business and financial results.</w:t>
      </w:r>
    </w:p>
    <w:p w14:paraId="0B2FBB08" w14:textId="77777777" w:rsidR="007F1775" w:rsidRDefault="000F083E">
      <w:pPr>
        <w:spacing w:before="180"/>
        <w:jc w:val="both"/>
      </w:pPr>
      <w:r>
        <w:rPr>
          <w:rFonts w:ascii="Times New Roman" w:eastAsia="宋体" w:hAnsi="Times New Roman"/>
          <w:b/>
          <w:bCs/>
          <w:i/>
          <w:iCs/>
          <w:color w:val="000000"/>
          <w:sz w:val="20"/>
          <w:szCs w:val="20"/>
        </w:rPr>
        <w:t>Our new products and changes to existing products could fail to attract or retain u</w:t>
      </w:r>
      <w:r>
        <w:rPr>
          <w:rFonts w:ascii="Times New Roman" w:eastAsia="宋体" w:hAnsi="Times New Roman"/>
          <w:b/>
          <w:bCs/>
          <w:i/>
          <w:iCs/>
          <w:color w:val="000000"/>
          <w:sz w:val="20"/>
          <w:szCs w:val="20"/>
        </w:rPr>
        <w:t>sers or generate revenue and profits.</w:t>
      </w:r>
    </w:p>
    <w:p w14:paraId="0B2FBB09" w14:textId="77777777" w:rsidR="007F1775" w:rsidRDefault="007F1775">
      <w:pPr>
        <w:ind w:firstLine="540"/>
        <w:jc w:val="both"/>
      </w:pPr>
    </w:p>
    <w:p w14:paraId="0B2FBB0A" w14:textId="77777777" w:rsidR="007F1775" w:rsidRDefault="000F083E">
      <w:pPr>
        <w:ind w:firstLine="540"/>
        <w:jc w:val="both"/>
      </w:pPr>
      <w:r>
        <w:rPr>
          <w:rFonts w:ascii="Times New Roman" w:eastAsia="宋体" w:hAnsi="Times New Roman"/>
          <w:color w:val="000000"/>
          <w:sz w:val="20"/>
          <w:szCs w:val="20"/>
        </w:rPr>
        <w:t>Our ability to retain, increase, and engage our user base and to increase our revenue depends heavily on our ability to continue to evolve our existing products and to create successful new products, both independentl</w:t>
      </w:r>
      <w:r>
        <w:rPr>
          <w:rFonts w:ascii="Times New Roman" w:eastAsia="宋体" w:hAnsi="Times New Roman"/>
          <w:color w:val="000000"/>
          <w:sz w:val="20"/>
          <w:szCs w:val="20"/>
        </w:rPr>
        <w:t xml:space="preserve">y and in conjunction with developers or other third parties. We may introduce significant changes to our existing products or acquire or introduce new and unproven products, including using technologies with which we have little or no prior development or </w:t>
      </w:r>
      <w:r>
        <w:rPr>
          <w:rFonts w:ascii="Times New Roman" w:eastAsia="宋体" w:hAnsi="Times New Roman"/>
          <w:color w:val="000000"/>
          <w:sz w:val="20"/>
          <w:szCs w:val="20"/>
        </w:rPr>
        <w:t xml:space="preserve">operating experience. For example, we do not have significant experience with consumer hardware products or virtual or augmented reality technology, which may adversely affect our ability to successfully develop and market these products and technologies. </w:t>
      </w:r>
      <w:r>
        <w:rPr>
          <w:rFonts w:ascii="Times New Roman" w:eastAsia="宋体" w:hAnsi="Times New Roman"/>
          <w:color w:val="000000"/>
          <w:sz w:val="20"/>
          <w:szCs w:val="20"/>
        </w:rPr>
        <w:t>We continue to incur substantial costs, and we may not be successful in generating profits, in connection with these efforts. In addition, the introduction of new products, or changes to existing products, may result in new or enhanced governmental or regu</w:t>
      </w:r>
      <w:r>
        <w:rPr>
          <w:rFonts w:ascii="Times New Roman" w:eastAsia="宋体" w:hAnsi="Times New Roman"/>
          <w:color w:val="000000"/>
          <w:sz w:val="20"/>
          <w:szCs w:val="20"/>
        </w:rPr>
        <w:t>latory scrutiny, litigation, or other complications that could adversely affect our business and financial results. We have also invested, and expect to continue to invest, significant resources in growing our messaging products to support increasing usage</w:t>
      </w:r>
      <w:r>
        <w:rPr>
          <w:rFonts w:ascii="Times New Roman" w:eastAsia="宋体" w:hAnsi="Times New Roman"/>
          <w:color w:val="000000"/>
          <w:sz w:val="20"/>
          <w:szCs w:val="20"/>
        </w:rPr>
        <w:t xml:space="preserve"> of such products. We have historically monetized messaging in only a limited fashion, and we may not be successful in our efforts to generate meaningful revenue or profits from messaging over the long term. In addition, we are moving forward with plans to</w:t>
      </w:r>
      <w:r>
        <w:rPr>
          <w:rFonts w:ascii="Times New Roman" w:eastAsia="宋体" w:hAnsi="Times New Roman"/>
          <w:color w:val="000000"/>
          <w:sz w:val="20"/>
          <w:szCs w:val="20"/>
        </w:rPr>
        <w:t xml:space="preserve"> implement end-to-end encryption across our messaging services, as well as facilitate cross-app communication between these platforms, which plans have drawn governmental and regulatory scrutiny in multiple jurisdictions. If our new or enhanced products fa</w:t>
      </w:r>
      <w:r>
        <w:rPr>
          <w:rFonts w:ascii="Times New Roman" w:eastAsia="宋体" w:hAnsi="Times New Roman"/>
          <w:color w:val="000000"/>
          <w:sz w:val="20"/>
          <w:szCs w:val="20"/>
        </w:rPr>
        <w:t>il to engage users, marketers, or developers, or if our business plans are unsuccessful, we may fail to attract or retain users or to generate sufficient revenue, operating margin, or other value to justify our investments, and our business may be adversel</w:t>
      </w:r>
      <w:r>
        <w:rPr>
          <w:rFonts w:ascii="Times New Roman" w:eastAsia="宋体" w:hAnsi="Times New Roman"/>
          <w:color w:val="000000"/>
          <w:sz w:val="20"/>
          <w:szCs w:val="20"/>
        </w:rPr>
        <w:t>y affected.</w:t>
      </w:r>
    </w:p>
    <w:p w14:paraId="0B2FBB0B" w14:textId="77777777" w:rsidR="007F1775" w:rsidRDefault="000F083E">
      <w:pPr>
        <w:spacing w:before="180"/>
        <w:jc w:val="both"/>
      </w:pPr>
      <w:r>
        <w:rPr>
          <w:rFonts w:ascii="Times New Roman" w:eastAsia="宋体" w:hAnsi="Times New Roman"/>
          <w:b/>
          <w:bCs/>
          <w:i/>
          <w:iCs/>
          <w:color w:val="000000"/>
          <w:sz w:val="20"/>
          <w:szCs w:val="20"/>
        </w:rPr>
        <w:t>We make product and investment decisions that may not prioritize short-term financial results and may not produce the long-term benefits that we expect.</w:t>
      </w:r>
    </w:p>
    <w:p w14:paraId="0B2FBB0C" w14:textId="77777777" w:rsidR="007F1775" w:rsidRDefault="007F1775">
      <w:pPr>
        <w:ind w:firstLine="540"/>
        <w:jc w:val="both"/>
      </w:pPr>
    </w:p>
    <w:p w14:paraId="0B2FBB0D" w14:textId="77777777" w:rsidR="007F1775" w:rsidRDefault="000F083E">
      <w:pPr>
        <w:ind w:firstLine="540"/>
        <w:jc w:val="both"/>
      </w:pPr>
      <w:r>
        <w:rPr>
          <w:rFonts w:ascii="Times New Roman" w:eastAsia="宋体" w:hAnsi="Times New Roman"/>
          <w:color w:val="000000"/>
          <w:sz w:val="20"/>
          <w:szCs w:val="20"/>
        </w:rPr>
        <w:t>We frequently make product and investment decisions that may not prioritize short-term fin</w:t>
      </w:r>
      <w:r>
        <w:rPr>
          <w:rFonts w:ascii="Times New Roman" w:eastAsia="宋体" w:hAnsi="Times New Roman"/>
          <w:color w:val="000000"/>
          <w:sz w:val="20"/>
          <w:szCs w:val="20"/>
        </w:rPr>
        <w:t>ancial results if we believe that the decisions are consistent with our mission and benefit the aggregate user experience and will thereby improve our financial performance over the long term. For example, we have implemented, and we will continue to imple</w:t>
      </w:r>
      <w:r>
        <w:rPr>
          <w:rFonts w:ascii="Times New Roman" w:eastAsia="宋体" w:hAnsi="Times New Roman"/>
          <w:color w:val="000000"/>
          <w:sz w:val="20"/>
          <w:szCs w:val="20"/>
        </w:rPr>
        <w:t>ment, changes to our user data practices. Some of these changes reduce our ability to effectively target ads, which has to some extent adversely affected, and will continue to adversely affect, our advertising business. For example, our Off-Facebook Activi</w:t>
      </w:r>
      <w:r>
        <w:rPr>
          <w:rFonts w:ascii="Times New Roman" w:eastAsia="宋体" w:hAnsi="Times New Roman"/>
          <w:color w:val="000000"/>
          <w:sz w:val="20"/>
          <w:szCs w:val="20"/>
        </w:rPr>
        <w:t>ty tool enables users to place limits on our storage and use of information about their interactions with advertisers' apps and websites, which reduces our ability to deliver the most relevant and effective ads to our users. Similarly, from time to time we</w:t>
      </w:r>
      <w:r>
        <w:rPr>
          <w:rFonts w:ascii="Times New Roman" w:eastAsia="宋体" w:hAnsi="Times New Roman"/>
          <w:color w:val="000000"/>
          <w:sz w:val="20"/>
          <w:szCs w:val="20"/>
        </w:rPr>
        <w:t xml:space="preserve"> update our News Feed ranking algorithm to optimize the user experience, and these changes have had, and may in the future have, the effect of reducing time spent and some measures of user engagement with Facebook, which could adversely affect our financia</w:t>
      </w:r>
      <w:r>
        <w:rPr>
          <w:rFonts w:ascii="Times New Roman" w:eastAsia="宋体" w:hAnsi="Times New Roman"/>
          <w:color w:val="000000"/>
          <w:sz w:val="20"/>
          <w:szCs w:val="20"/>
        </w:rPr>
        <w:t>l results. From time to time, we also change the size, frequency, or relative prominence of ads as part of our product and monetization strategies. In addition, we have made, and we expect to continue to make, other changes to our products which may advers</w:t>
      </w:r>
      <w:r>
        <w:rPr>
          <w:rFonts w:ascii="Times New Roman" w:eastAsia="宋体" w:hAnsi="Times New Roman"/>
          <w:color w:val="000000"/>
          <w:sz w:val="20"/>
          <w:szCs w:val="20"/>
        </w:rPr>
        <w:t>ely affect the distribution of content of publishers, marketers, and developers, and could reduce their incentive to invest in their efforts on our products. We also may introduce new features or other changes to existing products, or introduce new stand-a</w:t>
      </w:r>
      <w:r>
        <w:rPr>
          <w:rFonts w:ascii="Times New Roman" w:eastAsia="宋体" w:hAnsi="Times New Roman"/>
          <w:color w:val="000000"/>
          <w:sz w:val="20"/>
          <w:szCs w:val="20"/>
        </w:rPr>
        <w:t>lone products, that attract users away from properties, formats, or use cases where we have more proven means of monetization, such as our feed products. In addition, as we focus on growing users and engagement across our family of products, from time to t</w:t>
      </w:r>
      <w:r>
        <w:rPr>
          <w:rFonts w:ascii="Times New Roman" w:eastAsia="宋体" w:hAnsi="Times New Roman"/>
          <w:color w:val="000000"/>
          <w:sz w:val="20"/>
          <w:szCs w:val="20"/>
        </w:rPr>
        <w:t>ime these efforts have reduced, and may in the future reduce, engagement with one or more products and services in favor of other products or services that we monetize less successfully or that are not growing as quickly. For example, we plan to continue t</w:t>
      </w:r>
      <w:r>
        <w:rPr>
          <w:rFonts w:ascii="Times New Roman" w:eastAsia="宋体" w:hAnsi="Times New Roman"/>
          <w:color w:val="000000"/>
          <w:sz w:val="20"/>
          <w:szCs w:val="20"/>
        </w:rPr>
        <w:t>o promote Reels, which we do not currently monetize at the same rate as our feed or Stories products. These decisions may adversely affect our business and results of operations and may not produce the long-term benefits that we expect.</w:t>
      </w:r>
    </w:p>
    <w:p w14:paraId="0B2FBB0E" w14:textId="77777777" w:rsidR="007F1775" w:rsidRDefault="000F083E">
      <w:pPr>
        <w:jc w:val="center"/>
      </w:pPr>
      <w:r>
        <w:rPr>
          <w:rFonts w:ascii="Times New Roman" w:eastAsia="宋体" w:hAnsi="Times New Roman"/>
          <w:color w:val="000000"/>
          <w:sz w:val="20"/>
          <w:szCs w:val="20"/>
        </w:rPr>
        <w:t>57</w:t>
      </w:r>
    </w:p>
    <w:p w14:paraId="0B2FBB0F" w14:textId="77777777" w:rsidR="007F1775" w:rsidRDefault="000F083E">
      <w:r>
        <w:pict w14:anchorId="0B2FBFC6">
          <v:rect id="_x0000_i1081" style="width:415.3pt;height:1.5pt" o:hralign="center" o:hrstd="t" o:hr="t" fillcolor="#a0a0a0" stroked="f"/>
        </w:pict>
      </w:r>
    </w:p>
    <w:p w14:paraId="0B2FBB10" w14:textId="77777777" w:rsidR="007F1775" w:rsidRDefault="007F1775"/>
    <w:p w14:paraId="0B2FBB11" w14:textId="77777777" w:rsidR="007F1775" w:rsidRDefault="007F1775"/>
    <w:p w14:paraId="0B2FBB12" w14:textId="77777777" w:rsidR="007F1775" w:rsidRDefault="000F083E">
      <w:hyperlink r:id="rId135" w:anchor="iea70e328caa94cefb76a9db6ed6338fc_7" w:history="1">
        <w:r>
          <w:rPr>
            <w:rStyle w:val="a5"/>
            <w:rFonts w:ascii="Times New Roman" w:eastAsia="宋体" w:hAnsi="Times New Roman"/>
            <w:sz w:val="20"/>
            <w:szCs w:val="20"/>
          </w:rPr>
          <w:t>Table of Contents</w:t>
        </w:r>
      </w:hyperlink>
    </w:p>
    <w:p w14:paraId="0B2FBB13" w14:textId="77777777" w:rsidR="007F1775" w:rsidRDefault="000F083E">
      <w:pPr>
        <w:spacing w:before="180"/>
        <w:jc w:val="both"/>
      </w:pPr>
      <w:r>
        <w:rPr>
          <w:rFonts w:ascii="Times New Roman" w:eastAsia="宋体" w:hAnsi="Times New Roman"/>
          <w:b/>
          <w:bCs/>
          <w:i/>
          <w:iCs/>
          <w:color w:val="000000"/>
          <w:sz w:val="20"/>
          <w:szCs w:val="20"/>
        </w:rPr>
        <w:t xml:space="preserve">We may not be successful in our metaverse strategy and investments, which could adversely affect </w:t>
      </w:r>
      <w:r>
        <w:rPr>
          <w:rFonts w:ascii="Times New Roman" w:eastAsia="宋体" w:hAnsi="Times New Roman"/>
          <w:b/>
          <w:bCs/>
          <w:i/>
          <w:iCs/>
          <w:color w:val="000000"/>
          <w:sz w:val="20"/>
          <w:szCs w:val="20"/>
        </w:rPr>
        <w:t>our business, reputation, or financial results.</w:t>
      </w:r>
    </w:p>
    <w:p w14:paraId="0B2FBB14" w14:textId="77777777" w:rsidR="007F1775" w:rsidRDefault="007F1775"/>
    <w:p w14:paraId="0B2FBB15" w14:textId="77777777" w:rsidR="007F1775" w:rsidRDefault="000F083E">
      <w:pPr>
        <w:ind w:firstLine="540"/>
        <w:jc w:val="both"/>
      </w:pPr>
      <w:r>
        <w:rPr>
          <w:rFonts w:ascii="Times New Roman" w:eastAsia="宋体" w:hAnsi="Times New Roman"/>
          <w:color w:val="000000"/>
          <w:sz w:val="20"/>
          <w:szCs w:val="20"/>
        </w:rPr>
        <w:t xml:space="preserve">We believe the metaverse, an embodied internet where people have immersive experiences beyond two-dimensional screens, is the next evolution in social technology. In 2021, we announced a shift in our </w:t>
      </w:r>
      <w:r>
        <w:rPr>
          <w:rFonts w:ascii="Times New Roman" w:eastAsia="宋体" w:hAnsi="Times New Roman"/>
          <w:color w:val="000000"/>
          <w:sz w:val="20"/>
          <w:szCs w:val="20"/>
        </w:rPr>
        <w:t>business and product strategy to focus on helping to bring the metaverse to life. We expect this will be a complex, evolving, and long-term initiative that will involve the development of new and emerging technologies, continued investment in infrastructur</w:t>
      </w:r>
      <w:r>
        <w:rPr>
          <w:rFonts w:ascii="Times New Roman" w:eastAsia="宋体" w:hAnsi="Times New Roman"/>
          <w:color w:val="000000"/>
          <w:sz w:val="20"/>
          <w:szCs w:val="20"/>
        </w:rPr>
        <w:t>e as well as privacy, safety, and security efforts, and collaboration with other companies, developers, partners, and other participants. However, the metaverse may not develop in accordance with our expectations, and market acceptance of features, product</w:t>
      </w:r>
      <w:r>
        <w:rPr>
          <w:rFonts w:ascii="Times New Roman" w:eastAsia="宋体" w:hAnsi="Times New Roman"/>
          <w:color w:val="000000"/>
          <w:sz w:val="20"/>
          <w:szCs w:val="20"/>
        </w:rPr>
        <w:t>s, or services we build for the metaverse is uncertain. In addition, we have limited experience with consumer hardware products and virtual and augmented reality technology, which may enable other companies to compete more effectively than us. We may be un</w:t>
      </w:r>
      <w:r>
        <w:rPr>
          <w:rFonts w:ascii="Times New Roman" w:eastAsia="宋体" w:hAnsi="Times New Roman"/>
          <w:color w:val="000000"/>
          <w:sz w:val="20"/>
          <w:szCs w:val="20"/>
        </w:rPr>
        <w:t>successful in our research and product development efforts, including if we are unable to develop relationships with key participants in the metaverse or develop products that operate effectively with metaverse technologies, products, systems, networks, or</w:t>
      </w:r>
      <w:r>
        <w:rPr>
          <w:rFonts w:ascii="Times New Roman" w:eastAsia="宋体" w:hAnsi="Times New Roman"/>
          <w:color w:val="000000"/>
          <w:sz w:val="20"/>
          <w:szCs w:val="20"/>
        </w:rPr>
        <w:t xml:space="preserve"> standards. Our metaverse efforts may also divert resources and management attention from other areas of our business. We expect to continue to make significant investments in virtual and augmented reality and other technologies to support these efforts, a</w:t>
      </w:r>
      <w:r>
        <w:rPr>
          <w:rFonts w:ascii="Times New Roman" w:eastAsia="宋体" w:hAnsi="Times New Roman"/>
          <w:color w:val="000000"/>
          <w:sz w:val="20"/>
          <w:szCs w:val="20"/>
        </w:rPr>
        <w:t>nd our ability to support these efforts is dependent on generating sufficient profits from other areas of our business. In addition, as our metaverse efforts evolve, we may be subject to a variety of existing or new laws and regulations in the United State</w:t>
      </w:r>
      <w:r>
        <w:rPr>
          <w:rFonts w:ascii="Times New Roman" w:eastAsia="宋体" w:hAnsi="Times New Roman"/>
          <w:color w:val="000000"/>
          <w:sz w:val="20"/>
          <w:szCs w:val="20"/>
        </w:rPr>
        <w:t xml:space="preserve">s and international jurisdictions, including in the areas of privacy and e-commerce, which may delay or impede the development of our products and services, increase our operating costs, require significant management time and attention, or otherwise harm </w:t>
      </w:r>
      <w:r>
        <w:rPr>
          <w:rFonts w:ascii="Times New Roman" w:eastAsia="宋体" w:hAnsi="Times New Roman"/>
          <w:color w:val="000000"/>
          <w:sz w:val="20"/>
          <w:szCs w:val="20"/>
        </w:rPr>
        <w:t>our business. As a result of these or other factors, our metaverse strategy and investments may not be successful in the foreseeable future, or at all, which could adversely affect our business, reputation, or financial results.</w:t>
      </w:r>
    </w:p>
    <w:p w14:paraId="0B2FBB16" w14:textId="77777777" w:rsidR="007F1775" w:rsidRDefault="000F083E">
      <w:pPr>
        <w:spacing w:before="180"/>
        <w:jc w:val="both"/>
      </w:pPr>
      <w:r>
        <w:rPr>
          <w:rFonts w:ascii="Times New Roman" w:eastAsia="宋体" w:hAnsi="Times New Roman"/>
          <w:b/>
          <w:bCs/>
          <w:i/>
          <w:iCs/>
          <w:color w:val="000000"/>
          <w:sz w:val="20"/>
          <w:szCs w:val="20"/>
        </w:rPr>
        <w:t>If we are not able to maint</w:t>
      </w:r>
      <w:r>
        <w:rPr>
          <w:rFonts w:ascii="Times New Roman" w:eastAsia="宋体" w:hAnsi="Times New Roman"/>
          <w:b/>
          <w:bCs/>
          <w:i/>
          <w:iCs/>
          <w:color w:val="000000"/>
          <w:sz w:val="20"/>
          <w:szCs w:val="20"/>
        </w:rPr>
        <w:t>ain and enhance our brands, our ability to expand our base of users, marketers, and developers may be impaired, and our business and financial results may be harmed.</w:t>
      </w:r>
    </w:p>
    <w:p w14:paraId="0B2FBB17" w14:textId="77777777" w:rsidR="007F1775" w:rsidRDefault="007F1775">
      <w:pPr>
        <w:ind w:firstLine="540"/>
        <w:jc w:val="both"/>
      </w:pPr>
    </w:p>
    <w:p w14:paraId="0B2FBB18" w14:textId="77777777" w:rsidR="007F1775" w:rsidRDefault="000F083E">
      <w:pPr>
        <w:ind w:firstLine="540"/>
        <w:jc w:val="both"/>
      </w:pPr>
      <w:r>
        <w:rPr>
          <w:rFonts w:ascii="Times New Roman" w:eastAsia="宋体" w:hAnsi="Times New Roman"/>
          <w:color w:val="000000"/>
          <w:sz w:val="20"/>
          <w:szCs w:val="20"/>
        </w:rPr>
        <w:t>We believe that our brands have significantly contributed to the success of our business.</w:t>
      </w:r>
      <w:r>
        <w:rPr>
          <w:rFonts w:ascii="Times New Roman" w:eastAsia="宋体" w:hAnsi="Times New Roman"/>
          <w:color w:val="000000"/>
          <w:sz w:val="20"/>
          <w:szCs w:val="20"/>
        </w:rPr>
        <w:t xml:space="preserve"> We also believe that maintaining and enhancing our brands is critical to expanding our base of users, marketers, and developers. Many of our new users are referred by existing users. Maintaining and enhancing our brands will depend largely on our ability </w:t>
      </w:r>
      <w:r>
        <w:rPr>
          <w:rFonts w:ascii="Times New Roman" w:eastAsia="宋体" w:hAnsi="Times New Roman"/>
          <w:color w:val="000000"/>
          <w:sz w:val="20"/>
          <w:szCs w:val="20"/>
        </w:rPr>
        <w:t>to continue to provide useful, reliable, trustworthy, and innovative products, which we may not do successfully. We may introduce new products or terms of service or policies that users do not like, which may negatively affect our brands. Additionally, the</w:t>
      </w:r>
      <w:r>
        <w:rPr>
          <w:rFonts w:ascii="Times New Roman" w:eastAsia="宋体" w:hAnsi="Times New Roman"/>
          <w:color w:val="000000"/>
          <w:sz w:val="20"/>
          <w:szCs w:val="20"/>
        </w:rPr>
        <w:t xml:space="preserve"> actions of our developers or advertisers may affect our brands if users do not have a positive experience using third-party mobile and web applications integrated with our products or interacting with parties that advertise through our products. We will a</w:t>
      </w:r>
      <w:r>
        <w:rPr>
          <w:rFonts w:ascii="Times New Roman" w:eastAsia="宋体" w:hAnsi="Times New Roman"/>
          <w:color w:val="000000"/>
          <w:sz w:val="20"/>
          <w:szCs w:val="20"/>
        </w:rPr>
        <w:t xml:space="preserve">lso continue to experience media, legislative, or regulatory scrutiny of our actions or decisions regarding user privacy, data use, encryption, content, product design, algorithms, advertising, competition, and other issues, including actions or decisions </w:t>
      </w:r>
      <w:r>
        <w:rPr>
          <w:rFonts w:ascii="Times New Roman" w:eastAsia="宋体" w:hAnsi="Times New Roman"/>
          <w:color w:val="000000"/>
          <w:sz w:val="20"/>
          <w:szCs w:val="20"/>
        </w:rPr>
        <w:t>in connection with elections, the COVID-19 pandemic, or geopolitical events, which has in the past adversely affected, and may in the future adversely affect, our reputation and brands. For example, beginning in September 2021, we became the subject of med</w:t>
      </w:r>
      <w:r>
        <w:rPr>
          <w:rFonts w:ascii="Times New Roman" w:eastAsia="宋体" w:hAnsi="Times New Roman"/>
          <w:color w:val="000000"/>
          <w:sz w:val="20"/>
          <w:szCs w:val="20"/>
        </w:rPr>
        <w:t>ia, legislative, and regulatory scrutiny as a result of a former employee's allegations and release of internal company documents relating to, among other things, our algorithms, advertising and user metrics, and content enforcement practices, as well as m</w:t>
      </w:r>
      <w:r>
        <w:rPr>
          <w:rFonts w:ascii="Times New Roman" w:eastAsia="宋体" w:hAnsi="Times New Roman"/>
          <w:color w:val="000000"/>
          <w:sz w:val="20"/>
          <w:szCs w:val="20"/>
        </w:rPr>
        <w:t xml:space="preserve">isinformation and other undesirable activity on our platform, and user well-being. In addition, in March 2018, we announced developments regarding the misuse of certain data by a developer that shared such data with third parties in violation of our terms </w:t>
      </w:r>
      <w:r>
        <w:rPr>
          <w:rFonts w:ascii="Times New Roman" w:eastAsia="宋体" w:hAnsi="Times New Roman"/>
          <w:color w:val="000000"/>
          <w:sz w:val="20"/>
          <w:szCs w:val="20"/>
        </w:rPr>
        <w:t>and policies. We also may fail to respond expeditiously or appropriately to the sharing of objectionable content on our services or objectionable practices by advertisers or developers, or to otherwise enforce our policies or address user concerns, which h</w:t>
      </w:r>
      <w:r>
        <w:rPr>
          <w:rFonts w:ascii="Times New Roman" w:eastAsia="宋体" w:hAnsi="Times New Roman"/>
          <w:color w:val="000000"/>
          <w:sz w:val="20"/>
          <w:szCs w:val="20"/>
        </w:rPr>
        <w:t>as occurred in the past and which could erode confidence in our brands. Our brands may also be negatively affected by the actions of users that are deemed to be hostile or inappropriate to other users, by the actions of users acting under false or inauthen</w:t>
      </w:r>
      <w:r>
        <w:rPr>
          <w:rFonts w:ascii="Times New Roman" w:eastAsia="宋体" w:hAnsi="Times New Roman"/>
          <w:color w:val="000000"/>
          <w:sz w:val="20"/>
          <w:szCs w:val="20"/>
        </w:rPr>
        <w:t xml:space="preserve">tic identities, by the use of our products or services to disseminate information that is deemed to be misleading (or intended to manipulate opinions), by perceived or actual efforts by governments to obtain access to user information for security-related </w:t>
      </w:r>
      <w:r>
        <w:rPr>
          <w:rFonts w:ascii="Times New Roman" w:eastAsia="宋体" w:hAnsi="Times New Roman"/>
          <w:color w:val="000000"/>
          <w:sz w:val="20"/>
          <w:szCs w:val="20"/>
        </w:rPr>
        <w:t>purposes or to censor certain content on our platform, by the use of our products or services for illicit or objectionable ends, including, for example, any such actions around the pandemic, geopolitical events, or elections in the United States and around</w:t>
      </w:r>
      <w:r>
        <w:rPr>
          <w:rFonts w:ascii="Times New Roman" w:eastAsia="宋体" w:hAnsi="Times New Roman"/>
          <w:color w:val="000000"/>
          <w:sz w:val="20"/>
          <w:szCs w:val="20"/>
        </w:rPr>
        <w:t xml:space="preserve"> the world, by decisions or recommendations regarding content on our platform from the independent Oversight Board, by research or media reports concerning the perceived or actual impacts of our products or services on user well-being, or by our decisions </w:t>
      </w:r>
      <w:r>
        <w:rPr>
          <w:rFonts w:ascii="Times New Roman" w:eastAsia="宋体" w:hAnsi="Times New Roman"/>
          <w:color w:val="000000"/>
          <w:sz w:val="20"/>
          <w:szCs w:val="20"/>
        </w:rPr>
        <w:t xml:space="preserve">regarding whether to remove content or suspend participation on our platform by persons who violate our community standards or terms of service. Maintaining and enhancing our brands will require us to make substantial investments and these investments may </w:t>
      </w:r>
      <w:r>
        <w:rPr>
          <w:rFonts w:ascii="Times New Roman" w:eastAsia="宋体" w:hAnsi="Times New Roman"/>
          <w:color w:val="000000"/>
          <w:sz w:val="20"/>
          <w:szCs w:val="20"/>
        </w:rPr>
        <w:t xml:space="preserve">not be successful. Certain of our actions, such as the foregoing matter regarding developer misuse of data and concerns around our </w:t>
      </w:r>
    </w:p>
    <w:p w14:paraId="0B2FBB19" w14:textId="77777777" w:rsidR="007F1775" w:rsidRDefault="000F083E">
      <w:pPr>
        <w:jc w:val="center"/>
      </w:pPr>
      <w:r>
        <w:rPr>
          <w:rFonts w:ascii="Times New Roman" w:eastAsia="宋体" w:hAnsi="Times New Roman"/>
          <w:color w:val="000000"/>
          <w:sz w:val="20"/>
          <w:szCs w:val="20"/>
        </w:rPr>
        <w:t>58</w:t>
      </w:r>
    </w:p>
    <w:p w14:paraId="0B2FBB1A" w14:textId="77777777" w:rsidR="007F1775" w:rsidRDefault="000F083E">
      <w:r>
        <w:pict w14:anchorId="0B2FBFC7">
          <v:rect id="_x0000_i1082" style="width:415.3pt;height:1.5pt" o:hralign="center" o:hrstd="t" o:hr="t" fillcolor="#a0a0a0" stroked="f"/>
        </w:pict>
      </w:r>
    </w:p>
    <w:p w14:paraId="0B2FBB1B" w14:textId="77777777" w:rsidR="007F1775" w:rsidRDefault="007F1775"/>
    <w:p w14:paraId="0B2FBB1C" w14:textId="77777777" w:rsidR="007F1775" w:rsidRDefault="007F1775"/>
    <w:p w14:paraId="0B2FBB1D" w14:textId="77777777" w:rsidR="007F1775" w:rsidRDefault="000F083E">
      <w:hyperlink r:id="rId136" w:anchor="iea70e328caa94cefb76a9db6ed6338fc_7" w:history="1">
        <w:r>
          <w:rPr>
            <w:rStyle w:val="a5"/>
            <w:rFonts w:ascii="Times New Roman" w:eastAsia="宋体" w:hAnsi="Times New Roman"/>
            <w:sz w:val="20"/>
            <w:szCs w:val="20"/>
          </w:rPr>
          <w:t>Table of Contents</w:t>
        </w:r>
      </w:hyperlink>
    </w:p>
    <w:p w14:paraId="0B2FBB1E" w14:textId="77777777" w:rsidR="007F1775" w:rsidRDefault="000F083E">
      <w:pPr>
        <w:jc w:val="both"/>
      </w:pPr>
      <w:r>
        <w:rPr>
          <w:rFonts w:ascii="Times New Roman" w:eastAsia="宋体" w:hAnsi="Times New Roman"/>
          <w:color w:val="000000"/>
          <w:sz w:val="20"/>
          <w:szCs w:val="20"/>
        </w:rPr>
        <w:t xml:space="preserve">handling of political speech and advertising, hate speech, and other content, as well as user well-being issues, have eroded confidence in our brands and may continue to do so in the future. If we </w:t>
      </w:r>
      <w:r>
        <w:rPr>
          <w:rFonts w:ascii="Times New Roman" w:eastAsia="宋体" w:hAnsi="Times New Roman"/>
          <w:color w:val="000000"/>
          <w:sz w:val="20"/>
          <w:szCs w:val="20"/>
        </w:rPr>
        <w:t>fail to successfully promote and maintain our brands or if we incur excessive expenses in this effort, our business and financial results may be adversely affected.</w:t>
      </w:r>
    </w:p>
    <w:p w14:paraId="0B2FBB1F" w14:textId="77777777" w:rsidR="007F1775" w:rsidRDefault="000F083E">
      <w:pPr>
        <w:spacing w:before="180"/>
        <w:jc w:val="both"/>
      </w:pPr>
      <w:r>
        <w:rPr>
          <w:rFonts w:ascii="Times New Roman" w:eastAsia="宋体" w:hAnsi="Times New Roman"/>
          <w:b/>
          <w:bCs/>
          <w:i/>
          <w:iCs/>
          <w:color w:val="000000"/>
          <w:sz w:val="20"/>
          <w:szCs w:val="20"/>
        </w:rPr>
        <w:t>We may not be able to continue to successfully maintain or grow usage of and engagement wit</w:t>
      </w:r>
      <w:r>
        <w:rPr>
          <w:rFonts w:ascii="Times New Roman" w:eastAsia="宋体" w:hAnsi="Times New Roman"/>
          <w:b/>
          <w:bCs/>
          <w:i/>
          <w:iCs/>
          <w:color w:val="000000"/>
          <w:sz w:val="20"/>
          <w:szCs w:val="20"/>
        </w:rPr>
        <w:t>h mobile and web applications that integrate with our products.</w:t>
      </w:r>
    </w:p>
    <w:p w14:paraId="0B2FBB20" w14:textId="77777777" w:rsidR="007F1775" w:rsidRDefault="007F1775">
      <w:pPr>
        <w:ind w:firstLine="540"/>
        <w:jc w:val="both"/>
      </w:pPr>
    </w:p>
    <w:p w14:paraId="0B2FBB21" w14:textId="77777777" w:rsidR="007F1775" w:rsidRDefault="000F083E">
      <w:pPr>
        <w:ind w:firstLine="540"/>
        <w:jc w:val="both"/>
      </w:pPr>
      <w:r>
        <w:rPr>
          <w:rFonts w:ascii="Times New Roman" w:eastAsia="宋体" w:hAnsi="Times New Roman"/>
          <w:color w:val="000000"/>
          <w:sz w:val="20"/>
          <w:szCs w:val="20"/>
        </w:rPr>
        <w:t>We have made and are continuing to make investments to enable developers to build, grow, and monetize mobile and web applications that integrate with our products. Such existing and prospecti</w:t>
      </w:r>
      <w:r>
        <w:rPr>
          <w:rFonts w:ascii="Times New Roman" w:eastAsia="宋体" w:hAnsi="Times New Roman"/>
          <w:color w:val="000000"/>
          <w:sz w:val="20"/>
          <w:szCs w:val="20"/>
        </w:rPr>
        <w:t>ve developers may not be successful in building, growing, or monetizing mobile and/or web applications that create and maintain user engagement. Additionally, developers may choose to build on other platforms, including mobile platforms controlled by third</w:t>
      </w:r>
      <w:r>
        <w:rPr>
          <w:rFonts w:ascii="Times New Roman" w:eastAsia="宋体" w:hAnsi="Times New Roman"/>
          <w:color w:val="000000"/>
          <w:sz w:val="20"/>
          <w:szCs w:val="20"/>
        </w:rPr>
        <w:t xml:space="preserve"> parties, rather than building products that integrate with our products. We are continuously seeking to balance the distribution objectives of our developers with our desire to provide an optimal user experience, and we may not be successful in achieving </w:t>
      </w:r>
      <w:r>
        <w:rPr>
          <w:rFonts w:ascii="Times New Roman" w:eastAsia="宋体" w:hAnsi="Times New Roman"/>
          <w:color w:val="000000"/>
          <w:sz w:val="20"/>
          <w:szCs w:val="20"/>
        </w:rPr>
        <w:t>a balance that continues to attract and retain such developers. For example, from time to time, we have taken actions to reduce the volume of communications from these developers to users on our products with the objective of enhancing the user experience,</w:t>
      </w:r>
      <w:r>
        <w:rPr>
          <w:rFonts w:ascii="Times New Roman" w:eastAsia="宋体" w:hAnsi="Times New Roman"/>
          <w:color w:val="000000"/>
          <w:sz w:val="20"/>
          <w:szCs w:val="20"/>
        </w:rPr>
        <w:t xml:space="preserve"> and such actions have reduced distribution from, user engagement with, and our monetization opportunities from, mobile and web applications integrated with our products. In addition, as part of our efforts related to privacy, safety, and security, we cond</w:t>
      </w:r>
      <w:r>
        <w:rPr>
          <w:rFonts w:ascii="Times New Roman" w:eastAsia="宋体" w:hAnsi="Times New Roman"/>
          <w:color w:val="000000"/>
          <w:sz w:val="20"/>
          <w:szCs w:val="20"/>
        </w:rPr>
        <w:t>uct investigations and audits of platform applications from time to time, and we also have announced several product changes that restrict developer access to certain user data. In some instances, these actions, as well as other actions to enforce our poli</w:t>
      </w:r>
      <w:r>
        <w:rPr>
          <w:rFonts w:ascii="Times New Roman" w:eastAsia="宋体" w:hAnsi="Times New Roman"/>
          <w:color w:val="000000"/>
          <w:sz w:val="20"/>
          <w:szCs w:val="20"/>
        </w:rPr>
        <w:t xml:space="preserve">cies applicable to developers, have adversely affected, or will adversely affect, our relationships with developers. If we are not successful in our efforts to maintain or grow the number of developers that choose to build products that integrate with our </w:t>
      </w:r>
      <w:r>
        <w:rPr>
          <w:rFonts w:ascii="Times New Roman" w:eastAsia="宋体" w:hAnsi="Times New Roman"/>
          <w:color w:val="000000"/>
          <w:sz w:val="20"/>
          <w:szCs w:val="20"/>
        </w:rPr>
        <w:t>products or if we are unable to continue to build and maintain good relations with such developers, our user growth and user engagement and our financial results may be adversely affected.</w:t>
      </w:r>
    </w:p>
    <w:p w14:paraId="0B2FBB22" w14:textId="77777777" w:rsidR="007F1775" w:rsidRDefault="000F083E">
      <w:pPr>
        <w:spacing w:before="180"/>
        <w:jc w:val="center"/>
      </w:pPr>
      <w:r>
        <w:rPr>
          <w:rFonts w:ascii="Times New Roman" w:eastAsia="宋体" w:hAnsi="Times New Roman"/>
          <w:b/>
          <w:bCs/>
          <w:color w:val="000000"/>
          <w:sz w:val="20"/>
          <w:szCs w:val="20"/>
        </w:rPr>
        <w:t>Risks Related to Our Business Operations and Financial Results</w:t>
      </w:r>
    </w:p>
    <w:p w14:paraId="0B2FBB23" w14:textId="77777777" w:rsidR="007F1775" w:rsidRDefault="000F083E">
      <w:pPr>
        <w:spacing w:before="180"/>
        <w:jc w:val="both"/>
      </w:pPr>
      <w:r>
        <w:rPr>
          <w:rFonts w:ascii="Times New Roman" w:eastAsia="宋体" w:hAnsi="Times New Roman"/>
          <w:b/>
          <w:bCs/>
          <w:i/>
          <w:iCs/>
          <w:color w:val="000000"/>
          <w:sz w:val="20"/>
          <w:szCs w:val="20"/>
        </w:rPr>
        <w:t xml:space="preserve">Our </w:t>
      </w:r>
      <w:r>
        <w:rPr>
          <w:rFonts w:ascii="Times New Roman" w:eastAsia="宋体" w:hAnsi="Times New Roman"/>
          <w:b/>
          <w:bCs/>
          <w:i/>
          <w:iCs/>
          <w:color w:val="000000"/>
          <w:sz w:val="20"/>
          <w:szCs w:val="20"/>
        </w:rPr>
        <w:t>business is highly competitive. Competition presents an ongoing threat to the success of our business.</w:t>
      </w:r>
    </w:p>
    <w:p w14:paraId="0B2FBB24" w14:textId="77777777" w:rsidR="007F1775" w:rsidRDefault="007F1775">
      <w:pPr>
        <w:ind w:firstLine="540"/>
        <w:jc w:val="both"/>
      </w:pPr>
    </w:p>
    <w:p w14:paraId="0B2FBB25" w14:textId="77777777" w:rsidR="007F1775" w:rsidRDefault="000F083E">
      <w:pPr>
        <w:ind w:firstLine="540"/>
        <w:jc w:val="both"/>
      </w:pPr>
      <w:r>
        <w:rPr>
          <w:rFonts w:ascii="Times New Roman" w:eastAsia="宋体" w:hAnsi="Times New Roman"/>
          <w:color w:val="000000"/>
          <w:sz w:val="20"/>
          <w:szCs w:val="20"/>
        </w:rPr>
        <w:t>We compete with companies providing connection, sharing, discovery, and communication products and services to users online, as well as companies that s</w:t>
      </w:r>
      <w:r>
        <w:rPr>
          <w:rFonts w:ascii="Times New Roman" w:eastAsia="宋体" w:hAnsi="Times New Roman"/>
          <w:color w:val="000000"/>
          <w:sz w:val="20"/>
          <w:szCs w:val="20"/>
        </w:rPr>
        <w:t>ell advertising to businesses looking to reach consumers and/or develop tools and systems for managing and optimizing advertising campaigns. We face significant competition in every aspect of our business, including, but not limited to, companies that faci</w:t>
      </w:r>
      <w:r>
        <w:rPr>
          <w:rFonts w:ascii="Times New Roman" w:eastAsia="宋体" w:hAnsi="Times New Roman"/>
          <w:color w:val="000000"/>
          <w:sz w:val="20"/>
          <w:szCs w:val="20"/>
        </w:rPr>
        <w:t>litate the ability of users to share, communicate, and discover content and information online or enable marketers to reach their existing or prospective audiences, including, for example, Alphabet (Google and YouTube), Amazon, Apple, ByteDance (TikTok), M</w:t>
      </w:r>
      <w:r>
        <w:rPr>
          <w:rFonts w:ascii="Times New Roman" w:eastAsia="宋体" w:hAnsi="Times New Roman"/>
          <w:color w:val="000000"/>
          <w:sz w:val="20"/>
          <w:szCs w:val="20"/>
        </w:rPr>
        <w:t>icrosoft, Snap (Snapchat), Tencent (WeChat), and Twitter. We compete to attract, engage, and retain people who use our products, to attract and retain businesses that use our free or paid business and advertising services, and to attract and retain develop</w:t>
      </w:r>
      <w:r>
        <w:rPr>
          <w:rFonts w:ascii="Times New Roman" w:eastAsia="宋体" w:hAnsi="Times New Roman"/>
          <w:color w:val="000000"/>
          <w:sz w:val="20"/>
          <w:szCs w:val="20"/>
        </w:rPr>
        <w:t>ers who build compelling mobile and web applications that integrate with our products. We also compete with companies that develop and deliver consumer hardware and virtual and augmented reality products and services. As we introduce or acquire new product</w:t>
      </w:r>
      <w:r>
        <w:rPr>
          <w:rFonts w:ascii="Times New Roman" w:eastAsia="宋体" w:hAnsi="Times New Roman"/>
          <w:color w:val="000000"/>
          <w:sz w:val="20"/>
          <w:szCs w:val="20"/>
        </w:rPr>
        <w:t>s, as our existing products evolve, or as other companies introduce new products and services, including as part of efforts to develop the metaverse, we may become subject to additional competition.</w:t>
      </w:r>
    </w:p>
    <w:p w14:paraId="0B2FBB26" w14:textId="77777777" w:rsidR="007F1775" w:rsidRDefault="007F1775">
      <w:pPr>
        <w:ind w:firstLine="540"/>
        <w:jc w:val="both"/>
      </w:pPr>
    </w:p>
    <w:p w14:paraId="0B2FBB27" w14:textId="77777777" w:rsidR="007F1775" w:rsidRDefault="000F083E">
      <w:pPr>
        <w:ind w:firstLine="540"/>
        <w:jc w:val="both"/>
      </w:pPr>
      <w:r>
        <w:rPr>
          <w:rFonts w:ascii="Times New Roman" w:eastAsia="宋体" w:hAnsi="Times New Roman"/>
          <w:color w:val="000000"/>
          <w:sz w:val="20"/>
          <w:szCs w:val="20"/>
        </w:rPr>
        <w:t>Some of our current and potential competitors may have g</w:t>
      </w:r>
      <w:r>
        <w:rPr>
          <w:rFonts w:ascii="Times New Roman" w:eastAsia="宋体" w:hAnsi="Times New Roman"/>
          <w:color w:val="000000"/>
          <w:sz w:val="20"/>
          <w:szCs w:val="20"/>
        </w:rPr>
        <w:t xml:space="preserve">reater resources, experience, or stronger competitive positions in certain product segments, geographic regions, or user demographics than we do. For example, some of our competitors may be domiciled in different countries and subject to political, legal, </w:t>
      </w:r>
      <w:r>
        <w:rPr>
          <w:rFonts w:ascii="Times New Roman" w:eastAsia="宋体" w:hAnsi="Times New Roman"/>
          <w:color w:val="000000"/>
          <w:sz w:val="20"/>
          <w:szCs w:val="20"/>
        </w:rPr>
        <w:t>and regulatory regimes that enable them to compete more effectively than us. These factors may allow our competitors to respond more effectively than us to new or emerging technologies and changes in market conditions. We believe that some users, particula</w:t>
      </w:r>
      <w:r>
        <w:rPr>
          <w:rFonts w:ascii="Times New Roman" w:eastAsia="宋体" w:hAnsi="Times New Roman"/>
          <w:color w:val="000000"/>
          <w:sz w:val="20"/>
          <w:szCs w:val="20"/>
        </w:rPr>
        <w:t xml:space="preserve">rly younger users, are aware of and actively engaging with other products and services similar to, or as a substitute for, our products and services, and we believe that some users have reduced their use of and engagement with our products and services in </w:t>
      </w:r>
      <w:r>
        <w:rPr>
          <w:rFonts w:ascii="Times New Roman" w:eastAsia="宋体" w:hAnsi="Times New Roman"/>
          <w:color w:val="000000"/>
          <w:sz w:val="20"/>
          <w:szCs w:val="20"/>
        </w:rPr>
        <w:t>favor of these other products and services. In the event that users increasingly engage with other products and services, we may experience a decline in use and engagement in key user demographics or more broadly, in which case our business would likely be</w:t>
      </w:r>
      <w:r>
        <w:rPr>
          <w:rFonts w:ascii="Times New Roman" w:eastAsia="宋体" w:hAnsi="Times New Roman"/>
          <w:color w:val="000000"/>
          <w:sz w:val="20"/>
          <w:szCs w:val="20"/>
        </w:rPr>
        <w:t xml:space="preserve"> harmed.</w:t>
      </w:r>
    </w:p>
    <w:p w14:paraId="0B2FBB28" w14:textId="77777777" w:rsidR="007F1775" w:rsidRDefault="007F1775">
      <w:pPr>
        <w:ind w:firstLine="540"/>
        <w:jc w:val="both"/>
      </w:pPr>
    </w:p>
    <w:p w14:paraId="0B2FBB29" w14:textId="77777777" w:rsidR="007F1775" w:rsidRDefault="000F083E">
      <w:pPr>
        <w:ind w:firstLine="540"/>
        <w:jc w:val="both"/>
      </w:pPr>
      <w:r>
        <w:rPr>
          <w:rFonts w:ascii="Times New Roman" w:eastAsia="宋体" w:hAnsi="Times New Roman"/>
          <w:color w:val="000000"/>
          <w:sz w:val="20"/>
          <w:szCs w:val="20"/>
        </w:rPr>
        <w:t>Our competitors may develop products, features, or services that are similar to ours or that achieve greater acceptance, may undertake more far-reaching and successful product development efforts or marketing campaigns, or may adopt more aggressi</w:t>
      </w:r>
      <w:r>
        <w:rPr>
          <w:rFonts w:ascii="Times New Roman" w:eastAsia="宋体" w:hAnsi="Times New Roman"/>
          <w:color w:val="000000"/>
          <w:sz w:val="20"/>
          <w:szCs w:val="20"/>
        </w:rPr>
        <w:t xml:space="preserve">ve pricing policies. Some competitors may gain a competitive advantage against us in areas where we operate, including: by making acquisitions; by limiting our ability to deliver, target, or measure the effectiveness of ads; by imposing </w:t>
      </w:r>
    </w:p>
    <w:p w14:paraId="0B2FBB2A" w14:textId="77777777" w:rsidR="007F1775" w:rsidRDefault="000F083E">
      <w:pPr>
        <w:jc w:val="center"/>
      </w:pPr>
      <w:r>
        <w:rPr>
          <w:rFonts w:ascii="Times New Roman" w:eastAsia="宋体" w:hAnsi="Times New Roman"/>
          <w:color w:val="000000"/>
          <w:sz w:val="20"/>
          <w:szCs w:val="20"/>
        </w:rPr>
        <w:t>59</w:t>
      </w:r>
    </w:p>
    <w:p w14:paraId="0B2FBB2B" w14:textId="77777777" w:rsidR="007F1775" w:rsidRDefault="000F083E">
      <w:r>
        <w:pict w14:anchorId="0B2FBFC8">
          <v:rect id="_x0000_i1083" style="width:415.3pt;height:1.5pt" o:hralign="center" o:hrstd="t" o:hr="t" fillcolor="#a0a0a0" stroked="f"/>
        </w:pict>
      </w:r>
    </w:p>
    <w:p w14:paraId="0B2FBB2C" w14:textId="77777777" w:rsidR="007F1775" w:rsidRDefault="007F1775"/>
    <w:p w14:paraId="0B2FBB2D" w14:textId="77777777" w:rsidR="007F1775" w:rsidRDefault="007F1775"/>
    <w:p w14:paraId="0B2FBB2E" w14:textId="77777777" w:rsidR="007F1775" w:rsidRDefault="000F083E">
      <w:hyperlink r:id="rId137" w:anchor="iea70e328caa94cefb76a9db6ed6338fc_7" w:history="1">
        <w:r>
          <w:rPr>
            <w:rStyle w:val="a5"/>
            <w:rFonts w:ascii="Times New Roman" w:eastAsia="宋体" w:hAnsi="Times New Roman"/>
            <w:sz w:val="20"/>
            <w:szCs w:val="20"/>
          </w:rPr>
          <w:t>Table of Contents</w:t>
        </w:r>
      </w:hyperlink>
    </w:p>
    <w:p w14:paraId="0B2FBB2F" w14:textId="77777777" w:rsidR="007F1775" w:rsidRDefault="000F083E">
      <w:pPr>
        <w:jc w:val="both"/>
      </w:pPr>
      <w:r>
        <w:rPr>
          <w:rFonts w:ascii="Times New Roman" w:eastAsia="宋体" w:hAnsi="Times New Roman"/>
          <w:color w:val="000000"/>
          <w:sz w:val="20"/>
          <w:szCs w:val="20"/>
        </w:rPr>
        <w:t>fees or other charges related to our delivery of ads; by making access to our product</w:t>
      </w:r>
      <w:r>
        <w:rPr>
          <w:rFonts w:ascii="Times New Roman" w:eastAsia="宋体" w:hAnsi="Times New Roman"/>
          <w:color w:val="000000"/>
          <w:sz w:val="20"/>
          <w:szCs w:val="20"/>
        </w:rPr>
        <w:t>s more difficult or impossible; by making it more difficult to communicate with our users; or by integrating competing platforms, applications, or features into products they control such as mobile device operating systems, search engines, browsers, or e-c</w:t>
      </w:r>
      <w:r>
        <w:rPr>
          <w:rFonts w:ascii="Times New Roman" w:eastAsia="宋体" w:hAnsi="Times New Roman"/>
          <w:color w:val="000000"/>
          <w:sz w:val="20"/>
          <w:szCs w:val="20"/>
        </w:rPr>
        <w:t>ommerce platforms. For example, each of Apple and Google have integrated competitive products with iOS and Android, respectively. In addition, Apple has released changes to iOS that limit our ability, and the ability of others in the digital advertising in</w:t>
      </w:r>
      <w:r>
        <w:rPr>
          <w:rFonts w:ascii="Times New Roman" w:eastAsia="宋体" w:hAnsi="Times New Roman"/>
          <w:color w:val="000000"/>
          <w:sz w:val="20"/>
          <w:szCs w:val="20"/>
        </w:rPr>
        <w:t>dustry, to target and measure ads effectively. As a result, our competitors may, and in some cases will, acquire and engage users or generate advertising or other revenue at the expense of our own efforts, which would negatively affect our business and fin</w:t>
      </w:r>
      <w:r>
        <w:rPr>
          <w:rFonts w:ascii="Times New Roman" w:eastAsia="宋体" w:hAnsi="Times New Roman"/>
          <w:color w:val="000000"/>
          <w:sz w:val="20"/>
          <w:szCs w:val="20"/>
        </w:rPr>
        <w:t>ancial results. In addition, from time to time, we may take actions in response to competitive threats, but we cannot assure you that these actions will be successful or that they will not negatively affect our business and financial results.</w:t>
      </w:r>
    </w:p>
    <w:p w14:paraId="0B2FBB30" w14:textId="77777777" w:rsidR="007F1775" w:rsidRDefault="007F1775">
      <w:pPr>
        <w:ind w:firstLine="540"/>
        <w:jc w:val="both"/>
      </w:pPr>
    </w:p>
    <w:p w14:paraId="0B2FBB31" w14:textId="77777777" w:rsidR="007F1775" w:rsidRDefault="000F083E">
      <w:pPr>
        <w:ind w:firstLine="540"/>
        <w:jc w:val="both"/>
      </w:pPr>
      <w:r>
        <w:rPr>
          <w:rFonts w:ascii="Times New Roman" w:eastAsia="宋体" w:hAnsi="Times New Roman"/>
          <w:color w:val="000000"/>
          <w:sz w:val="20"/>
          <w:szCs w:val="20"/>
        </w:rPr>
        <w:t>We believe t</w:t>
      </w:r>
      <w:r>
        <w:rPr>
          <w:rFonts w:ascii="Times New Roman" w:eastAsia="宋体" w:hAnsi="Times New Roman"/>
          <w:color w:val="000000"/>
          <w:sz w:val="20"/>
          <w:szCs w:val="20"/>
        </w:rPr>
        <w:t>hat our ability to compete effectively depends upon many factors both within and beyond our control, including:</w:t>
      </w:r>
    </w:p>
    <w:p w14:paraId="0B2FBB32"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popularity, usefulness, ease of use, performance, and reliability of our products compared to our competitors' products;</w:t>
      </w:r>
    </w:p>
    <w:p w14:paraId="0B2FBB33"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size and comp</w:t>
      </w:r>
      <w:r>
        <w:rPr>
          <w:rFonts w:ascii="Times New Roman" w:eastAsia="宋体" w:hAnsi="Times New Roman"/>
          <w:color w:val="000000"/>
          <w:sz w:val="20"/>
          <w:szCs w:val="20"/>
        </w:rPr>
        <w:t>osition of our user base;</w:t>
      </w:r>
    </w:p>
    <w:p w14:paraId="0B2FBB34"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engagement of users with our products and competing products;</w:t>
      </w:r>
    </w:p>
    <w:p w14:paraId="0B2FBB35"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ability to attract and retain businesses who use our free or paid business and advertising services;</w:t>
      </w:r>
    </w:p>
    <w:p w14:paraId="0B2FBB36"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•the timing and market acceptance of products, including </w:t>
      </w:r>
      <w:r>
        <w:rPr>
          <w:rFonts w:ascii="Times New Roman" w:eastAsia="宋体" w:hAnsi="Times New Roman"/>
          <w:color w:val="000000"/>
          <w:sz w:val="20"/>
          <w:szCs w:val="20"/>
        </w:rPr>
        <w:t>developments and enhancements to our or our competitors' products;</w:t>
      </w:r>
    </w:p>
    <w:p w14:paraId="0B2FBB37"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safety and security efforts and our ability to protect user data and to provide users with control over their data;</w:t>
      </w:r>
    </w:p>
    <w:p w14:paraId="0B2FBB38"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ability to distribute our products to new and existing users;</w:t>
      </w:r>
    </w:p>
    <w:p w14:paraId="0B2FBB39"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ability to monetize our products;</w:t>
      </w:r>
    </w:p>
    <w:p w14:paraId="0B2FBB3A"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frequency, size, format, quality, and relative prominence of the ads displayed by us or our competitors;</w:t>
      </w:r>
    </w:p>
    <w:p w14:paraId="0B2FBB3B"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•customer service and support efforts;</w:t>
      </w:r>
    </w:p>
    <w:p w14:paraId="0B2FBB3C"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•marketing and selling efforts, including our ability to measure the</w:t>
      </w:r>
      <w:r>
        <w:rPr>
          <w:rFonts w:ascii="Times New Roman" w:eastAsia="宋体" w:hAnsi="Times New Roman"/>
          <w:color w:val="000000"/>
          <w:sz w:val="20"/>
          <w:szCs w:val="20"/>
        </w:rPr>
        <w:t xml:space="preserve"> effectiveness of our ads and to provide marketers with a compelling return on their investments;</w:t>
      </w:r>
    </w:p>
    <w:p w14:paraId="0B2FBB3D"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ability to establish and maintain developers' interest in building mobile and web applications that integrate with our products;</w:t>
      </w:r>
    </w:p>
    <w:p w14:paraId="0B2FBB3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ability to establis</w:t>
      </w:r>
      <w:r>
        <w:rPr>
          <w:rFonts w:ascii="Times New Roman" w:eastAsia="宋体" w:hAnsi="Times New Roman"/>
          <w:color w:val="000000"/>
          <w:sz w:val="20"/>
          <w:szCs w:val="20"/>
        </w:rPr>
        <w:t>h and maintain publisher interest in integrating their content with our products;</w:t>
      </w:r>
    </w:p>
    <w:p w14:paraId="0B2FBB3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mandated by legislation, regulatory authorities, or litigation, some of which may have a disproportionate effect on us;</w:t>
      </w:r>
    </w:p>
    <w:p w14:paraId="0B2FBB4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•acquisitions or consolidation within our ind</w:t>
      </w:r>
      <w:r>
        <w:rPr>
          <w:rFonts w:ascii="Times New Roman" w:eastAsia="宋体" w:hAnsi="Times New Roman"/>
          <w:color w:val="000000"/>
          <w:sz w:val="20"/>
          <w:szCs w:val="20"/>
        </w:rPr>
        <w:t>ustry, which may result in more formidable competitors;</w:t>
      </w:r>
    </w:p>
    <w:p w14:paraId="0B2FBB41"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ability to attract, retain, and motivate talented employees, particularly software engineers, designers, and product managers;</w:t>
      </w:r>
    </w:p>
    <w:p w14:paraId="0B2FBB42"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ability to cost-effectively manage and grow our operations; and</w:t>
      </w:r>
    </w:p>
    <w:p w14:paraId="0B2FBB43"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reputation and brand strength relative to those of our competitors.</w:t>
      </w:r>
    </w:p>
    <w:p w14:paraId="0B2FBB44" w14:textId="77777777" w:rsidR="007F1775" w:rsidRDefault="007F1775">
      <w:pPr>
        <w:ind w:firstLine="540"/>
        <w:jc w:val="both"/>
      </w:pPr>
    </w:p>
    <w:p w14:paraId="0B2FBB45" w14:textId="77777777" w:rsidR="007F1775" w:rsidRDefault="000F083E">
      <w:pPr>
        <w:ind w:firstLine="540"/>
        <w:jc w:val="both"/>
      </w:pPr>
      <w:r>
        <w:rPr>
          <w:rFonts w:ascii="Times New Roman" w:eastAsia="宋体" w:hAnsi="Times New Roman"/>
          <w:color w:val="000000"/>
          <w:sz w:val="20"/>
          <w:szCs w:val="20"/>
        </w:rPr>
        <w:t>If we are not able to compete effectively, our user base, level of user engagement, and ability to deliver ad impressions may decrease, we may become less attractive to developers a</w:t>
      </w:r>
      <w:r>
        <w:rPr>
          <w:rFonts w:ascii="Times New Roman" w:eastAsia="宋体" w:hAnsi="Times New Roman"/>
          <w:color w:val="000000"/>
          <w:sz w:val="20"/>
          <w:szCs w:val="20"/>
        </w:rPr>
        <w:t>nd marketers, and our revenue and results of operations may be materially and adversely affected.</w:t>
      </w:r>
    </w:p>
    <w:p w14:paraId="0B2FBB46" w14:textId="77777777" w:rsidR="007F1775" w:rsidRDefault="000F083E">
      <w:pPr>
        <w:jc w:val="center"/>
      </w:pPr>
      <w:r>
        <w:rPr>
          <w:rFonts w:ascii="Times New Roman" w:eastAsia="宋体" w:hAnsi="Times New Roman"/>
          <w:color w:val="000000"/>
          <w:sz w:val="20"/>
          <w:szCs w:val="20"/>
        </w:rPr>
        <w:t>60</w:t>
      </w:r>
    </w:p>
    <w:p w14:paraId="0B2FBB47" w14:textId="77777777" w:rsidR="007F1775" w:rsidRDefault="000F083E">
      <w:r>
        <w:pict w14:anchorId="0B2FBFC9">
          <v:rect id="_x0000_i1084" style="width:415.3pt;height:1.5pt" o:hralign="center" o:hrstd="t" o:hr="t" fillcolor="#a0a0a0" stroked="f"/>
        </w:pict>
      </w:r>
    </w:p>
    <w:p w14:paraId="0B2FBB48" w14:textId="77777777" w:rsidR="007F1775" w:rsidRDefault="007F1775"/>
    <w:p w14:paraId="0B2FBB49" w14:textId="77777777" w:rsidR="007F1775" w:rsidRDefault="007F1775"/>
    <w:p w14:paraId="0B2FBB4A" w14:textId="77777777" w:rsidR="007F1775" w:rsidRDefault="000F083E">
      <w:hyperlink r:id="rId138" w:anchor="iea70e328caa94cefb76a9db6ed6338fc_7" w:history="1">
        <w:r>
          <w:rPr>
            <w:rStyle w:val="a5"/>
            <w:rFonts w:ascii="Times New Roman" w:eastAsia="宋体" w:hAnsi="Times New Roman"/>
            <w:sz w:val="20"/>
            <w:szCs w:val="20"/>
          </w:rPr>
          <w:t>Table of Contents</w:t>
        </w:r>
      </w:hyperlink>
    </w:p>
    <w:p w14:paraId="0B2FBB4B" w14:textId="77777777" w:rsidR="007F1775" w:rsidRDefault="000F083E">
      <w:pPr>
        <w:spacing w:before="180"/>
        <w:jc w:val="both"/>
      </w:pPr>
      <w:r>
        <w:rPr>
          <w:rFonts w:ascii="Times New Roman" w:eastAsia="宋体" w:hAnsi="Times New Roman"/>
          <w:b/>
          <w:bCs/>
          <w:i/>
          <w:iCs/>
          <w:color w:val="000000"/>
          <w:sz w:val="20"/>
          <w:szCs w:val="20"/>
        </w:rPr>
        <w:t>Our financial results will fluctuate from quarter to quarter and are difficult to pre</w:t>
      </w:r>
      <w:r>
        <w:rPr>
          <w:rFonts w:ascii="Times New Roman" w:eastAsia="宋体" w:hAnsi="Times New Roman"/>
          <w:b/>
          <w:bCs/>
          <w:i/>
          <w:iCs/>
          <w:color w:val="000000"/>
          <w:sz w:val="20"/>
          <w:szCs w:val="20"/>
        </w:rPr>
        <w:t>dict.</w:t>
      </w:r>
    </w:p>
    <w:p w14:paraId="0B2FBB4C" w14:textId="77777777" w:rsidR="007F1775" w:rsidRDefault="007F1775">
      <w:pPr>
        <w:ind w:firstLine="540"/>
        <w:jc w:val="both"/>
      </w:pPr>
    </w:p>
    <w:p w14:paraId="0B2FBB4D" w14:textId="77777777" w:rsidR="007F1775" w:rsidRDefault="000F083E">
      <w:pPr>
        <w:ind w:firstLine="540"/>
        <w:jc w:val="both"/>
      </w:pPr>
      <w:r>
        <w:rPr>
          <w:rFonts w:ascii="Times New Roman" w:eastAsia="宋体" w:hAnsi="Times New Roman"/>
          <w:color w:val="000000"/>
          <w:sz w:val="20"/>
          <w:szCs w:val="20"/>
        </w:rPr>
        <w:t>Our quarterly financial results have fluctuated in the past and will fluctuate in the future. Additionally, we have a limited operating history with the current scale of our business, which makes it difficult to forecast our future results. As a res</w:t>
      </w:r>
      <w:r>
        <w:rPr>
          <w:rFonts w:ascii="Times New Roman" w:eastAsia="宋体" w:hAnsi="Times New Roman"/>
          <w:color w:val="000000"/>
          <w:sz w:val="20"/>
          <w:szCs w:val="20"/>
        </w:rPr>
        <w:t>ult, you should not rely upon our past quarterly financial results as indicators of future performance. You should take into account the risks and uncertainties frequently encountered by companies in rapidly evolving markets. Our financial results in any g</w:t>
      </w:r>
      <w:r>
        <w:rPr>
          <w:rFonts w:ascii="Times New Roman" w:eastAsia="宋体" w:hAnsi="Times New Roman"/>
          <w:color w:val="000000"/>
          <w:sz w:val="20"/>
          <w:szCs w:val="20"/>
        </w:rPr>
        <w:t>iven quarter can be influenced by numerous factors, many of which we are unable to predict or are outside of our control, including:</w:t>
      </w:r>
    </w:p>
    <w:p w14:paraId="0B2FBB4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ability to maintain and grow our user base and user engagement, particularly for our products that deliver ad impressi</w:t>
      </w:r>
      <w:r>
        <w:rPr>
          <w:rFonts w:ascii="Times New Roman" w:eastAsia="宋体" w:hAnsi="Times New Roman"/>
          <w:color w:val="000000"/>
          <w:sz w:val="20"/>
          <w:szCs w:val="20"/>
        </w:rPr>
        <w:t>ons;</w:t>
      </w:r>
    </w:p>
    <w:p w14:paraId="0B2FBB4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ability to attract and retain marketers in a particular period;</w:t>
      </w:r>
    </w:p>
    <w:p w14:paraId="0B2FBB5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ability to recognize revenue or collect payments from marketers in a particular period, including as a result of the effects of the COVID-19 pandemic;</w:t>
      </w:r>
    </w:p>
    <w:p w14:paraId="0B2FBB51"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•fluctuations in spending </w:t>
      </w:r>
      <w:r>
        <w:rPr>
          <w:rFonts w:ascii="Times New Roman" w:eastAsia="宋体" w:hAnsi="Times New Roman"/>
          <w:color w:val="000000"/>
          <w:sz w:val="20"/>
          <w:szCs w:val="20"/>
        </w:rPr>
        <w:t>by our marketers due to seasonality, such as historically strong spending in the fourth quarter of each year, episodic regional or global events, including the COVID-19 pandemic, or other factors;</w:t>
      </w:r>
    </w:p>
    <w:p w14:paraId="0B2FBB52"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frequency, prominence, size, format, and quality of ad</w:t>
      </w:r>
      <w:r>
        <w:rPr>
          <w:rFonts w:ascii="Times New Roman" w:eastAsia="宋体" w:hAnsi="Times New Roman"/>
          <w:color w:val="000000"/>
          <w:sz w:val="20"/>
          <w:szCs w:val="20"/>
        </w:rPr>
        <w:t>s shown to users;</w:t>
      </w:r>
    </w:p>
    <w:p w14:paraId="0B2FBB53"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success of technologies designed to block the display of ads;</w:t>
      </w:r>
    </w:p>
    <w:p w14:paraId="0B2FBB54"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to the content or application of third-party policies that limit our ability to deliver, target, or measure the effectiveness of advertising, including changes by</w:t>
      </w:r>
      <w:r>
        <w:rPr>
          <w:rFonts w:ascii="Times New Roman" w:eastAsia="宋体" w:hAnsi="Times New Roman"/>
          <w:color w:val="000000"/>
          <w:sz w:val="20"/>
          <w:szCs w:val="20"/>
        </w:rPr>
        <w:t xml:space="preserve"> mobile operating system and browser providers such as Apple and Google;</w:t>
      </w:r>
    </w:p>
    <w:p w14:paraId="0B2FBB55"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pricing of our ads and other products;</w:t>
      </w:r>
    </w:p>
    <w:p w14:paraId="0B2FBB56"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diversification and growth of revenue sources beyond advertising on Facebook and Instagram;</w:t>
      </w:r>
    </w:p>
    <w:p w14:paraId="0B2FBB57"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•our ability to generate revenue from </w:t>
      </w:r>
      <w:r>
        <w:rPr>
          <w:rFonts w:ascii="Times New Roman" w:eastAsia="宋体" w:hAnsi="Times New Roman"/>
          <w:color w:val="000000"/>
          <w:sz w:val="20"/>
          <w:szCs w:val="20"/>
        </w:rPr>
        <w:t>Payments, or the sale of our consumer hardware products or other products we may introduce in the future;</w:t>
      </w:r>
    </w:p>
    <w:p w14:paraId="0B2FBB58"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to existing products or services or the development and introduction of new products or services by us or our competitors;</w:t>
      </w:r>
    </w:p>
    <w:p w14:paraId="0B2FBB59"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•user behavior or </w:t>
      </w:r>
      <w:r>
        <w:rPr>
          <w:rFonts w:ascii="Times New Roman" w:eastAsia="宋体" w:hAnsi="Times New Roman"/>
          <w:color w:val="000000"/>
          <w:sz w:val="20"/>
          <w:szCs w:val="20"/>
        </w:rPr>
        <w:t>product changes that may reduce traffic to features or products that we successfully monetize;</w:t>
      </w:r>
    </w:p>
    <w:p w14:paraId="0B2FBB5A"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•increases in marketing, sales, and other operating expenses that we will incur to grow and expand our operations and to remain competitive, including costs rela</w:t>
      </w:r>
      <w:r>
        <w:rPr>
          <w:rFonts w:ascii="Times New Roman" w:eastAsia="宋体" w:hAnsi="Times New Roman"/>
          <w:color w:val="000000"/>
          <w:sz w:val="20"/>
          <w:szCs w:val="20"/>
        </w:rPr>
        <w:t>ted to our data centers and technical infrastructure;</w:t>
      </w:r>
    </w:p>
    <w:p w14:paraId="0B2FBB5B"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•costs related to our privacy, safety, security, and content review efforts, including as a result of implementing changes to our practices, whether voluntarily, in connection with laws, regulations, re</w:t>
      </w:r>
      <w:r>
        <w:rPr>
          <w:rFonts w:ascii="Times New Roman" w:eastAsia="宋体" w:hAnsi="Times New Roman"/>
          <w:color w:val="000000"/>
          <w:sz w:val="20"/>
          <w:szCs w:val="20"/>
        </w:rPr>
        <w:t>gulatory actions, or decisions or recommendations from the independent Oversight Board, or otherwise;</w:t>
      </w:r>
    </w:p>
    <w:p w14:paraId="0B2FBB5C"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•costs and expenses related to the development, manufacturing, and delivery of our consumer hardware products;</w:t>
      </w:r>
    </w:p>
    <w:p w14:paraId="0B2FBB5D"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•our ability to maintain gross margins and </w:t>
      </w:r>
      <w:r>
        <w:rPr>
          <w:rFonts w:ascii="Times New Roman" w:eastAsia="宋体" w:hAnsi="Times New Roman"/>
          <w:color w:val="000000"/>
          <w:sz w:val="20"/>
          <w:szCs w:val="20"/>
        </w:rPr>
        <w:t>operating margins;</w:t>
      </w:r>
    </w:p>
    <w:p w14:paraId="0B2FBB5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•costs related to acquisitions, including costs associated with amortization and additional investments to develop the acquired technologies;</w:t>
      </w:r>
    </w:p>
    <w:p w14:paraId="0B2FBB5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•charges associated with impairment of any assets on our balance sheet;</w:t>
      </w:r>
    </w:p>
    <w:p w14:paraId="0B2FBB6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•our ability to </w:t>
      </w:r>
      <w:r>
        <w:rPr>
          <w:rFonts w:ascii="Times New Roman" w:eastAsia="宋体" w:hAnsi="Times New Roman"/>
          <w:color w:val="000000"/>
          <w:sz w:val="20"/>
          <w:szCs w:val="20"/>
        </w:rPr>
        <w:t>obtain equipment, components, and labor for our data centers and other technical infrastructure in a timely and cost-effective manner;</w:t>
      </w:r>
    </w:p>
    <w:p w14:paraId="0B2FBB61"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•system failures or outages or government blocking, which could prevent us from serving ads for any period of </w:t>
      </w:r>
    </w:p>
    <w:p w14:paraId="0B2FBB62" w14:textId="77777777" w:rsidR="007F1775" w:rsidRDefault="000F083E">
      <w:pPr>
        <w:jc w:val="center"/>
      </w:pPr>
      <w:r>
        <w:rPr>
          <w:rFonts w:ascii="Times New Roman" w:eastAsia="宋体" w:hAnsi="Times New Roman"/>
          <w:color w:val="000000"/>
          <w:sz w:val="20"/>
          <w:szCs w:val="20"/>
        </w:rPr>
        <w:t>61</w:t>
      </w:r>
    </w:p>
    <w:p w14:paraId="0B2FBB63" w14:textId="77777777" w:rsidR="007F1775" w:rsidRDefault="000F083E">
      <w:r>
        <w:pict w14:anchorId="0B2FBFCA">
          <v:rect id="_x0000_i1085" style="width:415.3pt;height:1.5pt" o:hralign="center" o:hrstd="t" o:hr="t" fillcolor="#a0a0a0" stroked="f"/>
        </w:pict>
      </w:r>
    </w:p>
    <w:p w14:paraId="0B2FBB64" w14:textId="77777777" w:rsidR="007F1775" w:rsidRDefault="007F1775"/>
    <w:p w14:paraId="0B2FBB65" w14:textId="77777777" w:rsidR="007F1775" w:rsidRDefault="007F1775"/>
    <w:p w14:paraId="0B2FBB66" w14:textId="77777777" w:rsidR="007F1775" w:rsidRDefault="000F083E">
      <w:hyperlink r:id="rId139" w:anchor="iea70e328caa94cefb76a9db6ed6338fc_7" w:history="1">
        <w:r>
          <w:rPr>
            <w:rStyle w:val="a5"/>
            <w:rFonts w:ascii="Times New Roman" w:eastAsia="宋体" w:hAnsi="Times New Roman"/>
            <w:sz w:val="20"/>
            <w:szCs w:val="20"/>
          </w:rPr>
          <w:t>Table of Contents</w:t>
        </w:r>
      </w:hyperlink>
    </w:p>
    <w:p w14:paraId="0B2FBB67" w14:textId="77777777" w:rsidR="007F1775" w:rsidRDefault="000F083E">
      <w:pPr>
        <w:pBdr>
          <w:left w:val="none" w:sz="0" w:space="0" w:color="auto"/>
        </w:pBdr>
        <w:spacing w:before="180"/>
        <w:jc w:val="both"/>
      </w:pPr>
      <w:r>
        <w:rPr>
          <w:rFonts w:ascii="Times New Roman" w:eastAsia="宋体" w:hAnsi="Times New Roman"/>
          <w:color w:val="000000"/>
          <w:sz w:val="20"/>
          <w:szCs w:val="20"/>
        </w:rPr>
        <w:t>time;</w:t>
      </w:r>
    </w:p>
    <w:p w14:paraId="0B2FBB68"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•breaches of security or privacy, and the costs associated with any such breaches </w:t>
      </w:r>
      <w:r>
        <w:rPr>
          <w:rFonts w:ascii="Times New Roman" w:eastAsia="宋体" w:hAnsi="Times New Roman"/>
          <w:color w:val="000000"/>
          <w:sz w:val="20"/>
          <w:szCs w:val="20"/>
        </w:rPr>
        <w:t>and remediation;</w:t>
      </w:r>
    </w:p>
    <w:p w14:paraId="0B2FBB69"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in the manner in which we distribute our products or inaccessibility of our products due to third-party actions;</w:t>
      </w:r>
    </w:p>
    <w:p w14:paraId="0B2FBB6A"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•fees paid to third parties for content or the distribution of our products;</w:t>
      </w:r>
    </w:p>
    <w:p w14:paraId="0B2FBB6B"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•refunds or other concessions provided t</w:t>
      </w:r>
      <w:r>
        <w:rPr>
          <w:rFonts w:ascii="Times New Roman" w:eastAsia="宋体" w:hAnsi="Times New Roman"/>
          <w:color w:val="000000"/>
          <w:sz w:val="20"/>
          <w:szCs w:val="20"/>
        </w:rPr>
        <w:t>o advertisers;</w:t>
      </w:r>
    </w:p>
    <w:p w14:paraId="0B2FBB6C"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•share-based compensation expense, including acquisition-related expense;</w:t>
      </w:r>
    </w:p>
    <w:p w14:paraId="0B2FBB6D"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•adverse litigation judgments, settlements, or other litigation-related costs;</w:t>
      </w:r>
    </w:p>
    <w:p w14:paraId="0B2FBB6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in the legislative or regulatory environment, including with respect to privacy</w:t>
      </w:r>
      <w:r>
        <w:rPr>
          <w:rFonts w:ascii="Times New Roman" w:eastAsia="宋体" w:hAnsi="Times New Roman"/>
          <w:color w:val="000000"/>
          <w:sz w:val="20"/>
          <w:szCs w:val="20"/>
        </w:rPr>
        <w:t>, data protection, and content, or actions by governments or regulators, including fines, orders, or consent decrees;</w:t>
      </w:r>
    </w:p>
    <w:p w14:paraId="0B2FBB6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overall tax rate for our business, which is affected by the mix of income we earn in the U.S. and in jurisdictions with different tax</w:t>
      </w:r>
      <w:r>
        <w:rPr>
          <w:rFonts w:ascii="Times New Roman" w:eastAsia="宋体" w:hAnsi="Times New Roman"/>
          <w:color w:val="000000"/>
          <w:sz w:val="20"/>
          <w:szCs w:val="20"/>
        </w:rPr>
        <w:t xml:space="preserve"> rates, the effects of share-based compensation, the effects of integrating intellectual property from acquisitions, the effects of changes in our business or structure, and the effects of discrete items such as legal and tax settlements and tax elections;</w:t>
      </w:r>
    </w:p>
    <w:p w14:paraId="0B2FBB7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impact of changes in tax laws or judicial or regulatory interpretations of tax laws, which are recorded in the period such laws are enacted or interpretations are issued, and may significantly affect the effective tax rate of that period;</w:t>
      </w:r>
    </w:p>
    <w:p w14:paraId="0B2FBB71"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•tax obliga</w:t>
      </w:r>
      <w:r>
        <w:rPr>
          <w:rFonts w:ascii="Times New Roman" w:eastAsia="宋体" w:hAnsi="Times New Roman"/>
          <w:color w:val="000000"/>
          <w:sz w:val="20"/>
          <w:szCs w:val="20"/>
        </w:rPr>
        <w:t>tions that may arise from resolutions of tax examinations, including the examination we are currently under by the Internal Revenue Service (IRS), that materially differ from the amounts we have anticipated;</w:t>
      </w:r>
    </w:p>
    <w:p w14:paraId="0B2FBB72"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•fluctuations in currency exchange rates and cha</w:t>
      </w:r>
      <w:r>
        <w:rPr>
          <w:rFonts w:ascii="Times New Roman" w:eastAsia="宋体" w:hAnsi="Times New Roman"/>
          <w:color w:val="000000"/>
          <w:sz w:val="20"/>
          <w:szCs w:val="20"/>
        </w:rPr>
        <w:t>nges in the proportion of our revenue and expenses denominated in foreign currencies;</w:t>
      </w:r>
    </w:p>
    <w:p w14:paraId="0B2FBB73"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•trading activity in our share repurchase program;</w:t>
      </w:r>
    </w:p>
    <w:p w14:paraId="0B2FBB74"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•fluctuations in the market values of our investments in marketable securities, in the valuation of our equity investme</w:t>
      </w:r>
      <w:r>
        <w:rPr>
          <w:rFonts w:ascii="Times New Roman" w:eastAsia="宋体" w:hAnsi="Times New Roman"/>
          <w:color w:val="000000"/>
          <w:sz w:val="20"/>
          <w:szCs w:val="20"/>
        </w:rPr>
        <w:t>nts, and in interest rates;</w:t>
      </w:r>
    </w:p>
    <w:p w14:paraId="0B2FBB75"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in U.S. generally accepted accounting principles; and</w:t>
      </w:r>
    </w:p>
    <w:p w14:paraId="0B2FBB76"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•changes in regional or global business, macroeconomic, or geopolitical conditions, including as a result of the COVID-19 pandemic, which may impact the other factors described above. </w:t>
      </w:r>
    </w:p>
    <w:p w14:paraId="0B2FBB77" w14:textId="77777777" w:rsidR="007F1775" w:rsidRDefault="000F083E">
      <w:pPr>
        <w:spacing w:before="180"/>
      </w:pPr>
      <w:r>
        <w:rPr>
          <w:rFonts w:ascii="Times New Roman" w:eastAsia="宋体" w:hAnsi="Times New Roman"/>
          <w:b/>
          <w:bCs/>
          <w:i/>
          <w:iCs/>
          <w:color w:val="000000"/>
          <w:sz w:val="20"/>
          <w:szCs w:val="20"/>
        </w:rPr>
        <w:t>Unfavorable media coverage negatively affects our business from time to</w:t>
      </w:r>
      <w:r>
        <w:rPr>
          <w:rFonts w:ascii="Times New Roman" w:eastAsia="宋体" w:hAnsi="Times New Roman"/>
          <w:b/>
          <w:bCs/>
          <w:i/>
          <w:iCs/>
          <w:color w:val="000000"/>
          <w:sz w:val="20"/>
          <w:szCs w:val="20"/>
        </w:rPr>
        <w:t xml:space="preserve"> time.</w:t>
      </w:r>
    </w:p>
    <w:p w14:paraId="0B2FBB78" w14:textId="77777777" w:rsidR="007F1775" w:rsidRDefault="007F1775">
      <w:pPr>
        <w:ind w:firstLine="540"/>
        <w:jc w:val="both"/>
      </w:pPr>
    </w:p>
    <w:p w14:paraId="0B2FBB79" w14:textId="77777777" w:rsidR="007F1775" w:rsidRDefault="000F083E">
      <w:pPr>
        <w:ind w:firstLine="540"/>
        <w:jc w:val="both"/>
      </w:pPr>
      <w:r>
        <w:rPr>
          <w:rFonts w:ascii="Times New Roman" w:eastAsia="宋体" w:hAnsi="Times New Roman"/>
          <w:color w:val="000000"/>
          <w:sz w:val="20"/>
          <w:szCs w:val="20"/>
        </w:rPr>
        <w:t>We receive a high degree of media coverage around the world. Unfavorable publicity regarding, for example, our privacy practices, advertising policies, product changes, product quality, litigation or regulatory activity, government surveillance, th</w:t>
      </w:r>
      <w:r>
        <w:rPr>
          <w:rFonts w:ascii="Times New Roman" w:eastAsia="宋体" w:hAnsi="Times New Roman"/>
          <w:color w:val="000000"/>
          <w:sz w:val="20"/>
          <w:szCs w:val="20"/>
        </w:rPr>
        <w:t>e actions of our advertisers, the actions of our developers whose products are integrated with our products, the use of our products or services for illicit or objectionable ends, the substance or enforcement of our community standards, terms of service, o</w:t>
      </w:r>
      <w:r>
        <w:rPr>
          <w:rFonts w:ascii="Times New Roman" w:eastAsia="宋体" w:hAnsi="Times New Roman"/>
          <w:color w:val="000000"/>
          <w:sz w:val="20"/>
          <w:szCs w:val="20"/>
        </w:rPr>
        <w:t>r other policies, the actions of our users, the quality and integrity of content shared on our platform, the perceived or actual impacts of our products or services on user well-being, or the actions of other companies that provide similar services to ours</w:t>
      </w:r>
      <w:r>
        <w:rPr>
          <w:rFonts w:ascii="Times New Roman" w:eastAsia="宋体" w:hAnsi="Times New Roman"/>
          <w:color w:val="000000"/>
          <w:sz w:val="20"/>
          <w:szCs w:val="20"/>
        </w:rPr>
        <w:t xml:space="preserve">, has in the past, and could in the future, adversely affect our reputation. For example, we have been the subject of significant media coverage involving concerns around our handling of political speech and advertising, hate speech, and other content, as </w:t>
      </w:r>
      <w:r>
        <w:rPr>
          <w:rFonts w:ascii="Times New Roman" w:eastAsia="宋体" w:hAnsi="Times New Roman"/>
          <w:color w:val="000000"/>
          <w:sz w:val="20"/>
          <w:szCs w:val="20"/>
        </w:rPr>
        <w:t>well as user well-being issues, and we continue to receive negative publicity related to these topics. Beginning in September 2021, we became the subject of significant media coverage as a result of allegations and the release of internal company documents</w:t>
      </w:r>
      <w:r>
        <w:rPr>
          <w:rFonts w:ascii="Times New Roman" w:eastAsia="宋体" w:hAnsi="Times New Roman"/>
          <w:color w:val="000000"/>
          <w:sz w:val="20"/>
          <w:szCs w:val="20"/>
        </w:rPr>
        <w:t xml:space="preserve"> by a former employee. In addition, we have been, and may in the future be, subject to negative publicity in connection with our handling of misinformation and other illicit or objectionable use of our products or services, including in connection with the</w:t>
      </w:r>
      <w:r>
        <w:rPr>
          <w:rFonts w:ascii="Times New Roman" w:eastAsia="宋体" w:hAnsi="Times New Roman"/>
          <w:color w:val="000000"/>
          <w:sz w:val="20"/>
          <w:szCs w:val="20"/>
        </w:rPr>
        <w:t xml:space="preserve"> COVID-19 pandemic, geopolitical events, and elections in the United States and around the world. Any such negative publicity could have an adverse effect on the size, engagement, and loyalty of our user </w:t>
      </w:r>
    </w:p>
    <w:p w14:paraId="0B2FBB7A" w14:textId="77777777" w:rsidR="007F1775" w:rsidRDefault="000F083E">
      <w:pPr>
        <w:jc w:val="center"/>
      </w:pPr>
      <w:r>
        <w:rPr>
          <w:rFonts w:ascii="Times New Roman" w:eastAsia="宋体" w:hAnsi="Times New Roman"/>
          <w:color w:val="000000"/>
          <w:sz w:val="20"/>
          <w:szCs w:val="20"/>
        </w:rPr>
        <w:t>62</w:t>
      </w:r>
    </w:p>
    <w:p w14:paraId="0B2FBB7B" w14:textId="77777777" w:rsidR="007F1775" w:rsidRDefault="000F083E">
      <w:r>
        <w:pict w14:anchorId="0B2FBFCB">
          <v:rect id="_x0000_i1086" style="width:415.3pt;height:1.5pt" o:hralign="center" o:hrstd="t" o:hr="t" fillcolor="#a0a0a0" stroked="f"/>
        </w:pict>
      </w:r>
    </w:p>
    <w:p w14:paraId="0B2FBB7C" w14:textId="77777777" w:rsidR="007F1775" w:rsidRDefault="007F1775"/>
    <w:p w14:paraId="0B2FBB7D" w14:textId="77777777" w:rsidR="007F1775" w:rsidRDefault="007F1775"/>
    <w:p w14:paraId="0B2FBB7E" w14:textId="77777777" w:rsidR="007F1775" w:rsidRDefault="000F083E">
      <w:hyperlink r:id="rId140" w:anchor="iea70e328caa94cefb76a9db6ed6338fc_7" w:history="1">
        <w:r>
          <w:rPr>
            <w:rStyle w:val="a5"/>
            <w:rFonts w:ascii="Times New Roman" w:eastAsia="宋体" w:hAnsi="Times New Roman"/>
            <w:sz w:val="20"/>
            <w:szCs w:val="20"/>
          </w:rPr>
          <w:t>Table of Contents</w:t>
        </w:r>
      </w:hyperlink>
    </w:p>
    <w:p w14:paraId="0B2FBB7F" w14:textId="77777777" w:rsidR="007F1775" w:rsidRDefault="000F083E">
      <w:pPr>
        <w:jc w:val="both"/>
      </w:pPr>
      <w:r>
        <w:rPr>
          <w:rFonts w:ascii="Times New Roman" w:eastAsia="宋体" w:hAnsi="Times New Roman"/>
          <w:color w:val="000000"/>
          <w:sz w:val="20"/>
          <w:szCs w:val="20"/>
        </w:rPr>
        <w:t>base and marketer demand for advertising on our products, which could result in decreased revenue and adversely affect our busine</w:t>
      </w:r>
      <w:r>
        <w:rPr>
          <w:rFonts w:ascii="Times New Roman" w:eastAsia="宋体" w:hAnsi="Times New Roman"/>
          <w:color w:val="000000"/>
          <w:sz w:val="20"/>
          <w:szCs w:val="20"/>
        </w:rPr>
        <w:t>ss and financial results, and we have experienced such adverse effects to varying degrees from time to time.</w:t>
      </w:r>
    </w:p>
    <w:p w14:paraId="0B2FBB80" w14:textId="77777777" w:rsidR="007F1775" w:rsidRDefault="000F083E">
      <w:pPr>
        <w:spacing w:before="180"/>
        <w:jc w:val="both"/>
      </w:pPr>
      <w:r>
        <w:rPr>
          <w:rFonts w:ascii="Times New Roman" w:eastAsia="宋体" w:hAnsi="Times New Roman"/>
          <w:b/>
          <w:bCs/>
          <w:i/>
          <w:iCs/>
          <w:color w:val="000000"/>
          <w:sz w:val="20"/>
          <w:szCs w:val="20"/>
        </w:rPr>
        <w:t xml:space="preserve">The COVID-19 pandemic has previously had, and may in the future have, a significant adverse impact on our advertising revenue and also exposes our </w:t>
      </w:r>
      <w:r>
        <w:rPr>
          <w:rFonts w:ascii="Times New Roman" w:eastAsia="宋体" w:hAnsi="Times New Roman"/>
          <w:b/>
          <w:bCs/>
          <w:i/>
          <w:iCs/>
          <w:color w:val="000000"/>
          <w:sz w:val="20"/>
          <w:szCs w:val="20"/>
        </w:rPr>
        <w:t>business to other risks.</w:t>
      </w:r>
    </w:p>
    <w:p w14:paraId="0B2FBB81" w14:textId="77777777" w:rsidR="007F1775" w:rsidRDefault="007F1775">
      <w:pPr>
        <w:ind w:firstLine="540"/>
        <w:jc w:val="both"/>
      </w:pPr>
    </w:p>
    <w:p w14:paraId="0B2FBB82" w14:textId="77777777" w:rsidR="007F1775" w:rsidRDefault="000F083E">
      <w:pPr>
        <w:ind w:firstLine="540"/>
        <w:jc w:val="both"/>
      </w:pPr>
      <w:r>
        <w:rPr>
          <w:rFonts w:ascii="Times New Roman" w:eastAsia="宋体" w:hAnsi="Times New Roman"/>
          <w:color w:val="000000"/>
          <w:sz w:val="20"/>
          <w:szCs w:val="20"/>
        </w:rPr>
        <w:t>The COVID-19 pandemic has resulted in authorities implementing numerous preventative measures from time to time to contain or mitigate the outbreak of the virus, such as travel bans and restrictions, limitations on business activi</w:t>
      </w:r>
      <w:r>
        <w:rPr>
          <w:rFonts w:ascii="Times New Roman" w:eastAsia="宋体" w:hAnsi="Times New Roman"/>
          <w:color w:val="000000"/>
          <w:sz w:val="20"/>
          <w:szCs w:val="20"/>
        </w:rPr>
        <w:t>ty, quarantines, and shelter-in-place orders. These measures have caused, and are continuing to cause, business slowdowns or shutdowns in certain affected countries and regions, which have previously significantly impacted our business and results of opera</w:t>
      </w:r>
      <w:r>
        <w:rPr>
          <w:rFonts w:ascii="Times New Roman" w:eastAsia="宋体" w:hAnsi="Times New Roman"/>
          <w:color w:val="000000"/>
          <w:sz w:val="20"/>
          <w:szCs w:val="20"/>
        </w:rPr>
        <w:t xml:space="preserve">tions. While we experienced a significant adverse impact on our advertising revenue growth during the onset of the pandemic, we believe that the pandemic subsequently contributed to an acceleration in the growth of online commerce, which in turn increased </w:t>
      </w:r>
      <w:r>
        <w:rPr>
          <w:rFonts w:ascii="Times New Roman" w:eastAsia="宋体" w:hAnsi="Times New Roman"/>
          <w:color w:val="000000"/>
          <w:sz w:val="20"/>
          <w:szCs w:val="20"/>
        </w:rPr>
        <w:t>demand for our advertising services. More recently, we believe this growth of online commerce has declined, and we may experience reduced advertising demand and related declines in pricing in future periods to the extent this trend continues, which could a</w:t>
      </w:r>
      <w:r>
        <w:rPr>
          <w:rFonts w:ascii="Times New Roman" w:eastAsia="宋体" w:hAnsi="Times New Roman"/>
          <w:color w:val="000000"/>
          <w:sz w:val="20"/>
          <w:szCs w:val="20"/>
        </w:rPr>
        <w:t>dversely affect our advertising revenue growth. The demand for and pricing of our advertising services may be materially and adversely impacted by the pandemic for the foreseeable future, and we are unable to predict the duration or degree of such impact w</w:t>
      </w:r>
      <w:r>
        <w:rPr>
          <w:rFonts w:ascii="Times New Roman" w:eastAsia="宋体" w:hAnsi="Times New Roman"/>
          <w:color w:val="000000"/>
          <w:sz w:val="20"/>
          <w:szCs w:val="20"/>
        </w:rPr>
        <w:t>ith any certainty. In addition to the impact on our advertising business, the pandemic exposes our business, operations, and workforce to a variety of other risks, including:</w:t>
      </w:r>
    </w:p>
    <w:p w14:paraId="0B2FBB83"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•volatility in the size of our user base and user engagement, particularly for ou</w:t>
      </w:r>
      <w:r>
        <w:rPr>
          <w:rFonts w:ascii="Times New Roman" w:eastAsia="宋体" w:hAnsi="Times New Roman"/>
          <w:color w:val="000000"/>
          <w:sz w:val="20"/>
          <w:szCs w:val="20"/>
        </w:rPr>
        <w:t>r messaging products, whether as a result of shelter-in-place measures or other factors;</w:t>
      </w:r>
    </w:p>
    <w:p w14:paraId="0B2FBB84"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•delays in product development or releases, or reductions in manufacturing production and sales of consumer hardware, as a result of inventory shortages, supply chain </w:t>
      </w:r>
      <w:r>
        <w:rPr>
          <w:rFonts w:ascii="Times New Roman" w:eastAsia="宋体" w:hAnsi="Times New Roman"/>
          <w:color w:val="000000"/>
          <w:sz w:val="20"/>
          <w:szCs w:val="20"/>
        </w:rPr>
        <w:t>or labor shortages;</w:t>
      </w:r>
    </w:p>
    <w:p w14:paraId="0B2FBB85"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•increased misuse of our products and services or user data by third parties, including improper advertising practices or other activity inconsistent with our terms, contracts, or policies, misinformation or other illicit or objectionab</w:t>
      </w:r>
      <w:r>
        <w:rPr>
          <w:rFonts w:ascii="Times New Roman" w:eastAsia="宋体" w:hAnsi="Times New Roman"/>
          <w:color w:val="000000"/>
          <w:sz w:val="20"/>
          <w:szCs w:val="20"/>
        </w:rPr>
        <w:t>le material on our platforms, election interference, or other undesirable activity; </w:t>
      </w:r>
    </w:p>
    <w:p w14:paraId="0B2FBB86"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•significant volatility and disruption of global financial markets, which could cause fluctuations in currency exchange rates or negatively impact our ability to access ca</w:t>
      </w:r>
      <w:r>
        <w:rPr>
          <w:rFonts w:ascii="Times New Roman" w:eastAsia="宋体" w:hAnsi="Times New Roman"/>
          <w:color w:val="000000"/>
          <w:sz w:val="20"/>
          <w:szCs w:val="20"/>
        </w:rPr>
        <w:t>pital in the future;</w:t>
      </w:r>
    </w:p>
    <w:p w14:paraId="0B2FBB87"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•illnesses to key employees, or a significant portion of our workforce, which may result in inefficiencies, delays, and disruptions in our business; and</w:t>
      </w:r>
    </w:p>
    <w:p w14:paraId="0B2FBB88"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•increased volatility and uncertainty in the financial projections we use as the b</w:t>
      </w:r>
      <w:r>
        <w:rPr>
          <w:rFonts w:ascii="Times New Roman" w:eastAsia="宋体" w:hAnsi="Times New Roman"/>
          <w:color w:val="000000"/>
          <w:sz w:val="20"/>
          <w:szCs w:val="20"/>
        </w:rPr>
        <w:t>asis for estimates used in our financial statements.</w:t>
      </w:r>
    </w:p>
    <w:p w14:paraId="0B2FBB89" w14:textId="77777777" w:rsidR="007F1775" w:rsidRDefault="007F1775">
      <w:pPr>
        <w:ind w:firstLine="540"/>
        <w:jc w:val="both"/>
      </w:pPr>
    </w:p>
    <w:p w14:paraId="0B2FBB8A" w14:textId="77777777" w:rsidR="007F1775" w:rsidRDefault="000F083E">
      <w:pPr>
        <w:ind w:firstLine="540"/>
        <w:jc w:val="both"/>
      </w:pPr>
      <w:r>
        <w:rPr>
          <w:rFonts w:ascii="Times New Roman" w:eastAsia="宋体" w:hAnsi="Times New Roman"/>
          <w:color w:val="000000"/>
          <w:sz w:val="20"/>
          <w:szCs w:val="20"/>
        </w:rPr>
        <w:t>Any of these developments may adversely affect our business, harm our reputation, or result in legal or regulatory actions against us. The persistence of COVID-19, and the preventative measures implemen</w:t>
      </w:r>
      <w:r>
        <w:rPr>
          <w:rFonts w:ascii="Times New Roman" w:eastAsia="宋体" w:hAnsi="Times New Roman"/>
          <w:color w:val="000000"/>
          <w:sz w:val="20"/>
          <w:szCs w:val="20"/>
        </w:rPr>
        <w:t>ted to help limit the spread of the illness, have impacted, and will continue to impact, our ability to operate our business and may materially and adversely impact our business, financial condition, and results of operations.</w:t>
      </w:r>
    </w:p>
    <w:p w14:paraId="0B2FBB8B" w14:textId="77777777" w:rsidR="007F1775" w:rsidRDefault="000F083E">
      <w:pPr>
        <w:spacing w:before="180"/>
        <w:jc w:val="both"/>
      </w:pPr>
      <w:r>
        <w:rPr>
          <w:rFonts w:ascii="Times New Roman" w:eastAsia="宋体" w:hAnsi="Times New Roman"/>
          <w:b/>
          <w:bCs/>
          <w:i/>
          <w:iCs/>
          <w:color w:val="000000"/>
          <w:sz w:val="20"/>
          <w:szCs w:val="20"/>
        </w:rPr>
        <w:t>Our rates of growth may be vo</w:t>
      </w:r>
      <w:r>
        <w:rPr>
          <w:rFonts w:ascii="Times New Roman" w:eastAsia="宋体" w:hAnsi="Times New Roman"/>
          <w:b/>
          <w:bCs/>
          <w:i/>
          <w:iCs/>
          <w:color w:val="000000"/>
          <w:sz w:val="20"/>
          <w:szCs w:val="20"/>
        </w:rPr>
        <w:t>latile, and we expect they will decline over time in the future.</w:t>
      </w:r>
    </w:p>
    <w:p w14:paraId="0B2FBB8C" w14:textId="77777777" w:rsidR="007F1775" w:rsidRDefault="007F1775">
      <w:pPr>
        <w:ind w:firstLine="540"/>
        <w:jc w:val="both"/>
      </w:pPr>
    </w:p>
    <w:p w14:paraId="0B2FBB8D" w14:textId="77777777" w:rsidR="007F1775" w:rsidRDefault="000F083E">
      <w:pPr>
        <w:ind w:firstLine="540"/>
        <w:jc w:val="both"/>
      </w:pPr>
      <w:r>
        <w:rPr>
          <w:rFonts w:ascii="Times New Roman" w:eastAsia="宋体" w:hAnsi="Times New Roman"/>
          <w:color w:val="000000"/>
          <w:sz w:val="20"/>
          <w:szCs w:val="20"/>
        </w:rPr>
        <w:t xml:space="preserve">We have in the past experienced, and may in the future experience, volatility in our user and revenue growth rates. In the long term, we expect that our user growth rate will </w:t>
      </w:r>
      <w:r>
        <w:rPr>
          <w:rFonts w:ascii="Times New Roman" w:eastAsia="宋体" w:hAnsi="Times New Roman"/>
          <w:color w:val="000000"/>
          <w:sz w:val="20"/>
          <w:szCs w:val="20"/>
        </w:rPr>
        <w:t>generally decline over time as the size of our active user base increases, and the size of our active user base may fluctuate or decline in one or more markets, particularly as we achieve greater market penetration. We also expect our revenue growth rate w</w:t>
      </w:r>
      <w:r>
        <w:rPr>
          <w:rFonts w:ascii="Times New Roman" w:eastAsia="宋体" w:hAnsi="Times New Roman"/>
          <w:color w:val="000000"/>
          <w:sz w:val="20"/>
          <w:szCs w:val="20"/>
        </w:rPr>
        <w:t>ill continue to decline over time as our revenue increases to higher levels. As our growth rates experience volatility or decline, investors' perceptions of our business may be adversely affected and the trading price of our Class A common stock could decl</w:t>
      </w:r>
      <w:r>
        <w:rPr>
          <w:rFonts w:ascii="Times New Roman" w:eastAsia="宋体" w:hAnsi="Times New Roman"/>
          <w:color w:val="000000"/>
          <w:sz w:val="20"/>
          <w:szCs w:val="20"/>
        </w:rPr>
        <w:t>ine.</w:t>
      </w:r>
    </w:p>
    <w:p w14:paraId="0B2FBB8E" w14:textId="77777777" w:rsidR="007F1775" w:rsidRDefault="000F083E">
      <w:pPr>
        <w:spacing w:before="180"/>
        <w:jc w:val="both"/>
      </w:pPr>
      <w:r>
        <w:rPr>
          <w:rFonts w:ascii="Times New Roman" w:eastAsia="宋体" w:hAnsi="Times New Roman"/>
          <w:b/>
          <w:bCs/>
          <w:i/>
          <w:iCs/>
          <w:color w:val="000000"/>
          <w:sz w:val="20"/>
          <w:szCs w:val="20"/>
        </w:rPr>
        <w:t>Our costs are continuing to grow, and some of our investments, particularly our investments in virtual and augmented reality, have the effect of reducing our operating margin and profitability. If our investments are not successful longer-term, our bu</w:t>
      </w:r>
      <w:r>
        <w:rPr>
          <w:rFonts w:ascii="Times New Roman" w:eastAsia="宋体" w:hAnsi="Times New Roman"/>
          <w:b/>
          <w:bCs/>
          <w:i/>
          <w:iCs/>
          <w:color w:val="000000"/>
          <w:sz w:val="20"/>
          <w:szCs w:val="20"/>
        </w:rPr>
        <w:t>siness and financial performance will be harmed.</w:t>
      </w:r>
    </w:p>
    <w:p w14:paraId="0B2FBB8F" w14:textId="77777777" w:rsidR="007F1775" w:rsidRDefault="007F1775">
      <w:pPr>
        <w:ind w:firstLine="540"/>
        <w:jc w:val="both"/>
      </w:pPr>
    </w:p>
    <w:p w14:paraId="0B2FBB90" w14:textId="77777777" w:rsidR="007F1775" w:rsidRDefault="000F083E">
      <w:pPr>
        <w:ind w:firstLine="540"/>
        <w:jc w:val="both"/>
      </w:pPr>
      <w:r>
        <w:rPr>
          <w:rFonts w:ascii="Times New Roman" w:eastAsia="宋体" w:hAnsi="Times New Roman"/>
          <w:color w:val="000000"/>
          <w:sz w:val="20"/>
          <w:szCs w:val="20"/>
        </w:rPr>
        <w:t>Operating our business is costly, and we expect our expenses to continue to increase in the future as we broaden our user base, as users increase the amount and types of content they consume and the data th</w:t>
      </w:r>
      <w:r>
        <w:rPr>
          <w:rFonts w:ascii="Times New Roman" w:eastAsia="宋体" w:hAnsi="Times New Roman"/>
          <w:color w:val="000000"/>
          <w:sz w:val="20"/>
          <w:szCs w:val="20"/>
        </w:rPr>
        <w:t xml:space="preserve">ey share with us, for example with </w:t>
      </w:r>
    </w:p>
    <w:p w14:paraId="0B2FBB91" w14:textId="77777777" w:rsidR="007F1775" w:rsidRDefault="000F083E">
      <w:pPr>
        <w:jc w:val="center"/>
      </w:pPr>
      <w:r>
        <w:rPr>
          <w:rFonts w:ascii="Times New Roman" w:eastAsia="宋体" w:hAnsi="Times New Roman"/>
          <w:color w:val="000000"/>
          <w:sz w:val="20"/>
          <w:szCs w:val="20"/>
        </w:rPr>
        <w:t>63</w:t>
      </w:r>
    </w:p>
    <w:p w14:paraId="0B2FBB92" w14:textId="77777777" w:rsidR="007F1775" w:rsidRDefault="000F083E">
      <w:r>
        <w:pict w14:anchorId="0B2FBFCC">
          <v:rect id="_x0000_i1087" style="width:415.3pt;height:1.5pt" o:hralign="center" o:hrstd="t" o:hr="t" fillcolor="#a0a0a0" stroked="f"/>
        </w:pict>
      </w:r>
    </w:p>
    <w:p w14:paraId="0B2FBB93" w14:textId="77777777" w:rsidR="007F1775" w:rsidRDefault="007F1775"/>
    <w:p w14:paraId="0B2FBB94" w14:textId="77777777" w:rsidR="007F1775" w:rsidRDefault="007F1775"/>
    <w:p w14:paraId="0B2FBB95" w14:textId="77777777" w:rsidR="007F1775" w:rsidRDefault="000F083E">
      <w:hyperlink r:id="rId141" w:anchor="iea70e328caa94cefb76a9db6ed6338fc_7" w:history="1">
        <w:r>
          <w:rPr>
            <w:rStyle w:val="a5"/>
            <w:rFonts w:ascii="Times New Roman" w:eastAsia="宋体" w:hAnsi="Times New Roman"/>
            <w:sz w:val="20"/>
            <w:szCs w:val="20"/>
          </w:rPr>
          <w:t>Table of Contents</w:t>
        </w:r>
      </w:hyperlink>
    </w:p>
    <w:p w14:paraId="0B2FBB96" w14:textId="77777777" w:rsidR="007F1775" w:rsidRDefault="000F083E">
      <w:pPr>
        <w:jc w:val="both"/>
      </w:pPr>
      <w:r>
        <w:rPr>
          <w:rFonts w:ascii="Times New Roman" w:eastAsia="宋体" w:hAnsi="Times New Roman"/>
          <w:color w:val="000000"/>
          <w:sz w:val="20"/>
          <w:szCs w:val="20"/>
        </w:rPr>
        <w:t>respect to video, as we develop and implem</w:t>
      </w:r>
      <w:r>
        <w:rPr>
          <w:rFonts w:ascii="Times New Roman" w:eastAsia="宋体" w:hAnsi="Times New Roman"/>
          <w:color w:val="000000"/>
          <w:sz w:val="20"/>
          <w:szCs w:val="20"/>
        </w:rPr>
        <w:t>ent new products, as we market new and existing products and promote our brands, as we continue to expand our technical infrastructure, as we continue to invest in new and unproven technologies, including artificial intelligence and machine learning, and a</w:t>
      </w:r>
      <w:r>
        <w:rPr>
          <w:rFonts w:ascii="Times New Roman" w:eastAsia="宋体" w:hAnsi="Times New Roman"/>
          <w:color w:val="000000"/>
          <w:sz w:val="20"/>
          <w:szCs w:val="20"/>
        </w:rPr>
        <w:t>s we continue to hire additional employees and contractors to support our expanding operations, including our efforts to focus on privacy, safety, security, and content review. In addition, from time to time we are subject to settlements, judgments, fines,</w:t>
      </w:r>
      <w:r>
        <w:rPr>
          <w:rFonts w:ascii="Times New Roman" w:eastAsia="宋体" w:hAnsi="Times New Roman"/>
          <w:color w:val="000000"/>
          <w:sz w:val="20"/>
          <w:szCs w:val="20"/>
        </w:rPr>
        <w:t xml:space="preserve"> or other monetary penalties in connection with legal and regulatory developments that may be material to our business. We are also continuing to increase our investments in new platforms and technologies, including as we continue our efforts related to bu</w:t>
      </w:r>
      <w:r>
        <w:rPr>
          <w:rFonts w:ascii="Times New Roman" w:eastAsia="宋体" w:hAnsi="Times New Roman"/>
          <w:color w:val="000000"/>
          <w:sz w:val="20"/>
          <w:szCs w:val="20"/>
        </w:rPr>
        <w:t>ilding the metaverse. Some of these investments, particularly our significant investments in virtual and augmented reality, have generated only limited revenue and reduced our operating margin and profitability, and we expect the adverse financial impact o</w:t>
      </w:r>
      <w:r>
        <w:rPr>
          <w:rFonts w:ascii="Times New Roman" w:eastAsia="宋体" w:hAnsi="Times New Roman"/>
          <w:color w:val="000000"/>
          <w:sz w:val="20"/>
          <w:szCs w:val="20"/>
        </w:rPr>
        <w:t xml:space="preserve">f such investments to continue for the foreseeable future. For example, our investments in Reality Labs reduced our 2021 overall operating profit by approximately $10 billion, and we expect our investments to increase in future periods. If our investments </w:t>
      </w:r>
      <w:r>
        <w:rPr>
          <w:rFonts w:ascii="Times New Roman" w:eastAsia="宋体" w:hAnsi="Times New Roman"/>
          <w:color w:val="000000"/>
          <w:sz w:val="20"/>
          <w:szCs w:val="20"/>
        </w:rPr>
        <w:t>are not successful longer-term, our business and financial performance will be harmed.</w:t>
      </w:r>
    </w:p>
    <w:p w14:paraId="0B2FBB97" w14:textId="77777777" w:rsidR="007F1775" w:rsidRDefault="000F083E">
      <w:pPr>
        <w:spacing w:before="180"/>
        <w:jc w:val="both"/>
      </w:pPr>
      <w:r>
        <w:rPr>
          <w:rFonts w:ascii="Times New Roman" w:eastAsia="宋体" w:hAnsi="Times New Roman"/>
          <w:b/>
          <w:bCs/>
          <w:i/>
          <w:iCs/>
          <w:color w:val="000000"/>
          <w:sz w:val="20"/>
          <w:szCs w:val="20"/>
        </w:rPr>
        <w:t xml:space="preserve">We plan to continue to make acquisitions and pursue other strategic transactions, which could impact our financial condition or results of operations and may </w:t>
      </w:r>
      <w:r>
        <w:rPr>
          <w:rFonts w:ascii="Times New Roman" w:eastAsia="宋体" w:hAnsi="Times New Roman"/>
          <w:b/>
          <w:bCs/>
          <w:i/>
          <w:iCs/>
          <w:color w:val="000000"/>
          <w:sz w:val="20"/>
          <w:szCs w:val="20"/>
        </w:rPr>
        <w:t>adversely affect the price of our common stock.</w:t>
      </w:r>
    </w:p>
    <w:p w14:paraId="0B2FBB98" w14:textId="77777777" w:rsidR="007F1775" w:rsidRDefault="007F1775">
      <w:pPr>
        <w:ind w:firstLine="540"/>
        <w:jc w:val="both"/>
      </w:pPr>
    </w:p>
    <w:p w14:paraId="0B2FBB99" w14:textId="77777777" w:rsidR="007F1775" w:rsidRDefault="000F083E">
      <w:pPr>
        <w:ind w:firstLine="540"/>
        <w:jc w:val="both"/>
      </w:pPr>
      <w:r>
        <w:rPr>
          <w:rFonts w:ascii="Times New Roman" w:eastAsia="宋体" w:hAnsi="Times New Roman"/>
          <w:color w:val="000000"/>
          <w:sz w:val="20"/>
          <w:szCs w:val="20"/>
        </w:rPr>
        <w:t>As part of our business strategy, we have made and intend to continue to make acquisitions to add specialized employees and complementary companies, products, or technologies, and from time to time may enter</w:t>
      </w:r>
      <w:r>
        <w:rPr>
          <w:rFonts w:ascii="Times New Roman" w:eastAsia="宋体" w:hAnsi="Times New Roman"/>
          <w:color w:val="000000"/>
          <w:sz w:val="20"/>
          <w:szCs w:val="20"/>
        </w:rPr>
        <w:t xml:space="preserve"> into other strategic transactions such as investments and joint ventures. We may not be able to find suitable acquisition candidates, and we may not be able to complete acquisitions or other strategic transactions on favorable terms, or at all, including </w:t>
      </w:r>
      <w:r>
        <w:rPr>
          <w:rFonts w:ascii="Times New Roman" w:eastAsia="宋体" w:hAnsi="Times New Roman"/>
          <w:color w:val="000000"/>
          <w:sz w:val="20"/>
          <w:szCs w:val="20"/>
        </w:rPr>
        <w:t>as a result of regulatory challenges. For example, in 2021, the United Kingdom Competition and Markets Authority issued an order directing us to divest our Giphy acquisition, which we have appealed. In some cases, the costs of such acquisitions or other st</w:t>
      </w:r>
      <w:r>
        <w:rPr>
          <w:rFonts w:ascii="Times New Roman" w:eastAsia="宋体" w:hAnsi="Times New Roman"/>
          <w:color w:val="000000"/>
          <w:sz w:val="20"/>
          <w:szCs w:val="20"/>
        </w:rPr>
        <w:t>rategic transactions may be substantial, and there is no assurance that we will realize expected synergies from future growth and potential monetization opportunities for our acquisitions or a favorable return on investment for our strategic investments.</w:t>
      </w:r>
    </w:p>
    <w:p w14:paraId="0B2FBB9A" w14:textId="77777777" w:rsidR="007F1775" w:rsidRDefault="007F1775">
      <w:pPr>
        <w:ind w:firstLine="540"/>
        <w:jc w:val="both"/>
      </w:pPr>
    </w:p>
    <w:p w14:paraId="0B2FBB9B" w14:textId="77777777" w:rsidR="007F1775" w:rsidRDefault="000F083E">
      <w:pPr>
        <w:ind w:firstLine="540"/>
        <w:jc w:val="both"/>
      </w:pPr>
      <w:r>
        <w:rPr>
          <w:rFonts w:ascii="Times New Roman" w:eastAsia="宋体" w:hAnsi="Times New Roman"/>
          <w:color w:val="000000"/>
          <w:sz w:val="20"/>
          <w:szCs w:val="20"/>
        </w:rPr>
        <w:t>We may pay substantial amounts of cash or incur debt to pay for acquisitions or other strategic transactions, which has occurred in the past and could adversely affect our liquidity. The incurrence of indebtedness would also result in increased fixed oblig</w:t>
      </w:r>
      <w:r>
        <w:rPr>
          <w:rFonts w:ascii="Times New Roman" w:eastAsia="宋体" w:hAnsi="Times New Roman"/>
          <w:color w:val="000000"/>
          <w:sz w:val="20"/>
          <w:szCs w:val="20"/>
        </w:rPr>
        <w:t>ations and increased interest expense, and could also include covenants or other restrictions that would impede our ability to manage our operations. We may also issue equity securities to pay for acquisitions and we regularly grant RSUs to retain the empl</w:t>
      </w:r>
      <w:r>
        <w:rPr>
          <w:rFonts w:ascii="Times New Roman" w:eastAsia="宋体" w:hAnsi="Times New Roman"/>
          <w:color w:val="000000"/>
          <w:sz w:val="20"/>
          <w:szCs w:val="20"/>
        </w:rPr>
        <w:t>oyees of acquired companies, which could increase our expenses, adversely affect our financial results, and result in dilution to our stockholders. In addition, any acquisitions or other strategic transactions we announce could be viewed negatively by user</w:t>
      </w:r>
      <w:r>
        <w:rPr>
          <w:rFonts w:ascii="Times New Roman" w:eastAsia="宋体" w:hAnsi="Times New Roman"/>
          <w:color w:val="000000"/>
          <w:sz w:val="20"/>
          <w:szCs w:val="20"/>
        </w:rPr>
        <w:t>s, marketers, developers, or investors, which may adversely affect our business or the price of our Class A common stock.</w:t>
      </w:r>
    </w:p>
    <w:p w14:paraId="0B2FBB9C" w14:textId="77777777" w:rsidR="007F1775" w:rsidRDefault="007F1775">
      <w:pPr>
        <w:ind w:firstLine="540"/>
        <w:jc w:val="both"/>
      </w:pPr>
    </w:p>
    <w:p w14:paraId="0B2FBB9D" w14:textId="77777777" w:rsidR="007F1775" w:rsidRDefault="000F083E">
      <w:pPr>
        <w:ind w:firstLine="540"/>
        <w:jc w:val="both"/>
      </w:pPr>
      <w:r>
        <w:rPr>
          <w:rFonts w:ascii="Times New Roman" w:eastAsia="宋体" w:hAnsi="Times New Roman"/>
          <w:color w:val="000000"/>
          <w:sz w:val="20"/>
          <w:szCs w:val="20"/>
        </w:rPr>
        <w:t>We may also discover liabilities, deficiencies, or other claims associated with the companies or assets we acquire that were not iden</w:t>
      </w:r>
      <w:r>
        <w:rPr>
          <w:rFonts w:ascii="Times New Roman" w:eastAsia="宋体" w:hAnsi="Times New Roman"/>
          <w:color w:val="000000"/>
          <w:sz w:val="20"/>
          <w:szCs w:val="20"/>
        </w:rPr>
        <w:t>tified in advance, which may result in significant unanticipated costs. The effectiveness of our due diligence review and our ability to evaluate the results of such due diligence are dependent upon the accuracy and completeness of statements and disclosur</w:t>
      </w:r>
      <w:r>
        <w:rPr>
          <w:rFonts w:ascii="Times New Roman" w:eastAsia="宋体" w:hAnsi="Times New Roman"/>
          <w:color w:val="000000"/>
          <w:sz w:val="20"/>
          <w:szCs w:val="20"/>
        </w:rPr>
        <w:t>es made or actions taken by the companies we acquire or their representatives, as well as the limited amount of time in which acquisitions are executed. In addition, we may fail to accurately forecast the financial impact of an acquisition or other strateg</w:t>
      </w:r>
      <w:r>
        <w:rPr>
          <w:rFonts w:ascii="Times New Roman" w:eastAsia="宋体" w:hAnsi="Times New Roman"/>
          <w:color w:val="000000"/>
          <w:sz w:val="20"/>
          <w:szCs w:val="20"/>
        </w:rPr>
        <w:t xml:space="preserve">ic transaction, including tax and accounting charges. Acquisitions or other strategic transactions may also result in our recording of significant additional expenses to our results of operations and recording of substantial finite-lived intangible assets </w:t>
      </w:r>
      <w:r>
        <w:rPr>
          <w:rFonts w:ascii="Times New Roman" w:eastAsia="宋体" w:hAnsi="Times New Roman"/>
          <w:color w:val="000000"/>
          <w:sz w:val="20"/>
          <w:szCs w:val="20"/>
        </w:rPr>
        <w:t>on our balance sheet upon closing. Any of these factors may adversely affect our financial condition or results of operations.</w:t>
      </w:r>
    </w:p>
    <w:p w14:paraId="0B2FBB9E" w14:textId="77777777" w:rsidR="007F1775" w:rsidRDefault="000F083E">
      <w:pPr>
        <w:spacing w:before="180"/>
        <w:jc w:val="both"/>
      </w:pPr>
      <w:r>
        <w:rPr>
          <w:rFonts w:ascii="Times New Roman" w:eastAsia="宋体" w:hAnsi="Times New Roman"/>
          <w:b/>
          <w:bCs/>
          <w:i/>
          <w:iCs/>
          <w:color w:val="000000"/>
          <w:sz w:val="20"/>
          <w:szCs w:val="20"/>
        </w:rPr>
        <w:t>We may not be able to successfully integrate our acquisitions, and we incur significant costs to integrate and support the compan</w:t>
      </w:r>
      <w:r>
        <w:rPr>
          <w:rFonts w:ascii="Times New Roman" w:eastAsia="宋体" w:hAnsi="Times New Roman"/>
          <w:b/>
          <w:bCs/>
          <w:i/>
          <w:iCs/>
          <w:color w:val="000000"/>
          <w:sz w:val="20"/>
          <w:szCs w:val="20"/>
        </w:rPr>
        <w:t>ies we acquire.</w:t>
      </w:r>
    </w:p>
    <w:p w14:paraId="0B2FBB9F" w14:textId="77777777" w:rsidR="007F1775" w:rsidRDefault="007F1775">
      <w:pPr>
        <w:ind w:firstLine="540"/>
        <w:jc w:val="both"/>
      </w:pPr>
    </w:p>
    <w:p w14:paraId="0B2FBBA0" w14:textId="77777777" w:rsidR="007F1775" w:rsidRDefault="000F083E">
      <w:pPr>
        <w:ind w:firstLine="540"/>
        <w:jc w:val="both"/>
      </w:pPr>
      <w:r>
        <w:rPr>
          <w:rFonts w:ascii="Times New Roman" w:eastAsia="宋体" w:hAnsi="Times New Roman"/>
          <w:color w:val="000000"/>
          <w:sz w:val="20"/>
          <w:szCs w:val="20"/>
        </w:rPr>
        <w:t>The integration of acquisitions requires significant time and resources, particularly with respect to companies that have significant operations or that develop products where we do not have prior experience, and we may not manage these pr</w:t>
      </w:r>
      <w:r>
        <w:rPr>
          <w:rFonts w:ascii="Times New Roman" w:eastAsia="宋体" w:hAnsi="Times New Roman"/>
          <w:color w:val="000000"/>
          <w:sz w:val="20"/>
          <w:szCs w:val="20"/>
        </w:rPr>
        <w:t>ocesses successfully. We continue to make substantial investments of resources to support our acquisitions, which has in the past resulted, and we expect will in the future result, in significant ongoing operating expenses and the diversion of resources an</w:t>
      </w:r>
      <w:r>
        <w:rPr>
          <w:rFonts w:ascii="Times New Roman" w:eastAsia="宋体" w:hAnsi="Times New Roman"/>
          <w:color w:val="000000"/>
          <w:sz w:val="20"/>
          <w:szCs w:val="20"/>
        </w:rPr>
        <w:t>d management attention from other areas of our business. We cannot assure you that these investments will be successful. If we fail to successfully integrate the companies we acquire, we may not realize the benefits expected from the transaction and our bu</w:t>
      </w:r>
      <w:r>
        <w:rPr>
          <w:rFonts w:ascii="Times New Roman" w:eastAsia="宋体" w:hAnsi="Times New Roman"/>
          <w:color w:val="000000"/>
          <w:sz w:val="20"/>
          <w:szCs w:val="20"/>
        </w:rPr>
        <w:t>siness may be harmed.</w:t>
      </w:r>
    </w:p>
    <w:p w14:paraId="0B2FBBA1" w14:textId="77777777" w:rsidR="007F1775" w:rsidRDefault="000F083E">
      <w:pPr>
        <w:jc w:val="center"/>
      </w:pPr>
      <w:r>
        <w:rPr>
          <w:rFonts w:ascii="Times New Roman" w:eastAsia="宋体" w:hAnsi="Times New Roman"/>
          <w:color w:val="000000"/>
          <w:sz w:val="20"/>
          <w:szCs w:val="20"/>
        </w:rPr>
        <w:t>64</w:t>
      </w:r>
    </w:p>
    <w:p w14:paraId="0B2FBBA2" w14:textId="77777777" w:rsidR="007F1775" w:rsidRDefault="000F083E">
      <w:r>
        <w:pict w14:anchorId="0B2FBFCD">
          <v:rect id="_x0000_i1088" style="width:415.3pt;height:1.5pt" o:hralign="center" o:hrstd="t" o:hr="t" fillcolor="#a0a0a0" stroked="f"/>
        </w:pict>
      </w:r>
    </w:p>
    <w:p w14:paraId="0B2FBBA3" w14:textId="77777777" w:rsidR="007F1775" w:rsidRDefault="007F1775"/>
    <w:p w14:paraId="0B2FBBA4" w14:textId="77777777" w:rsidR="007F1775" w:rsidRDefault="007F1775"/>
    <w:p w14:paraId="0B2FBBA5" w14:textId="77777777" w:rsidR="007F1775" w:rsidRDefault="000F083E">
      <w:hyperlink r:id="rId142" w:anchor="iea70e328caa94cefb76a9db6ed6338fc_7" w:history="1">
        <w:r>
          <w:rPr>
            <w:rStyle w:val="a5"/>
            <w:rFonts w:ascii="Times New Roman" w:eastAsia="宋体" w:hAnsi="Times New Roman"/>
            <w:sz w:val="20"/>
            <w:szCs w:val="20"/>
          </w:rPr>
          <w:t>Table of Contents</w:t>
        </w:r>
      </w:hyperlink>
    </w:p>
    <w:p w14:paraId="0B2FBBA6" w14:textId="77777777" w:rsidR="007F1775" w:rsidRDefault="000F083E">
      <w:pPr>
        <w:spacing w:before="180"/>
        <w:jc w:val="both"/>
      </w:pPr>
      <w:r>
        <w:rPr>
          <w:rFonts w:ascii="Times New Roman" w:eastAsia="宋体" w:hAnsi="Times New Roman"/>
          <w:b/>
          <w:bCs/>
          <w:i/>
          <w:iCs/>
          <w:color w:val="000000"/>
          <w:sz w:val="20"/>
          <w:szCs w:val="20"/>
        </w:rPr>
        <w:t>Our business is dependent on our ability to maintain and</w:t>
      </w:r>
      <w:r>
        <w:rPr>
          <w:rFonts w:ascii="Times New Roman" w:eastAsia="宋体" w:hAnsi="Times New Roman"/>
          <w:b/>
          <w:bCs/>
          <w:i/>
          <w:iCs/>
          <w:color w:val="000000"/>
          <w:sz w:val="20"/>
          <w:szCs w:val="20"/>
        </w:rPr>
        <w:t xml:space="preserve"> scale our technical infrastructure, and any significant disruption in our service could damage our reputation, result in a potential loss of users and engagement, and adversely affect our financial results.</w:t>
      </w:r>
    </w:p>
    <w:p w14:paraId="0B2FBBA7" w14:textId="77777777" w:rsidR="007F1775" w:rsidRDefault="007F1775">
      <w:pPr>
        <w:ind w:firstLine="540"/>
        <w:jc w:val="both"/>
      </w:pPr>
    </w:p>
    <w:p w14:paraId="0B2FBBA8" w14:textId="77777777" w:rsidR="007F1775" w:rsidRDefault="000F083E">
      <w:pPr>
        <w:ind w:firstLine="540"/>
        <w:jc w:val="both"/>
      </w:pPr>
      <w:r>
        <w:rPr>
          <w:rFonts w:ascii="Times New Roman" w:eastAsia="宋体" w:hAnsi="Times New Roman"/>
          <w:color w:val="000000"/>
          <w:sz w:val="20"/>
          <w:szCs w:val="20"/>
        </w:rPr>
        <w:t>Our reputation and ability to attract, retain, and serve our users is dependent upon the reliable performance of our products and our underlying technical infrastructure. We have in the past experienced, and may in the future experience, interruptions in t</w:t>
      </w:r>
      <w:r>
        <w:rPr>
          <w:rFonts w:ascii="Times New Roman" w:eastAsia="宋体" w:hAnsi="Times New Roman"/>
          <w:color w:val="000000"/>
          <w:sz w:val="20"/>
          <w:szCs w:val="20"/>
        </w:rPr>
        <w:t>he availability or performance of our products from time to time. Our systems may not be adequately designed or may not operate with the reliability and redundancy necessary to avoid performance delays or outages that could be harmful to our business. If o</w:t>
      </w:r>
      <w:r>
        <w:rPr>
          <w:rFonts w:ascii="Times New Roman" w:eastAsia="宋体" w:hAnsi="Times New Roman"/>
          <w:color w:val="000000"/>
          <w:sz w:val="20"/>
          <w:szCs w:val="20"/>
        </w:rPr>
        <w:t>ur products are unavailable when users attempt to access them, or if they do not load as quickly as expected, users may not use our products as often in the future, or at all, and our ability to serve ads may be disrupted, any of which could adversely affe</w:t>
      </w:r>
      <w:r>
        <w:rPr>
          <w:rFonts w:ascii="Times New Roman" w:eastAsia="宋体" w:hAnsi="Times New Roman"/>
          <w:color w:val="000000"/>
          <w:sz w:val="20"/>
          <w:szCs w:val="20"/>
        </w:rPr>
        <w:t>ct our business and financial performance. We have experienced such issues to varying degrees from time to time. For example, in October 2021, a combination of an error and a bug resulted in an approximately six-hour outage of our services. In addition, as</w:t>
      </w:r>
      <w:r>
        <w:rPr>
          <w:rFonts w:ascii="Times New Roman" w:eastAsia="宋体" w:hAnsi="Times New Roman"/>
          <w:color w:val="000000"/>
          <w:sz w:val="20"/>
          <w:szCs w:val="20"/>
        </w:rPr>
        <w:t xml:space="preserve"> the amount and types of information shared on our products continue to grow and evolve, as the usage patterns of our global community continue to evolve, and as our internal operational demands continue to grow, we will need an increasing amount of techni</w:t>
      </w:r>
      <w:r>
        <w:rPr>
          <w:rFonts w:ascii="Times New Roman" w:eastAsia="宋体" w:hAnsi="Times New Roman"/>
          <w:color w:val="000000"/>
          <w:sz w:val="20"/>
          <w:szCs w:val="20"/>
        </w:rPr>
        <w:t>cal infrastructure, including network capacity and computing power, to continue to satisfy our needs. It is possible that we may fail to continue to effectively scale and grow our technical infrastructure to accommodate these increased demands, which may a</w:t>
      </w:r>
      <w:r>
        <w:rPr>
          <w:rFonts w:ascii="Times New Roman" w:eastAsia="宋体" w:hAnsi="Times New Roman"/>
          <w:color w:val="000000"/>
          <w:sz w:val="20"/>
          <w:szCs w:val="20"/>
        </w:rPr>
        <w:t>dversely affect our user engagement and advertising revenue growth. In addition, our business may be subject to interruptions, delays, or failures resulting from earthquakes, adverse weather conditions, other natural disasters, power loss, terrorism, geopo</w:t>
      </w:r>
      <w:r>
        <w:rPr>
          <w:rFonts w:ascii="Times New Roman" w:eastAsia="宋体" w:hAnsi="Times New Roman"/>
          <w:color w:val="000000"/>
          <w:sz w:val="20"/>
          <w:szCs w:val="20"/>
        </w:rPr>
        <w:t>litical conflict, other physical security threats, cyber-attacks, or other catastrophic events. Global climate change could result in certain types of natural disasters occurring more frequently or with more intense effects. Any such events may result in u</w:t>
      </w:r>
      <w:r>
        <w:rPr>
          <w:rFonts w:ascii="Times New Roman" w:eastAsia="宋体" w:hAnsi="Times New Roman"/>
          <w:color w:val="000000"/>
          <w:sz w:val="20"/>
          <w:szCs w:val="20"/>
        </w:rPr>
        <w:t>sers being subject to service disruptions or outages and we may not be able to recover our technical infrastructure and user data in a timely manner to restart or provide our services, which may adversely affect our financial results. We also have been, an</w:t>
      </w:r>
      <w:r>
        <w:rPr>
          <w:rFonts w:ascii="Times New Roman" w:eastAsia="宋体" w:hAnsi="Times New Roman"/>
          <w:color w:val="000000"/>
          <w:sz w:val="20"/>
          <w:szCs w:val="20"/>
        </w:rPr>
        <w:t xml:space="preserve">d may in the future be, subject to increased energy or other costs to maintain the availability or performance of our products in connection with any such events. </w:t>
      </w:r>
    </w:p>
    <w:p w14:paraId="0B2FBBA9" w14:textId="77777777" w:rsidR="007F1775" w:rsidRDefault="007F1775">
      <w:pPr>
        <w:ind w:firstLine="540"/>
        <w:jc w:val="both"/>
      </w:pPr>
    </w:p>
    <w:p w14:paraId="0B2FBBAA" w14:textId="77777777" w:rsidR="007F1775" w:rsidRDefault="000F083E">
      <w:pPr>
        <w:ind w:firstLine="540"/>
        <w:jc w:val="both"/>
      </w:pPr>
      <w:r>
        <w:rPr>
          <w:rFonts w:ascii="Times New Roman" w:eastAsia="宋体" w:hAnsi="Times New Roman"/>
          <w:color w:val="000000"/>
          <w:sz w:val="20"/>
          <w:szCs w:val="20"/>
        </w:rPr>
        <w:t>In 2020, the increase in the use of our products as a result of the COVID-19 pandemic incre</w:t>
      </w:r>
      <w:r>
        <w:rPr>
          <w:rFonts w:ascii="Times New Roman" w:eastAsia="宋体" w:hAnsi="Times New Roman"/>
          <w:color w:val="000000"/>
          <w:sz w:val="20"/>
          <w:szCs w:val="20"/>
        </w:rPr>
        <w:t>ased demands on our technical infrastructure. We may not be able to accommodate any such demands in the future, including as a result of our reduced data center operations and personnel working remotely during the pandemic.</w:t>
      </w:r>
    </w:p>
    <w:p w14:paraId="0B2FBBAB" w14:textId="77777777" w:rsidR="007F1775" w:rsidRDefault="007F1775">
      <w:pPr>
        <w:ind w:firstLine="540"/>
        <w:jc w:val="both"/>
      </w:pPr>
    </w:p>
    <w:p w14:paraId="0B2FBBAC" w14:textId="77777777" w:rsidR="007F1775" w:rsidRDefault="000F083E">
      <w:pPr>
        <w:ind w:firstLine="540"/>
        <w:jc w:val="both"/>
      </w:pPr>
      <w:r>
        <w:rPr>
          <w:rFonts w:ascii="Times New Roman" w:eastAsia="宋体" w:hAnsi="Times New Roman"/>
          <w:color w:val="000000"/>
          <w:sz w:val="20"/>
          <w:szCs w:val="20"/>
        </w:rPr>
        <w:t>A substantial portion of our ne</w:t>
      </w:r>
      <w:r>
        <w:rPr>
          <w:rFonts w:ascii="Times New Roman" w:eastAsia="宋体" w:hAnsi="Times New Roman"/>
          <w:color w:val="000000"/>
          <w:sz w:val="20"/>
          <w:szCs w:val="20"/>
        </w:rPr>
        <w:t>twork infrastructure is provided by third parties. Any disruption or failure in the services we receive from these providers could harm our ability to handle existing or increased traffic and could significantly harm our business. Any financial or other di</w:t>
      </w:r>
      <w:r>
        <w:rPr>
          <w:rFonts w:ascii="Times New Roman" w:eastAsia="宋体" w:hAnsi="Times New Roman"/>
          <w:color w:val="000000"/>
          <w:sz w:val="20"/>
          <w:szCs w:val="20"/>
        </w:rPr>
        <w:t>fficulties these providers face may adversely affect our business, and we exercise little control over these providers, which increases our vulnerability to problems with the services they provide. Due to the effects of the COVID-19 pandemic, we have exper</w:t>
      </w:r>
      <w:r>
        <w:rPr>
          <w:rFonts w:ascii="Times New Roman" w:eastAsia="宋体" w:hAnsi="Times New Roman"/>
          <w:color w:val="000000"/>
          <w:sz w:val="20"/>
          <w:szCs w:val="20"/>
        </w:rPr>
        <w:t>ienced, and expect to continue to experience, supply and labor shortages and other disruptions in logistics and the supply chain for our technical infrastructure. As a result, we have had to make certain changes to our procurement practices, and in the fut</w:t>
      </w:r>
      <w:r>
        <w:rPr>
          <w:rFonts w:ascii="Times New Roman" w:eastAsia="宋体" w:hAnsi="Times New Roman"/>
          <w:color w:val="000000"/>
          <w:sz w:val="20"/>
          <w:szCs w:val="20"/>
        </w:rPr>
        <w:t xml:space="preserve">ure we may not be able to procure sufficient components, equipment, or services from third parties to satisfy our needs, or we may be required to procure such components, equipment, or services on unfavorable terms. </w:t>
      </w:r>
    </w:p>
    <w:p w14:paraId="0B2FBBAD" w14:textId="77777777" w:rsidR="007F1775" w:rsidRDefault="007F1775">
      <w:pPr>
        <w:ind w:firstLine="540"/>
        <w:jc w:val="both"/>
      </w:pPr>
    </w:p>
    <w:p w14:paraId="0B2FBBAE" w14:textId="77777777" w:rsidR="007F1775" w:rsidRDefault="000F083E">
      <w:pPr>
        <w:ind w:firstLine="540"/>
        <w:jc w:val="both"/>
      </w:pPr>
      <w:r>
        <w:rPr>
          <w:rFonts w:ascii="Times New Roman" w:eastAsia="宋体" w:hAnsi="Times New Roman"/>
          <w:color w:val="000000"/>
          <w:sz w:val="20"/>
          <w:szCs w:val="20"/>
        </w:rPr>
        <w:t>Any of these developments may result i</w:t>
      </w:r>
      <w:r>
        <w:rPr>
          <w:rFonts w:ascii="Times New Roman" w:eastAsia="宋体" w:hAnsi="Times New Roman"/>
          <w:color w:val="000000"/>
          <w:sz w:val="20"/>
          <w:szCs w:val="20"/>
        </w:rPr>
        <w:t xml:space="preserve">n interruptions in the availability or performance of our products, require unfavorable changes to existing products, delay the introduction of future products, or otherwise adversely affect our business and financial results. </w:t>
      </w:r>
    </w:p>
    <w:p w14:paraId="0B2FBBAF" w14:textId="77777777" w:rsidR="007F1775" w:rsidRDefault="000F083E">
      <w:pPr>
        <w:spacing w:before="180"/>
        <w:jc w:val="both"/>
      </w:pPr>
      <w:r>
        <w:rPr>
          <w:rFonts w:ascii="Times New Roman" w:eastAsia="宋体" w:hAnsi="Times New Roman"/>
          <w:b/>
          <w:bCs/>
          <w:i/>
          <w:iCs/>
          <w:color w:val="000000"/>
          <w:sz w:val="20"/>
          <w:szCs w:val="20"/>
        </w:rPr>
        <w:t>We could experience unforese</w:t>
      </w:r>
      <w:r>
        <w:rPr>
          <w:rFonts w:ascii="Times New Roman" w:eastAsia="宋体" w:hAnsi="Times New Roman"/>
          <w:b/>
          <w:bCs/>
          <w:i/>
          <w:iCs/>
          <w:color w:val="000000"/>
          <w:sz w:val="20"/>
          <w:szCs w:val="20"/>
        </w:rPr>
        <w:t>en difficulties in building and operating key portions of our technical infrastructure.</w:t>
      </w:r>
    </w:p>
    <w:p w14:paraId="0B2FBBB0" w14:textId="77777777" w:rsidR="007F1775" w:rsidRDefault="007F1775">
      <w:pPr>
        <w:ind w:firstLine="540"/>
        <w:jc w:val="both"/>
      </w:pPr>
    </w:p>
    <w:p w14:paraId="0B2FBBB1" w14:textId="77777777" w:rsidR="007F1775" w:rsidRDefault="000F083E">
      <w:pPr>
        <w:ind w:firstLine="540"/>
        <w:jc w:val="both"/>
      </w:pPr>
      <w:r>
        <w:rPr>
          <w:rFonts w:ascii="Times New Roman" w:eastAsia="宋体" w:hAnsi="Times New Roman"/>
          <w:color w:val="000000"/>
          <w:sz w:val="20"/>
          <w:szCs w:val="20"/>
        </w:rPr>
        <w:t>We have designed and built our own data centers and key portions of our technical infrastructure through which we serve our products, and we plan to continue to signif</w:t>
      </w:r>
      <w:r>
        <w:rPr>
          <w:rFonts w:ascii="Times New Roman" w:eastAsia="宋体" w:hAnsi="Times New Roman"/>
          <w:color w:val="000000"/>
          <w:sz w:val="20"/>
          <w:szCs w:val="20"/>
        </w:rPr>
        <w:t>icantly expand the size of our infrastructure primarily through data centers, subsea and terrestrial fiber optic cable systems, and other projects. The infrastructure expansion we are undertaking is complex and involves projects in multiple locations aroun</w:t>
      </w:r>
      <w:r>
        <w:rPr>
          <w:rFonts w:ascii="Times New Roman" w:eastAsia="宋体" w:hAnsi="Times New Roman"/>
          <w:color w:val="000000"/>
          <w:sz w:val="20"/>
          <w:szCs w:val="20"/>
        </w:rPr>
        <w:t xml:space="preserve">d the world, including in emerging markets that expose us to increased risks relating to anti-corruption compliance and political challenges, among others. We have in the past suspended, and may in the future suspend, certain of these projects as a result </w:t>
      </w:r>
      <w:r>
        <w:rPr>
          <w:rFonts w:ascii="Times New Roman" w:eastAsia="宋体" w:hAnsi="Times New Roman"/>
          <w:color w:val="000000"/>
          <w:sz w:val="20"/>
          <w:szCs w:val="20"/>
        </w:rPr>
        <w:t>of the COVID-19 pandemic. Additional unanticipated delays or disruptions in the completion of these projects, including due to any shortage of labor necessary in building portions of such projects, or availability of components, challenges in obtaining req</w:t>
      </w:r>
      <w:r>
        <w:rPr>
          <w:rFonts w:ascii="Times New Roman" w:eastAsia="宋体" w:hAnsi="Times New Roman"/>
          <w:color w:val="000000"/>
          <w:sz w:val="20"/>
          <w:szCs w:val="20"/>
        </w:rPr>
        <w:t xml:space="preserve">uired government or regulatory approvals, or other geopolitical challenges or actions by governments, whether as a result of the pandemic, trade disputes, or otherwise, may lead </w:t>
      </w:r>
    </w:p>
    <w:p w14:paraId="0B2FBBB2" w14:textId="77777777" w:rsidR="007F1775" w:rsidRDefault="000F083E">
      <w:pPr>
        <w:jc w:val="center"/>
      </w:pPr>
      <w:r>
        <w:rPr>
          <w:rFonts w:ascii="Times New Roman" w:eastAsia="宋体" w:hAnsi="Times New Roman"/>
          <w:color w:val="000000"/>
          <w:sz w:val="20"/>
          <w:szCs w:val="20"/>
        </w:rPr>
        <w:t>65</w:t>
      </w:r>
    </w:p>
    <w:p w14:paraId="0B2FBBB3" w14:textId="77777777" w:rsidR="007F1775" w:rsidRDefault="000F083E">
      <w:r>
        <w:pict w14:anchorId="0B2FBFCE">
          <v:rect id="_x0000_i1089" style="width:415.3pt;height:1.5pt" o:hralign="center" o:hrstd="t" o:hr="t" fillcolor="#a0a0a0" stroked="f"/>
        </w:pict>
      </w:r>
    </w:p>
    <w:p w14:paraId="0B2FBBB4" w14:textId="77777777" w:rsidR="007F1775" w:rsidRDefault="007F1775"/>
    <w:p w14:paraId="0B2FBBB5" w14:textId="77777777" w:rsidR="007F1775" w:rsidRDefault="007F1775"/>
    <w:p w14:paraId="0B2FBBB6" w14:textId="77777777" w:rsidR="007F1775" w:rsidRDefault="000F083E">
      <w:hyperlink r:id="rId143" w:anchor="iea70e328caa94cefb76a9db6ed6338fc_7" w:history="1">
        <w:r>
          <w:rPr>
            <w:rStyle w:val="a5"/>
            <w:rFonts w:ascii="Times New Roman" w:eastAsia="宋体" w:hAnsi="Times New Roman"/>
            <w:sz w:val="20"/>
            <w:szCs w:val="20"/>
          </w:rPr>
          <w:t>Table of Contents</w:t>
        </w:r>
      </w:hyperlink>
    </w:p>
    <w:p w14:paraId="0B2FBBB7" w14:textId="77777777" w:rsidR="007F1775" w:rsidRDefault="000F083E">
      <w:pPr>
        <w:jc w:val="both"/>
      </w:pPr>
      <w:r>
        <w:rPr>
          <w:rFonts w:ascii="Times New Roman" w:eastAsia="宋体" w:hAnsi="Times New Roman"/>
          <w:color w:val="000000"/>
          <w:sz w:val="20"/>
          <w:szCs w:val="20"/>
        </w:rPr>
        <w:t>to increased project costs, operational inefficiencies, interruptions in the delivery or degradation of the quality or reliability of our products, or impa</w:t>
      </w:r>
      <w:r>
        <w:rPr>
          <w:rFonts w:ascii="Times New Roman" w:eastAsia="宋体" w:hAnsi="Times New Roman"/>
          <w:color w:val="000000"/>
          <w:sz w:val="20"/>
          <w:szCs w:val="20"/>
        </w:rPr>
        <w:t xml:space="preserve">irment of assets on our balance sheet. In addition, there may be issues related to this infrastructure that are not identified during the testing phases of design and implementation, which may only become evident after we have started to fully utilize the </w:t>
      </w:r>
      <w:r>
        <w:rPr>
          <w:rFonts w:ascii="Times New Roman" w:eastAsia="宋体" w:hAnsi="Times New Roman"/>
          <w:color w:val="000000"/>
          <w:sz w:val="20"/>
          <w:szCs w:val="20"/>
        </w:rPr>
        <w:t xml:space="preserve">underlying equipment, that could further degrade the user experience or increase our costs. Further, much of our technical infrastructure is located outside the United States, and it is possible that action by a foreign government, or our response to such </w:t>
      </w:r>
      <w:r>
        <w:rPr>
          <w:rFonts w:ascii="Times New Roman" w:eastAsia="宋体" w:hAnsi="Times New Roman"/>
          <w:color w:val="000000"/>
          <w:sz w:val="20"/>
          <w:szCs w:val="20"/>
        </w:rPr>
        <w:t>government action, could result in the impairment of a portion of our technical infrastructure, which may interrupt the delivery or degrade the quality or reliability of our products and lead to a negative user experience or increase our costs. Any of thes</w:t>
      </w:r>
      <w:r>
        <w:rPr>
          <w:rFonts w:ascii="Times New Roman" w:eastAsia="宋体" w:hAnsi="Times New Roman"/>
          <w:color w:val="000000"/>
          <w:sz w:val="20"/>
          <w:szCs w:val="20"/>
        </w:rPr>
        <w:t>e events could adversely affect our business, reputation, or financial results.</w:t>
      </w:r>
    </w:p>
    <w:p w14:paraId="0B2FBBB8" w14:textId="77777777" w:rsidR="007F1775" w:rsidRDefault="007F1775">
      <w:pPr>
        <w:jc w:val="both"/>
      </w:pPr>
    </w:p>
    <w:p w14:paraId="0B2FBBB9" w14:textId="77777777" w:rsidR="007F1775" w:rsidRDefault="000F083E">
      <w:pPr>
        <w:jc w:val="both"/>
      </w:pPr>
      <w:r>
        <w:rPr>
          <w:rFonts w:ascii="Times New Roman" w:eastAsia="宋体" w:hAnsi="Times New Roman"/>
          <w:b/>
          <w:bCs/>
          <w:i/>
          <w:iCs/>
          <w:color w:val="000000"/>
          <w:sz w:val="20"/>
          <w:szCs w:val="20"/>
        </w:rPr>
        <w:t>Real or perceived inaccuracies in our community and other metrics may harm our reputation and negatively affect our business.</w:t>
      </w:r>
    </w:p>
    <w:p w14:paraId="0B2FBBBA" w14:textId="77777777" w:rsidR="007F1775" w:rsidRDefault="007F1775">
      <w:pPr>
        <w:ind w:firstLine="540"/>
        <w:jc w:val="both"/>
      </w:pPr>
    </w:p>
    <w:p w14:paraId="0B2FBBBB" w14:textId="77777777" w:rsidR="007F1775" w:rsidRDefault="000F083E">
      <w:pPr>
        <w:ind w:firstLine="540"/>
        <w:jc w:val="both"/>
      </w:pPr>
      <w:r>
        <w:rPr>
          <w:rFonts w:ascii="Times New Roman" w:eastAsia="宋体" w:hAnsi="Times New Roman"/>
          <w:color w:val="000000"/>
          <w:sz w:val="20"/>
          <w:szCs w:val="20"/>
        </w:rPr>
        <w:t>The numbers for our key metrics, which include o</w:t>
      </w:r>
      <w:r>
        <w:rPr>
          <w:rFonts w:ascii="Times New Roman" w:eastAsia="宋体" w:hAnsi="Times New Roman"/>
          <w:color w:val="000000"/>
          <w:sz w:val="20"/>
          <w:szCs w:val="20"/>
        </w:rPr>
        <w:t xml:space="preserve">ur Family metrics (DAP, MAP, and average revenue per person (ARPP)) and Facebook metrics (DAUs, MAUs, and average revenue per user (ARPU)), are calculated using internal company data based on the activity of user accounts. While these numbers are based on </w:t>
      </w:r>
      <w:r>
        <w:rPr>
          <w:rFonts w:ascii="Times New Roman" w:eastAsia="宋体" w:hAnsi="Times New Roman"/>
          <w:color w:val="000000"/>
          <w:sz w:val="20"/>
          <w:szCs w:val="20"/>
        </w:rPr>
        <w:t>what we believe to be reasonable estimates of our user base for the applicable period of measurement, there are inherent challenges in measuring usage of our products across large online and mobile populations around the world. The methodologies used to me</w:t>
      </w:r>
      <w:r>
        <w:rPr>
          <w:rFonts w:ascii="Times New Roman" w:eastAsia="宋体" w:hAnsi="Times New Roman"/>
          <w:color w:val="000000"/>
          <w:sz w:val="20"/>
          <w:szCs w:val="20"/>
        </w:rPr>
        <w:t>asure these metrics require significant judgment and are also susceptible to algorithm or other technical errors. In addition, we are continually seeking to improve our estimates of our user base, and such estimates may change due to improvements or change</w:t>
      </w:r>
      <w:r>
        <w:rPr>
          <w:rFonts w:ascii="Times New Roman" w:eastAsia="宋体" w:hAnsi="Times New Roman"/>
          <w:color w:val="000000"/>
          <w:sz w:val="20"/>
          <w:szCs w:val="20"/>
        </w:rPr>
        <w:t>s in our methodology. We regularly review our processes for calculating these metrics, and from time to time we discover inaccuracies in our metrics or make adjustments to improve their accuracy, which can result in adjustments to our historical metrics. O</w:t>
      </w:r>
      <w:r>
        <w:rPr>
          <w:rFonts w:ascii="Times New Roman" w:eastAsia="宋体" w:hAnsi="Times New Roman"/>
          <w:color w:val="000000"/>
          <w:sz w:val="20"/>
          <w:szCs w:val="20"/>
        </w:rPr>
        <w:t>ur ability to recalculate our historical metrics may be impacted by data limitations or other factors that require us to apply different methodologies for such adjustments. We generally do not intend to update previously disclosed Family metrics for any su</w:t>
      </w:r>
      <w:r>
        <w:rPr>
          <w:rFonts w:ascii="Times New Roman" w:eastAsia="宋体" w:hAnsi="Times New Roman"/>
          <w:color w:val="000000"/>
          <w:sz w:val="20"/>
          <w:szCs w:val="20"/>
        </w:rPr>
        <w:t>ch inaccuracies or adjustments that are within the error margins disclosed below.</w:t>
      </w:r>
    </w:p>
    <w:p w14:paraId="0B2FBBBC" w14:textId="77777777" w:rsidR="007F1775" w:rsidRDefault="007F1775">
      <w:pPr>
        <w:ind w:firstLine="540"/>
        <w:jc w:val="both"/>
      </w:pPr>
    </w:p>
    <w:p w14:paraId="0B2FBBBD" w14:textId="77777777" w:rsidR="007F1775" w:rsidRDefault="000F083E">
      <w:pPr>
        <w:ind w:firstLine="540"/>
        <w:jc w:val="both"/>
      </w:pPr>
      <w:r>
        <w:rPr>
          <w:rFonts w:ascii="Times New Roman" w:eastAsia="宋体" w:hAnsi="Times New Roman"/>
          <w:color w:val="000000"/>
          <w:sz w:val="20"/>
          <w:szCs w:val="20"/>
        </w:rPr>
        <w:t>In addition, our Family metrics and Facebook metrics estimates will differ from estimates published by third parties due to differences in methodology.</w:t>
      </w:r>
    </w:p>
    <w:p w14:paraId="0B2FBBBE" w14:textId="77777777" w:rsidR="007F1775" w:rsidRDefault="007F1775">
      <w:pPr>
        <w:ind w:firstLine="540"/>
        <w:jc w:val="both"/>
      </w:pPr>
    </w:p>
    <w:p w14:paraId="0B2FBBBF" w14:textId="77777777" w:rsidR="007F1775" w:rsidRDefault="000F083E">
      <w:pPr>
        <w:ind w:firstLine="540"/>
        <w:jc w:val="both"/>
      </w:pPr>
      <w:r>
        <w:rPr>
          <w:rFonts w:ascii="Times New Roman" w:eastAsia="宋体" w:hAnsi="Times New Roman"/>
          <w:color w:val="000000"/>
          <w:sz w:val="20"/>
          <w:szCs w:val="20"/>
        </w:rPr>
        <w:t>Many people in our c</w:t>
      </w:r>
      <w:r>
        <w:rPr>
          <w:rFonts w:ascii="Times New Roman" w:eastAsia="宋体" w:hAnsi="Times New Roman"/>
          <w:color w:val="000000"/>
          <w:sz w:val="20"/>
          <w:szCs w:val="20"/>
        </w:rPr>
        <w:t>ommunity have user accounts on more than one of our products, and some people have multiple user accounts within an individual product. Accordingly, for our Family metrics, we do not seek to count the total number of user accounts across our products becau</w:t>
      </w:r>
      <w:r>
        <w:rPr>
          <w:rFonts w:ascii="Times New Roman" w:eastAsia="宋体" w:hAnsi="Times New Roman"/>
          <w:color w:val="000000"/>
          <w:sz w:val="20"/>
          <w:szCs w:val="20"/>
        </w:rPr>
        <w:t>se we believe that would not reflect the actual size of our community. Rather, our Family metrics represent our estimates of the number of unique people using at least one of Facebook, Instagram, Messenger, and WhatsApp. We do not require people to use a c</w:t>
      </w:r>
      <w:r>
        <w:rPr>
          <w:rFonts w:ascii="Times New Roman" w:eastAsia="宋体" w:hAnsi="Times New Roman"/>
          <w:color w:val="000000"/>
          <w:sz w:val="20"/>
          <w:szCs w:val="20"/>
        </w:rPr>
        <w:t>ommon identifier or link their accounts to use multiple products in our Family, and therefore must seek to attribute multiple user accounts within and across products to individual people. To calculate these metrics, we rely upon complex techniques, algori</w:t>
      </w:r>
      <w:r>
        <w:rPr>
          <w:rFonts w:ascii="Times New Roman" w:eastAsia="宋体" w:hAnsi="Times New Roman"/>
          <w:color w:val="000000"/>
          <w:sz w:val="20"/>
          <w:szCs w:val="20"/>
        </w:rPr>
        <w:t>thms and machine learning models that seek to count the individual people behind user accounts, including by matching multiple user accounts within an individual product and across multiple products when we believe they are attributable to a single person,</w:t>
      </w:r>
      <w:r>
        <w:rPr>
          <w:rFonts w:ascii="Times New Roman" w:eastAsia="宋体" w:hAnsi="Times New Roman"/>
          <w:color w:val="000000"/>
          <w:sz w:val="20"/>
          <w:szCs w:val="20"/>
        </w:rPr>
        <w:t xml:space="preserve"> and counting such group of accounts as one person. These techniques and models require significant judgment, are subject to data and other limitations discussed below, and inherently are subject to statistical variances and uncertainties. We estimate the </w:t>
      </w:r>
      <w:r>
        <w:rPr>
          <w:rFonts w:ascii="Times New Roman" w:eastAsia="宋体" w:hAnsi="Times New Roman"/>
          <w:color w:val="000000"/>
          <w:sz w:val="20"/>
          <w:szCs w:val="20"/>
        </w:rPr>
        <w:t>potential error in our Family metrics primarily based on user survey data, which itself is subject to error as well. While we expect the error margin for our Family metrics to vary from period to period, we estimate that such margin generally will be appro</w:t>
      </w:r>
      <w:r>
        <w:rPr>
          <w:rFonts w:ascii="Times New Roman" w:eastAsia="宋体" w:hAnsi="Times New Roman"/>
          <w:color w:val="000000"/>
          <w:sz w:val="20"/>
          <w:szCs w:val="20"/>
        </w:rPr>
        <w:t xml:space="preserve">ximately 3% of our worldwide MAP. At our scale, it is very difficult to attribute multiple user accounts within and across products to individual people, and it is possible that the actual numbers of unique people using our products may vary significantly </w:t>
      </w:r>
      <w:r>
        <w:rPr>
          <w:rFonts w:ascii="Times New Roman" w:eastAsia="宋体" w:hAnsi="Times New Roman"/>
          <w:color w:val="000000"/>
          <w:sz w:val="20"/>
          <w:szCs w:val="20"/>
        </w:rPr>
        <w:t>from our estimates, potentially beyond our estimated error margins. As a result, it is also possible that our Family metrics may indicate changes or trends in user numbers that do not match actual changes or trends.</w:t>
      </w:r>
    </w:p>
    <w:p w14:paraId="0B2FBBC0" w14:textId="77777777" w:rsidR="007F1775" w:rsidRDefault="007F1775">
      <w:pPr>
        <w:ind w:firstLine="540"/>
        <w:jc w:val="both"/>
      </w:pPr>
    </w:p>
    <w:p w14:paraId="0B2FBBC1" w14:textId="77777777" w:rsidR="007F1775" w:rsidRDefault="000F083E">
      <w:pPr>
        <w:ind w:firstLine="540"/>
        <w:jc w:val="both"/>
      </w:pPr>
      <w:r>
        <w:rPr>
          <w:rFonts w:ascii="Times New Roman" w:eastAsia="宋体" w:hAnsi="Times New Roman"/>
          <w:color w:val="000000"/>
          <w:sz w:val="20"/>
          <w:szCs w:val="20"/>
        </w:rPr>
        <w:t>To calculate our estimates of Family DAP and MAP, we currently use a series of machine learning models that are developed based on internal reviews of limited samples of user accounts and calibrated against user survey data. We apply significant judgment i</w:t>
      </w:r>
      <w:r>
        <w:rPr>
          <w:rFonts w:ascii="Times New Roman" w:eastAsia="宋体" w:hAnsi="Times New Roman"/>
          <w:color w:val="000000"/>
          <w:sz w:val="20"/>
          <w:szCs w:val="20"/>
        </w:rPr>
        <w:t>n designing these models and calculating these estimates. For example, to match user accounts within individual products and across multiple products, we use data signals such as similar device information, IP addresses, and user names. We also calibrate o</w:t>
      </w:r>
      <w:r>
        <w:rPr>
          <w:rFonts w:ascii="Times New Roman" w:eastAsia="宋体" w:hAnsi="Times New Roman"/>
          <w:color w:val="000000"/>
          <w:sz w:val="20"/>
          <w:szCs w:val="20"/>
        </w:rPr>
        <w:t>ur models against data from periodic user surveys of varying sizes and frequency across our products, which are inherently subject to error. The timing and results of such user surveys have in the past contributed, and may in the future contribute, to chan</w:t>
      </w:r>
      <w:r>
        <w:rPr>
          <w:rFonts w:ascii="Times New Roman" w:eastAsia="宋体" w:hAnsi="Times New Roman"/>
          <w:color w:val="000000"/>
          <w:sz w:val="20"/>
          <w:szCs w:val="20"/>
        </w:rPr>
        <w:t>ges in our reported Family metrics from period to period. In addition, our data limitations may affect our understanding of certain details of our business and increase the risk of error for our Family metrics estimates. Our techniques and models rely on a</w:t>
      </w:r>
      <w:r>
        <w:rPr>
          <w:rFonts w:ascii="Times New Roman" w:eastAsia="宋体" w:hAnsi="Times New Roman"/>
          <w:color w:val="000000"/>
          <w:sz w:val="20"/>
          <w:szCs w:val="20"/>
        </w:rPr>
        <w:t xml:space="preserve"> variety of data signals from different products, and we rely on more limited data signals </w:t>
      </w:r>
    </w:p>
    <w:p w14:paraId="0B2FBBC2" w14:textId="77777777" w:rsidR="007F1775" w:rsidRDefault="000F083E">
      <w:pPr>
        <w:jc w:val="center"/>
      </w:pPr>
      <w:r>
        <w:rPr>
          <w:rFonts w:ascii="Times New Roman" w:eastAsia="宋体" w:hAnsi="Times New Roman"/>
          <w:color w:val="000000"/>
          <w:sz w:val="20"/>
          <w:szCs w:val="20"/>
        </w:rPr>
        <w:t>66</w:t>
      </w:r>
    </w:p>
    <w:p w14:paraId="0B2FBBC3" w14:textId="77777777" w:rsidR="007F1775" w:rsidRDefault="000F083E">
      <w:r>
        <w:pict w14:anchorId="0B2FBFCF">
          <v:rect id="_x0000_i1090" style="width:415.3pt;height:1.5pt" o:hralign="center" o:hrstd="t" o:hr="t" fillcolor="#a0a0a0" stroked="f"/>
        </w:pict>
      </w:r>
    </w:p>
    <w:p w14:paraId="0B2FBBC4" w14:textId="77777777" w:rsidR="007F1775" w:rsidRDefault="007F1775"/>
    <w:p w14:paraId="0B2FBBC5" w14:textId="77777777" w:rsidR="007F1775" w:rsidRDefault="007F1775"/>
    <w:p w14:paraId="0B2FBBC6" w14:textId="77777777" w:rsidR="007F1775" w:rsidRDefault="000F083E">
      <w:hyperlink r:id="rId144" w:anchor="iea70e328caa94cefb76a9db6ed6338fc_7" w:history="1">
        <w:r>
          <w:rPr>
            <w:rStyle w:val="a5"/>
            <w:rFonts w:ascii="Times New Roman" w:eastAsia="宋体" w:hAnsi="Times New Roman"/>
            <w:sz w:val="20"/>
            <w:szCs w:val="20"/>
          </w:rPr>
          <w:t>Table o</w:t>
        </w:r>
        <w:r>
          <w:rPr>
            <w:rStyle w:val="a5"/>
            <w:rFonts w:ascii="Times New Roman" w:eastAsia="宋体" w:hAnsi="Times New Roman"/>
            <w:sz w:val="20"/>
            <w:szCs w:val="20"/>
          </w:rPr>
          <w:t>f Contents</w:t>
        </w:r>
      </w:hyperlink>
    </w:p>
    <w:p w14:paraId="0B2FBBC7" w14:textId="77777777" w:rsidR="007F1775" w:rsidRDefault="000F083E">
      <w:pPr>
        <w:jc w:val="both"/>
      </w:pPr>
      <w:r>
        <w:rPr>
          <w:rFonts w:ascii="Times New Roman" w:eastAsia="宋体" w:hAnsi="Times New Roman"/>
          <w:color w:val="000000"/>
          <w:sz w:val="20"/>
          <w:szCs w:val="20"/>
        </w:rPr>
        <w:t xml:space="preserve">for some products compared to others. For example, as a result of limited visibility into encrypted products, we have fewer data signals from WhatsApp user accounts and primarily rely on phone numbers and device information to match WhatsApp </w:t>
      </w:r>
      <w:r>
        <w:rPr>
          <w:rFonts w:ascii="Times New Roman" w:eastAsia="宋体" w:hAnsi="Times New Roman"/>
          <w:color w:val="000000"/>
          <w:sz w:val="20"/>
          <w:szCs w:val="20"/>
        </w:rPr>
        <w:t>user accounts with accounts on our other products. Similarly, although Messenger Kids users are included in our Family metrics, we do not seek to match their accounts with accounts on our other applications for purposes of calculating DAP and MAP. Any loss</w:t>
      </w:r>
      <w:r>
        <w:rPr>
          <w:rFonts w:ascii="Times New Roman" w:eastAsia="宋体" w:hAnsi="Times New Roman"/>
          <w:color w:val="000000"/>
          <w:sz w:val="20"/>
          <w:szCs w:val="20"/>
        </w:rPr>
        <w:t xml:space="preserve"> of access to data signals we use in our process for calculating Family metrics, whether as a result of our own product decisions, actions by third-party browser or mobile platforms, regulatory or legislative requirements, or other factors, also may impact</w:t>
      </w:r>
      <w:r>
        <w:rPr>
          <w:rFonts w:ascii="Times New Roman" w:eastAsia="宋体" w:hAnsi="Times New Roman"/>
          <w:color w:val="000000"/>
          <w:sz w:val="20"/>
          <w:szCs w:val="20"/>
        </w:rPr>
        <w:t xml:space="preserve"> the stability or accuracy of our reported Family metrics, as well as our ability to report these metrics at all. Our estimates of Family metrics also may change as our methodologies evolve, including through the application of new data signals or technolo</w:t>
      </w:r>
      <w:r>
        <w:rPr>
          <w:rFonts w:ascii="Times New Roman" w:eastAsia="宋体" w:hAnsi="Times New Roman"/>
          <w:color w:val="000000"/>
          <w:sz w:val="20"/>
          <w:szCs w:val="20"/>
        </w:rPr>
        <w:t>gies, product changes, or other improvements in our user surveys, algorithms, or machine learning that may improve our ability to match accounts within and across our products or otherwise evaluate the broad population of our users. In addition, such evolu</w:t>
      </w:r>
      <w:r>
        <w:rPr>
          <w:rFonts w:ascii="Times New Roman" w:eastAsia="宋体" w:hAnsi="Times New Roman"/>
          <w:color w:val="000000"/>
          <w:sz w:val="20"/>
          <w:szCs w:val="20"/>
        </w:rPr>
        <w:t>tion may allow us to identify previously undetected violating accounts (as defined below).</w:t>
      </w:r>
    </w:p>
    <w:p w14:paraId="0B2FBBC8" w14:textId="77777777" w:rsidR="007F1775" w:rsidRDefault="007F1775">
      <w:pPr>
        <w:ind w:firstLine="540"/>
        <w:jc w:val="both"/>
      </w:pPr>
    </w:p>
    <w:p w14:paraId="0B2FBBC9" w14:textId="77777777" w:rsidR="007F1775" w:rsidRDefault="000F083E">
      <w:pPr>
        <w:ind w:firstLine="540"/>
        <w:jc w:val="both"/>
      </w:pPr>
      <w:r>
        <w:rPr>
          <w:rFonts w:ascii="Times New Roman" w:eastAsia="宋体" w:hAnsi="Times New Roman"/>
          <w:color w:val="000000"/>
          <w:sz w:val="20"/>
          <w:szCs w:val="20"/>
        </w:rPr>
        <w:t>We regularly evaluate our Family metrics to estimate the percentage of our MAP consisting solely of "violating" accounts. We define "violating" accounts as accounts</w:t>
      </w:r>
      <w:r>
        <w:rPr>
          <w:rFonts w:ascii="Times New Roman" w:eastAsia="宋体" w:hAnsi="Times New Roman"/>
          <w:color w:val="000000"/>
          <w:sz w:val="20"/>
          <w:szCs w:val="20"/>
        </w:rPr>
        <w:t xml:space="preserve"> which we believe are intended to be used for purposes that violate our terms of service, including bots and spam. In the fourth quarter of 2021, we estimated that approximately 3% of our worldwide MAP consisted solely of violating accounts. Such estimatio</w:t>
      </w:r>
      <w:r>
        <w:rPr>
          <w:rFonts w:ascii="Times New Roman" w:eastAsia="宋体" w:hAnsi="Times New Roman"/>
          <w:color w:val="000000"/>
          <w:sz w:val="20"/>
          <w:szCs w:val="20"/>
        </w:rPr>
        <w:t>n is based on an internal review of a limited sample of accounts, and we apply significant judgment in making this determination. For example, we look for account information and behaviors associated with Facebook and Instagram accounts that appear to be i</w:t>
      </w:r>
      <w:r>
        <w:rPr>
          <w:rFonts w:ascii="Times New Roman" w:eastAsia="宋体" w:hAnsi="Times New Roman"/>
          <w:color w:val="000000"/>
          <w:sz w:val="20"/>
          <w:szCs w:val="20"/>
        </w:rPr>
        <w:t>nauthentic to the reviewers, but we have limited visibility into WhatsApp user activity due to encryption. In addition, if we believe an individual person has one or more violating accounts, we do not include such person in our violating accounts estimatio</w:t>
      </w:r>
      <w:r>
        <w:rPr>
          <w:rFonts w:ascii="Times New Roman" w:eastAsia="宋体" w:hAnsi="Times New Roman"/>
          <w:color w:val="000000"/>
          <w:sz w:val="20"/>
          <w:szCs w:val="20"/>
        </w:rPr>
        <w:t>n as long as we believe they have one account that does not constitute a violating account. From time to time, we disable certain user accounts, make product changes, or take other actions to reduce the number of violating accounts among our users, which m</w:t>
      </w:r>
      <w:r>
        <w:rPr>
          <w:rFonts w:ascii="Times New Roman" w:eastAsia="宋体" w:hAnsi="Times New Roman"/>
          <w:color w:val="000000"/>
          <w:sz w:val="20"/>
          <w:szCs w:val="20"/>
        </w:rPr>
        <w:t>ay also reduce our DAP and MAP estimates in a particular period. We intend to disclose our estimates of the percentage of our MAP consisting solely of violating accounts on an annual basis. Violating accounts are very difficult to measure at our scale, and</w:t>
      </w:r>
      <w:r>
        <w:rPr>
          <w:rFonts w:ascii="Times New Roman" w:eastAsia="宋体" w:hAnsi="Times New Roman"/>
          <w:color w:val="000000"/>
          <w:sz w:val="20"/>
          <w:szCs w:val="20"/>
        </w:rPr>
        <w:t xml:space="preserve"> it is possible that the actual number of violating accounts may vary significantly from our estimates.</w:t>
      </w:r>
    </w:p>
    <w:p w14:paraId="0B2FBBCA" w14:textId="77777777" w:rsidR="007F1775" w:rsidRDefault="007F1775">
      <w:pPr>
        <w:ind w:firstLine="540"/>
        <w:jc w:val="both"/>
      </w:pPr>
    </w:p>
    <w:p w14:paraId="0B2FBBCB" w14:textId="77777777" w:rsidR="007F1775" w:rsidRDefault="000F083E">
      <w:pPr>
        <w:ind w:firstLine="540"/>
        <w:jc w:val="both"/>
      </w:pPr>
      <w:r>
        <w:rPr>
          <w:rFonts w:ascii="Times New Roman" w:eastAsia="宋体" w:hAnsi="Times New Roman"/>
          <w:color w:val="000000"/>
          <w:sz w:val="20"/>
          <w:szCs w:val="20"/>
        </w:rPr>
        <w:t>We also regularly evaluate our Facebook metrics to estimate the number of "duplicate" and "false" accounts among our MAUs. A duplicate account is one t</w:t>
      </w:r>
      <w:r>
        <w:rPr>
          <w:rFonts w:ascii="Times New Roman" w:eastAsia="宋体" w:hAnsi="Times New Roman"/>
          <w:color w:val="000000"/>
          <w:sz w:val="20"/>
          <w:szCs w:val="20"/>
        </w:rPr>
        <w:t>hat a user maintains in addition to his or her principal account. We divide "false" accounts into two categories: (1) user-misclassified accounts, where users have created personal profiles for a business, organization, or non-human entity such as a pet (s</w:t>
      </w:r>
      <w:r>
        <w:rPr>
          <w:rFonts w:ascii="Times New Roman" w:eastAsia="宋体" w:hAnsi="Times New Roman"/>
          <w:color w:val="000000"/>
          <w:sz w:val="20"/>
          <w:szCs w:val="20"/>
        </w:rPr>
        <w:t>uch entities are permitted on Facebook using a Page rather than a personal profile under our terms of service); and (2) violating accounts, which represent user profiles that we believe are intended to be used for purposes that violate our terms of service</w:t>
      </w:r>
      <w:r>
        <w:rPr>
          <w:rFonts w:ascii="Times New Roman" w:eastAsia="宋体" w:hAnsi="Times New Roman"/>
          <w:color w:val="000000"/>
          <w:sz w:val="20"/>
          <w:szCs w:val="20"/>
        </w:rPr>
        <w:t xml:space="preserve">, such as bots and spam. The estimates of duplicate and false accounts are based on an internal review of a limited sample of accounts, and we apply significant judgment in making this determination. For example, to identify duplicate accounts we use data </w:t>
      </w:r>
      <w:r>
        <w:rPr>
          <w:rFonts w:ascii="Times New Roman" w:eastAsia="宋体" w:hAnsi="Times New Roman"/>
          <w:color w:val="000000"/>
          <w:sz w:val="20"/>
          <w:szCs w:val="20"/>
        </w:rPr>
        <w:t>signals such as identical IP addresses and similar user names, and to identify false accounts we look for names that appear to be fake or other behavior that appears inauthentic to the reviewers. Any loss of access to data signals we use in this process, w</w:t>
      </w:r>
      <w:r>
        <w:rPr>
          <w:rFonts w:ascii="Times New Roman" w:eastAsia="宋体" w:hAnsi="Times New Roman"/>
          <w:color w:val="000000"/>
          <w:sz w:val="20"/>
          <w:szCs w:val="20"/>
        </w:rPr>
        <w:t>hether as a result of our own product decisions, actions by third-party browser or mobile platforms, regulatory or legislative requirements, or other factors, also may impact the stability or accuracy of our estimates of duplicate and false accounts. Our e</w:t>
      </w:r>
      <w:r>
        <w:rPr>
          <w:rFonts w:ascii="Times New Roman" w:eastAsia="宋体" w:hAnsi="Times New Roman"/>
          <w:color w:val="000000"/>
          <w:sz w:val="20"/>
          <w:szCs w:val="20"/>
        </w:rPr>
        <w:t>stimates also may change as our methodologies evolve, including through the application of new data signals or technologies or product changes that may allow us to identify previously undetected duplicate or false accounts and may improve our ability to ev</w:t>
      </w:r>
      <w:r>
        <w:rPr>
          <w:rFonts w:ascii="Times New Roman" w:eastAsia="宋体" w:hAnsi="Times New Roman"/>
          <w:color w:val="000000"/>
          <w:sz w:val="20"/>
          <w:szCs w:val="20"/>
        </w:rPr>
        <w:t>aluate a broader population of our users. Duplicate and false accounts are very difficult to measure at our scale, and it is possible that the actual number of duplicate and false accounts may vary significantly from our estimates.</w:t>
      </w:r>
    </w:p>
    <w:p w14:paraId="0B2FBBCC" w14:textId="77777777" w:rsidR="007F1775" w:rsidRDefault="007F1775">
      <w:pPr>
        <w:ind w:firstLine="540"/>
        <w:jc w:val="both"/>
      </w:pPr>
    </w:p>
    <w:p w14:paraId="0B2FBBCD" w14:textId="77777777" w:rsidR="007F1775" w:rsidRDefault="000F083E">
      <w:pPr>
        <w:ind w:firstLine="540"/>
        <w:jc w:val="both"/>
      </w:pPr>
      <w:r>
        <w:rPr>
          <w:rFonts w:ascii="Times New Roman" w:eastAsia="宋体" w:hAnsi="Times New Roman"/>
          <w:color w:val="000000"/>
          <w:sz w:val="20"/>
          <w:szCs w:val="20"/>
        </w:rPr>
        <w:t>In the fourth quarter o</w:t>
      </w:r>
      <w:r>
        <w:rPr>
          <w:rFonts w:ascii="Times New Roman" w:eastAsia="宋体" w:hAnsi="Times New Roman"/>
          <w:color w:val="000000"/>
          <w:sz w:val="20"/>
          <w:szCs w:val="20"/>
        </w:rPr>
        <w:t>f 2021, we estimated that duplicate accounts may have represented approximately 11% of our worldwide MAUs. We believe the percentage of duplicate accounts is meaningfully higher in developing markets such as the Philippines and Vietnam, as compared to more</w:t>
      </w:r>
      <w:r>
        <w:rPr>
          <w:rFonts w:ascii="Times New Roman" w:eastAsia="宋体" w:hAnsi="Times New Roman"/>
          <w:color w:val="000000"/>
          <w:sz w:val="20"/>
          <w:szCs w:val="20"/>
        </w:rPr>
        <w:t xml:space="preserve"> developed markets. In the fourth quarter of 2021, we estimated that false accounts may have represented approximately 5% of our worldwide MAUs. Our estimation of false accounts can vary as a result of episodic spikes in the creation of such accounts, whic</w:t>
      </w:r>
      <w:r>
        <w:rPr>
          <w:rFonts w:ascii="Times New Roman" w:eastAsia="宋体" w:hAnsi="Times New Roman"/>
          <w:color w:val="000000"/>
          <w:sz w:val="20"/>
          <w:szCs w:val="20"/>
        </w:rPr>
        <w:t>h we have seen originate more frequently in specific countries such as Indonesia, Nigeria, and Vietnam. From time to time, we disable certain user accounts, make product changes, or take other actions to reduce the number of duplicate or false accounts amo</w:t>
      </w:r>
      <w:r>
        <w:rPr>
          <w:rFonts w:ascii="Times New Roman" w:eastAsia="宋体" w:hAnsi="Times New Roman"/>
          <w:color w:val="000000"/>
          <w:sz w:val="20"/>
          <w:szCs w:val="20"/>
        </w:rPr>
        <w:t>ng our users, which may also reduce our DAU and MAU estimates in a particular period. We intend to disclose our estimates of the number of duplicate and false accounts among our MAUs on an annual basis.</w:t>
      </w:r>
    </w:p>
    <w:p w14:paraId="0B2FBBCE" w14:textId="77777777" w:rsidR="007F1775" w:rsidRDefault="007F1775">
      <w:pPr>
        <w:ind w:firstLine="540"/>
        <w:jc w:val="both"/>
      </w:pPr>
    </w:p>
    <w:p w14:paraId="0B2FBBCF" w14:textId="77777777" w:rsidR="007F1775" w:rsidRDefault="000F083E">
      <w:pPr>
        <w:ind w:firstLine="540"/>
        <w:jc w:val="both"/>
      </w:pPr>
      <w:r>
        <w:rPr>
          <w:rFonts w:ascii="Times New Roman" w:eastAsia="宋体" w:hAnsi="Times New Roman"/>
          <w:color w:val="000000"/>
          <w:sz w:val="20"/>
          <w:szCs w:val="20"/>
        </w:rPr>
        <w:t>Other data limitations also may affect our understan</w:t>
      </w:r>
      <w:r>
        <w:rPr>
          <w:rFonts w:ascii="Times New Roman" w:eastAsia="宋体" w:hAnsi="Times New Roman"/>
          <w:color w:val="000000"/>
          <w:sz w:val="20"/>
          <w:szCs w:val="20"/>
        </w:rPr>
        <w:t xml:space="preserve">ding of certain details of our business. For example, while user-provided data indicates a decline in usage among younger users, this age data may be unreliable because a disproportionate </w:t>
      </w:r>
    </w:p>
    <w:p w14:paraId="0B2FBBD0" w14:textId="77777777" w:rsidR="007F1775" w:rsidRDefault="000F083E">
      <w:pPr>
        <w:jc w:val="center"/>
      </w:pPr>
      <w:r>
        <w:rPr>
          <w:rFonts w:ascii="Times New Roman" w:eastAsia="宋体" w:hAnsi="Times New Roman"/>
          <w:color w:val="000000"/>
          <w:sz w:val="20"/>
          <w:szCs w:val="20"/>
        </w:rPr>
        <w:t>67</w:t>
      </w:r>
    </w:p>
    <w:p w14:paraId="0B2FBBD1" w14:textId="77777777" w:rsidR="007F1775" w:rsidRDefault="000F083E">
      <w:r>
        <w:pict w14:anchorId="0B2FBFD0">
          <v:rect id="_x0000_i1091" style="width:415.3pt;height:1.5pt" o:hralign="center" o:hrstd="t" o:hr="t" fillcolor="#a0a0a0" stroked="f"/>
        </w:pict>
      </w:r>
    </w:p>
    <w:p w14:paraId="0B2FBBD2" w14:textId="77777777" w:rsidR="007F1775" w:rsidRDefault="007F1775"/>
    <w:p w14:paraId="0B2FBBD3" w14:textId="77777777" w:rsidR="007F1775" w:rsidRDefault="007F1775"/>
    <w:p w14:paraId="0B2FBBD4" w14:textId="77777777" w:rsidR="007F1775" w:rsidRDefault="000F083E">
      <w:hyperlink r:id="rId145" w:anchor="iea70e328caa94cefb76a9db6ed6338fc_7" w:history="1">
        <w:r>
          <w:rPr>
            <w:rStyle w:val="a5"/>
            <w:rFonts w:ascii="Times New Roman" w:eastAsia="宋体" w:hAnsi="Times New Roman"/>
            <w:sz w:val="20"/>
            <w:szCs w:val="20"/>
          </w:rPr>
          <w:t>Table of Contents</w:t>
        </w:r>
      </w:hyperlink>
    </w:p>
    <w:p w14:paraId="0B2FBBD5" w14:textId="77777777" w:rsidR="007F1775" w:rsidRDefault="000F083E">
      <w:pPr>
        <w:jc w:val="both"/>
      </w:pPr>
      <w:r>
        <w:rPr>
          <w:rFonts w:ascii="Times New Roman" w:eastAsia="宋体" w:hAnsi="Times New Roman"/>
          <w:color w:val="000000"/>
          <w:sz w:val="20"/>
          <w:szCs w:val="20"/>
        </w:rPr>
        <w:t>number of our younger users register with an inaccurate age. Accordingly, our understanding of usage by age group may not be complete.</w:t>
      </w:r>
    </w:p>
    <w:p w14:paraId="0B2FBBD6" w14:textId="77777777" w:rsidR="007F1775" w:rsidRDefault="007F1775">
      <w:pPr>
        <w:ind w:firstLine="540"/>
        <w:jc w:val="both"/>
      </w:pPr>
    </w:p>
    <w:p w14:paraId="0B2FBBD7" w14:textId="77777777" w:rsidR="007F1775" w:rsidRDefault="000F083E">
      <w:pPr>
        <w:ind w:firstLine="540"/>
        <w:jc w:val="both"/>
      </w:pPr>
      <w:r>
        <w:rPr>
          <w:rFonts w:ascii="Times New Roman" w:eastAsia="宋体" w:hAnsi="Times New Roman"/>
          <w:color w:val="000000"/>
          <w:sz w:val="20"/>
          <w:szCs w:val="20"/>
        </w:rPr>
        <w:t>In additi</w:t>
      </w:r>
      <w:r>
        <w:rPr>
          <w:rFonts w:ascii="Times New Roman" w:eastAsia="宋体" w:hAnsi="Times New Roman"/>
          <w:color w:val="000000"/>
          <w:sz w:val="20"/>
          <w:szCs w:val="20"/>
        </w:rPr>
        <w:t>on, our data regarding the geographic location of our users is estimated based on a number of factors, such as the user's IP address and self-disclosed location. These factors may not always accurately reflect the user's actual location. For example, a use</w:t>
      </w:r>
      <w:r>
        <w:rPr>
          <w:rFonts w:ascii="Times New Roman" w:eastAsia="宋体" w:hAnsi="Times New Roman"/>
          <w:color w:val="000000"/>
          <w:sz w:val="20"/>
          <w:szCs w:val="20"/>
        </w:rPr>
        <w:t>r may appear to be accessing Facebook from the location of the proxy server that the user connects to rather than from the user's actual location. The methodologies used to measure our metrics are also susceptible to algorithm or other technical errors, an</w:t>
      </w:r>
      <w:r>
        <w:rPr>
          <w:rFonts w:ascii="Times New Roman" w:eastAsia="宋体" w:hAnsi="Times New Roman"/>
          <w:color w:val="000000"/>
          <w:sz w:val="20"/>
          <w:szCs w:val="20"/>
        </w:rPr>
        <w:t>d our estimates for revenue by user location and revenue by user device are also affected by these factors.</w:t>
      </w:r>
    </w:p>
    <w:p w14:paraId="0B2FBBD8" w14:textId="77777777" w:rsidR="007F1775" w:rsidRDefault="007F1775">
      <w:pPr>
        <w:ind w:firstLine="540"/>
        <w:jc w:val="both"/>
      </w:pPr>
    </w:p>
    <w:p w14:paraId="0B2FBBD9" w14:textId="77777777" w:rsidR="007F1775" w:rsidRDefault="000F083E">
      <w:pPr>
        <w:ind w:firstLine="540"/>
        <w:jc w:val="both"/>
      </w:pPr>
      <w:r>
        <w:rPr>
          <w:rFonts w:ascii="Times New Roman" w:eastAsia="宋体" w:hAnsi="Times New Roman"/>
          <w:color w:val="000000"/>
          <w:sz w:val="20"/>
          <w:szCs w:val="20"/>
        </w:rPr>
        <w:t>In addition, from time to time we provide, or rely on, certain other metrics and estimates, including those relating to the reach and effectiveness</w:t>
      </w:r>
      <w:r>
        <w:rPr>
          <w:rFonts w:ascii="Times New Roman" w:eastAsia="宋体" w:hAnsi="Times New Roman"/>
          <w:color w:val="000000"/>
          <w:sz w:val="20"/>
          <w:szCs w:val="20"/>
        </w:rPr>
        <w:t xml:space="preserve"> of our ads. Many of our metrics involve the use of estimations and judgments, and our metrics and estimates are subject to software bugs, inconsistencies in our systems, and human error. Such metrics and estimates also change from time to time due to impr</w:t>
      </w:r>
      <w:r>
        <w:rPr>
          <w:rFonts w:ascii="Times New Roman" w:eastAsia="宋体" w:hAnsi="Times New Roman"/>
          <w:color w:val="000000"/>
          <w:sz w:val="20"/>
          <w:szCs w:val="20"/>
        </w:rPr>
        <w:t xml:space="preserve">ovements or changes in our terminology or methodology, including as a result of loss of access to data signals we use in calculating such metrics and estimates. We have in the past been, and may in the future be, subject to litigation as well as marketer, </w:t>
      </w:r>
      <w:r>
        <w:rPr>
          <w:rFonts w:ascii="Times New Roman" w:eastAsia="宋体" w:hAnsi="Times New Roman"/>
          <w:color w:val="000000"/>
          <w:sz w:val="20"/>
          <w:szCs w:val="20"/>
        </w:rPr>
        <w:t>regulatory, and other inquiries regarding the accuracy of such metrics and estimates. Where marketers, developers, or investors do not perceive our metrics or estimates to be accurate, or where we discover material inaccuracies in our metrics or estimates,</w:t>
      </w:r>
      <w:r>
        <w:rPr>
          <w:rFonts w:ascii="Times New Roman" w:eastAsia="宋体" w:hAnsi="Times New Roman"/>
          <w:color w:val="000000"/>
          <w:sz w:val="20"/>
          <w:szCs w:val="20"/>
        </w:rPr>
        <w:t xml:space="preserve"> we may be subject to liability, our reputation may be harmed, and marketers and developers may be less willing to allocate their budgets or resources to our products that deliver ad impressions, which could negatively affect our business and financial res</w:t>
      </w:r>
      <w:r>
        <w:rPr>
          <w:rFonts w:ascii="Times New Roman" w:eastAsia="宋体" w:hAnsi="Times New Roman"/>
          <w:color w:val="000000"/>
          <w:sz w:val="20"/>
          <w:szCs w:val="20"/>
        </w:rPr>
        <w:t>ults.</w:t>
      </w:r>
    </w:p>
    <w:p w14:paraId="0B2FBBDA" w14:textId="77777777" w:rsidR="007F1775" w:rsidRDefault="000F083E">
      <w:pPr>
        <w:spacing w:before="180"/>
        <w:jc w:val="both"/>
      </w:pPr>
      <w:r>
        <w:rPr>
          <w:rFonts w:ascii="Times New Roman" w:eastAsia="宋体" w:hAnsi="Times New Roman"/>
          <w:b/>
          <w:bCs/>
          <w:i/>
          <w:iCs/>
          <w:color w:val="000000"/>
          <w:sz w:val="20"/>
          <w:szCs w:val="20"/>
        </w:rPr>
        <w:t>We cannot assure you that we will effectively manage our growth.</w:t>
      </w:r>
    </w:p>
    <w:p w14:paraId="0B2FBBDB" w14:textId="77777777" w:rsidR="007F1775" w:rsidRDefault="007F1775">
      <w:pPr>
        <w:ind w:firstLine="540"/>
        <w:jc w:val="both"/>
      </w:pPr>
    </w:p>
    <w:p w14:paraId="0B2FBBDC" w14:textId="77777777" w:rsidR="007F1775" w:rsidRDefault="000F083E">
      <w:pPr>
        <w:ind w:firstLine="540"/>
        <w:jc w:val="both"/>
      </w:pPr>
      <w:r>
        <w:rPr>
          <w:rFonts w:ascii="Times New Roman" w:eastAsia="宋体" w:hAnsi="Times New Roman"/>
          <w:color w:val="000000"/>
          <w:sz w:val="20"/>
          <w:szCs w:val="20"/>
        </w:rPr>
        <w:t xml:space="preserve">Our employee headcount and the scope and complexity of our business have increased significantly, with the number of employees increasing to 77,805 as of March 31, 2022 from </w:t>
      </w:r>
      <w:r>
        <w:rPr>
          <w:rFonts w:ascii="Times New Roman" w:eastAsia="宋体" w:hAnsi="Times New Roman"/>
          <w:color w:val="000000"/>
          <w:sz w:val="20"/>
          <w:szCs w:val="20"/>
        </w:rPr>
        <w:t xml:space="preserve">60,654 as of March 31, 2021, and we expect headcount growth to continue for the foreseeable future. In addition, we plan to continue to hire a number of employees and contractors to continue to bolster various privacy, safety, security, and content review </w:t>
      </w:r>
      <w:r>
        <w:rPr>
          <w:rFonts w:ascii="Times New Roman" w:eastAsia="宋体" w:hAnsi="Times New Roman"/>
          <w:color w:val="000000"/>
          <w:sz w:val="20"/>
          <w:szCs w:val="20"/>
        </w:rPr>
        <w:t>initiatives as well as other functions to support our expected growth. The growth and expansion of our business and products create significant challenges for our management, operational, and financial resources, including managing multiple relationships w</w:t>
      </w:r>
      <w:r>
        <w:rPr>
          <w:rFonts w:ascii="Times New Roman" w:eastAsia="宋体" w:hAnsi="Times New Roman"/>
          <w:color w:val="000000"/>
          <w:sz w:val="20"/>
          <w:szCs w:val="20"/>
        </w:rPr>
        <w:t>ith users, marketers, developers, and other third parties. As our operations and the number of our third-party relationships continue to grow, our information technology systems or our internal controls and procedures may not be adequate to support such gr</w:t>
      </w:r>
      <w:r>
        <w:rPr>
          <w:rFonts w:ascii="Times New Roman" w:eastAsia="宋体" w:hAnsi="Times New Roman"/>
          <w:color w:val="000000"/>
          <w:sz w:val="20"/>
          <w:szCs w:val="20"/>
        </w:rPr>
        <w:t xml:space="preserve">owth. In addition, some members of our management do not have significant experience managing a large global business operation, so our management may not be able to manage such growth effectively. Additionally, many of our personnel are currently working </w:t>
      </w:r>
      <w:r>
        <w:rPr>
          <w:rFonts w:ascii="Times New Roman" w:eastAsia="宋体" w:hAnsi="Times New Roman"/>
          <w:color w:val="000000"/>
          <w:sz w:val="20"/>
          <w:szCs w:val="20"/>
        </w:rPr>
        <w:t>remotely, and we may experience challenges to productivity and collaboration as some personnel return to our offices and some personnel transition to working remotely on a regular basis. To effectively manage our growth, we must continue to adapt to a remo</w:t>
      </w:r>
      <w:r>
        <w:rPr>
          <w:rFonts w:ascii="Times New Roman" w:eastAsia="宋体" w:hAnsi="Times New Roman"/>
          <w:color w:val="000000"/>
          <w:sz w:val="20"/>
          <w:szCs w:val="20"/>
        </w:rPr>
        <w:t>te work environment; improve our operational, financial, and management processes and systems; and effectively expand, train, and manage our personnel. As our organization continues to grow, and we are required to implement more complex organizational mana</w:t>
      </w:r>
      <w:r>
        <w:rPr>
          <w:rFonts w:ascii="Times New Roman" w:eastAsia="宋体" w:hAnsi="Times New Roman"/>
          <w:color w:val="000000"/>
          <w:sz w:val="20"/>
          <w:szCs w:val="20"/>
        </w:rPr>
        <w:t>gement structures, we may find it increasingly difficult to maintain the benefits of our corporate culture, including our ability to quickly develop and launch new and innovative products. This could negatively affect our business performance.</w:t>
      </w:r>
    </w:p>
    <w:p w14:paraId="0B2FBBDD" w14:textId="77777777" w:rsidR="007F1775" w:rsidRDefault="000F083E">
      <w:pPr>
        <w:spacing w:before="180"/>
        <w:jc w:val="both"/>
      </w:pPr>
      <w:r>
        <w:rPr>
          <w:rFonts w:ascii="Times New Roman" w:eastAsia="宋体" w:hAnsi="Times New Roman"/>
          <w:b/>
          <w:bCs/>
          <w:i/>
          <w:iCs/>
          <w:color w:val="000000"/>
          <w:sz w:val="20"/>
          <w:szCs w:val="20"/>
        </w:rPr>
        <w:t>We have sign</w:t>
      </w:r>
      <w:r>
        <w:rPr>
          <w:rFonts w:ascii="Times New Roman" w:eastAsia="宋体" w:hAnsi="Times New Roman"/>
          <w:b/>
          <w:bCs/>
          <w:i/>
          <w:iCs/>
          <w:color w:val="000000"/>
          <w:sz w:val="20"/>
          <w:szCs w:val="20"/>
        </w:rPr>
        <w:t>ificant international operations and plan to continue expanding our operations abroad where we have more limited operating experience, and this may subject us to increased business, economic, and legal risks that could affect our financial results.</w:t>
      </w:r>
    </w:p>
    <w:p w14:paraId="0B2FBBDE" w14:textId="77777777" w:rsidR="007F1775" w:rsidRDefault="007F1775">
      <w:pPr>
        <w:ind w:firstLine="540"/>
        <w:jc w:val="both"/>
      </w:pPr>
    </w:p>
    <w:p w14:paraId="0B2FBBDF" w14:textId="77777777" w:rsidR="007F1775" w:rsidRDefault="000F083E">
      <w:pPr>
        <w:ind w:firstLine="540"/>
        <w:jc w:val="both"/>
      </w:pPr>
      <w:r>
        <w:rPr>
          <w:rFonts w:ascii="Times New Roman" w:eastAsia="宋体" w:hAnsi="Times New Roman"/>
          <w:color w:val="000000"/>
          <w:sz w:val="20"/>
          <w:szCs w:val="20"/>
        </w:rPr>
        <w:t>We hav</w:t>
      </w:r>
      <w:r>
        <w:rPr>
          <w:rFonts w:ascii="Times New Roman" w:eastAsia="宋体" w:hAnsi="Times New Roman"/>
          <w:color w:val="000000"/>
          <w:sz w:val="20"/>
          <w:szCs w:val="20"/>
        </w:rPr>
        <w:t>e significant international operations and plan to continue the international expansion of our business operations and the translation of our products. We currently make Facebook available in more than 100 different languages, and we have offices or data c</w:t>
      </w:r>
      <w:r>
        <w:rPr>
          <w:rFonts w:ascii="Times New Roman" w:eastAsia="宋体" w:hAnsi="Times New Roman"/>
          <w:color w:val="000000"/>
          <w:sz w:val="20"/>
          <w:szCs w:val="20"/>
        </w:rPr>
        <w:t>enters in more than 30 different countries. We may enter new international markets where we have limited or no experience in marketing, selling, and deploying our products. Our products are generally available globally, but some or all of our products or f</w:t>
      </w:r>
      <w:r>
        <w:rPr>
          <w:rFonts w:ascii="Times New Roman" w:eastAsia="宋体" w:hAnsi="Times New Roman"/>
          <w:color w:val="000000"/>
          <w:sz w:val="20"/>
          <w:szCs w:val="20"/>
        </w:rPr>
        <w:t>unctionality may not be available in certain markets due to legal and regulatory complexities. For example, several of our products are not generally available in China. We also outsource certain operational functions to third-party vendors globally. If we</w:t>
      </w:r>
      <w:r>
        <w:rPr>
          <w:rFonts w:ascii="Times New Roman" w:eastAsia="宋体" w:hAnsi="Times New Roman"/>
          <w:color w:val="000000"/>
          <w:sz w:val="20"/>
          <w:szCs w:val="20"/>
        </w:rPr>
        <w:t xml:space="preserve"> fail to deploy, manage, or oversee our international operations successfully, our business may suffer. In addition, we are subject to a variety of risks inherent in doing business internationally, including:</w:t>
      </w:r>
    </w:p>
    <w:p w14:paraId="0B2FBBE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•political, social, or economic instability;</w:t>
      </w:r>
    </w:p>
    <w:p w14:paraId="0B2FBBE1" w14:textId="77777777" w:rsidR="007F1775" w:rsidRDefault="000F083E">
      <w:pPr>
        <w:jc w:val="center"/>
      </w:pPr>
      <w:r>
        <w:rPr>
          <w:rFonts w:ascii="Times New Roman" w:eastAsia="宋体" w:hAnsi="Times New Roman"/>
          <w:color w:val="000000"/>
          <w:sz w:val="20"/>
          <w:szCs w:val="20"/>
        </w:rPr>
        <w:t>68</w:t>
      </w:r>
    </w:p>
    <w:p w14:paraId="0B2FBBE2" w14:textId="77777777" w:rsidR="007F1775" w:rsidRDefault="000F083E">
      <w:r>
        <w:pict w14:anchorId="0B2FBFD1">
          <v:rect id="_x0000_i1092" style="width:415.3pt;height:1.5pt" o:hralign="center" o:hrstd="t" o:hr="t" fillcolor="#a0a0a0" stroked="f"/>
        </w:pict>
      </w:r>
    </w:p>
    <w:p w14:paraId="0B2FBBE3" w14:textId="77777777" w:rsidR="007F1775" w:rsidRDefault="007F1775"/>
    <w:p w14:paraId="0B2FBBE4" w14:textId="77777777" w:rsidR="007F1775" w:rsidRDefault="007F1775"/>
    <w:p w14:paraId="0B2FBBE5" w14:textId="77777777" w:rsidR="007F1775" w:rsidRDefault="000F083E">
      <w:hyperlink r:id="rId146" w:anchor="iea70e328caa94cefb76a9db6ed6338fc_7" w:history="1">
        <w:r>
          <w:rPr>
            <w:rStyle w:val="a5"/>
            <w:rFonts w:ascii="Times New Roman" w:eastAsia="宋体" w:hAnsi="Times New Roman"/>
            <w:sz w:val="20"/>
            <w:szCs w:val="20"/>
          </w:rPr>
          <w:t>Table of Contents</w:t>
        </w:r>
      </w:hyperlink>
    </w:p>
    <w:p w14:paraId="0B2FBBE6"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•risks related to legal, regulatory, and other government scrutiny </w:t>
      </w:r>
      <w:r>
        <w:rPr>
          <w:rFonts w:ascii="Times New Roman" w:eastAsia="宋体" w:hAnsi="Times New Roman"/>
          <w:color w:val="000000"/>
          <w:sz w:val="20"/>
          <w:szCs w:val="20"/>
        </w:rPr>
        <w:t>applicable to U.S. companies with sales and operations in foreign jurisdictions, including with respect to privacy, tax, law enforcement, content, trade compliance, supply chain, competition, consumer protection, intellectual property, environmental, healt</w:t>
      </w:r>
      <w:r>
        <w:rPr>
          <w:rFonts w:ascii="Times New Roman" w:eastAsia="宋体" w:hAnsi="Times New Roman"/>
          <w:color w:val="000000"/>
          <w:sz w:val="20"/>
          <w:szCs w:val="20"/>
        </w:rPr>
        <w:t>h and safety, licensing, and infrastructure matters;</w:t>
      </w:r>
    </w:p>
    <w:p w14:paraId="0B2FBBE7"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•potential damage to our brand and reputation due to compliance with local laws, including potential censorship or requirements to provide user information to local authorities;</w:t>
      </w:r>
    </w:p>
    <w:p w14:paraId="0B2FBBE8"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•enhanced difficulty in r</w:t>
      </w:r>
      <w:r>
        <w:rPr>
          <w:rFonts w:ascii="Times New Roman" w:eastAsia="宋体" w:hAnsi="Times New Roman"/>
          <w:color w:val="000000"/>
          <w:sz w:val="20"/>
          <w:szCs w:val="20"/>
        </w:rPr>
        <w:t>eviewing content on our platform and enforcing our community standards across different languages and countries;</w:t>
      </w:r>
    </w:p>
    <w:p w14:paraId="0B2FBBE9"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•fluctuations in currency exchange rates and compliance with currency controls;</w:t>
      </w:r>
    </w:p>
    <w:p w14:paraId="0B2FBBEA"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•foreign exchange controls and tax and other regulations and or</w:t>
      </w:r>
      <w:r>
        <w:rPr>
          <w:rFonts w:ascii="Times New Roman" w:eastAsia="宋体" w:hAnsi="Times New Roman"/>
          <w:color w:val="000000"/>
          <w:sz w:val="20"/>
          <w:szCs w:val="20"/>
        </w:rPr>
        <w:t>ders that might prevent us from repatriating cash earned in countries outside the United States or otherwise limit our ability to move cash freely, and impede our ability to invest such cash efficiently;</w:t>
      </w:r>
    </w:p>
    <w:p w14:paraId="0B2FBBEB"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•higher levels of credit risk and payment fraud;</w:t>
      </w:r>
    </w:p>
    <w:p w14:paraId="0B2FBBEC"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•en</w:t>
      </w:r>
      <w:r>
        <w:rPr>
          <w:rFonts w:ascii="Times New Roman" w:eastAsia="宋体" w:hAnsi="Times New Roman"/>
          <w:color w:val="000000"/>
          <w:sz w:val="20"/>
          <w:szCs w:val="20"/>
        </w:rPr>
        <w:t>hanced difficulties of integrating any foreign acquisitions;</w:t>
      </w:r>
    </w:p>
    <w:p w14:paraId="0B2FBBED"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•burdens of complying with a variety of foreign laws, including laws related to taxation, content removal, content moderation, data localization, data protection, e-commerce and payments, and reg</w:t>
      </w:r>
      <w:r>
        <w:rPr>
          <w:rFonts w:ascii="Times New Roman" w:eastAsia="宋体" w:hAnsi="Times New Roman"/>
          <w:color w:val="000000"/>
          <w:sz w:val="20"/>
          <w:szCs w:val="20"/>
        </w:rPr>
        <w:t>ulatory oversight;</w:t>
      </w:r>
    </w:p>
    <w:p w14:paraId="0B2FBBE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•reduced protection for intellectual property rights in some countries;</w:t>
      </w:r>
    </w:p>
    <w:p w14:paraId="0B2FBBE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•difficulties in staffing, managing, and overseeing global operations and the increased travel, infrastructure, and legal compliance costs associated with multiple i</w:t>
      </w:r>
      <w:r>
        <w:rPr>
          <w:rFonts w:ascii="Times New Roman" w:eastAsia="宋体" w:hAnsi="Times New Roman"/>
          <w:color w:val="000000"/>
          <w:sz w:val="20"/>
          <w:szCs w:val="20"/>
        </w:rPr>
        <w:t>nternational locations, including difficulties arising from personnel working remotely;</w:t>
      </w:r>
    </w:p>
    <w:p w14:paraId="0B2FBBF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•compliance with statutory equity requirements and management of tax consequences; and</w:t>
      </w:r>
    </w:p>
    <w:p w14:paraId="0B2FBBF1"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•geopolitical events affecting us, our marketers or our industry, including trade</w:t>
      </w:r>
      <w:r>
        <w:rPr>
          <w:rFonts w:ascii="Times New Roman" w:eastAsia="宋体" w:hAnsi="Times New Roman"/>
          <w:color w:val="000000"/>
          <w:sz w:val="20"/>
          <w:szCs w:val="20"/>
        </w:rPr>
        <w:t xml:space="preserve"> disputes, armed conflicts, and pandemics.</w:t>
      </w:r>
    </w:p>
    <w:p w14:paraId="0B2FBBF2" w14:textId="77777777" w:rsidR="007F1775" w:rsidRDefault="007F1775">
      <w:pPr>
        <w:ind w:firstLine="540"/>
        <w:jc w:val="both"/>
      </w:pPr>
    </w:p>
    <w:p w14:paraId="0B2FBBF3" w14:textId="77777777" w:rsidR="007F1775" w:rsidRDefault="000F083E">
      <w:pPr>
        <w:ind w:firstLine="540"/>
        <w:jc w:val="both"/>
      </w:pPr>
      <w:r>
        <w:rPr>
          <w:rFonts w:ascii="Times New Roman" w:eastAsia="宋体" w:hAnsi="Times New Roman"/>
          <w:color w:val="000000"/>
          <w:sz w:val="20"/>
          <w:szCs w:val="20"/>
        </w:rPr>
        <w:t xml:space="preserve">In addition, we must manage the potential conflicts between locally accepted business practices in any given jurisdiction and our obligations to comply with laws and regulations, including </w:t>
      </w:r>
      <w:r>
        <w:rPr>
          <w:rFonts w:ascii="Times New Roman" w:eastAsia="宋体" w:hAnsi="Times New Roman"/>
          <w:color w:val="000000"/>
          <w:sz w:val="20"/>
          <w:szCs w:val="20"/>
        </w:rPr>
        <w:t>anti-corruption laws or regulations applicable to us, such as the U.S. Foreign Corrupt Practices Act and the U.K. Bribery Act 2010. We also must manage our obligations to comply with laws and regulations related to import and export controls, trade restric</w:t>
      </w:r>
      <w:r>
        <w:rPr>
          <w:rFonts w:ascii="Times New Roman" w:eastAsia="宋体" w:hAnsi="Times New Roman"/>
          <w:color w:val="000000"/>
          <w:sz w:val="20"/>
          <w:szCs w:val="20"/>
        </w:rPr>
        <w:t>tions, and sanctions, including regulations established by the U.S. Office of Foreign Assets Control. Government agencies and authorities have a broad range of civil and criminal penalties they may seek to impose against companies for violations of anti-co</w:t>
      </w:r>
      <w:r>
        <w:rPr>
          <w:rFonts w:ascii="Times New Roman" w:eastAsia="宋体" w:hAnsi="Times New Roman"/>
          <w:color w:val="000000"/>
          <w:sz w:val="20"/>
          <w:szCs w:val="20"/>
        </w:rPr>
        <w:t>rruption laws or regulations, import and export controls, trade restrictions, sanctions, and other laws, rules, and regulations.</w:t>
      </w:r>
    </w:p>
    <w:p w14:paraId="0B2FBBF4" w14:textId="77777777" w:rsidR="007F1775" w:rsidRDefault="007F1775">
      <w:pPr>
        <w:ind w:firstLine="540"/>
        <w:jc w:val="both"/>
      </w:pPr>
    </w:p>
    <w:p w14:paraId="0B2FBBF5" w14:textId="77777777" w:rsidR="007F1775" w:rsidRDefault="000F083E">
      <w:pPr>
        <w:ind w:firstLine="540"/>
        <w:jc w:val="both"/>
      </w:pPr>
      <w:r>
        <w:rPr>
          <w:rFonts w:ascii="Times New Roman" w:eastAsia="宋体" w:hAnsi="Times New Roman"/>
          <w:color w:val="000000"/>
          <w:sz w:val="20"/>
          <w:szCs w:val="20"/>
        </w:rPr>
        <w:t>If we are unable to expand internationally and manage the complexity of our global operations successfully, our financial resu</w:t>
      </w:r>
      <w:r>
        <w:rPr>
          <w:rFonts w:ascii="Times New Roman" w:eastAsia="宋体" w:hAnsi="Times New Roman"/>
          <w:color w:val="000000"/>
          <w:sz w:val="20"/>
          <w:szCs w:val="20"/>
        </w:rPr>
        <w:t>lts could be adversely affected. We also may be required to or elect to cease or modify our operations or the offering of our products and services in certain regions, including as a result of the risks described above, which could adversely affect our bus</w:t>
      </w:r>
      <w:r>
        <w:rPr>
          <w:rFonts w:ascii="Times New Roman" w:eastAsia="宋体" w:hAnsi="Times New Roman"/>
          <w:color w:val="000000"/>
          <w:sz w:val="20"/>
          <w:szCs w:val="20"/>
        </w:rPr>
        <w:t>iness, user growth and engagement, and financial results.</w:t>
      </w:r>
    </w:p>
    <w:p w14:paraId="0B2FBBF6" w14:textId="77777777" w:rsidR="007F1775" w:rsidRDefault="000F083E">
      <w:pPr>
        <w:spacing w:before="180"/>
        <w:jc w:val="both"/>
      </w:pPr>
      <w:r>
        <w:rPr>
          <w:rFonts w:ascii="Times New Roman" w:eastAsia="宋体" w:hAnsi="Times New Roman"/>
          <w:b/>
          <w:bCs/>
          <w:i/>
          <w:iCs/>
          <w:color w:val="000000"/>
          <w:sz w:val="20"/>
          <w:szCs w:val="20"/>
        </w:rPr>
        <w:t>We face design, manufacturing, and supply chain risks that, if not properly managed, could adversely impact our financial results.</w:t>
      </w:r>
    </w:p>
    <w:p w14:paraId="0B2FBBF7" w14:textId="77777777" w:rsidR="007F1775" w:rsidRDefault="007F1775">
      <w:pPr>
        <w:ind w:firstLine="540"/>
        <w:jc w:val="both"/>
      </w:pPr>
    </w:p>
    <w:p w14:paraId="0B2FBBF8" w14:textId="77777777" w:rsidR="007F1775" w:rsidRDefault="000F083E">
      <w:pPr>
        <w:ind w:firstLine="540"/>
        <w:jc w:val="both"/>
      </w:pPr>
      <w:r>
        <w:rPr>
          <w:rFonts w:ascii="Times New Roman" w:eastAsia="宋体" w:hAnsi="Times New Roman"/>
          <w:color w:val="000000"/>
          <w:sz w:val="20"/>
          <w:szCs w:val="20"/>
        </w:rPr>
        <w:t>We face a number of risks related to design, manufacturing, and su</w:t>
      </w:r>
      <w:r>
        <w:rPr>
          <w:rFonts w:ascii="Times New Roman" w:eastAsia="宋体" w:hAnsi="Times New Roman"/>
          <w:color w:val="000000"/>
          <w:sz w:val="20"/>
          <w:szCs w:val="20"/>
        </w:rPr>
        <w:t>pply chain management with respect to our consumer hardware products. For example, the consumer hardware products we sell from time to time have had, and in the future may have, quality issues resulting from the design or manufacture of the products, or fr</w:t>
      </w:r>
      <w:r>
        <w:rPr>
          <w:rFonts w:ascii="Times New Roman" w:eastAsia="宋体" w:hAnsi="Times New Roman"/>
          <w:color w:val="000000"/>
          <w:sz w:val="20"/>
          <w:szCs w:val="20"/>
        </w:rPr>
        <w:t xml:space="preserve">om the software used in the products. Sometimes, these issues may be caused by components we purchase from other manufacturers or suppliers. Our brand and financial results could be adversely affected by any such quality issues, other failures to meet our </w:t>
      </w:r>
      <w:r>
        <w:rPr>
          <w:rFonts w:ascii="Times New Roman" w:eastAsia="宋体" w:hAnsi="Times New Roman"/>
          <w:color w:val="000000"/>
          <w:sz w:val="20"/>
          <w:szCs w:val="20"/>
        </w:rPr>
        <w:t>customers' expectations, or findings of our consumer hardware products to be defective.</w:t>
      </w:r>
    </w:p>
    <w:p w14:paraId="0B2FBBF9" w14:textId="77777777" w:rsidR="007F1775" w:rsidRDefault="007F1775">
      <w:pPr>
        <w:ind w:firstLine="540"/>
        <w:jc w:val="both"/>
      </w:pPr>
    </w:p>
    <w:p w14:paraId="0B2FBBFA" w14:textId="77777777" w:rsidR="007F1775" w:rsidRDefault="000F083E">
      <w:pPr>
        <w:jc w:val="center"/>
      </w:pPr>
      <w:r>
        <w:rPr>
          <w:rFonts w:ascii="Times New Roman" w:eastAsia="宋体" w:hAnsi="Times New Roman"/>
          <w:color w:val="000000"/>
          <w:sz w:val="20"/>
          <w:szCs w:val="20"/>
        </w:rPr>
        <w:t>69</w:t>
      </w:r>
    </w:p>
    <w:p w14:paraId="0B2FBBFB" w14:textId="77777777" w:rsidR="007F1775" w:rsidRDefault="000F083E">
      <w:r>
        <w:pict w14:anchorId="0B2FBFD2">
          <v:rect id="_x0000_i1093" style="width:415.3pt;height:1.5pt" o:hralign="center" o:hrstd="t" o:hr="t" fillcolor="#a0a0a0" stroked="f"/>
        </w:pict>
      </w:r>
    </w:p>
    <w:p w14:paraId="0B2FBBFC" w14:textId="77777777" w:rsidR="007F1775" w:rsidRDefault="007F1775"/>
    <w:p w14:paraId="0B2FBBFD" w14:textId="77777777" w:rsidR="007F1775" w:rsidRDefault="007F1775"/>
    <w:p w14:paraId="0B2FBBFE" w14:textId="77777777" w:rsidR="007F1775" w:rsidRDefault="000F083E">
      <w:hyperlink r:id="rId147" w:anchor="iea70e328caa94cefb76a9db6ed6338fc_7" w:history="1">
        <w:r>
          <w:rPr>
            <w:rStyle w:val="a5"/>
            <w:rFonts w:ascii="Times New Roman" w:eastAsia="宋体" w:hAnsi="Times New Roman"/>
            <w:sz w:val="20"/>
            <w:szCs w:val="20"/>
          </w:rPr>
          <w:t>Table of C</w:t>
        </w:r>
        <w:r>
          <w:rPr>
            <w:rStyle w:val="a5"/>
            <w:rFonts w:ascii="Times New Roman" w:eastAsia="宋体" w:hAnsi="Times New Roman"/>
            <w:sz w:val="20"/>
            <w:szCs w:val="20"/>
          </w:rPr>
          <w:t>ontents</w:t>
        </w:r>
      </w:hyperlink>
    </w:p>
    <w:p w14:paraId="0B2FBBFF" w14:textId="77777777" w:rsidR="007F1775" w:rsidRDefault="000F083E">
      <w:pPr>
        <w:ind w:firstLine="540"/>
        <w:jc w:val="both"/>
      </w:pPr>
      <w:r>
        <w:rPr>
          <w:rFonts w:ascii="Times New Roman" w:eastAsia="宋体" w:hAnsi="Times New Roman"/>
          <w:color w:val="000000"/>
          <w:sz w:val="20"/>
          <w:szCs w:val="20"/>
        </w:rPr>
        <w:t>We rely on third parties to manufacture and manage the logistics of transporting and distributing our consumer hardware products, which subjects us to a number of risks that have been exacerbated as a result of the COVID-19 pandemic. We have exp</w:t>
      </w:r>
      <w:r>
        <w:rPr>
          <w:rFonts w:ascii="Times New Roman" w:eastAsia="宋体" w:hAnsi="Times New Roman"/>
          <w:color w:val="000000"/>
          <w:sz w:val="20"/>
          <w:szCs w:val="20"/>
        </w:rPr>
        <w:t>erienced, and may in the future experience, supply or labor shortages or other disruptions in logistics and the supply chain, which could result in shipping delays and negatively impact our operations, product development, and sales. We could be negatively</w:t>
      </w:r>
      <w:r>
        <w:rPr>
          <w:rFonts w:ascii="Times New Roman" w:eastAsia="宋体" w:hAnsi="Times New Roman"/>
          <w:color w:val="000000"/>
          <w:sz w:val="20"/>
          <w:szCs w:val="20"/>
        </w:rPr>
        <w:t xml:space="preserve"> affected if we are not able to engage third parties with the necessary capabilities or capacity on reasonable terms, or if those we engage with fail to meet their obligations (whether due to financial difficulties, manufacturing or supply constraints, or </w:t>
      </w:r>
      <w:r>
        <w:rPr>
          <w:rFonts w:ascii="Times New Roman" w:eastAsia="宋体" w:hAnsi="Times New Roman"/>
          <w:color w:val="000000"/>
          <w:sz w:val="20"/>
          <w:szCs w:val="20"/>
        </w:rPr>
        <w:t>other reasons), or make adverse changes in the pricing or other material terms of such arrangements with them. The manufacturing, distribution, and sale of our consumer hardware products also may be negatively impacted by macroeconomic conditions, geopolit</w:t>
      </w:r>
      <w:r>
        <w:rPr>
          <w:rFonts w:ascii="Times New Roman" w:eastAsia="宋体" w:hAnsi="Times New Roman"/>
          <w:color w:val="000000"/>
          <w:sz w:val="20"/>
          <w:szCs w:val="20"/>
        </w:rPr>
        <w:t>ical challenges, trade disputes, or other actions by governments that subject us to supply shortages, increased costs, or supply chain disruptions.</w:t>
      </w:r>
    </w:p>
    <w:p w14:paraId="0B2FBC00" w14:textId="77777777" w:rsidR="007F1775" w:rsidRDefault="007F1775">
      <w:pPr>
        <w:ind w:firstLine="540"/>
        <w:jc w:val="both"/>
      </w:pPr>
    </w:p>
    <w:p w14:paraId="0B2FBC01" w14:textId="77777777" w:rsidR="007F1775" w:rsidRDefault="000F083E">
      <w:pPr>
        <w:ind w:firstLine="540"/>
        <w:jc w:val="both"/>
      </w:pPr>
      <w:r>
        <w:rPr>
          <w:rFonts w:ascii="Times New Roman" w:eastAsia="宋体" w:hAnsi="Times New Roman"/>
          <w:color w:val="000000"/>
          <w:sz w:val="20"/>
          <w:szCs w:val="20"/>
        </w:rPr>
        <w:t>We also require the suppliers and business partners of our consumer hardware products to comply with laws a</w:t>
      </w:r>
      <w:r>
        <w:rPr>
          <w:rFonts w:ascii="Times New Roman" w:eastAsia="宋体" w:hAnsi="Times New Roman"/>
          <w:color w:val="000000"/>
          <w:sz w:val="20"/>
          <w:szCs w:val="20"/>
        </w:rPr>
        <w:t xml:space="preserve">nd certain company policies regarding sourcing practices and standards on labor, health and safety, the environment, and business ethics, but we do not control them or their practices and standards. If any of them violates laws, fails to implement changes </w:t>
      </w:r>
      <w:r>
        <w:rPr>
          <w:rFonts w:ascii="Times New Roman" w:eastAsia="宋体" w:hAnsi="Times New Roman"/>
          <w:color w:val="000000"/>
          <w:sz w:val="20"/>
          <w:szCs w:val="20"/>
        </w:rPr>
        <w:t>in accordance with newly enacted laws, or implements practices or standards regarded as unethical, corrupt, or non-compliant, we could experience supply chain disruptions, government action or fines, canceled orders, or damage to our reputation.</w:t>
      </w:r>
    </w:p>
    <w:p w14:paraId="0B2FBC02" w14:textId="77777777" w:rsidR="007F1775" w:rsidRDefault="000F083E">
      <w:pPr>
        <w:spacing w:before="180"/>
      </w:pPr>
      <w:r>
        <w:rPr>
          <w:rFonts w:ascii="Times New Roman" w:eastAsia="宋体" w:hAnsi="Times New Roman"/>
          <w:b/>
          <w:bCs/>
          <w:i/>
          <w:iCs/>
          <w:color w:val="000000"/>
          <w:sz w:val="20"/>
          <w:szCs w:val="20"/>
        </w:rPr>
        <w:t>We face in</w:t>
      </w:r>
      <w:r>
        <w:rPr>
          <w:rFonts w:ascii="Times New Roman" w:eastAsia="宋体" w:hAnsi="Times New Roman"/>
          <w:b/>
          <w:bCs/>
          <w:i/>
          <w:iCs/>
          <w:color w:val="000000"/>
          <w:sz w:val="20"/>
          <w:szCs w:val="20"/>
        </w:rPr>
        <w:t>ventory risk with respect to our consumer hardware products.</w:t>
      </w:r>
    </w:p>
    <w:p w14:paraId="0B2FBC03" w14:textId="77777777" w:rsidR="007F1775" w:rsidRDefault="007F1775">
      <w:pPr>
        <w:ind w:firstLine="540"/>
        <w:jc w:val="both"/>
      </w:pPr>
    </w:p>
    <w:p w14:paraId="0B2FBC04" w14:textId="77777777" w:rsidR="007F1775" w:rsidRDefault="000F083E">
      <w:pPr>
        <w:ind w:firstLine="540"/>
        <w:jc w:val="both"/>
      </w:pPr>
      <w:r>
        <w:rPr>
          <w:rFonts w:ascii="Times New Roman" w:eastAsia="宋体" w:hAnsi="Times New Roman"/>
          <w:color w:val="000000"/>
          <w:sz w:val="20"/>
          <w:szCs w:val="20"/>
        </w:rPr>
        <w:t>We are exposed to inventory risks with respect to our consumer hardware products as a result of rapid changes in product cycles and pricing, unsafe or defective merchandise, supply chain disrupt</w:t>
      </w:r>
      <w:r>
        <w:rPr>
          <w:rFonts w:ascii="Times New Roman" w:eastAsia="宋体" w:hAnsi="Times New Roman"/>
          <w:color w:val="000000"/>
          <w:sz w:val="20"/>
          <w:szCs w:val="20"/>
        </w:rPr>
        <w:t>ions, changes in consumer demand and consumer spending patterns, changes in consumer tastes with respect to our consumer hardware products, and other factors. The demand for our products can also change significantly between the time inventory or component</w:t>
      </w:r>
      <w:r>
        <w:rPr>
          <w:rFonts w:ascii="Times New Roman" w:eastAsia="宋体" w:hAnsi="Times New Roman"/>
          <w:color w:val="000000"/>
          <w:sz w:val="20"/>
          <w:szCs w:val="20"/>
        </w:rPr>
        <w:t>s are ordered and the date of sale. While we endeavor to accurately predict these trends and avoid overstocking or understocking consumer hardware products we may sell, from time to time we have experienced difficulties in accurately predicting and meeting</w:t>
      </w:r>
      <w:r>
        <w:rPr>
          <w:rFonts w:ascii="Times New Roman" w:eastAsia="宋体" w:hAnsi="Times New Roman"/>
          <w:color w:val="000000"/>
          <w:sz w:val="20"/>
          <w:szCs w:val="20"/>
        </w:rPr>
        <w:t xml:space="preserve"> the consumer demand for our products. In addition, when we begin selling or manufacturing a new consumer hardware product or enter new international markets, it may be difficult to establish vendor relationships, determine appropriate product or component</w:t>
      </w:r>
      <w:r>
        <w:rPr>
          <w:rFonts w:ascii="Times New Roman" w:eastAsia="宋体" w:hAnsi="Times New Roman"/>
          <w:color w:val="000000"/>
          <w:sz w:val="20"/>
          <w:szCs w:val="20"/>
        </w:rPr>
        <w:t xml:space="preserve"> selection, and accurately forecast demand. The acquisition of certain types of inventory or components may require significant lead-time and prepayment and they may not be returnable. Any one of the foregoing factors may adversely affect our operating res</w:t>
      </w:r>
      <w:r>
        <w:rPr>
          <w:rFonts w:ascii="Times New Roman" w:eastAsia="宋体" w:hAnsi="Times New Roman"/>
          <w:color w:val="000000"/>
          <w:sz w:val="20"/>
          <w:szCs w:val="20"/>
        </w:rPr>
        <w:t>ults.</w:t>
      </w:r>
    </w:p>
    <w:p w14:paraId="0B2FBC05" w14:textId="77777777" w:rsidR="007F1775" w:rsidRDefault="000F083E">
      <w:pPr>
        <w:spacing w:before="180"/>
        <w:jc w:val="both"/>
      </w:pPr>
      <w:r>
        <w:rPr>
          <w:rFonts w:ascii="Times New Roman" w:eastAsia="宋体" w:hAnsi="Times New Roman"/>
          <w:b/>
          <w:bCs/>
          <w:i/>
          <w:iCs/>
          <w:color w:val="000000"/>
          <w:sz w:val="20"/>
          <w:szCs w:val="20"/>
        </w:rPr>
        <w:t>We are involved in numerous class action lawsuits and other litigation matters that are expensive and time consuming, and, if resolved adversely, could harm our business, financial condition, or results of operations.</w:t>
      </w:r>
    </w:p>
    <w:p w14:paraId="0B2FBC06" w14:textId="77777777" w:rsidR="007F1775" w:rsidRDefault="007F1775">
      <w:pPr>
        <w:ind w:firstLine="540"/>
        <w:jc w:val="both"/>
      </w:pPr>
    </w:p>
    <w:p w14:paraId="0B2FBC07" w14:textId="77777777" w:rsidR="007F1775" w:rsidRDefault="000F083E">
      <w:pPr>
        <w:ind w:firstLine="540"/>
        <w:jc w:val="both"/>
      </w:pPr>
      <w:r>
        <w:rPr>
          <w:rFonts w:ascii="Times New Roman" w:eastAsia="宋体" w:hAnsi="Times New Roman"/>
          <w:color w:val="000000"/>
          <w:sz w:val="20"/>
          <w:szCs w:val="20"/>
        </w:rPr>
        <w:t>We are involved in numerous law</w:t>
      </w:r>
      <w:r>
        <w:rPr>
          <w:rFonts w:ascii="Times New Roman" w:eastAsia="宋体" w:hAnsi="Times New Roman"/>
          <w:color w:val="000000"/>
          <w:sz w:val="20"/>
          <w:szCs w:val="20"/>
        </w:rPr>
        <w:t>suits, including stockholder derivative lawsuits and putative class action lawsuits, many of which claim statutory damages and/or seek significant changes to our business operations, and we anticipate that we will continue to be a target for numerous lawsu</w:t>
      </w:r>
      <w:r>
        <w:rPr>
          <w:rFonts w:ascii="Times New Roman" w:eastAsia="宋体" w:hAnsi="Times New Roman"/>
          <w:color w:val="000000"/>
          <w:sz w:val="20"/>
          <w:szCs w:val="20"/>
        </w:rPr>
        <w:t>its in the future. Because of the scale of our user, advertiser, and developer base, the plaintiffs in class action cases filed against us typically claim enormous monetary damages even if the alleged per-user or entity harm is small or non-existent. In ad</w:t>
      </w:r>
      <w:r>
        <w:rPr>
          <w:rFonts w:ascii="Times New Roman" w:eastAsia="宋体" w:hAnsi="Times New Roman"/>
          <w:color w:val="000000"/>
          <w:sz w:val="20"/>
          <w:szCs w:val="20"/>
        </w:rPr>
        <w:t>dition, we have faced, currently face, and will continue to face additional class action lawsuits based on claims related to advertising, antitrust, privacy, biometrics, content, algorithms, employment, activities on our platform, consumer protection, or p</w:t>
      </w:r>
      <w:r>
        <w:rPr>
          <w:rFonts w:ascii="Times New Roman" w:eastAsia="宋体" w:hAnsi="Times New Roman"/>
          <w:color w:val="000000"/>
          <w:sz w:val="20"/>
          <w:szCs w:val="20"/>
        </w:rPr>
        <w:t>roduct performance or other claims related to the use of consumer hardware and software, including virtual reality technology and products, which are new and unproven. For example, we are currently the subject of multiple putative class action suits in con</w:t>
      </w:r>
      <w:r>
        <w:rPr>
          <w:rFonts w:ascii="Times New Roman" w:eastAsia="宋体" w:hAnsi="Times New Roman"/>
          <w:color w:val="000000"/>
          <w:sz w:val="20"/>
          <w:szCs w:val="20"/>
        </w:rPr>
        <w:t>nection with our platform and user data practices and the misuse of certain data by a developer that shared such data with third parties in violation of our terms and policies; the disclosure of our earnings results for the second quarter of 2018; our acqu</w:t>
      </w:r>
      <w:r>
        <w:rPr>
          <w:rFonts w:ascii="Times New Roman" w:eastAsia="宋体" w:hAnsi="Times New Roman"/>
          <w:color w:val="000000"/>
          <w:sz w:val="20"/>
          <w:szCs w:val="20"/>
        </w:rPr>
        <w:t>isitions of Instagram and WhatsApp, as well as other alleged anticompetitive conduct; a former employee's allegations and release of internal company documents beginning in September 2021; the disclosure of our earnings results for the fourth quarter of 20</w:t>
      </w:r>
      <w:r>
        <w:rPr>
          <w:rFonts w:ascii="Times New Roman" w:eastAsia="宋体" w:hAnsi="Times New Roman"/>
          <w:color w:val="000000"/>
          <w:sz w:val="20"/>
          <w:szCs w:val="20"/>
        </w:rPr>
        <w:t>21; and allegations that we inflated our estimates of the potential audience size for advertisements, resulting in artificially increased demand and higher prices. The results of any such lawsuits and claims cannot be predicted with certainty, and any nega</w:t>
      </w:r>
      <w:r>
        <w:rPr>
          <w:rFonts w:ascii="Times New Roman" w:eastAsia="宋体" w:hAnsi="Times New Roman"/>
          <w:color w:val="000000"/>
          <w:sz w:val="20"/>
          <w:szCs w:val="20"/>
        </w:rPr>
        <w:t>tive outcome from any such lawsuits could result in payments of substantial monetary damages or fines, or undesirable changes to our products or business practices, and accordingly our business, financial condition, or results of operations could be materi</w:t>
      </w:r>
      <w:r>
        <w:rPr>
          <w:rFonts w:ascii="Times New Roman" w:eastAsia="宋体" w:hAnsi="Times New Roman"/>
          <w:color w:val="000000"/>
          <w:sz w:val="20"/>
          <w:szCs w:val="20"/>
        </w:rPr>
        <w:t>ally and adversely affected.</w:t>
      </w:r>
    </w:p>
    <w:p w14:paraId="0B2FBC08" w14:textId="77777777" w:rsidR="007F1775" w:rsidRDefault="007F1775">
      <w:pPr>
        <w:ind w:firstLine="540"/>
        <w:jc w:val="both"/>
      </w:pPr>
    </w:p>
    <w:p w14:paraId="0B2FBC09" w14:textId="77777777" w:rsidR="007F1775" w:rsidRDefault="000F083E">
      <w:pPr>
        <w:ind w:firstLine="540"/>
        <w:jc w:val="both"/>
      </w:pPr>
      <w:r>
        <w:rPr>
          <w:rFonts w:ascii="Times New Roman" w:eastAsia="宋体" w:hAnsi="Times New Roman"/>
          <w:color w:val="000000"/>
          <w:sz w:val="20"/>
          <w:szCs w:val="20"/>
        </w:rPr>
        <w:t xml:space="preserve">There can be no assurances that a favorable final outcome will be obtained in all our cases, and defending any lawsuit is costly and can impose a significant burden on management and employees. Any litigation to which we are a party may </w:t>
      </w:r>
    </w:p>
    <w:p w14:paraId="0B2FBC0A" w14:textId="77777777" w:rsidR="007F1775" w:rsidRDefault="000F083E">
      <w:pPr>
        <w:jc w:val="center"/>
      </w:pPr>
      <w:r>
        <w:rPr>
          <w:rFonts w:ascii="Times New Roman" w:eastAsia="宋体" w:hAnsi="Times New Roman"/>
          <w:color w:val="000000"/>
          <w:sz w:val="20"/>
          <w:szCs w:val="20"/>
        </w:rPr>
        <w:t>70</w:t>
      </w:r>
    </w:p>
    <w:p w14:paraId="0B2FBC0B" w14:textId="77777777" w:rsidR="007F1775" w:rsidRDefault="000F083E">
      <w:r>
        <w:pict w14:anchorId="0B2FBFD3">
          <v:rect id="_x0000_i1094" style="width:415.3pt;height:1.5pt" o:hralign="center" o:hrstd="t" o:hr="t" fillcolor="#a0a0a0" stroked="f"/>
        </w:pict>
      </w:r>
    </w:p>
    <w:p w14:paraId="0B2FBC0C" w14:textId="77777777" w:rsidR="007F1775" w:rsidRDefault="007F1775"/>
    <w:p w14:paraId="0B2FBC0D" w14:textId="77777777" w:rsidR="007F1775" w:rsidRDefault="007F1775"/>
    <w:p w14:paraId="0B2FBC0E" w14:textId="77777777" w:rsidR="007F1775" w:rsidRDefault="000F083E">
      <w:hyperlink r:id="rId148" w:anchor="iea70e328caa94cefb76a9db6ed6338fc_7" w:history="1">
        <w:r>
          <w:rPr>
            <w:rStyle w:val="a5"/>
            <w:rFonts w:ascii="Times New Roman" w:eastAsia="宋体" w:hAnsi="Times New Roman"/>
            <w:sz w:val="20"/>
            <w:szCs w:val="20"/>
          </w:rPr>
          <w:t>Table of Contents</w:t>
        </w:r>
      </w:hyperlink>
    </w:p>
    <w:p w14:paraId="0B2FBC0F" w14:textId="77777777" w:rsidR="007F1775" w:rsidRDefault="000F083E">
      <w:pPr>
        <w:jc w:val="both"/>
      </w:pPr>
      <w:r>
        <w:rPr>
          <w:rFonts w:ascii="Times New Roman" w:eastAsia="宋体" w:hAnsi="Times New Roman"/>
          <w:color w:val="000000"/>
          <w:sz w:val="20"/>
          <w:szCs w:val="20"/>
        </w:rPr>
        <w:t xml:space="preserve">result in an onerous or unfavorable judgment that may not be reversed upon appeal or </w:t>
      </w:r>
      <w:r>
        <w:rPr>
          <w:rFonts w:ascii="Times New Roman" w:eastAsia="宋体" w:hAnsi="Times New Roman"/>
          <w:color w:val="000000"/>
          <w:sz w:val="20"/>
          <w:szCs w:val="20"/>
        </w:rPr>
        <w:t>in payments of substantial monetary damages or fines, or we may decide to settle lawsuits on similarly unfavorable terms, which has occurred in the past and which could adversely affect our business, financial conditions, or results of operations.</w:t>
      </w:r>
    </w:p>
    <w:p w14:paraId="0B2FBC10" w14:textId="77777777" w:rsidR="007F1775" w:rsidRDefault="000F083E">
      <w:pPr>
        <w:spacing w:before="180"/>
        <w:jc w:val="both"/>
      </w:pPr>
      <w:r>
        <w:rPr>
          <w:rFonts w:ascii="Times New Roman" w:eastAsia="宋体" w:hAnsi="Times New Roman"/>
          <w:b/>
          <w:bCs/>
          <w:i/>
          <w:iCs/>
          <w:color w:val="000000"/>
          <w:sz w:val="20"/>
          <w:szCs w:val="20"/>
        </w:rPr>
        <w:t>We may h</w:t>
      </w:r>
      <w:r>
        <w:rPr>
          <w:rFonts w:ascii="Times New Roman" w:eastAsia="宋体" w:hAnsi="Times New Roman"/>
          <w:b/>
          <w:bCs/>
          <w:i/>
          <w:iCs/>
          <w:color w:val="000000"/>
          <w:sz w:val="20"/>
          <w:szCs w:val="20"/>
        </w:rPr>
        <w:t>ave exposure to greater than anticipated tax liabilities.</w:t>
      </w:r>
    </w:p>
    <w:p w14:paraId="0B2FBC11" w14:textId="77777777" w:rsidR="007F1775" w:rsidRDefault="007F1775">
      <w:pPr>
        <w:ind w:firstLine="540"/>
        <w:jc w:val="both"/>
      </w:pPr>
    </w:p>
    <w:p w14:paraId="0B2FBC12" w14:textId="77777777" w:rsidR="007F1775" w:rsidRDefault="000F083E">
      <w:pPr>
        <w:ind w:firstLine="540"/>
        <w:jc w:val="both"/>
      </w:pPr>
      <w:r>
        <w:rPr>
          <w:rFonts w:ascii="Times New Roman" w:eastAsia="宋体" w:hAnsi="Times New Roman"/>
          <w:color w:val="000000"/>
          <w:sz w:val="20"/>
          <w:szCs w:val="20"/>
        </w:rPr>
        <w:t>Our tax obligations, including income and non-income taxes, are based in part on our corporate operating structure and intercompany arrangements, including the manner in which we operate our busine</w:t>
      </w:r>
      <w:r>
        <w:rPr>
          <w:rFonts w:ascii="Times New Roman" w:eastAsia="宋体" w:hAnsi="Times New Roman"/>
          <w:color w:val="000000"/>
          <w:sz w:val="20"/>
          <w:szCs w:val="20"/>
        </w:rPr>
        <w:t>ss, develop, value, manage, protect, and use our intellectual property, and the valuations of our intercompany transactions. The tax laws applicable to our business, including the laws of the United States and other jurisdictions, are subject to interpreta</w:t>
      </w:r>
      <w:r>
        <w:rPr>
          <w:rFonts w:ascii="Times New Roman" w:eastAsia="宋体" w:hAnsi="Times New Roman"/>
          <w:color w:val="000000"/>
          <w:sz w:val="20"/>
          <w:szCs w:val="20"/>
        </w:rPr>
        <w:t>tion and certain jurisdictions are aggressively interpreting their laws in new ways in an effort to raise additional tax revenue from companies such as Meta. We are subject to regular review and audit by U.S. federal, state, and foreign tax authorities. Ta</w:t>
      </w:r>
      <w:r>
        <w:rPr>
          <w:rFonts w:ascii="Times New Roman" w:eastAsia="宋体" w:hAnsi="Times New Roman"/>
          <w:color w:val="000000"/>
          <w:sz w:val="20"/>
          <w:szCs w:val="20"/>
        </w:rPr>
        <w:t>x authorities may disagree with certain positions we have taken, including our methodologies for valuing developed technology or intercompany arrangements, and any adverse outcome of such a review or audit could increase our worldwide effective tax rate, i</w:t>
      </w:r>
      <w:r>
        <w:rPr>
          <w:rFonts w:ascii="Times New Roman" w:eastAsia="宋体" w:hAnsi="Times New Roman"/>
          <w:color w:val="000000"/>
          <w:sz w:val="20"/>
          <w:szCs w:val="20"/>
        </w:rPr>
        <w:t>ncrease the amount of non-income taxes imposed on our business, and harm our financial position, results of operations, and cash flows. For example, in 2016 and 2018, the IRS issued formal assessments relating to transfer pricing with our foreign subsidiar</w:t>
      </w:r>
      <w:r>
        <w:rPr>
          <w:rFonts w:ascii="Times New Roman" w:eastAsia="宋体" w:hAnsi="Times New Roman"/>
          <w:color w:val="000000"/>
          <w:sz w:val="20"/>
          <w:szCs w:val="20"/>
        </w:rPr>
        <w:t>ies in conjunction with the examination of the 2010 through 2013 tax years. Although we disagree with the IRS's position and are litigating this issue, the ultimate resolution is uncertain and, if resolved in a manner unfavorable to us, may adversely affec</w:t>
      </w:r>
      <w:r>
        <w:rPr>
          <w:rFonts w:ascii="Times New Roman" w:eastAsia="宋体" w:hAnsi="Times New Roman"/>
          <w:color w:val="000000"/>
          <w:sz w:val="20"/>
          <w:szCs w:val="20"/>
        </w:rPr>
        <w:t>t our financial results.</w:t>
      </w:r>
    </w:p>
    <w:p w14:paraId="0B2FBC13" w14:textId="77777777" w:rsidR="007F1775" w:rsidRDefault="007F1775">
      <w:pPr>
        <w:ind w:firstLine="540"/>
        <w:jc w:val="both"/>
      </w:pPr>
    </w:p>
    <w:p w14:paraId="0B2FBC14" w14:textId="77777777" w:rsidR="007F1775" w:rsidRDefault="000F083E">
      <w:pPr>
        <w:ind w:firstLine="540"/>
        <w:jc w:val="both"/>
      </w:pPr>
      <w:r>
        <w:rPr>
          <w:rFonts w:ascii="Times New Roman" w:eastAsia="宋体" w:hAnsi="Times New Roman"/>
          <w:color w:val="000000"/>
          <w:sz w:val="20"/>
          <w:szCs w:val="20"/>
        </w:rPr>
        <w:t xml:space="preserve">The determination of our worldwide provision for income taxes and other tax liabilities requires significant judgment by management, and there are many transactions where the ultimate tax determination is uncertain. Our provision </w:t>
      </w:r>
      <w:r>
        <w:rPr>
          <w:rFonts w:ascii="Times New Roman" w:eastAsia="宋体" w:hAnsi="Times New Roman"/>
          <w:color w:val="000000"/>
          <w:sz w:val="20"/>
          <w:szCs w:val="20"/>
        </w:rPr>
        <w:t>for income taxes is determined by the manner in which we operate our business, and any changes to such operations or laws applicable to such operations may affect our effective tax rate. Although we believe that our provision for income taxes and estimates</w:t>
      </w:r>
      <w:r>
        <w:rPr>
          <w:rFonts w:ascii="Times New Roman" w:eastAsia="宋体" w:hAnsi="Times New Roman"/>
          <w:color w:val="000000"/>
          <w:sz w:val="20"/>
          <w:szCs w:val="20"/>
        </w:rPr>
        <w:t xml:space="preserve"> of our non-income tax liabilities are reasonable, the ultimate settlement may differ from the amounts recorded in our financial statements and may materially affect our financial results in the period or periods for which such determination is made.</w:t>
      </w:r>
    </w:p>
    <w:p w14:paraId="0B2FBC15" w14:textId="77777777" w:rsidR="007F1775" w:rsidRDefault="007F1775">
      <w:pPr>
        <w:ind w:firstLine="540"/>
        <w:jc w:val="both"/>
      </w:pPr>
    </w:p>
    <w:p w14:paraId="0B2FBC16" w14:textId="77777777" w:rsidR="007F1775" w:rsidRDefault="000F083E">
      <w:pPr>
        <w:ind w:firstLine="540"/>
        <w:jc w:val="both"/>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future income tax rates could be volatile and difficult to predict due to changes in jurisdictional profit split, changes in the amount and recognition of deferred tax assets and liabilities, or by changes in tax laws, regulations, or accounting principles</w:t>
      </w:r>
      <w:r>
        <w:rPr>
          <w:rFonts w:ascii="Times New Roman" w:eastAsia="宋体" w:hAnsi="Times New Roman"/>
          <w:color w:val="000000"/>
          <w:sz w:val="20"/>
          <w:szCs w:val="20"/>
        </w:rPr>
        <w:t>.</w:t>
      </w:r>
    </w:p>
    <w:p w14:paraId="0B2FBC17" w14:textId="77777777" w:rsidR="007F1775" w:rsidRDefault="000F083E">
      <w:pPr>
        <w:spacing w:before="180"/>
        <w:jc w:val="both"/>
      </w:pPr>
      <w:r>
        <w:rPr>
          <w:rFonts w:ascii="Times New Roman" w:eastAsia="宋体" w:hAnsi="Times New Roman"/>
          <w:b/>
          <w:bCs/>
          <w:i/>
          <w:iCs/>
          <w:color w:val="000000"/>
          <w:sz w:val="20"/>
          <w:szCs w:val="20"/>
        </w:rPr>
        <w:t>Changes in tax laws or tax rulings could materially affect our financial position, results of operations, and cash flows.</w:t>
      </w:r>
    </w:p>
    <w:p w14:paraId="0B2FBC18" w14:textId="77777777" w:rsidR="007F1775" w:rsidRDefault="007F1775">
      <w:pPr>
        <w:ind w:firstLine="540"/>
        <w:jc w:val="both"/>
      </w:pPr>
    </w:p>
    <w:p w14:paraId="0B2FBC19" w14:textId="77777777" w:rsidR="007F1775" w:rsidRDefault="000F083E">
      <w:pPr>
        <w:ind w:firstLine="540"/>
        <w:jc w:val="both"/>
      </w:pPr>
      <w:r>
        <w:rPr>
          <w:rFonts w:ascii="Times New Roman" w:eastAsia="宋体" w:hAnsi="Times New Roman"/>
          <w:color w:val="000000"/>
          <w:sz w:val="20"/>
          <w:szCs w:val="20"/>
        </w:rPr>
        <w:t>The tax regimes we are subject to or operate under, including income and non-income taxes, are unsettled and may be subject to sign</w:t>
      </w:r>
      <w:r>
        <w:rPr>
          <w:rFonts w:ascii="Times New Roman" w:eastAsia="宋体" w:hAnsi="Times New Roman"/>
          <w:color w:val="000000"/>
          <w:sz w:val="20"/>
          <w:szCs w:val="20"/>
        </w:rPr>
        <w:t>ificant change. Changes in tax laws or tax rulings, or changes in interpretations of existing laws, could materially affect our financial position, results of operations, and cash flows. For example, the 2017 Tax Cuts and Jobs Act (Tax Act) enacted in Dece</w:t>
      </w:r>
      <w:r>
        <w:rPr>
          <w:rFonts w:ascii="Times New Roman" w:eastAsia="宋体" w:hAnsi="Times New Roman"/>
          <w:color w:val="000000"/>
          <w:sz w:val="20"/>
          <w:szCs w:val="20"/>
        </w:rPr>
        <w:t xml:space="preserve">mber 2017 had a significant impact on our tax obligations and effective tax rate for the fourth quarter of 2017. The issuance of additional regulatory or accounting guidance related to the Tax Act, or other executive or Congressional actions in the United </w:t>
      </w:r>
      <w:r>
        <w:rPr>
          <w:rFonts w:ascii="Times New Roman" w:eastAsia="宋体" w:hAnsi="Times New Roman"/>
          <w:color w:val="000000"/>
          <w:sz w:val="20"/>
          <w:szCs w:val="20"/>
        </w:rPr>
        <w:t>States or globally could materially increase our tax obligations and significantly impact our effective tax rate in the period such guidance is issued or such actions take effect, and in future periods. In addition, many countries have recently proposed or</w:t>
      </w:r>
      <w:r>
        <w:rPr>
          <w:rFonts w:ascii="Times New Roman" w:eastAsia="宋体" w:hAnsi="Times New Roman"/>
          <w:color w:val="000000"/>
          <w:sz w:val="20"/>
          <w:szCs w:val="20"/>
        </w:rPr>
        <w:t xml:space="preserve"> recommended changes to existing tax laws or have enacted new laws that could significantly increase our tax obligations in many countries where we do business or require us to change the manner in which we operate our business.</w:t>
      </w:r>
    </w:p>
    <w:p w14:paraId="0B2FBC1A" w14:textId="77777777" w:rsidR="007F1775" w:rsidRDefault="007F1775">
      <w:pPr>
        <w:ind w:firstLine="540"/>
        <w:jc w:val="both"/>
      </w:pPr>
    </w:p>
    <w:p w14:paraId="0B2FBC1B" w14:textId="77777777" w:rsidR="007F1775" w:rsidRDefault="000F083E">
      <w:pPr>
        <w:ind w:firstLine="540"/>
        <w:jc w:val="both"/>
      </w:pPr>
      <w:r>
        <w:rPr>
          <w:rFonts w:ascii="Times New Roman" w:eastAsia="宋体" w:hAnsi="Times New Roman"/>
          <w:color w:val="000000"/>
          <w:sz w:val="20"/>
          <w:szCs w:val="20"/>
        </w:rPr>
        <w:t>Over the last several year</w:t>
      </w:r>
      <w:r>
        <w:rPr>
          <w:rFonts w:ascii="Times New Roman" w:eastAsia="宋体" w:hAnsi="Times New Roman"/>
          <w:color w:val="000000"/>
          <w:sz w:val="20"/>
          <w:szCs w:val="20"/>
        </w:rPr>
        <w:t xml:space="preserve">s, the Organization for Economic Cooperation and Development has been working on a Base Erosion and Profit Shifting Project that, if implemented, would change various aspects of the existing framework under which our tax obligations are determined in many </w:t>
      </w:r>
      <w:r>
        <w:rPr>
          <w:rFonts w:ascii="Times New Roman" w:eastAsia="宋体" w:hAnsi="Times New Roman"/>
          <w:color w:val="000000"/>
          <w:sz w:val="20"/>
          <w:szCs w:val="20"/>
        </w:rPr>
        <w:t>of the countries in which we do business. In 2021, more than 140 countries tentatively signed on to a framework that imposes a minimum tax rate of 15%, among other provisions. As this framework is subject to further negotiation and implementation by each m</w:t>
      </w:r>
      <w:r>
        <w:rPr>
          <w:rFonts w:ascii="Times New Roman" w:eastAsia="宋体" w:hAnsi="Times New Roman"/>
          <w:color w:val="000000"/>
          <w:sz w:val="20"/>
          <w:szCs w:val="20"/>
        </w:rPr>
        <w:t>ember country, the timing and ultimate impact of any such changes on our tax obligations are uncertain. Similarly, the European Commission and several countries have issued proposals that would apply to various aspects of the current tax framework under wh</w:t>
      </w:r>
      <w:r>
        <w:rPr>
          <w:rFonts w:ascii="Times New Roman" w:eastAsia="宋体" w:hAnsi="Times New Roman"/>
          <w:color w:val="000000"/>
          <w:sz w:val="20"/>
          <w:szCs w:val="20"/>
        </w:rPr>
        <w:t>ich we are taxed. These proposals include changes to the existing framework to calculate income tax, as well as proposals to change or impose new types of non-income taxes, including taxes based on a percentage of revenue. For example, several jurisdiction</w:t>
      </w:r>
      <w:r>
        <w:rPr>
          <w:rFonts w:ascii="Times New Roman" w:eastAsia="宋体" w:hAnsi="Times New Roman"/>
          <w:color w:val="000000"/>
          <w:sz w:val="20"/>
          <w:szCs w:val="20"/>
        </w:rPr>
        <w:t>s have proposed or enacted taxes applicable to digital services, which include business activities on digital advertising and online marketplaces, and which apply to our business.</w:t>
      </w:r>
    </w:p>
    <w:p w14:paraId="0B2FBC1C" w14:textId="77777777" w:rsidR="007F1775" w:rsidRDefault="007F1775">
      <w:pPr>
        <w:ind w:firstLine="540"/>
        <w:jc w:val="both"/>
      </w:pPr>
    </w:p>
    <w:p w14:paraId="0B2FBC1D" w14:textId="77777777" w:rsidR="007F1775" w:rsidRDefault="000F083E">
      <w:pPr>
        <w:jc w:val="center"/>
      </w:pPr>
      <w:r>
        <w:rPr>
          <w:rFonts w:ascii="Times New Roman" w:eastAsia="宋体" w:hAnsi="Times New Roman"/>
          <w:color w:val="000000"/>
          <w:sz w:val="20"/>
          <w:szCs w:val="20"/>
        </w:rPr>
        <w:t>71</w:t>
      </w:r>
    </w:p>
    <w:p w14:paraId="0B2FBC1E" w14:textId="77777777" w:rsidR="007F1775" w:rsidRDefault="000F083E">
      <w:r>
        <w:pict w14:anchorId="0B2FBFD4">
          <v:rect id="_x0000_i1095" style="width:415.3pt;height:1.5pt" o:hralign="center" o:hrstd="t" o:hr="t" fillcolor="#a0a0a0" stroked="f"/>
        </w:pict>
      </w:r>
    </w:p>
    <w:p w14:paraId="0B2FBC1F" w14:textId="77777777" w:rsidR="007F1775" w:rsidRDefault="007F1775"/>
    <w:p w14:paraId="0B2FBC20" w14:textId="77777777" w:rsidR="007F1775" w:rsidRDefault="007F1775"/>
    <w:p w14:paraId="0B2FBC21" w14:textId="77777777" w:rsidR="007F1775" w:rsidRDefault="000F083E">
      <w:hyperlink r:id="rId149" w:anchor="iea70e328caa94cefb76a9db6ed6338fc_7" w:history="1">
        <w:r>
          <w:rPr>
            <w:rStyle w:val="a5"/>
            <w:rFonts w:ascii="Times New Roman" w:eastAsia="宋体" w:hAnsi="Times New Roman"/>
            <w:sz w:val="20"/>
            <w:szCs w:val="20"/>
          </w:rPr>
          <w:t>Table of Contents</w:t>
        </w:r>
      </w:hyperlink>
    </w:p>
    <w:p w14:paraId="0B2FBC22" w14:textId="77777777" w:rsidR="007F1775" w:rsidRDefault="000F083E">
      <w:pPr>
        <w:ind w:firstLine="540"/>
        <w:jc w:val="both"/>
      </w:pPr>
      <w:r>
        <w:rPr>
          <w:rFonts w:ascii="Times New Roman" w:eastAsia="宋体" w:hAnsi="Times New Roman"/>
          <w:color w:val="000000"/>
          <w:sz w:val="20"/>
          <w:szCs w:val="20"/>
        </w:rPr>
        <w:t>The European Commission has conducted investigations in multiple countries focusing on whether local country tax rulings or tax legislation provides pref</w:t>
      </w:r>
      <w:r>
        <w:rPr>
          <w:rFonts w:ascii="Times New Roman" w:eastAsia="宋体" w:hAnsi="Times New Roman"/>
          <w:color w:val="000000"/>
          <w:sz w:val="20"/>
          <w:szCs w:val="20"/>
        </w:rPr>
        <w:t>erential tax treatment that violates European Union state aid rules and concluded that certain member states, including Ireland, have provided illegal state aid in certain cases. These investigations may result in changes to the tax treatment of our foreig</w:t>
      </w:r>
      <w:r>
        <w:rPr>
          <w:rFonts w:ascii="Times New Roman" w:eastAsia="宋体" w:hAnsi="Times New Roman"/>
          <w:color w:val="000000"/>
          <w:sz w:val="20"/>
          <w:szCs w:val="20"/>
        </w:rPr>
        <w:t xml:space="preserve">n operations. </w:t>
      </w:r>
    </w:p>
    <w:p w14:paraId="0B2FBC23" w14:textId="77777777" w:rsidR="007F1775" w:rsidRDefault="007F1775">
      <w:pPr>
        <w:ind w:firstLine="540"/>
        <w:jc w:val="both"/>
      </w:pPr>
    </w:p>
    <w:p w14:paraId="0B2FBC24" w14:textId="77777777" w:rsidR="007F1775" w:rsidRDefault="000F083E">
      <w:pPr>
        <w:ind w:firstLine="540"/>
        <w:jc w:val="both"/>
      </w:pPr>
      <w:r>
        <w:rPr>
          <w:rFonts w:ascii="Times New Roman" w:eastAsia="宋体" w:hAnsi="Times New Roman"/>
          <w:color w:val="000000"/>
          <w:sz w:val="20"/>
          <w:szCs w:val="20"/>
        </w:rPr>
        <w:t>Due to the large and expanding scale of our international business activities, many of these types of changes to the taxation of our activities described above could increase our worldwide effective tax rate, increase the amount of non-inco</w:t>
      </w:r>
      <w:r>
        <w:rPr>
          <w:rFonts w:ascii="Times New Roman" w:eastAsia="宋体" w:hAnsi="Times New Roman"/>
          <w:color w:val="000000"/>
          <w:sz w:val="20"/>
          <w:szCs w:val="20"/>
        </w:rPr>
        <w:t>me taxes imposed on our business, and harm our financial position, results of operations, and cash flows. Such changes may also apply retroactively to our historical operations and result in taxes greater than the amounts estimated and recorded in our fina</w:t>
      </w:r>
      <w:r>
        <w:rPr>
          <w:rFonts w:ascii="Times New Roman" w:eastAsia="宋体" w:hAnsi="Times New Roman"/>
          <w:color w:val="000000"/>
          <w:sz w:val="20"/>
          <w:szCs w:val="20"/>
        </w:rPr>
        <w:t>ncial statements.</w:t>
      </w:r>
    </w:p>
    <w:p w14:paraId="0B2FBC25" w14:textId="77777777" w:rsidR="007F1775" w:rsidRDefault="000F083E">
      <w:pPr>
        <w:spacing w:before="180"/>
        <w:jc w:val="both"/>
      </w:pPr>
      <w:r>
        <w:rPr>
          <w:rFonts w:ascii="Times New Roman" w:eastAsia="宋体" w:hAnsi="Times New Roman"/>
          <w:b/>
          <w:bCs/>
          <w:i/>
          <w:iCs/>
          <w:color w:val="000000"/>
          <w:sz w:val="20"/>
          <w:szCs w:val="20"/>
        </w:rPr>
        <w:t>Given our levels of share-based compensation, our tax rate may vary significantly depending on our stock price.</w:t>
      </w:r>
    </w:p>
    <w:p w14:paraId="0B2FBC26" w14:textId="77777777" w:rsidR="007F1775" w:rsidRDefault="007F1775">
      <w:pPr>
        <w:ind w:firstLine="540"/>
        <w:jc w:val="both"/>
      </w:pPr>
    </w:p>
    <w:p w14:paraId="0B2FBC27" w14:textId="77777777" w:rsidR="007F1775" w:rsidRDefault="000F083E">
      <w:pPr>
        <w:ind w:firstLine="540"/>
        <w:jc w:val="both"/>
      </w:pPr>
      <w:r>
        <w:rPr>
          <w:rFonts w:ascii="Times New Roman" w:eastAsia="宋体" w:hAnsi="Times New Roman"/>
          <w:color w:val="000000"/>
          <w:sz w:val="20"/>
          <w:szCs w:val="20"/>
        </w:rPr>
        <w:t xml:space="preserve">The tax effects of the accounting for share-based compensation may significantly impact our effective tax rate from </w:t>
      </w:r>
      <w:r>
        <w:rPr>
          <w:rFonts w:ascii="Times New Roman" w:eastAsia="宋体" w:hAnsi="Times New Roman"/>
          <w:color w:val="000000"/>
          <w:sz w:val="20"/>
          <w:szCs w:val="20"/>
        </w:rPr>
        <w:t>period to period. In periods in which our stock price varies from the grant price of the share-based compensation vesting in that period, we will recognize excess tax benefits or deficiencies that will impact our effective tax rate. For example, in the thr</w:t>
      </w:r>
      <w:r>
        <w:rPr>
          <w:rFonts w:ascii="Times New Roman" w:eastAsia="宋体" w:hAnsi="Times New Roman"/>
          <w:color w:val="000000"/>
          <w:sz w:val="20"/>
          <w:szCs w:val="20"/>
        </w:rPr>
        <w:t>ee months ended March 31, 2022, tax deficiencies recognized from share-based compensation increased our provision for income taxes by $5 million, which did not significantly impact our effective tax rate as compared to the tax rate without such deficiencie</w:t>
      </w:r>
      <w:r>
        <w:rPr>
          <w:rFonts w:ascii="Times New Roman" w:eastAsia="宋体" w:hAnsi="Times New Roman"/>
          <w:color w:val="000000"/>
          <w:sz w:val="20"/>
          <w:szCs w:val="20"/>
        </w:rPr>
        <w:t>s. In future periods in which our stock price varies in comparison to the grant price of the share-based compensation vesting in that period, our effective tax rate may be inversely impacted. The amount and value of share-based compensation issued relative</w:t>
      </w:r>
      <w:r>
        <w:rPr>
          <w:rFonts w:ascii="Times New Roman" w:eastAsia="宋体" w:hAnsi="Times New Roman"/>
          <w:color w:val="000000"/>
          <w:sz w:val="20"/>
          <w:szCs w:val="20"/>
        </w:rPr>
        <w:t xml:space="preserve"> to our earnings in a particular period will also affect the magnitude of the impact of share-based compensation on our effective tax rate. These tax effects are dependent on our stock price, which we do not control, and a decline in our stock price could </w:t>
      </w:r>
      <w:r>
        <w:rPr>
          <w:rFonts w:ascii="Times New Roman" w:eastAsia="宋体" w:hAnsi="Times New Roman"/>
          <w:color w:val="000000"/>
          <w:sz w:val="20"/>
          <w:szCs w:val="20"/>
        </w:rPr>
        <w:t>significantly increase our effective tax rate and adversely affect our financial results.</w:t>
      </w:r>
    </w:p>
    <w:p w14:paraId="0B2FBC28" w14:textId="77777777" w:rsidR="007F1775" w:rsidRDefault="000F083E">
      <w:pPr>
        <w:spacing w:before="180"/>
        <w:jc w:val="both"/>
      </w:pPr>
      <w:r>
        <w:rPr>
          <w:rFonts w:ascii="Times New Roman" w:eastAsia="宋体" w:hAnsi="Times New Roman"/>
          <w:b/>
          <w:bCs/>
          <w:i/>
          <w:iCs/>
          <w:color w:val="000000"/>
          <w:sz w:val="20"/>
          <w:szCs w:val="20"/>
        </w:rPr>
        <w:t>If our goodwill or intangible assets become impaired, we may be required to record a significant charge to earnings.</w:t>
      </w:r>
    </w:p>
    <w:p w14:paraId="0B2FBC29" w14:textId="77777777" w:rsidR="007F1775" w:rsidRDefault="007F1775">
      <w:pPr>
        <w:ind w:firstLine="540"/>
        <w:jc w:val="both"/>
      </w:pPr>
    </w:p>
    <w:p w14:paraId="0B2FBC2A" w14:textId="77777777" w:rsidR="007F1775" w:rsidRDefault="000F083E">
      <w:pPr>
        <w:ind w:firstLine="540"/>
        <w:jc w:val="both"/>
      </w:pPr>
      <w:r>
        <w:rPr>
          <w:rFonts w:ascii="Times New Roman" w:eastAsia="宋体" w:hAnsi="Times New Roman"/>
          <w:color w:val="000000"/>
          <w:sz w:val="20"/>
          <w:szCs w:val="20"/>
        </w:rPr>
        <w:t>We review our intangible assets for impairment w</w:t>
      </w:r>
      <w:r>
        <w:rPr>
          <w:rFonts w:ascii="Times New Roman" w:eastAsia="宋体" w:hAnsi="Times New Roman"/>
          <w:color w:val="000000"/>
          <w:sz w:val="20"/>
          <w:szCs w:val="20"/>
        </w:rPr>
        <w:t>hen events or changes in circumstances indicate the carrying value may not be recoverable, such as a decline in stock price and market capitalization. We test goodwill for impairment at the reporting unit level at least annually. If such goodwill or intang</w:t>
      </w:r>
      <w:r>
        <w:rPr>
          <w:rFonts w:ascii="Times New Roman" w:eastAsia="宋体" w:hAnsi="Times New Roman"/>
          <w:color w:val="000000"/>
          <w:sz w:val="20"/>
          <w:szCs w:val="20"/>
        </w:rPr>
        <w:t>ible assets are deemed to be impaired, an impairment loss equal to the amount by which the carrying amount exceeds the fair value of the assets would be recognized. We may be required to record a significant charge in our financial statements during the pe</w:t>
      </w:r>
      <w:r>
        <w:rPr>
          <w:rFonts w:ascii="Times New Roman" w:eastAsia="宋体" w:hAnsi="Times New Roman"/>
          <w:color w:val="000000"/>
          <w:sz w:val="20"/>
          <w:szCs w:val="20"/>
        </w:rPr>
        <w:t>riod in which any impairment of our goodwill or intangible assets is determined, which would negatively affect our results of operations.</w:t>
      </w:r>
    </w:p>
    <w:p w14:paraId="0B2FBC2B" w14:textId="77777777" w:rsidR="007F1775" w:rsidRDefault="000F083E">
      <w:pPr>
        <w:spacing w:before="180"/>
        <w:jc w:val="both"/>
      </w:pPr>
      <w:r>
        <w:rPr>
          <w:rFonts w:ascii="Times New Roman" w:eastAsia="宋体" w:hAnsi="Times New Roman"/>
          <w:b/>
          <w:bCs/>
          <w:i/>
          <w:iCs/>
          <w:color w:val="000000"/>
          <w:sz w:val="20"/>
          <w:szCs w:val="20"/>
        </w:rPr>
        <w:t>The loss of one or more of our key personnel, or our failure to attract and retain other highly qualified personnel in</w:t>
      </w:r>
      <w:r>
        <w:rPr>
          <w:rFonts w:ascii="Times New Roman" w:eastAsia="宋体" w:hAnsi="Times New Roman"/>
          <w:b/>
          <w:bCs/>
          <w:i/>
          <w:iCs/>
          <w:color w:val="000000"/>
          <w:sz w:val="20"/>
          <w:szCs w:val="20"/>
        </w:rPr>
        <w:t xml:space="preserve"> the future, could harm our business.</w:t>
      </w:r>
    </w:p>
    <w:p w14:paraId="0B2FBC2C" w14:textId="77777777" w:rsidR="007F1775" w:rsidRDefault="007F1775">
      <w:pPr>
        <w:ind w:firstLine="540"/>
        <w:jc w:val="both"/>
      </w:pPr>
    </w:p>
    <w:p w14:paraId="0B2FBC2D" w14:textId="77777777" w:rsidR="007F1775" w:rsidRDefault="000F083E">
      <w:pPr>
        <w:ind w:firstLine="540"/>
        <w:jc w:val="both"/>
      </w:pPr>
      <w:r>
        <w:rPr>
          <w:rFonts w:ascii="Times New Roman" w:eastAsia="宋体" w:hAnsi="Times New Roman"/>
          <w:color w:val="000000"/>
          <w:sz w:val="20"/>
          <w:szCs w:val="20"/>
        </w:rPr>
        <w:t>We currently depend on the continued services and performance of our key personnel, including Mark Zuckerberg and Sheryl K. Sandberg. Although we have entered into employment agreements with Mr. Zuckerberg and Ms. San</w:t>
      </w:r>
      <w:r>
        <w:rPr>
          <w:rFonts w:ascii="Times New Roman" w:eastAsia="宋体" w:hAnsi="Times New Roman"/>
          <w:color w:val="000000"/>
          <w:sz w:val="20"/>
          <w:szCs w:val="20"/>
        </w:rPr>
        <w:t>dberg, the agreements have no specific duration and constitute at-will employment. In addition, many of our key technologies and systems are custom-made for our business by our personnel. The loss of key personnel, including members of management as well a</w:t>
      </w:r>
      <w:r>
        <w:rPr>
          <w:rFonts w:ascii="Times New Roman" w:eastAsia="宋体" w:hAnsi="Times New Roman"/>
          <w:color w:val="000000"/>
          <w:sz w:val="20"/>
          <w:szCs w:val="20"/>
        </w:rPr>
        <w:t>s key engineering, product development, marketing, and sales personnel, could disrupt our operations and have an adverse effect on our business.</w:t>
      </w:r>
    </w:p>
    <w:p w14:paraId="0B2FBC2E" w14:textId="77777777" w:rsidR="007F1775" w:rsidRDefault="007F1775">
      <w:pPr>
        <w:ind w:firstLine="540"/>
        <w:jc w:val="both"/>
      </w:pPr>
    </w:p>
    <w:p w14:paraId="0B2FBC2F" w14:textId="77777777" w:rsidR="007F1775" w:rsidRDefault="000F083E">
      <w:pPr>
        <w:ind w:firstLine="540"/>
        <w:jc w:val="both"/>
      </w:pPr>
      <w:r>
        <w:rPr>
          <w:rFonts w:ascii="Times New Roman" w:eastAsia="宋体" w:hAnsi="Times New Roman"/>
          <w:color w:val="000000"/>
          <w:sz w:val="20"/>
          <w:szCs w:val="20"/>
        </w:rPr>
        <w:t>As we continue to grow, we cannot guarantee we will continue to attract and retain the personnel we need to ma</w:t>
      </w:r>
      <w:r>
        <w:rPr>
          <w:rFonts w:ascii="Times New Roman" w:eastAsia="宋体" w:hAnsi="Times New Roman"/>
          <w:color w:val="000000"/>
          <w:sz w:val="20"/>
          <w:szCs w:val="20"/>
        </w:rPr>
        <w:t>intain our competitive position. In particular, we intend to continue to hire a significant number of technical personnel in the foreseeable future, and we expect to continue to face significant challenges in hiring such personnel, particularly for enginee</w:t>
      </w:r>
      <w:r>
        <w:rPr>
          <w:rFonts w:ascii="Times New Roman" w:eastAsia="宋体" w:hAnsi="Times New Roman"/>
          <w:color w:val="000000"/>
          <w:sz w:val="20"/>
          <w:szCs w:val="20"/>
        </w:rPr>
        <w:t>ring talent, whether as a result of competition with other companies or other factors. As we continue to mature, the incentives to attract, retain, and motivate employees provided by our equity awards or by future arrangements may not be as effective as in</w:t>
      </w:r>
      <w:r>
        <w:rPr>
          <w:rFonts w:ascii="Times New Roman" w:eastAsia="宋体" w:hAnsi="Times New Roman"/>
          <w:color w:val="000000"/>
          <w:sz w:val="20"/>
          <w:szCs w:val="20"/>
        </w:rPr>
        <w:t xml:space="preserve"> the past, and if we issue significant equity to attract additional employees or to retain our existing employees, we would incur substantial additional share-based compensation expense and the ownership of our existing stockholders would be further dilute</w:t>
      </w:r>
      <w:r>
        <w:rPr>
          <w:rFonts w:ascii="Times New Roman" w:eastAsia="宋体" w:hAnsi="Times New Roman"/>
          <w:color w:val="000000"/>
          <w:sz w:val="20"/>
          <w:szCs w:val="20"/>
        </w:rPr>
        <w:t xml:space="preserve">d. Our ability to attract, retain, and motivate employees may also be adversely affected by stock price volatility. In addition, restrictive immigration policies or legal or regulatory developments relating to immigration may negatively affect our efforts </w:t>
      </w:r>
      <w:r>
        <w:rPr>
          <w:rFonts w:ascii="Times New Roman" w:eastAsia="宋体" w:hAnsi="Times New Roman"/>
          <w:color w:val="000000"/>
          <w:sz w:val="20"/>
          <w:szCs w:val="20"/>
        </w:rPr>
        <w:t>to attract and hire new personnel as well as retain our existing personnel. If we do not succeed in attracting, hiring, and integrating excellent personnel, or retaining and motivating existing personnel, we may be unable to grow effectively.</w:t>
      </w:r>
    </w:p>
    <w:p w14:paraId="0B2FBC30" w14:textId="77777777" w:rsidR="007F1775" w:rsidRDefault="000F083E">
      <w:pPr>
        <w:jc w:val="center"/>
      </w:pPr>
      <w:r>
        <w:rPr>
          <w:rFonts w:ascii="Times New Roman" w:eastAsia="宋体" w:hAnsi="Times New Roman"/>
          <w:color w:val="000000"/>
          <w:sz w:val="20"/>
          <w:szCs w:val="20"/>
        </w:rPr>
        <w:t>72</w:t>
      </w:r>
    </w:p>
    <w:p w14:paraId="0B2FBC31" w14:textId="77777777" w:rsidR="007F1775" w:rsidRDefault="000F083E">
      <w:r>
        <w:pict w14:anchorId="0B2FBFD5">
          <v:rect id="_x0000_i1096" style="width:415.3pt;height:1.5pt" o:hralign="center" o:hrstd="t" o:hr="t" fillcolor="#a0a0a0" stroked="f"/>
        </w:pict>
      </w:r>
    </w:p>
    <w:p w14:paraId="0B2FBC32" w14:textId="77777777" w:rsidR="007F1775" w:rsidRDefault="007F1775"/>
    <w:p w14:paraId="0B2FBC33" w14:textId="77777777" w:rsidR="007F1775" w:rsidRDefault="007F1775"/>
    <w:p w14:paraId="0B2FBC34" w14:textId="77777777" w:rsidR="007F1775" w:rsidRDefault="000F083E">
      <w:hyperlink r:id="rId150" w:anchor="iea70e328caa94cefb76a9db6ed6338fc_7" w:history="1">
        <w:r>
          <w:rPr>
            <w:rStyle w:val="a5"/>
            <w:rFonts w:ascii="Times New Roman" w:eastAsia="宋体" w:hAnsi="Times New Roman"/>
            <w:sz w:val="20"/>
            <w:szCs w:val="20"/>
          </w:rPr>
          <w:t>Table of Contents</w:t>
        </w:r>
      </w:hyperlink>
    </w:p>
    <w:p w14:paraId="0B2FBC35" w14:textId="77777777" w:rsidR="007F1775" w:rsidRDefault="000F083E">
      <w:pPr>
        <w:spacing w:before="180"/>
        <w:jc w:val="both"/>
      </w:pPr>
      <w:r>
        <w:rPr>
          <w:rFonts w:ascii="Times New Roman" w:eastAsia="宋体" w:hAnsi="Times New Roman"/>
          <w:b/>
          <w:bCs/>
          <w:i/>
          <w:iCs/>
          <w:color w:val="000000"/>
          <w:sz w:val="20"/>
          <w:szCs w:val="20"/>
        </w:rPr>
        <w:t>Our CEO has control over key decision making as a result of his control of a majority</w:t>
      </w:r>
      <w:r>
        <w:rPr>
          <w:rFonts w:ascii="Times New Roman" w:eastAsia="宋体" w:hAnsi="Times New Roman"/>
          <w:b/>
          <w:bCs/>
          <w:i/>
          <w:iCs/>
          <w:color w:val="000000"/>
          <w:sz w:val="20"/>
          <w:szCs w:val="20"/>
        </w:rPr>
        <w:t xml:space="preserve"> of the voting power of our outstanding capital stock.</w:t>
      </w:r>
    </w:p>
    <w:p w14:paraId="0B2FBC36" w14:textId="77777777" w:rsidR="007F1775" w:rsidRDefault="007F1775">
      <w:pPr>
        <w:ind w:firstLine="540"/>
        <w:jc w:val="both"/>
      </w:pPr>
    </w:p>
    <w:p w14:paraId="0B2FBC37" w14:textId="77777777" w:rsidR="007F1775" w:rsidRDefault="000F083E">
      <w:pPr>
        <w:ind w:firstLine="540"/>
        <w:jc w:val="both"/>
      </w:pPr>
      <w:r>
        <w:rPr>
          <w:rFonts w:ascii="Times New Roman" w:eastAsia="宋体" w:hAnsi="Times New Roman"/>
          <w:color w:val="000000"/>
          <w:sz w:val="20"/>
          <w:szCs w:val="20"/>
        </w:rPr>
        <w:t>Mark Zuckerberg, our founder, Chairman, and CEO, is able to exercise voting rights with respect to a majority of the voting power of our outstanding capital stock and therefore has the ability to cont</w:t>
      </w:r>
      <w:r>
        <w:rPr>
          <w:rFonts w:ascii="Times New Roman" w:eastAsia="宋体" w:hAnsi="Times New Roman"/>
          <w:color w:val="000000"/>
          <w:sz w:val="20"/>
          <w:szCs w:val="20"/>
        </w:rPr>
        <w:t>rol the outcome of matters submitted to our stockholders for approval, including the election of directors and any merger, consolidation, or sale of all or substantially all of our assets. This concentrated control could delay, defer, or prevent a change o</w:t>
      </w:r>
      <w:r>
        <w:rPr>
          <w:rFonts w:ascii="Times New Roman" w:eastAsia="宋体" w:hAnsi="Times New Roman"/>
          <w:color w:val="000000"/>
          <w:sz w:val="20"/>
          <w:szCs w:val="20"/>
        </w:rPr>
        <w:t>f control, merger, consolidation, or sale of all or substantially all of our assets that our other stockholders support, or conversely this concentrated control could result in the consummation of such a transaction that our other stockholders do not suppo</w:t>
      </w:r>
      <w:r>
        <w:rPr>
          <w:rFonts w:ascii="Times New Roman" w:eastAsia="宋体" w:hAnsi="Times New Roman"/>
          <w:color w:val="000000"/>
          <w:sz w:val="20"/>
          <w:szCs w:val="20"/>
        </w:rPr>
        <w:t>rt. This concentrated control could also discourage a potential investor from acquiring our Class A common stock, which has limited voting power relative to the Class B common stock, and might harm the trading price of our Class A common stock. In addition</w:t>
      </w:r>
      <w:r>
        <w:rPr>
          <w:rFonts w:ascii="Times New Roman" w:eastAsia="宋体" w:hAnsi="Times New Roman"/>
          <w:color w:val="000000"/>
          <w:sz w:val="20"/>
          <w:szCs w:val="20"/>
        </w:rPr>
        <w:t>, Mr. Zuckerberg has the ability to control the management and major strategic investments of our company as a result of his position as our CEO and his ability to control the election or, in some cases, the replacement of our directors. In the event of hi</w:t>
      </w:r>
      <w:r>
        <w:rPr>
          <w:rFonts w:ascii="Times New Roman" w:eastAsia="宋体" w:hAnsi="Times New Roman"/>
          <w:color w:val="000000"/>
          <w:sz w:val="20"/>
          <w:szCs w:val="20"/>
        </w:rPr>
        <w:t>s death, the shares of our capital stock that Mr. Zuckerberg owns will be transferred to the persons or entities that he has designated. As a board member and officer, Mr. Zuckerberg owes a fiduciary duty to our stockholders and must act in good faith in a</w:t>
      </w:r>
      <w:r>
        <w:rPr>
          <w:rFonts w:ascii="Times New Roman" w:eastAsia="宋体" w:hAnsi="Times New Roman"/>
          <w:color w:val="000000"/>
          <w:sz w:val="20"/>
          <w:szCs w:val="20"/>
        </w:rPr>
        <w:t xml:space="preserve"> manner he reasonably believes to be in the best interests of our stockholders. As a stockholder, even a controlling stockholder, Mr. Zuckerberg is entitled to vote his shares, and shares over which he has voting control as governed by a voting agreement, </w:t>
      </w:r>
      <w:r>
        <w:rPr>
          <w:rFonts w:ascii="Times New Roman" w:eastAsia="宋体" w:hAnsi="Times New Roman"/>
          <w:color w:val="000000"/>
          <w:sz w:val="20"/>
          <w:szCs w:val="20"/>
        </w:rPr>
        <w:t>in his own interests, which may not always be in the interests of our stockholders generally.</w:t>
      </w:r>
    </w:p>
    <w:p w14:paraId="0B2FBC38" w14:textId="77777777" w:rsidR="007F1775" w:rsidRDefault="000F083E">
      <w:pPr>
        <w:spacing w:before="180"/>
        <w:jc w:val="both"/>
      </w:pPr>
      <w:r>
        <w:rPr>
          <w:rFonts w:ascii="Times New Roman" w:eastAsia="宋体" w:hAnsi="Times New Roman"/>
          <w:b/>
          <w:bCs/>
          <w:i/>
          <w:iCs/>
          <w:color w:val="000000"/>
          <w:sz w:val="20"/>
          <w:szCs w:val="20"/>
        </w:rPr>
        <w:t xml:space="preserve">We cannot guarantee that our share repurchase program will be fully consummated or that it will enhance long-term stockholder value. Share repurchases could also </w:t>
      </w:r>
      <w:r>
        <w:rPr>
          <w:rFonts w:ascii="Times New Roman" w:eastAsia="宋体" w:hAnsi="Times New Roman"/>
          <w:b/>
          <w:bCs/>
          <w:i/>
          <w:iCs/>
          <w:color w:val="000000"/>
          <w:sz w:val="20"/>
          <w:szCs w:val="20"/>
        </w:rPr>
        <w:t>increase the volatility of the trading price of our stock and will diminish our cash reserves.</w:t>
      </w:r>
    </w:p>
    <w:p w14:paraId="0B2FBC39" w14:textId="77777777" w:rsidR="007F1775" w:rsidRDefault="007F1775">
      <w:pPr>
        <w:ind w:firstLine="540"/>
        <w:jc w:val="both"/>
      </w:pPr>
    </w:p>
    <w:p w14:paraId="0B2FBC3A" w14:textId="77777777" w:rsidR="007F1775" w:rsidRDefault="000F083E">
      <w:pPr>
        <w:ind w:firstLine="540"/>
        <w:jc w:val="both"/>
      </w:pPr>
      <w:r>
        <w:rPr>
          <w:rFonts w:ascii="Times New Roman" w:eastAsia="宋体" w:hAnsi="Times New Roman"/>
          <w:color w:val="000000"/>
          <w:sz w:val="20"/>
          <w:szCs w:val="20"/>
        </w:rPr>
        <w:t xml:space="preserve">Although our board of directors has authorized a share repurchase program that does not have an expiration date, the program does not obligate us to repurchase </w:t>
      </w:r>
      <w:r>
        <w:rPr>
          <w:rFonts w:ascii="Times New Roman" w:eastAsia="宋体" w:hAnsi="Times New Roman"/>
          <w:color w:val="000000"/>
          <w:sz w:val="20"/>
          <w:szCs w:val="20"/>
        </w:rPr>
        <w:t>any specific dollar amount or to acquire any specific number of shares of our Class A common stock. We cannot guarantee that the program will be fully consummated or that it will enhance long-term stockholder value. The program could affect the trading pri</w:t>
      </w:r>
      <w:r>
        <w:rPr>
          <w:rFonts w:ascii="Times New Roman" w:eastAsia="宋体" w:hAnsi="Times New Roman"/>
          <w:color w:val="000000"/>
          <w:sz w:val="20"/>
          <w:szCs w:val="20"/>
        </w:rPr>
        <w:t>ce of our stock and increase volatility, and any announcement of a termination of this program may result in a decrease in the trading price of our stock. In addition, this program will diminish our cash reserves.</w:t>
      </w:r>
    </w:p>
    <w:p w14:paraId="0B2FBC3B" w14:textId="77777777" w:rsidR="007F1775" w:rsidRDefault="000F083E">
      <w:pPr>
        <w:spacing w:before="180"/>
        <w:jc w:val="center"/>
      </w:pPr>
      <w:r>
        <w:rPr>
          <w:rFonts w:ascii="Times New Roman" w:eastAsia="宋体" w:hAnsi="Times New Roman"/>
          <w:b/>
          <w:bCs/>
          <w:color w:val="000000"/>
          <w:sz w:val="20"/>
          <w:szCs w:val="20"/>
        </w:rPr>
        <w:t>Risks Related to Government Regulation and</w:t>
      </w:r>
      <w:r>
        <w:rPr>
          <w:rFonts w:ascii="Times New Roman" w:eastAsia="宋体" w:hAnsi="Times New Roman"/>
          <w:b/>
          <w:bCs/>
          <w:color w:val="000000"/>
          <w:sz w:val="20"/>
          <w:szCs w:val="20"/>
        </w:rPr>
        <w:t xml:space="preserve"> Enforcement</w:t>
      </w:r>
    </w:p>
    <w:p w14:paraId="0B2FBC3C" w14:textId="77777777" w:rsidR="007F1775" w:rsidRDefault="000F083E">
      <w:pPr>
        <w:spacing w:before="180"/>
        <w:jc w:val="both"/>
      </w:pPr>
      <w:r>
        <w:rPr>
          <w:rFonts w:ascii="Times New Roman" w:eastAsia="宋体" w:hAnsi="Times New Roman"/>
          <w:b/>
          <w:bCs/>
          <w:i/>
          <w:iCs/>
          <w:color w:val="000000"/>
          <w:sz w:val="20"/>
          <w:szCs w:val="20"/>
        </w:rPr>
        <w:t>Actions by governments that restrict access to Facebook or our other products in their countries, censor or moderate content on our products in their countries, or otherwise impair our ability to sell advertising in their countries, could subs</w:t>
      </w:r>
      <w:r>
        <w:rPr>
          <w:rFonts w:ascii="Times New Roman" w:eastAsia="宋体" w:hAnsi="Times New Roman"/>
          <w:b/>
          <w:bCs/>
          <w:i/>
          <w:iCs/>
          <w:color w:val="000000"/>
          <w:sz w:val="20"/>
          <w:szCs w:val="20"/>
        </w:rPr>
        <w:t>tantially harm our business and financial results.</w:t>
      </w:r>
    </w:p>
    <w:p w14:paraId="0B2FBC3D" w14:textId="77777777" w:rsidR="007F1775" w:rsidRDefault="007F1775">
      <w:pPr>
        <w:ind w:firstLine="540"/>
        <w:jc w:val="both"/>
      </w:pPr>
    </w:p>
    <w:p w14:paraId="0B2FBC3E" w14:textId="77777777" w:rsidR="007F1775" w:rsidRDefault="000F083E">
      <w:pPr>
        <w:ind w:firstLine="540"/>
        <w:jc w:val="both"/>
      </w:pPr>
      <w:r>
        <w:rPr>
          <w:rFonts w:ascii="Times New Roman" w:eastAsia="宋体" w:hAnsi="Times New Roman"/>
          <w:color w:val="000000"/>
          <w:sz w:val="20"/>
          <w:szCs w:val="20"/>
        </w:rPr>
        <w:t xml:space="preserve">Governments from time to time seek to censor or moderate content available on Facebook or our other products in their country, restrict access to our products from their country partially or entirely, or </w:t>
      </w:r>
      <w:r>
        <w:rPr>
          <w:rFonts w:ascii="Times New Roman" w:eastAsia="宋体" w:hAnsi="Times New Roman"/>
          <w:color w:val="000000"/>
          <w:sz w:val="20"/>
          <w:szCs w:val="20"/>
        </w:rPr>
        <w:t>impose other restrictions that may affect the accessibility of our products in their country for an extended period of time or indefinitely. For example, user access to Facebook and certain of our other products has been or is currently restricted in whole</w:t>
      </w:r>
      <w:r>
        <w:rPr>
          <w:rFonts w:ascii="Times New Roman" w:eastAsia="宋体" w:hAnsi="Times New Roman"/>
          <w:color w:val="000000"/>
          <w:sz w:val="20"/>
          <w:szCs w:val="20"/>
        </w:rPr>
        <w:t xml:space="preserve"> or in part in China, Iran, and North Korea. In addition, government authorities in other countries may seek to restrict user access to our products if they consider us to be in violation of their laws or a threat to public safety or for other reasons, and</w:t>
      </w:r>
      <w:r>
        <w:rPr>
          <w:rFonts w:ascii="Times New Roman" w:eastAsia="宋体" w:hAnsi="Times New Roman"/>
          <w:color w:val="000000"/>
          <w:sz w:val="20"/>
          <w:szCs w:val="20"/>
        </w:rPr>
        <w:t xml:space="preserve"> certain of our products have been restricted by governments in other countries from time to time. For example, in June 2020, Hong Kong adopted a National Security Law that provides authorities with the ability to obtain information, remove and block acces</w:t>
      </w:r>
      <w:r>
        <w:rPr>
          <w:rFonts w:ascii="Times New Roman" w:eastAsia="宋体" w:hAnsi="Times New Roman"/>
          <w:color w:val="000000"/>
          <w:sz w:val="20"/>
          <w:szCs w:val="20"/>
        </w:rPr>
        <w:t>s to content, and suspend user services, and if we are found to be in violation of this law then the use of our products may be restricted. In addition, if we are required to or elect to make changes to our marketing and sales or other operations in Hong K</w:t>
      </w:r>
      <w:r>
        <w:rPr>
          <w:rFonts w:ascii="Times New Roman" w:eastAsia="宋体" w:hAnsi="Times New Roman"/>
          <w:color w:val="000000"/>
          <w:sz w:val="20"/>
          <w:szCs w:val="20"/>
        </w:rPr>
        <w:t xml:space="preserve">ong as a result of the National Security Law, our revenue and business in the region will be adversely affected. In addition, in connection with the war in Ukraine in the first quarter of 2022, access to Facebook and Instagram was restricted in Russia and </w:t>
      </w:r>
      <w:r>
        <w:rPr>
          <w:rFonts w:ascii="Times New Roman" w:eastAsia="宋体" w:hAnsi="Times New Roman"/>
          <w:color w:val="000000"/>
          <w:sz w:val="20"/>
          <w:szCs w:val="20"/>
        </w:rPr>
        <w:t xml:space="preserve">the services were then prohibited by the Russian government, which has adversely affected, and will likely continue to adversely affect, our revenue and business in the region. It is also possible that government authorities could take action that impairs </w:t>
      </w:r>
      <w:r>
        <w:rPr>
          <w:rFonts w:ascii="Times New Roman" w:eastAsia="宋体" w:hAnsi="Times New Roman"/>
          <w:color w:val="000000"/>
          <w:sz w:val="20"/>
          <w:szCs w:val="20"/>
        </w:rPr>
        <w:t>our ability to sell advertising, including in countries where access to our consumer-facing products may be blocked or restricted. For example, we generate meaningful revenue from a limited number of resellers representing advertisers based in China, and i</w:t>
      </w:r>
      <w:r>
        <w:rPr>
          <w:rFonts w:ascii="Times New Roman" w:eastAsia="宋体" w:hAnsi="Times New Roman"/>
          <w:color w:val="000000"/>
          <w:sz w:val="20"/>
          <w:szCs w:val="20"/>
        </w:rPr>
        <w:t xml:space="preserve">t is possible that the Chinese government could take action that reduces or eliminates our China-based advertising revenue, whether as a result of the trade dispute with the United States, in response to content issues or information requests in Hong Kong </w:t>
      </w:r>
      <w:r>
        <w:rPr>
          <w:rFonts w:ascii="Times New Roman" w:eastAsia="宋体" w:hAnsi="Times New Roman"/>
          <w:color w:val="000000"/>
          <w:sz w:val="20"/>
          <w:szCs w:val="20"/>
        </w:rPr>
        <w:t xml:space="preserve">or elsewhere, or for other reasons, or take other action against us, such as imposing taxes or other penalties, which could adversely affect our financial results. Similarly, if we are found to be out of compliance with certain legal </w:t>
      </w:r>
    </w:p>
    <w:p w14:paraId="0B2FBC3F" w14:textId="77777777" w:rsidR="007F1775" w:rsidRDefault="000F083E">
      <w:pPr>
        <w:jc w:val="center"/>
      </w:pPr>
      <w:r>
        <w:rPr>
          <w:rFonts w:ascii="Times New Roman" w:eastAsia="宋体" w:hAnsi="Times New Roman"/>
          <w:color w:val="000000"/>
          <w:sz w:val="20"/>
          <w:szCs w:val="20"/>
        </w:rPr>
        <w:t>73</w:t>
      </w:r>
    </w:p>
    <w:p w14:paraId="0B2FBC40" w14:textId="77777777" w:rsidR="007F1775" w:rsidRDefault="000F083E">
      <w:r>
        <w:pict w14:anchorId="0B2FBFD6">
          <v:rect id="_x0000_i1097" style="width:415.3pt;height:1.5pt" o:hralign="center" o:hrstd="t" o:hr="t" fillcolor="#a0a0a0" stroked="f"/>
        </w:pict>
      </w:r>
    </w:p>
    <w:p w14:paraId="0B2FBC41" w14:textId="77777777" w:rsidR="007F1775" w:rsidRDefault="007F1775"/>
    <w:p w14:paraId="0B2FBC42" w14:textId="77777777" w:rsidR="007F1775" w:rsidRDefault="007F1775"/>
    <w:p w14:paraId="0B2FBC43" w14:textId="77777777" w:rsidR="007F1775" w:rsidRDefault="000F083E">
      <w:hyperlink r:id="rId151" w:anchor="iea70e328caa94cefb76a9db6ed6338fc_7" w:history="1">
        <w:r>
          <w:rPr>
            <w:rStyle w:val="a5"/>
            <w:rFonts w:ascii="Times New Roman" w:eastAsia="宋体" w:hAnsi="Times New Roman"/>
            <w:sz w:val="20"/>
            <w:szCs w:val="20"/>
          </w:rPr>
          <w:t>Table of Contents</w:t>
        </w:r>
      </w:hyperlink>
    </w:p>
    <w:p w14:paraId="0B2FBC44" w14:textId="77777777" w:rsidR="007F1775" w:rsidRDefault="000F083E">
      <w:pPr>
        <w:jc w:val="both"/>
      </w:pPr>
      <w:r>
        <w:rPr>
          <w:rFonts w:ascii="Times New Roman" w:eastAsia="宋体" w:hAnsi="Times New Roman"/>
          <w:color w:val="000000"/>
          <w:sz w:val="20"/>
          <w:szCs w:val="20"/>
        </w:rPr>
        <w:t xml:space="preserve">requirements for social media companies in Turkey, the Turkish government could take </w:t>
      </w:r>
      <w:r>
        <w:rPr>
          <w:rFonts w:ascii="Times New Roman" w:eastAsia="宋体" w:hAnsi="Times New Roman"/>
          <w:color w:val="000000"/>
          <w:sz w:val="20"/>
          <w:szCs w:val="20"/>
        </w:rPr>
        <w:t>action to reduce or eliminate our Turkey-based advertising revenue or otherwise adversely impact access to our products. In the event that content shown on Facebook or our other products is subject to censorship, access to our products is restricted, in wh</w:t>
      </w:r>
      <w:r>
        <w:rPr>
          <w:rFonts w:ascii="Times New Roman" w:eastAsia="宋体" w:hAnsi="Times New Roman"/>
          <w:color w:val="000000"/>
          <w:sz w:val="20"/>
          <w:szCs w:val="20"/>
        </w:rPr>
        <w:t>ole or in part, in one or more countries, we are required to or elect to make changes to our operations, or other restrictions are imposed on our products, or our competitors are able to successfully penetrate new geographic markets or capture a greater sh</w:t>
      </w:r>
      <w:r>
        <w:rPr>
          <w:rFonts w:ascii="Times New Roman" w:eastAsia="宋体" w:hAnsi="Times New Roman"/>
          <w:color w:val="000000"/>
          <w:sz w:val="20"/>
          <w:szCs w:val="20"/>
        </w:rPr>
        <w:t>are of existing geographic markets that we cannot access or where we face other restrictions, our ability to retain or increase our user base, user engagement, or the level of advertising by marketers may be adversely affected, we may not be able to mainta</w:t>
      </w:r>
      <w:r>
        <w:rPr>
          <w:rFonts w:ascii="Times New Roman" w:eastAsia="宋体" w:hAnsi="Times New Roman"/>
          <w:color w:val="000000"/>
          <w:sz w:val="20"/>
          <w:szCs w:val="20"/>
        </w:rPr>
        <w:t>in or grow our revenue as anticipated, and our financial results could be adversely affected.</w:t>
      </w:r>
    </w:p>
    <w:p w14:paraId="0B2FBC45" w14:textId="77777777" w:rsidR="007F1775" w:rsidRDefault="000F083E">
      <w:pPr>
        <w:spacing w:before="180"/>
        <w:jc w:val="both"/>
      </w:pPr>
      <w:r>
        <w:rPr>
          <w:rFonts w:ascii="Times New Roman" w:eastAsia="宋体" w:hAnsi="Times New Roman"/>
          <w:b/>
          <w:bCs/>
          <w:i/>
          <w:iCs/>
          <w:color w:val="000000"/>
          <w:sz w:val="20"/>
          <w:szCs w:val="20"/>
        </w:rPr>
        <w:t>Our business is subject to complex and evolving U.S. and foreign laws and regulations regarding privacy, data use and data protection, content, competition, safet</w:t>
      </w:r>
      <w:r>
        <w:rPr>
          <w:rFonts w:ascii="Times New Roman" w:eastAsia="宋体" w:hAnsi="Times New Roman"/>
          <w:b/>
          <w:bCs/>
          <w:i/>
          <w:iCs/>
          <w:color w:val="000000"/>
          <w:sz w:val="20"/>
          <w:szCs w:val="20"/>
        </w:rPr>
        <w:t xml:space="preserve">y and consumer protection, e-commerce, and other matters. Many of these laws and regulations are subject to change and uncertain interpretation, and could result in claims, changes to our products and business practices, monetary penalties, increased cost </w:t>
      </w:r>
      <w:r>
        <w:rPr>
          <w:rFonts w:ascii="Times New Roman" w:eastAsia="宋体" w:hAnsi="Times New Roman"/>
          <w:b/>
          <w:bCs/>
          <w:i/>
          <w:iCs/>
          <w:color w:val="000000"/>
          <w:sz w:val="20"/>
          <w:szCs w:val="20"/>
        </w:rPr>
        <w:t>of operations, or declines in user growth or engagement, or otherwise harm our business.</w:t>
      </w:r>
    </w:p>
    <w:p w14:paraId="0B2FBC46" w14:textId="77777777" w:rsidR="007F1775" w:rsidRDefault="007F1775">
      <w:pPr>
        <w:ind w:firstLine="540"/>
        <w:jc w:val="both"/>
      </w:pPr>
    </w:p>
    <w:p w14:paraId="0B2FBC47" w14:textId="77777777" w:rsidR="007F1775" w:rsidRDefault="000F083E">
      <w:pPr>
        <w:ind w:firstLine="540"/>
        <w:jc w:val="both"/>
      </w:pPr>
      <w:r>
        <w:rPr>
          <w:rFonts w:ascii="Times New Roman" w:eastAsia="宋体" w:hAnsi="Times New Roman"/>
          <w:color w:val="000000"/>
          <w:sz w:val="20"/>
          <w:szCs w:val="20"/>
        </w:rPr>
        <w:t>We are subject to a variety of laws and regulations in the United States and abroad that involve matters central to our business, including privacy, data use, data pr</w:t>
      </w:r>
      <w:r>
        <w:rPr>
          <w:rFonts w:ascii="Times New Roman" w:eastAsia="宋体" w:hAnsi="Times New Roman"/>
          <w:color w:val="000000"/>
          <w:sz w:val="20"/>
          <w:szCs w:val="20"/>
        </w:rPr>
        <w:t>otection and personal information, biometrics, encryption, rights of publicity, content, intellectual property, advertising, marketing, distribution, data security, data retention and deletion, data localization and storage, data disclosure, artificial int</w:t>
      </w:r>
      <w:r>
        <w:rPr>
          <w:rFonts w:ascii="Times New Roman" w:eastAsia="宋体" w:hAnsi="Times New Roman"/>
          <w:color w:val="000000"/>
          <w:sz w:val="20"/>
          <w:szCs w:val="20"/>
        </w:rPr>
        <w:t>elligence, electronic contracts and other communications, competition, protection of minors, consumer protection, civil rights, telecommunications, product liability, e-commerce, taxation, economic or other trade controls including sanctions, anti-corrupti</w:t>
      </w:r>
      <w:r>
        <w:rPr>
          <w:rFonts w:ascii="Times New Roman" w:eastAsia="宋体" w:hAnsi="Times New Roman"/>
          <w:color w:val="000000"/>
          <w:sz w:val="20"/>
          <w:szCs w:val="20"/>
        </w:rPr>
        <w:t>on and political law compliance, securities law compliance, and online payment services. The introduction of new products, expansion of our activities in certain jurisdictions, or other actions that we may take may subject us to additional laws, regulation</w:t>
      </w:r>
      <w:r>
        <w:rPr>
          <w:rFonts w:ascii="Times New Roman" w:eastAsia="宋体" w:hAnsi="Times New Roman"/>
          <w:color w:val="000000"/>
          <w:sz w:val="20"/>
          <w:szCs w:val="20"/>
        </w:rPr>
        <w:t>s, or other government scrutiny. In addition, foreign data protection, privacy, content, competition, consumer protection, and other laws and regulations can impose different obligations or be more restrictive than those in the United States.</w:t>
      </w:r>
    </w:p>
    <w:p w14:paraId="0B2FBC48" w14:textId="77777777" w:rsidR="007F1775" w:rsidRDefault="007F1775">
      <w:pPr>
        <w:ind w:firstLine="540"/>
        <w:jc w:val="both"/>
      </w:pPr>
    </w:p>
    <w:p w14:paraId="0B2FBC49" w14:textId="77777777" w:rsidR="007F1775" w:rsidRDefault="000F083E">
      <w:pPr>
        <w:ind w:firstLine="540"/>
        <w:jc w:val="both"/>
      </w:pPr>
      <w:r>
        <w:rPr>
          <w:rFonts w:ascii="Times New Roman" w:eastAsia="宋体" w:hAnsi="Times New Roman"/>
          <w:color w:val="000000"/>
          <w:sz w:val="20"/>
          <w:szCs w:val="20"/>
        </w:rPr>
        <w:t>These U.S. f</w:t>
      </w:r>
      <w:r>
        <w:rPr>
          <w:rFonts w:ascii="Times New Roman" w:eastAsia="宋体" w:hAnsi="Times New Roman"/>
          <w:color w:val="000000"/>
          <w:sz w:val="20"/>
          <w:szCs w:val="20"/>
        </w:rPr>
        <w:t>ederal and state and foreign laws and regulations, which in some cases can be enforced by private parties in addition to government entities, are constantly evolving and can be subject to significant change. As a result, the application, interpretation, an</w:t>
      </w:r>
      <w:r>
        <w:rPr>
          <w:rFonts w:ascii="Times New Roman" w:eastAsia="宋体" w:hAnsi="Times New Roman"/>
          <w:color w:val="000000"/>
          <w:sz w:val="20"/>
          <w:szCs w:val="20"/>
        </w:rPr>
        <w:t>d enforcement of these laws and regulations are often uncertain, particularly in the new and rapidly evolving industry in which we operate, and may be interpreted and applied inconsistently from country to country and inconsistently with our current polici</w:t>
      </w:r>
      <w:r>
        <w:rPr>
          <w:rFonts w:ascii="Times New Roman" w:eastAsia="宋体" w:hAnsi="Times New Roman"/>
          <w:color w:val="000000"/>
          <w:sz w:val="20"/>
          <w:szCs w:val="20"/>
        </w:rPr>
        <w:t>es and practices. For example, regulatory or legislative actions affecting the manner in which we display content to our users or obtain consent to various practices could adversely affect user growth and engagement. Such actions could affect the manner in</w:t>
      </w:r>
      <w:r>
        <w:rPr>
          <w:rFonts w:ascii="Times New Roman" w:eastAsia="宋体" w:hAnsi="Times New Roman"/>
          <w:color w:val="000000"/>
          <w:sz w:val="20"/>
          <w:szCs w:val="20"/>
        </w:rPr>
        <w:t xml:space="preserve"> which we provide our services or adversely affect our financial results.</w:t>
      </w:r>
    </w:p>
    <w:p w14:paraId="0B2FBC4A" w14:textId="77777777" w:rsidR="007F1775" w:rsidRDefault="007F1775">
      <w:pPr>
        <w:ind w:firstLine="540"/>
        <w:jc w:val="both"/>
      </w:pPr>
    </w:p>
    <w:p w14:paraId="0B2FBC4B" w14:textId="77777777" w:rsidR="007F1775" w:rsidRDefault="000F083E">
      <w:pPr>
        <w:ind w:firstLine="540"/>
        <w:jc w:val="both"/>
      </w:pPr>
      <w:r>
        <w:rPr>
          <w:rFonts w:ascii="Times New Roman" w:eastAsia="宋体" w:hAnsi="Times New Roman"/>
          <w:color w:val="000000"/>
          <w:sz w:val="20"/>
          <w:szCs w:val="20"/>
        </w:rPr>
        <w:t>We are also subject to evolving laws and regulations that dictate whether, how, and under what circumstances we can transfer, process and/or receive certain data that is critical to</w:t>
      </w:r>
      <w:r>
        <w:rPr>
          <w:rFonts w:ascii="Times New Roman" w:eastAsia="宋体" w:hAnsi="Times New Roman"/>
          <w:color w:val="000000"/>
          <w:sz w:val="20"/>
          <w:szCs w:val="20"/>
        </w:rPr>
        <w:t xml:space="preserve"> our operations, including data shared between countries or regions in which we operate and data shared among our products and services. For example, in 2016, the European Union and United States agreed to a transfer framework for data transferred from the</w:t>
      </w:r>
      <w:r>
        <w:rPr>
          <w:rFonts w:ascii="Times New Roman" w:eastAsia="宋体" w:hAnsi="Times New Roman"/>
          <w:color w:val="000000"/>
          <w:sz w:val="20"/>
          <w:szCs w:val="20"/>
        </w:rPr>
        <w:t xml:space="preserve"> European Union to the United States, called the Privacy Shield, but the Privacy Shield was invalidated in July 2020 by the Court of Justice of the European Union (CJEU). In addition, the other bases upon which Meta relies to transfer such data, such as St</w:t>
      </w:r>
      <w:r>
        <w:rPr>
          <w:rFonts w:ascii="Times New Roman" w:eastAsia="宋体" w:hAnsi="Times New Roman"/>
          <w:color w:val="000000"/>
          <w:sz w:val="20"/>
          <w:szCs w:val="20"/>
        </w:rPr>
        <w:t>andard Contractual Clauses (SCCs), have been subjected to regulatory and judicial scrutiny. For example, the CJEU considered the validity of SCCs as a basis to transfer user data from the European Union to the United States following a challenge brought by</w:t>
      </w:r>
      <w:r>
        <w:rPr>
          <w:rFonts w:ascii="Times New Roman" w:eastAsia="宋体" w:hAnsi="Times New Roman"/>
          <w:color w:val="000000"/>
          <w:sz w:val="20"/>
          <w:szCs w:val="20"/>
        </w:rPr>
        <w:t xml:space="preserve"> the Irish Data Protection Commission (IDPC). Although the CJEU upheld the validity of SCCs in July 2020, our continued reliance on SCCs will be the subject of future regulatory consideration. In particular, in August 2020, we received a preliminary draft </w:t>
      </w:r>
      <w:r>
        <w:rPr>
          <w:rFonts w:ascii="Times New Roman" w:eastAsia="宋体" w:hAnsi="Times New Roman"/>
          <w:color w:val="000000"/>
          <w:sz w:val="20"/>
          <w:szCs w:val="20"/>
        </w:rPr>
        <w:t>decision from the IDPC that preliminarily concluded that Meta Platforms Ireland's reliance on SCCs in respect of European user data does not achieve compliance with the GDPR and preliminarily proposed that such transfers of user data from the European Unio</w:t>
      </w:r>
      <w:r>
        <w:rPr>
          <w:rFonts w:ascii="Times New Roman" w:eastAsia="宋体" w:hAnsi="Times New Roman"/>
          <w:color w:val="000000"/>
          <w:sz w:val="20"/>
          <w:szCs w:val="20"/>
        </w:rPr>
        <w:t>n to the United States should therefore be suspended. Meta Platforms Ireland challenged procedural aspects of this IDPC inquiry in a judicial review commenced in the Irish High Court in September 2020. In May 2021, the court rejected Meta Platforms Ireland</w:t>
      </w:r>
      <w:r>
        <w:rPr>
          <w:rFonts w:ascii="Times New Roman" w:eastAsia="宋体" w:hAnsi="Times New Roman"/>
          <w:color w:val="000000"/>
          <w:sz w:val="20"/>
          <w:szCs w:val="20"/>
        </w:rPr>
        <w:t>'s procedural challenges and the inquiry subsequently recommenced. In February 2022, we received a revised preliminary draft decision in which the IDPC maintained its preliminary conclusion that Meta Platforms Ireland's transfers of European user data from</w:t>
      </w:r>
      <w:r>
        <w:rPr>
          <w:rFonts w:ascii="Times New Roman" w:eastAsia="宋体" w:hAnsi="Times New Roman"/>
          <w:color w:val="000000"/>
          <w:sz w:val="20"/>
          <w:szCs w:val="20"/>
        </w:rPr>
        <w:t xml:space="preserve"> the European Union to the United States should be suspended as they relate to users of the Facebook service. We believe a final decision in this inquiry may issue as early as the second half of 2022. On March 25, 2022, the European Union and United States</w:t>
      </w:r>
      <w:r>
        <w:rPr>
          <w:rFonts w:ascii="Times New Roman" w:eastAsia="宋体" w:hAnsi="Times New Roman"/>
          <w:color w:val="000000"/>
          <w:sz w:val="20"/>
          <w:szCs w:val="20"/>
        </w:rPr>
        <w:t xml:space="preserve"> announced that they had reached an agreement in principle on a new Trans-Atlantic Data Privacy Framework, which will be translated into legal documents to be adopted in the European Union and United States to provide a renewed basis for transatlantic data</w:t>
      </w:r>
      <w:r>
        <w:rPr>
          <w:rFonts w:ascii="Times New Roman" w:eastAsia="宋体" w:hAnsi="Times New Roman"/>
          <w:color w:val="000000"/>
          <w:sz w:val="20"/>
          <w:szCs w:val="20"/>
        </w:rPr>
        <w:t xml:space="preserve"> transfers. However, if a new transatlantic data transfer </w:t>
      </w:r>
    </w:p>
    <w:p w14:paraId="0B2FBC4C" w14:textId="77777777" w:rsidR="007F1775" w:rsidRDefault="000F083E">
      <w:pPr>
        <w:jc w:val="center"/>
      </w:pPr>
      <w:r>
        <w:rPr>
          <w:rFonts w:ascii="Times New Roman" w:eastAsia="宋体" w:hAnsi="Times New Roman"/>
          <w:color w:val="000000"/>
          <w:sz w:val="20"/>
          <w:szCs w:val="20"/>
        </w:rPr>
        <w:t>74</w:t>
      </w:r>
    </w:p>
    <w:p w14:paraId="0B2FBC4D" w14:textId="77777777" w:rsidR="007F1775" w:rsidRDefault="000F083E">
      <w:r>
        <w:pict w14:anchorId="0B2FBFD7">
          <v:rect id="_x0000_i1098" style="width:415.3pt;height:1.5pt" o:hralign="center" o:hrstd="t" o:hr="t" fillcolor="#a0a0a0" stroked="f"/>
        </w:pict>
      </w:r>
    </w:p>
    <w:p w14:paraId="0B2FBC4E" w14:textId="77777777" w:rsidR="007F1775" w:rsidRDefault="007F1775"/>
    <w:p w14:paraId="0B2FBC4F" w14:textId="77777777" w:rsidR="007F1775" w:rsidRDefault="007F1775"/>
    <w:p w14:paraId="0B2FBC50" w14:textId="77777777" w:rsidR="007F1775" w:rsidRDefault="000F083E">
      <w:hyperlink r:id="rId152" w:anchor="iea70e328caa94cefb76a9db6ed6338fc_7" w:history="1">
        <w:r>
          <w:rPr>
            <w:rStyle w:val="a5"/>
            <w:rFonts w:ascii="Times New Roman" w:eastAsia="宋体" w:hAnsi="Times New Roman"/>
            <w:sz w:val="20"/>
            <w:szCs w:val="20"/>
          </w:rPr>
          <w:t>Table of Contents</w:t>
        </w:r>
      </w:hyperlink>
    </w:p>
    <w:p w14:paraId="0B2FBC51" w14:textId="77777777" w:rsidR="007F1775" w:rsidRDefault="000F083E">
      <w:pPr>
        <w:jc w:val="both"/>
      </w:pPr>
      <w:r>
        <w:rPr>
          <w:rFonts w:ascii="Times New Roman" w:eastAsia="宋体" w:hAnsi="Times New Roman"/>
          <w:color w:val="000000"/>
          <w:sz w:val="20"/>
          <w:szCs w:val="20"/>
        </w:rPr>
        <w:t>framework is not adopted and we are unable to continue to rely on SCCs or rely upon o</w:t>
      </w:r>
      <w:r>
        <w:rPr>
          <w:rFonts w:ascii="Times New Roman" w:eastAsia="宋体" w:hAnsi="Times New Roman"/>
          <w:color w:val="000000"/>
          <w:sz w:val="20"/>
          <w:szCs w:val="20"/>
        </w:rPr>
        <w:t>ther alternative means of data transfers from Europe to the United States, we will likely be unable to offer a number of our most significant products and services, including Facebook and Instagram, in Europe, which would materially and adversely affect ou</w:t>
      </w:r>
      <w:r>
        <w:rPr>
          <w:rFonts w:ascii="Times New Roman" w:eastAsia="宋体" w:hAnsi="Times New Roman"/>
          <w:color w:val="000000"/>
          <w:sz w:val="20"/>
          <w:szCs w:val="20"/>
        </w:rPr>
        <w:t xml:space="preserve">r business, financial condition, and results of operations. In addition, we have been managing investigations and lawsuits in Europe, India, and other jurisdictions regarding the August 2016 update to WhatsApp's terms of service and privacy policy and its </w:t>
      </w:r>
      <w:r>
        <w:rPr>
          <w:rFonts w:ascii="Times New Roman" w:eastAsia="宋体" w:hAnsi="Times New Roman"/>
          <w:color w:val="000000"/>
          <w:sz w:val="20"/>
          <w:szCs w:val="20"/>
        </w:rPr>
        <w:t>sharing of certain data with other Meta products and services, including a lawsuit currently pending before the Supreme Court of India, and also became subject to government inquiries and lawsuits regarding the 2021 update to WhatsApp's terms of service an</w:t>
      </w:r>
      <w:r>
        <w:rPr>
          <w:rFonts w:ascii="Times New Roman" w:eastAsia="宋体" w:hAnsi="Times New Roman"/>
          <w:color w:val="000000"/>
          <w:sz w:val="20"/>
          <w:szCs w:val="20"/>
        </w:rPr>
        <w:t>d privacy policy. If we are unable to transfer data between and among countries and regions in which we operate, or if we are restricted from sharing data among our products and services, it could affect our ability to provide our services, the manner in w</w:t>
      </w:r>
      <w:r>
        <w:rPr>
          <w:rFonts w:ascii="Times New Roman" w:eastAsia="宋体" w:hAnsi="Times New Roman"/>
          <w:color w:val="000000"/>
          <w:sz w:val="20"/>
          <w:szCs w:val="20"/>
        </w:rPr>
        <w:t>hich we provide our services or our ability to target ads, which could adversely affect our financial results.</w:t>
      </w:r>
    </w:p>
    <w:p w14:paraId="0B2FBC52" w14:textId="77777777" w:rsidR="007F1775" w:rsidRDefault="007F1775">
      <w:pPr>
        <w:ind w:firstLine="540"/>
        <w:jc w:val="both"/>
      </w:pPr>
    </w:p>
    <w:p w14:paraId="0B2FBC53" w14:textId="77777777" w:rsidR="007F1775" w:rsidRDefault="000F083E">
      <w:pPr>
        <w:ind w:firstLine="540"/>
        <w:jc w:val="both"/>
      </w:pPr>
      <w:r>
        <w:rPr>
          <w:rFonts w:ascii="Times New Roman" w:eastAsia="宋体" w:hAnsi="Times New Roman"/>
          <w:color w:val="000000"/>
          <w:sz w:val="20"/>
          <w:szCs w:val="20"/>
        </w:rPr>
        <w:t>We have been subject to other significant legislative and regulatory developments in the past, and proposed or new legislation and regulations c</w:t>
      </w:r>
      <w:r>
        <w:rPr>
          <w:rFonts w:ascii="Times New Roman" w:eastAsia="宋体" w:hAnsi="Times New Roman"/>
          <w:color w:val="000000"/>
          <w:sz w:val="20"/>
          <w:szCs w:val="20"/>
        </w:rPr>
        <w:t>ould significantly affect our business in the future. For example, we have implemented a number of product changes and controls as a result of requirements under the European General Data Protection Regulation (GDPR), and may implement additional changes i</w:t>
      </w:r>
      <w:r>
        <w:rPr>
          <w:rFonts w:ascii="Times New Roman" w:eastAsia="宋体" w:hAnsi="Times New Roman"/>
          <w:color w:val="000000"/>
          <w:sz w:val="20"/>
          <w:szCs w:val="20"/>
        </w:rPr>
        <w:t>n the future. The GDPR also requires submission of personal data breach notifications to our lead European Union privacy regulator, the IDPC, and includes significant penalties for non-compliance with the notification obligation as well as other requiremen</w:t>
      </w:r>
      <w:r>
        <w:rPr>
          <w:rFonts w:ascii="Times New Roman" w:eastAsia="宋体" w:hAnsi="Times New Roman"/>
          <w:color w:val="000000"/>
          <w:sz w:val="20"/>
          <w:szCs w:val="20"/>
        </w:rPr>
        <w:t>ts of the regulation. The GDPR is still a relatively new law, its interpretation is still evolving, and draft decisions in investigations by the IDPC are subject to review by other European privacy regulators as part of the GDPR's consistency mechanism, wh</w:t>
      </w:r>
      <w:r>
        <w:rPr>
          <w:rFonts w:ascii="Times New Roman" w:eastAsia="宋体" w:hAnsi="Times New Roman"/>
          <w:color w:val="000000"/>
          <w:sz w:val="20"/>
          <w:szCs w:val="20"/>
        </w:rPr>
        <w:t>ich may lead to significant changes in the final outcome of such investigations. As a result, the interpretation and enforcement of the GDPR, as well as the imposition and amount of penalties for non-compliance, are subject to significant uncertainty. In a</w:t>
      </w:r>
      <w:r>
        <w:rPr>
          <w:rFonts w:ascii="Times New Roman" w:eastAsia="宋体" w:hAnsi="Times New Roman"/>
          <w:color w:val="000000"/>
          <w:sz w:val="20"/>
          <w:szCs w:val="20"/>
        </w:rPr>
        <w:t>ddition, Brazil, the United Kingdom, and other countries have enacted similar data protection regulations imposing data privacy-related requirements on products and services offered to users in their respective jurisdictions. The California Consumer Privac</w:t>
      </w:r>
      <w:r>
        <w:rPr>
          <w:rFonts w:ascii="Times New Roman" w:eastAsia="宋体" w:hAnsi="Times New Roman"/>
          <w:color w:val="000000"/>
          <w:sz w:val="20"/>
          <w:szCs w:val="20"/>
        </w:rPr>
        <w:t>y Act (CCPA), which took effect in January 2020, and its successor, the California Privacy Rights Act (CPRA), which will take effect in January 2023, also establish certain transparency rules and create new data privacy rights for users, including limitati</w:t>
      </w:r>
      <w:r>
        <w:rPr>
          <w:rFonts w:ascii="Times New Roman" w:eastAsia="宋体" w:hAnsi="Times New Roman"/>
          <w:color w:val="000000"/>
          <w:sz w:val="20"/>
          <w:szCs w:val="20"/>
        </w:rPr>
        <w:t>ons on our use of certain sensitive personal information and more ability for users to control how their data is shared with third parties. Other states have proposed or enacted similar comprehensive privacy laws that afford users with similar data privacy</w:t>
      </w:r>
      <w:r>
        <w:rPr>
          <w:rFonts w:ascii="Times New Roman" w:eastAsia="宋体" w:hAnsi="Times New Roman"/>
          <w:color w:val="000000"/>
          <w:sz w:val="20"/>
          <w:szCs w:val="20"/>
        </w:rPr>
        <w:t xml:space="preserve"> rights and controls. These laws and regulations are evolving and subject to interpretation, and resulting limitations on our advertising services, or reductions of advertising by marketers, have to some extent adversely affected, and will continue to adve</w:t>
      </w:r>
      <w:r>
        <w:rPr>
          <w:rFonts w:ascii="Times New Roman" w:eastAsia="宋体" w:hAnsi="Times New Roman"/>
          <w:color w:val="000000"/>
          <w:sz w:val="20"/>
          <w:szCs w:val="20"/>
        </w:rPr>
        <w:t xml:space="preserve">rsely affect, our advertising business. For example, regulators continue to issue guidance concerning the ePrivacy Directive's requirements regarding the use of cookies and similar technologies. In addition, effective December 2020, the ePrivacy Directive </w:t>
      </w:r>
      <w:r>
        <w:rPr>
          <w:rFonts w:ascii="Times New Roman" w:eastAsia="宋体" w:hAnsi="Times New Roman"/>
          <w:color w:val="000000"/>
          <w:sz w:val="20"/>
          <w:szCs w:val="20"/>
        </w:rPr>
        <w:t>includes additional limitations on the use of data across messaging products and includes significant penalties for non-compliance. Changes to our products or business practices as a result of these or similar developments may adversely affect our advertis</w:t>
      </w:r>
      <w:r>
        <w:rPr>
          <w:rFonts w:ascii="Times New Roman" w:eastAsia="宋体" w:hAnsi="Times New Roman"/>
          <w:color w:val="000000"/>
          <w:sz w:val="20"/>
          <w:szCs w:val="20"/>
        </w:rPr>
        <w:t>ing business. Similarly, there are a number of legislative proposals in the European Union, the United States, at both the federal and state level, as well as other jurisdictions that could impose new obligations or limitations in areas affecting our busin</w:t>
      </w:r>
      <w:r>
        <w:rPr>
          <w:rFonts w:ascii="Times New Roman" w:eastAsia="宋体" w:hAnsi="Times New Roman"/>
          <w:color w:val="000000"/>
          <w:sz w:val="20"/>
          <w:szCs w:val="20"/>
        </w:rPr>
        <w:t>ess. For example, the proposed DMA in the European Union and pending proposals to modify competition laws in the United States and other jurisdictions could cause us to incur significant compliance costs and could potentially impose new restrictions and re</w:t>
      </w:r>
      <w:r>
        <w:rPr>
          <w:rFonts w:ascii="Times New Roman" w:eastAsia="宋体" w:hAnsi="Times New Roman"/>
          <w:color w:val="000000"/>
          <w:sz w:val="20"/>
          <w:szCs w:val="20"/>
        </w:rPr>
        <w:t>quirements on companies like ours, including in areas such as the combination of data across services, mergers and acquisitions, and product design. While the DMA is expected to be enacted in 2022, the requirements under the final regulation will likely be</w:t>
      </w:r>
      <w:r>
        <w:rPr>
          <w:rFonts w:ascii="Times New Roman" w:eastAsia="宋体" w:hAnsi="Times New Roman"/>
          <w:color w:val="000000"/>
          <w:sz w:val="20"/>
          <w:szCs w:val="20"/>
        </w:rPr>
        <w:t xml:space="preserve"> subject to further interpretation and regulatory engagement. In addition, some countries, such as India, are considering or have passed legislation implementing data protection requirements or requiring local storage and processing of data or similar requ</w:t>
      </w:r>
      <w:r>
        <w:rPr>
          <w:rFonts w:ascii="Times New Roman" w:eastAsia="宋体" w:hAnsi="Times New Roman"/>
          <w:color w:val="000000"/>
          <w:sz w:val="20"/>
          <w:szCs w:val="20"/>
        </w:rPr>
        <w:t>irements that could increase the cost and complexity of delivering our services. New legislation or regulatory decisions that restrict our ability to collect and use information about minors may also result in limitations on our advertising services or our</w:t>
      </w:r>
      <w:r>
        <w:rPr>
          <w:rFonts w:ascii="Times New Roman" w:eastAsia="宋体" w:hAnsi="Times New Roman"/>
          <w:color w:val="000000"/>
          <w:sz w:val="20"/>
          <w:szCs w:val="20"/>
        </w:rPr>
        <w:t xml:space="preserve"> ability to offer products and services to minors in certain jurisdictions.</w:t>
      </w:r>
    </w:p>
    <w:p w14:paraId="0B2FBC54" w14:textId="77777777" w:rsidR="007F1775" w:rsidRDefault="007F1775">
      <w:pPr>
        <w:ind w:firstLine="540"/>
        <w:jc w:val="both"/>
      </w:pPr>
    </w:p>
    <w:p w14:paraId="0B2FBC55" w14:textId="77777777" w:rsidR="007F1775" w:rsidRDefault="000F083E">
      <w:pPr>
        <w:ind w:firstLine="540"/>
        <w:jc w:val="both"/>
      </w:pPr>
      <w:r>
        <w:rPr>
          <w:rFonts w:ascii="Times New Roman" w:eastAsia="宋体" w:hAnsi="Times New Roman"/>
          <w:color w:val="000000"/>
          <w:sz w:val="20"/>
          <w:szCs w:val="20"/>
        </w:rPr>
        <w:t>These laws and regulations, as well as any associated claims, inquiries, or investigations or any other government actions, have in the past led to, and may in the future lead to,</w:t>
      </w:r>
      <w:r>
        <w:rPr>
          <w:rFonts w:ascii="Times New Roman" w:eastAsia="宋体" w:hAnsi="Times New Roman"/>
          <w:color w:val="000000"/>
          <w:sz w:val="20"/>
          <w:szCs w:val="20"/>
        </w:rPr>
        <w:t xml:space="preserve"> unfavorable outcomes including increased compliance costs, delays or impediments in the development of new products, negative publicity and reputational harm, increased operating costs, diversion of management time and attention, and remedies that harm ou</w:t>
      </w:r>
      <w:r>
        <w:rPr>
          <w:rFonts w:ascii="Times New Roman" w:eastAsia="宋体" w:hAnsi="Times New Roman"/>
          <w:color w:val="000000"/>
          <w:sz w:val="20"/>
          <w:szCs w:val="20"/>
        </w:rPr>
        <w:t>r business, including fines or demands or orders that we modify or cease existing business practices.</w:t>
      </w:r>
    </w:p>
    <w:p w14:paraId="0B2FBC56" w14:textId="77777777" w:rsidR="007F1775" w:rsidRDefault="000F083E">
      <w:pPr>
        <w:jc w:val="center"/>
      </w:pPr>
      <w:r>
        <w:rPr>
          <w:rFonts w:ascii="Times New Roman" w:eastAsia="宋体" w:hAnsi="Times New Roman"/>
          <w:color w:val="000000"/>
          <w:sz w:val="20"/>
          <w:szCs w:val="20"/>
        </w:rPr>
        <w:t>75</w:t>
      </w:r>
    </w:p>
    <w:p w14:paraId="0B2FBC57" w14:textId="77777777" w:rsidR="007F1775" w:rsidRDefault="000F083E">
      <w:r>
        <w:pict w14:anchorId="0B2FBFD8">
          <v:rect id="_x0000_i1099" style="width:415.3pt;height:1.5pt" o:hralign="center" o:hrstd="t" o:hr="t" fillcolor="#a0a0a0" stroked="f"/>
        </w:pict>
      </w:r>
    </w:p>
    <w:p w14:paraId="0B2FBC58" w14:textId="77777777" w:rsidR="007F1775" w:rsidRDefault="007F1775"/>
    <w:p w14:paraId="0B2FBC59" w14:textId="77777777" w:rsidR="007F1775" w:rsidRDefault="007F1775"/>
    <w:p w14:paraId="0B2FBC5A" w14:textId="77777777" w:rsidR="007F1775" w:rsidRDefault="000F083E">
      <w:hyperlink r:id="rId153" w:anchor="iea70e328caa94cefb76a9db6ed6338fc_7" w:history="1">
        <w:r>
          <w:rPr>
            <w:rStyle w:val="a5"/>
            <w:rFonts w:ascii="Times New Roman" w:eastAsia="宋体" w:hAnsi="Times New Roman"/>
            <w:sz w:val="20"/>
            <w:szCs w:val="20"/>
          </w:rPr>
          <w:t>Table of Contents</w:t>
        </w:r>
      </w:hyperlink>
    </w:p>
    <w:p w14:paraId="0B2FBC5B" w14:textId="77777777" w:rsidR="007F1775" w:rsidRDefault="000F083E">
      <w:pPr>
        <w:spacing w:before="180"/>
        <w:jc w:val="both"/>
      </w:pPr>
      <w:r>
        <w:rPr>
          <w:rFonts w:ascii="Times New Roman" w:eastAsia="宋体" w:hAnsi="Times New Roman"/>
          <w:b/>
          <w:bCs/>
          <w:i/>
          <w:iCs/>
          <w:color w:val="000000"/>
          <w:sz w:val="20"/>
          <w:szCs w:val="20"/>
        </w:rPr>
        <w:t xml:space="preserve">We have been subject to regulatory and other government investigations, enforcement actions, and settlements, and we expect to continue to be subject to such proceedings and other inquiries in the future, which could cause us to incur substantial costs or </w:t>
      </w:r>
      <w:r>
        <w:rPr>
          <w:rFonts w:ascii="Times New Roman" w:eastAsia="宋体" w:hAnsi="Times New Roman"/>
          <w:b/>
          <w:bCs/>
          <w:i/>
          <w:iCs/>
          <w:color w:val="000000"/>
          <w:sz w:val="20"/>
          <w:szCs w:val="20"/>
        </w:rPr>
        <w:t xml:space="preserve">require us to change our business practices in a manner materially adverse to our business. </w:t>
      </w:r>
    </w:p>
    <w:p w14:paraId="0B2FBC5C" w14:textId="77777777" w:rsidR="007F1775" w:rsidRDefault="007F1775">
      <w:pPr>
        <w:ind w:firstLine="540"/>
        <w:jc w:val="both"/>
      </w:pPr>
    </w:p>
    <w:p w14:paraId="0B2FBC5D" w14:textId="77777777" w:rsidR="007F1775" w:rsidRDefault="000F083E">
      <w:pPr>
        <w:ind w:firstLine="540"/>
        <w:jc w:val="both"/>
      </w:pPr>
      <w:r>
        <w:rPr>
          <w:rFonts w:ascii="Times New Roman" w:eastAsia="宋体" w:hAnsi="Times New Roman"/>
          <w:color w:val="000000"/>
          <w:sz w:val="20"/>
          <w:szCs w:val="20"/>
        </w:rPr>
        <w:t>We receive formal and informal inquiries from government authorities and regulators regarding our compliance with laws and regulations, many of which are evolving</w:t>
      </w:r>
      <w:r>
        <w:rPr>
          <w:rFonts w:ascii="Times New Roman" w:eastAsia="宋体" w:hAnsi="Times New Roman"/>
          <w:color w:val="000000"/>
          <w:sz w:val="20"/>
          <w:szCs w:val="20"/>
        </w:rPr>
        <w:t xml:space="preserve"> and subject to interpretation. We are and expect to continue to be the subject of investigations, inquiries, data requests, requests for information, actions, and audits in the United States, Europe, and around the world, particularly in the areas of priv</w:t>
      </w:r>
      <w:r>
        <w:rPr>
          <w:rFonts w:ascii="Times New Roman" w:eastAsia="宋体" w:hAnsi="Times New Roman"/>
          <w:color w:val="000000"/>
          <w:sz w:val="20"/>
          <w:szCs w:val="20"/>
        </w:rPr>
        <w:t>acy, data protection, law enforcement, consumer protection, civil rights, content moderation, and competition, as we continue to grow and expand our operations. In addition, we are currently, and may in the future be, subject to regulatory orders or consen</w:t>
      </w:r>
      <w:r>
        <w:rPr>
          <w:rFonts w:ascii="Times New Roman" w:eastAsia="宋体" w:hAnsi="Times New Roman"/>
          <w:color w:val="000000"/>
          <w:sz w:val="20"/>
          <w:szCs w:val="20"/>
        </w:rPr>
        <w:t>t decrees. For example, data protection, competition, and consumer protection authorities in the European Union and other jurisdictions have initiated actions, investigations, or administrative orders seeking to restrict the ways in which we collect and us</w:t>
      </w:r>
      <w:r>
        <w:rPr>
          <w:rFonts w:ascii="Times New Roman" w:eastAsia="宋体" w:hAnsi="Times New Roman"/>
          <w:color w:val="000000"/>
          <w:sz w:val="20"/>
          <w:szCs w:val="20"/>
        </w:rPr>
        <w:t>e information, or impose sanctions, and other authorities may do the same. In addition, beginning in March 2018, we became subject to FTC, state attorneys general, and other government inquiries in the United States, Europe, and other jurisdictions in conn</w:t>
      </w:r>
      <w:r>
        <w:rPr>
          <w:rFonts w:ascii="Times New Roman" w:eastAsia="宋体" w:hAnsi="Times New Roman"/>
          <w:color w:val="000000"/>
          <w:sz w:val="20"/>
          <w:szCs w:val="20"/>
        </w:rPr>
        <w:t xml:space="preserve">ection with our platform and user data practices as well as the misuse of certain data by a developer that shared such data with third parties in violation of our terms and policies. In July 2019, we entered into a settlement and modified consent order to </w:t>
      </w:r>
      <w:r>
        <w:rPr>
          <w:rFonts w:ascii="Times New Roman" w:eastAsia="宋体" w:hAnsi="Times New Roman"/>
          <w:color w:val="000000"/>
          <w:sz w:val="20"/>
          <w:szCs w:val="20"/>
        </w:rPr>
        <w:t>resolve the FTC inquiry, which was approved by the federal court and took effect in April 2020. Among other matters, our settlement with the FTC required us to pay a penalty of $5.0 billion and to significantly enhance our practices and processes for priva</w:t>
      </w:r>
      <w:r>
        <w:rPr>
          <w:rFonts w:ascii="Times New Roman" w:eastAsia="宋体" w:hAnsi="Times New Roman"/>
          <w:color w:val="000000"/>
          <w:sz w:val="20"/>
          <w:szCs w:val="20"/>
        </w:rPr>
        <w:t>cy compliance and oversight. The state attorneys general inquiry and certain government inquiries in other jurisdictions remain ongoing. Beginning in September 2018, we also became subject to IDPC and other government inquiries in connection with a third-p</w:t>
      </w:r>
      <w:r>
        <w:rPr>
          <w:rFonts w:ascii="Times New Roman" w:eastAsia="宋体" w:hAnsi="Times New Roman"/>
          <w:color w:val="000000"/>
          <w:sz w:val="20"/>
          <w:szCs w:val="20"/>
        </w:rPr>
        <w:t>arty cyber-attack that exploited a vulnerability in Facebook's code to steal user access tokens and access certain profile information from user accounts on Facebook. We also notify the IDPC, our lead European Union privacy regulator under the GDPR, and ot</w:t>
      </w:r>
      <w:r>
        <w:rPr>
          <w:rFonts w:ascii="Times New Roman" w:eastAsia="宋体" w:hAnsi="Times New Roman"/>
          <w:color w:val="000000"/>
          <w:sz w:val="20"/>
          <w:szCs w:val="20"/>
        </w:rPr>
        <w:t>her regulators of certain other personal data breaches and privacy issues, and are subject to inquiries and investigations by the IDPC and other regulators regarding various aspects of our regulatory compliance.</w:t>
      </w:r>
    </w:p>
    <w:p w14:paraId="0B2FBC5E" w14:textId="77777777" w:rsidR="007F1775" w:rsidRDefault="007F1775">
      <w:pPr>
        <w:ind w:firstLine="540"/>
        <w:jc w:val="both"/>
      </w:pPr>
    </w:p>
    <w:p w14:paraId="0B2FBC5F" w14:textId="77777777" w:rsidR="007F1775" w:rsidRDefault="000F083E">
      <w:pPr>
        <w:ind w:firstLine="540"/>
        <w:jc w:val="both"/>
      </w:pPr>
      <w:r>
        <w:rPr>
          <w:rFonts w:ascii="Times New Roman" w:eastAsia="宋体" w:hAnsi="Times New Roman"/>
          <w:color w:val="000000"/>
          <w:sz w:val="20"/>
          <w:szCs w:val="20"/>
        </w:rPr>
        <w:t>In addition, we are subject to various liti</w:t>
      </w:r>
      <w:r>
        <w:rPr>
          <w:rFonts w:ascii="Times New Roman" w:eastAsia="宋体" w:hAnsi="Times New Roman"/>
          <w:color w:val="000000"/>
          <w:sz w:val="20"/>
          <w:szCs w:val="20"/>
        </w:rPr>
        <w:t>gation and formal and informal inquiries and investigations by competition authorities in the United States, Europe, and other jurisdictions, which relate to many aspects of our business, including with respect to users and advertisers, as well as our indu</w:t>
      </w:r>
      <w:r>
        <w:rPr>
          <w:rFonts w:ascii="Times New Roman" w:eastAsia="宋体" w:hAnsi="Times New Roman"/>
          <w:color w:val="000000"/>
          <w:sz w:val="20"/>
          <w:szCs w:val="20"/>
        </w:rPr>
        <w:t>stry. Such inquiries, investigations, and lawsuits concern, among other things, our business practices in the areas of social networking or social media services, digital advertising, and/or mobile or online applications, as well as our acquisitions. For e</w:t>
      </w:r>
      <w:r>
        <w:rPr>
          <w:rFonts w:ascii="Times New Roman" w:eastAsia="宋体" w:hAnsi="Times New Roman"/>
          <w:color w:val="000000"/>
          <w:sz w:val="20"/>
          <w:szCs w:val="20"/>
        </w:rPr>
        <w:t>xample, in June 2019 we were informed by the FTC that it had opened an antitrust investigation of our company. In addition, beginning in the third quarter of 2019, we became the subject of antitrust inquiries and investigations by the U.S. Department of Ju</w:t>
      </w:r>
      <w:r>
        <w:rPr>
          <w:rFonts w:ascii="Times New Roman" w:eastAsia="宋体" w:hAnsi="Times New Roman"/>
          <w:color w:val="000000"/>
          <w:sz w:val="20"/>
          <w:szCs w:val="20"/>
        </w:rPr>
        <w:t>stice and state attorneys general. Beginning in December 2020, we also became subject to lawsuits by the FTC and the attorneys general from 46 states, the territory of Guam, and the District of Columbia in the U.S. District Court for the District of Columb</w:t>
      </w:r>
      <w:r>
        <w:rPr>
          <w:rFonts w:ascii="Times New Roman" w:eastAsia="宋体" w:hAnsi="Times New Roman"/>
          <w:color w:val="000000"/>
          <w:sz w:val="20"/>
          <w:szCs w:val="20"/>
        </w:rPr>
        <w:t xml:space="preserve">ia alleging that we violated antitrust laws, including by acquiring Instagram in 2012 and WhatsApp in 2014 and by maintaining conditions on access to our platform, among other things. The complaints of the FTC and attorneys general both sought a permanent </w:t>
      </w:r>
      <w:r>
        <w:rPr>
          <w:rFonts w:ascii="Times New Roman" w:eastAsia="宋体" w:hAnsi="Times New Roman"/>
          <w:color w:val="000000"/>
          <w:sz w:val="20"/>
          <w:szCs w:val="20"/>
        </w:rPr>
        <w:t>injunction against our company's alleged violations of the antitrust laws, and other equitable relief, including divestiture or reconstruction of Instagram and WhatsApp. We are also subject to other government inquiries and investigations relating to our b</w:t>
      </w:r>
      <w:r>
        <w:rPr>
          <w:rFonts w:ascii="Times New Roman" w:eastAsia="宋体" w:hAnsi="Times New Roman"/>
          <w:color w:val="000000"/>
          <w:sz w:val="20"/>
          <w:szCs w:val="20"/>
        </w:rPr>
        <w:t>usiness activities and disclosure practices. For example, beginning in September 2021, we became subject to government investigations and requests relating to allegations and the release of internal company documents by a former employee.</w:t>
      </w:r>
    </w:p>
    <w:p w14:paraId="0B2FBC60" w14:textId="77777777" w:rsidR="007F1775" w:rsidRDefault="007F1775">
      <w:pPr>
        <w:ind w:firstLine="540"/>
        <w:jc w:val="both"/>
      </w:pPr>
    </w:p>
    <w:p w14:paraId="0B2FBC61" w14:textId="77777777" w:rsidR="007F1775" w:rsidRDefault="000F083E">
      <w:pPr>
        <w:ind w:firstLine="540"/>
        <w:jc w:val="both"/>
      </w:pPr>
      <w:r>
        <w:rPr>
          <w:rFonts w:ascii="Times New Roman" w:eastAsia="宋体" w:hAnsi="Times New Roman"/>
          <w:color w:val="000000"/>
          <w:sz w:val="20"/>
          <w:szCs w:val="20"/>
        </w:rPr>
        <w:t>Orders issued by</w:t>
      </w:r>
      <w:r>
        <w:rPr>
          <w:rFonts w:ascii="Times New Roman" w:eastAsia="宋体" w:hAnsi="Times New Roman"/>
          <w:color w:val="000000"/>
          <w:sz w:val="20"/>
          <w:szCs w:val="20"/>
        </w:rPr>
        <w:t>, or inquiries or enforcement actions initiated by, government or regulatory authorities could cause us to incur substantial costs, expose us to unanticipated civil and criminal liability or penalties (including substantial monetary remedies), interrupt or</w:t>
      </w:r>
      <w:r>
        <w:rPr>
          <w:rFonts w:ascii="Times New Roman" w:eastAsia="宋体" w:hAnsi="Times New Roman"/>
          <w:color w:val="000000"/>
          <w:sz w:val="20"/>
          <w:szCs w:val="20"/>
        </w:rPr>
        <w:t xml:space="preserve"> require us to change our business practices in a manner materially adverse to our business, result in negative publicity and reputational harm, divert resources and the time and attention of management from our business, or subject us to other structural </w:t>
      </w:r>
      <w:r>
        <w:rPr>
          <w:rFonts w:ascii="Times New Roman" w:eastAsia="宋体" w:hAnsi="Times New Roman"/>
          <w:color w:val="000000"/>
          <w:sz w:val="20"/>
          <w:szCs w:val="20"/>
        </w:rPr>
        <w:t>or behavioral remedies that adversely affect our business, and we have experienced some of these adverse effects to varying degrees from time to time.</w:t>
      </w:r>
    </w:p>
    <w:p w14:paraId="0B2FBC62" w14:textId="77777777" w:rsidR="007F1775" w:rsidRDefault="000F083E">
      <w:pPr>
        <w:spacing w:before="180"/>
        <w:jc w:val="both"/>
      </w:pPr>
      <w:r>
        <w:rPr>
          <w:rFonts w:ascii="Times New Roman" w:eastAsia="宋体" w:hAnsi="Times New Roman"/>
          <w:b/>
          <w:bCs/>
          <w:i/>
          <w:iCs/>
          <w:color w:val="000000"/>
          <w:sz w:val="20"/>
          <w:szCs w:val="20"/>
        </w:rPr>
        <w:t>Compliance with our FTC consent order, the GDPR, the CCPA, the ePrivacy Directive, and other regulatory a</w:t>
      </w:r>
      <w:r>
        <w:rPr>
          <w:rFonts w:ascii="Times New Roman" w:eastAsia="宋体" w:hAnsi="Times New Roman"/>
          <w:b/>
          <w:bCs/>
          <w:i/>
          <w:iCs/>
          <w:color w:val="000000"/>
          <w:sz w:val="20"/>
          <w:szCs w:val="20"/>
        </w:rPr>
        <w:t>nd legislative privacy requirements require significant operational resources and modifications to our business practices, and any compliance failures may have a material adverse effect on our business, reputation, and financial results.</w:t>
      </w:r>
    </w:p>
    <w:p w14:paraId="0B2FBC63" w14:textId="77777777" w:rsidR="007F1775" w:rsidRDefault="007F1775">
      <w:pPr>
        <w:ind w:firstLine="540"/>
        <w:jc w:val="both"/>
      </w:pPr>
    </w:p>
    <w:p w14:paraId="0B2FBC64" w14:textId="77777777" w:rsidR="007F1775" w:rsidRDefault="000F083E">
      <w:pPr>
        <w:ind w:firstLine="540"/>
        <w:jc w:val="both"/>
      </w:pPr>
      <w:r>
        <w:rPr>
          <w:rFonts w:ascii="Times New Roman" w:eastAsia="宋体" w:hAnsi="Times New Roman"/>
          <w:color w:val="000000"/>
          <w:sz w:val="20"/>
          <w:szCs w:val="20"/>
        </w:rPr>
        <w:t>We are engaged in</w:t>
      </w:r>
      <w:r>
        <w:rPr>
          <w:rFonts w:ascii="Times New Roman" w:eastAsia="宋体" w:hAnsi="Times New Roman"/>
          <w:color w:val="000000"/>
          <w:sz w:val="20"/>
          <w:szCs w:val="20"/>
        </w:rPr>
        <w:t xml:space="preserve"> ongoing privacy compliance and oversight efforts, including in connection with our modified consent order with the FTC, requirements of the GDPR, and other regulatory and legislative requirements around the world, such as the CCPA and the ePrivacy Directi</w:t>
      </w:r>
      <w:r>
        <w:rPr>
          <w:rFonts w:ascii="Times New Roman" w:eastAsia="宋体" w:hAnsi="Times New Roman"/>
          <w:color w:val="000000"/>
          <w:sz w:val="20"/>
          <w:szCs w:val="20"/>
        </w:rPr>
        <w:t xml:space="preserve">ve. In particular, we are maintaining a comprehensive privacy program in </w:t>
      </w:r>
    </w:p>
    <w:p w14:paraId="0B2FBC65" w14:textId="77777777" w:rsidR="007F1775" w:rsidRDefault="000F083E">
      <w:pPr>
        <w:jc w:val="center"/>
      </w:pPr>
      <w:r>
        <w:rPr>
          <w:rFonts w:ascii="Times New Roman" w:eastAsia="宋体" w:hAnsi="Times New Roman"/>
          <w:color w:val="000000"/>
          <w:sz w:val="20"/>
          <w:szCs w:val="20"/>
        </w:rPr>
        <w:t>76</w:t>
      </w:r>
    </w:p>
    <w:p w14:paraId="0B2FBC66" w14:textId="77777777" w:rsidR="007F1775" w:rsidRDefault="000F083E">
      <w:r>
        <w:pict w14:anchorId="0B2FBFD9">
          <v:rect id="_x0000_i1100" style="width:415.3pt;height:1.5pt" o:hralign="center" o:hrstd="t" o:hr="t" fillcolor="#a0a0a0" stroked="f"/>
        </w:pict>
      </w:r>
    </w:p>
    <w:p w14:paraId="0B2FBC67" w14:textId="77777777" w:rsidR="007F1775" w:rsidRDefault="007F1775"/>
    <w:p w14:paraId="0B2FBC68" w14:textId="77777777" w:rsidR="007F1775" w:rsidRDefault="007F1775"/>
    <w:p w14:paraId="0B2FBC69" w14:textId="77777777" w:rsidR="007F1775" w:rsidRDefault="000F083E">
      <w:hyperlink r:id="rId154" w:anchor="iea70e328caa94cefb76a9db6ed6338fc_7" w:history="1">
        <w:r>
          <w:rPr>
            <w:rStyle w:val="a5"/>
            <w:rFonts w:ascii="Times New Roman" w:eastAsia="宋体" w:hAnsi="Times New Roman"/>
            <w:sz w:val="20"/>
            <w:szCs w:val="20"/>
          </w:rPr>
          <w:t>Table of Contents</w:t>
        </w:r>
      </w:hyperlink>
    </w:p>
    <w:p w14:paraId="0B2FBC6A" w14:textId="77777777" w:rsidR="007F1775" w:rsidRDefault="000F083E">
      <w:pPr>
        <w:jc w:val="both"/>
      </w:pPr>
      <w:r>
        <w:rPr>
          <w:rFonts w:ascii="Times New Roman" w:eastAsia="宋体" w:hAnsi="Times New Roman"/>
          <w:color w:val="000000"/>
          <w:sz w:val="20"/>
          <w:szCs w:val="20"/>
        </w:rPr>
        <w:t>conn</w:t>
      </w:r>
      <w:r>
        <w:rPr>
          <w:rFonts w:ascii="Times New Roman" w:eastAsia="宋体" w:hAnsi="Times New Roman"/>
          <w:color w:val="000000"/>
          <w:sz w:val="20"/>
          <w:szCs w:val="20"/>
        </w:rPr>
        <w:t>ection with the FTC consent order that includes substantial management and board of directors oversight, stringent operational requirements and reporting obligations, prohibitions against making misrepresentations relating to user data, a process to regula</w:t>
      </w:r>
      <w:r>
        <w:rPr>
          <w:rFonts w:ascii="Times New Roman" w:eastAsia="宋体" w:hAnsi="Times New Roman"/>
          <w:color w:val="000000"/>
          <w:sz w:val="20"/>
          <w:szCs w:val="20"/>
        </w:rPr>
        <w:t>rly certify our compliance with the privacy program to the FTC, and regular assessments of our privacy program by an independent third-party assessor, which has been and will continue to be challenging and costly to maintain and enhance. These compliance a</w:t>
      </w:r>
      <w:r>
        <w:rPr>
          <w:rFonts w:ascii="Times New Roman" w:eastAsia="宋体" w:hAnsi="Times New Roman"/>
          <w:color w:val="000000"/>
          <w:sz w:val="20"/>
          <w:szCs w:val="20"/>
        </w:rPr>
        <w:t>nd oversight efforts are increasing demand on our systems and resources, and require significant new and ongoing investments, including investments in compliance processes, personnel, and technical infrastructure. We are reallocating resources internally t</w:t>
      </w:r>
      <w:r>
        <w:rPr>
          <w:rFonts w:ascii="Times New Roman" w:eastAsia="宋体" w:hAnsi="Times New Roman"/>
          <w:color w:val="000000"/>
          <w:sz w:val="20"/>
          <w:szCs w:val="20"/>
        </w:rPr>
        <w:t>o assist with these efforts, and this has had, and will continue to have, an adverse impact on our other business initiatives. In addition, these efforts require substantial modifications to our business practices and make some practices such as product an</w:t>
      </w:r>
      <w:r>
        <w:rPr>
          <w:rFonts w:ascii="Times New Roman" w:eastAsia="宋体" w:hAnsi="Times New Roman"/>
          <w:color w:val="000000"/>
          <w:sz w:val="20"/>
          <w:szCs w:val="20"/>
        </w:rPr>
        <w:t>d ads development more difficult, time-consuming, and costly. As a result, we believe our ability to develop and launch new features, products, and services in a timely manner has been and will continue to be adversely affected. We also expect that our pri</w:t>
      </w:r>
      <w:r>
        <w:rPr>
          <w:rFonts w:ascii="Times New Roman" w:eastAsia="宋体" w:hAnsi="Times New Roman"/>
          <w:color w:val="000000"/>
          <w:sz w:val="20"/>
          <w:szCs w:val="20"/>
        </w:rPr>
        <w:t>vacy compliance and oversight efforts will require significant time and attention from our management and board of directors. The requirements of the FTC consent order and other privacy-related laws and regulations are complex and apply broadly to our busi</w:t>
      </w:r>
      <w:r>
        <w:rPr>
          <w:rFonts w:ascii="Times New Roman" w:eastAsia="宋体" w:hAnsi="Times New Roman"/>
          <w:color w:val="000000"/>
          <w:sz w:val="20"/>
          <w:szCs w:val="20"/>
        </w:rPr>
        <w:t>ness, and from time to time we notify relevant authorities of instances where we are not in full compliance with these requirements or otherwise discover privacy issues, and we expect to continue to do so as any such issues arise in the future. In addition</w:t>
      </w:r>
      <w:r>
        <w:rPr>
          <w:rFonts w:ascii="Times New Roman" w:eastAsia="宋体" w:hAnsi="Times New Roman"/>
          <w:color w:val="000000"/>
          <w:sz w:val="20"/>
          <w:szCs w:val="20"/>
        </w:rPr>
        <w:t xml:space="preserve">, regulatory and legislative privacy requirements are constantly evolving and can be subject to significant change and uncertain interpretation. For example, we may be subject to new restrictions and requirements under the proposed DMA, including in areas </w:t>
      </w:r>
      <w:r>
        <w:rPr>
          <w:rFonts w:ascii="Times New Roman" w:eastAsia="宋体" w:hAnsi="Times New Roman"/>
          <w:color w:val="000000"/>
          <w:sz w:val="20"/>
          <w:szCs w:val="20"/>
        </w:rPr>
        <w:t>such as the combination of data across services and product design. If we are unable to successfully implement and comply with the mandates of the FTC consent order, GDPR, CCPA, ePrivacy Directive, DMA, or other regulatory or legislative requirements, or i</w:t>
      </w:r>
      <w:r>
        <w:rPr>
          <w:rFonts w:ascii="Times New Roman" w:eastAsia="宋体" w:hAnsi="Times New Roman"/>
          <w:color w:val="000000"/>
          <w:sz w:val="20"/>
          <w:szCs w:val="20"/>
        </w:rPr>
        <w:t>f we are found to be in violation of the consent order or other applicable requirements, we may be subject to regulatory or governmental investigations or lawsuits, which may result in significant monetary fines, judgments, or other penalties, and we may a</w:t>
      </w:r>
      <w:r>
        <w:rPr>
          <w:rFonts w:ascii="Times New Roman" w:eastAsia="宋体" w:hAnsi="Times New Roman"/>
          <w:color w:val="000000"/>
          <w:sz w:val="20"/>
          <w:szCs w:val="20"/>
        </w:rPr>
        <w:t>lso be required to make additional changes to our business practices. Any of these events could have a material adverse effect on our business, reputation, and financial results.</w:t>
      </w:r>
    </w:p>
    <w:p w14:paraId="0B2FBC6B" w14:textId="77777777" w:rsidR="007F1775" w:rsidRDefault="000F083E">
      <w:pPr>
        <w:spacing w:before="180"/>
        <w:jc w:val="both"/>
      </w:pPr>
      <w:r>
        <w:rPr>
          <w:rFonts w:ascii="Times New Roman" w:eastAsia="宋体" w:hAnsi="Times New Roman"/>
          <w:b/>
          <w:bCs/>
          <w:i/>
          <w:iCs/>
          <w:color w:val="000000"/>
          <w:sz w:val="20"/>
          <w:szCs w:val="20"/>
        </w:rPr>
        <w:t>We may incur liability as a result of information retrieved from or transmitt</w:t>
      </w:r>
      <w:r>
        <w:rPr>
          <w:rFonts w:ascii="Times New Roman" w:eastAsia="宋体" w:hAnsi="Times New Roman"/>
          <w:b/>
          <w:bCs/>
          <w:i/>
          <w:iCs/>
          <w:color w:val="000000"/>
          <w:sz w:val="20"/>
          <w:szCs w:val="20"/>
        </w:rPr>
        <w:t xml:space="preserve">ed over the internet or published using our products or as a result of claims related to our products, and legislation regulating content on our platform may require us to change our products or business practices and may adversely affect our business and </w:t>
      </w:r>
      <w:r>
        <w:rPr>
          <w:rFonts w:ascii="Times New Roman" w:eastAsia="宋体" w:hAnsi="Times New Roman"/>
          <w:b/>
          <w:bCs/>
          <w:i/>
          <w:iCs/>
          <w:color w:val="000000"/>
          <w:sz w:val="20"/>
          <w:szCs w:val="20"/>
        </w:rPr>
        <w:t>financial results.</w:t>
      </w:r>
    </w:p>
    <w:p w14:paraId="0B2FBC6C" w14:textId="77777777" w:rsidR="007F1775" w:rsidRDefault="007F1775">
      <w:pPr>
        <w:ind w:firstLine="540"/>
        <w:jc w:val="both"/>
      </w:pPr>
    </w:p>
    <w:p w14:paraId="0B2FBC6D" w14:textId="77777777" w:rsidR="007F1775" w:rsidRDefault="000F083E">
      <w:pPr>
        <w:ind w:firstLine="540"/>
        <w:jc w:val="both"/>
      </w:pPr>
      <w:r>
        <w:rPr>
          <w:rFonts w:ascii="Times New Roman" w:eastAsia="宋体" w:hAnsi="Times New Roman"/>
          <w:color w:val="000000"/>
          <w:sz w:val="20"/>
          <w:szCs w:val="20"/>
        </w:rPr>
        <w:t>We have faced, currently face, and will continue to face claims relating to information or content that is published or made available on our products, including our policies and enforcement actions with respect to such information or c</w:t>
      </w:r>
      <w:r>
        <w:rPr>
          <w:rFonts w:ascii="Times New Roman" w:eastAsia="宋体" w:hAnsi="Times New Roman"/>
          <w:color w:val="000000"/>
          <w:sz w:val="20"/>
          <w:szCs w:val="20"/>
        </w:rPr>
        <w:t xml:space="preserve">ontent. In particular, the nature of our business exposes us to claims related to defamation, dissemination of misinformation or news hoaxes, discrimination, harassment, intellectual property rights, rights of publicity and privacy, personal injury torts, </w:t>
      </w:r>
      <w:r>
        <w:rPr>
          <w:rFonts w:ascii="Times New Roman" w:eastAsia="宋体" w:hAnsi="Times New Roman"/>
          <w:color w:val="000000"/>
          <w:sz w:val="20"/>
          <w:szCs w:val="20"/>
        </w:rPr>
        <w:t>laws regulating hate speech or other types of content, online safety, consumer protection, and breach of contract, among others. This risk is enhanced in certain jurisdictions outside the United States where our protection from liability for third-party ac</w:t>
      </w:r>
      <w:r>
        <w:rPr>
          <w:rFonts w:ascii="Times New Roman" w:eastAsia="宋体" w:hAnsi="Times New Roman"/>
          <w:color w:val="000000"/>
          <w:sz w:val="20"/>
          <w:szCs w:val="20"/>
        </w:rPr>
        <w:t>tions may be unclear or where we may be less protected under local laws than we are in the United States. For example, in April 2019, the European Union passed a directive (the European Copyright Directive) expanding online platform liability for copyright</w:t>
      </w:r>
      <w:r>
        <w:rPr>
          <w:rFonts w:ascii="Times New Roman" w:eastAsia="宋体" w:hAnsi="Times New Roman"/>
          <w:color w:val="000000"/>
          <w:sz w:val="20"/>
          <w:szCs w:val="20"/>
        </w:rPr>
        <w:t xml:space="preserve"> infringement and regulating certain uses of news content online, which member states are currently implementing into their national laws. In addition, the European Union revised the European Audiovisual Media Service Directive to apply to online video-sha</w:t>
      </w:r>
      <w:r>
        <w:rPr>
          <w:rFonts w:ascii="Times New Roman" w:eastAsia="宋体" w:hAnsi="Times New Roman"/>
          <w:color w:val="000000"/>
          <w:sz w:val="20"/>
          <w:szCs w:val="20"/>
        </w:rPr>
        <w:t>ring platforms, which member states have begun to implement. In the United States, there have been, and continue to be, various legislative and executive efforts to remove or restrict the scope of the protections available to online platforms under Section</w:t>
      </w:r>
      <w:r>
        <w:rPr>
          <w:rFonts w:ascii="Times New Roman" w:eastAsia="宋体" w:hAnsi="Times New Roman"/>
          <w:color w:val="000000"/>
          <w:sz w:val="20"/>
          <w:szCs w:val="20"/>
        </w:rPr>
        <w:t> 230 of the Communications Decency Act, as well as to impose new obligations on online platforms with respect to commerce listings, user content, counterfeit goods and copyright-infringing material, and our current protections from liability for third-part</w:t>
      </w:r>
      <w:r>
        <w:rPr>
          <w:rFonts w:ascii="Times New Roman" w:eastAsia="宋体" w:hAnsi="Times New Roman"/>
          <w:color w:val="000000"/>
          <w:sz w:val="20"/>
          <w:szCs w:val="20"/>
        </w:rPr>
        <w:t>y content in the United States could decrease or change. We could incur significant costs investigating and defending such claims and, if we are found liable, significant damages. We could also face fines, orders restricting or blocking our services in par</w:t>
      </w:r>
      <w:r>
        <w:rPr>
          <w:rFonts w:ascii="Times New Roman" w:eastAsia="宋体" w:hAnsi="Times New Roman"/>
          <w:color w:val="000000"/>
          <w:sz w:val="20"/>
          <w:szCs w:val="20"/>
        </w:rPr>
        <w:t>ticular geographies, or other government-imposed remedies as a result of content hosted on our services. For example, legislation in Germany and India has resulted in the past, and may result in the future, in the imposition of fines or other penalties for</w:t>
      </w:r>
      <w:r>
        <w:rPr>
          <w:rFonts w:ascii="Times New Roman" w:eastAsia="宋体" w:hAnsi="Times New Roman"/>
          <w:color w:val="000000"/>
          <w:sz w:val="20"/>
          <w:szCs w:val="20"/>
        </w:rPr>
        <w:t xml:space="preserve"> failure to comply with certain content removal, law enforcement cooperation, and disclosure obligations. Numerous other countries in Europe, the Middle East, Asia-Pacific, and Latin America are considering or have implemented similar legislation imposing </w:t>
      </w:r>
      <w:r>
        <w:rPr>
          <w:rFonts w:ascii="Times New Roman" w:eastAsia="宋体" w:hAnsi="Times New Roman"/>
          <w:color w:val="000000"/>
          <w:sz w:val="20"/>
          <w:szCs w:val="20"/>
        </w:rPr>
        <w:t>potentially significant penalties, including fines, service throttling, or advertising bans, for failure to remove certain types of content or follow certain processes. For example, we have been subject to fines and may in the future be subject to other pe</w:t>
      </w:r>
      <w:r>
        <w:rPr>
          <w:rFonts w:ascii="Times New Roman" w:eastAsia="宋体" w:hAnsi="Times New Roman"/>
          <w:color w:val="000000"/>
          <w:sz w:val="20"/>
          <w:szCs w:val="20"/>
        </w:rPr>
        <w:t>nalties in connection with social media legislation in Turkey, and we have been subject to fines and service blocking and prohibition in Russia. Content-related legislation also has required us in the past, and may require us in the future, to change our p</w:t>
      </w:r>
      <w:r>
        <w:rPr>
          <w:rFonts w:ascii="Times New Roman" w:eastAsia="宋体" w:hAnsi="Times New Roman"/>
          <w:color w:val="000000"/>
          <w:sz w:val="20"/>
          <w:szCs w:val="20"/>
        </w:rPr>
        <w:t>roducts or business practices, increase our costs, or otherwise impact our operations or our ability to provide services in certain geographies. For example, the European Copyright Directive requires certain online services to obtain authorizations for cop</w:t>
      </w:r>
      <w:r>
        <w:rPr>
          <w:rFonts w:ascii="Times New Roman" w:eastAsia="宋体" w:hAnsi="Times New Roman"/>
          <w:color w:val="000000"/>
          <w:sz w:val="20"/>
          <w:szCs w:val="20"/>
        </w:rPr>
        <w:t xml:space="preserve">yrighted content or to implement </w:t>
      </w:r>
    </w:p>
    <w:p w14:paraId="0B2FBC6E" w14:textId="77777777" w:rsidR="007F1775" w:rsidRDefault="000F083E">
      <w:pPr>
        <w:jc w:val="center"/>
      </w:pPr>
      <w:r>
        <w:rPr>
          <w:rFonts w:ascii="Times New Roman" w:eastAsia="宋体" w:hAnsi="Times New Roman"/>
          <w:color w:val="000000"/>
          <w:sz w:val="20"/>
          <w:szCs w:val="20"/>
        </w:rPr>
        <w:t>77</w:t>
      </w:r>
    </w:p>
    <w:p w14:paraId="0B2FBC6F" w14:textId="77777777" w:rsidR="007F1775" w:rsidRDefault="000F083E">
      <w:r>
        <w:pict w14:anchorId="0B2FBFDA">
          <v:rect id="_x0000_i1101" style="width:415.3pt;height:1.5pt" o:hralign="center" o:hrstd="t" o:hr="t" fillcolor="#a0a0a0" stroked="f"/>
        </w:pict>
      </w:r>
    </w:p>
    <w:p w14:paraId="0B2FBC70" w14:textId="77777777" w:rsidR="007F1775" w:rsidRDefault="007F1775"/>
    <w:p w14:paraId="0B2FBC71" w14:textId="77777777" w:rsidR="007F1775" w:rsidRDefault="007F1775"/>
    <w:p w14:paraId="0B2FBC72" w14:textId="77777777" w:rsidR="007F1775" w:rsidRDefault="000F083E">
      <w:hyperlink r:id="rId155" w:anchor="iea70e328caa94cefb76a9db6ed6338fc_7" w:history="1">
        <w:r>
          <w:rPr>
            <w:rStyle w:val="a5"/>
            <w:rFonts w:ascii="Times New Roman" w:eastAsia="宋体" w:hAnsi="Times New Roman"/>
            <w:sz w:val="20"/>
            <w:szCs w:val="20"/>
          </w:rPr>
          <w:t>Table of Contents</w:t>
        </w:r>
      </w:hyperlink>
    </w:p>
    <w:p w14:paraId="0B2FBC73" w14:textId="77777777" w:rsidR="007F1775" w:rsidRDefault="000F083E">
      <w:pPr>
        <w:jc w:val="both"/>
      </w:pPr>
      <w:r>
        <w:rPr>
          <w:rFonts w:ascii="Times New Roman" w:eastAsia="宋体" w:hAnsi="Times New Roman"/>
          <w:color w:val="000000"/>
          <w:sz w:val="20"/>
          <w:szCs w:val="20"/>
        </w:rPr>
        <w:t xml:space="preserve">measures to prevent the </w:t>
      </w:r>
      <w:r>
        <w:rPr>
          <w:rFonts w:ascii="Times New Roman" w:eastAsia="宋体" w:hAnsi="Times New Roman"/>
          <w:color w:val="000000"/>
          <w:sz w:val="20"/>
          <w:szCs w:val="20"/>
        </w:rPr>
        <w:t xml:space="preserve">availability of that content, which may require us to make substantial investments in compliance processes. Member states' laws implementing the European Copyright Directive may also require online platforms to pay for content. In addition, our compliance </w:t>
      </w:r>
      <w:r>
        <w:rPr>
          <w:rFonts w:ascii="Times New Roman" w:eastAsia="宋体" w:hAnsi="Times New Roman"/>
          <w:color w:val="000000"/>
          <w:sz w:val="20"/>
          <w:szCs w:val="20"/>
        </w:rPr>
        <w:t>costs may significantly increase as a result of the Digital Services Act proposed in the European Union, which is expected to take effect in 2023, and other content-related legislative developments such as online safety bills in Ireland and the United King</w:t>
      </w:r>
      <w:r>
        <w:rPr>
          <w:rFonts w:ascii="Times New Roman" w:eastAsia="宋体" w:hAnsi="Times New Roman"/>
          <w:color w:val="000000"/>
          <w:sz w:val="20"/>
          <w:szCs w:val="20"/>
        </w:rPr>
        <w:t>dom. In the United States, changes to Section 230 of the Communications Decency Act or new state or federal content-related legislation may increase our costs or require significant changes to our products, business practices, or operations, which could ad</w:t>
      </w:r>
      <w:r>
        <w:rPr>
          <w:rFonts w:ascii="Times New Roman" w:eastAsia="宋体" w:hAnsi="Times New Roman"/>
          <w:color w:val="000000"/>
          <w:sz w:val="20"/>
          <w:szCs w:val="20"/>
        </w:rPr>
        <w:t>versely affect user growth and engagement. Any of the foregoing events could adversely affect our business and financial results.</w:t>
      </w:r>
    </w:p>
    <w:p w14:paraId="0B2FBC74" w14:textId="77777777" w:rsidR="007F1775" w:rsidRDefault="000F083E">
      <w:pPr>
        <w:spacing w:before="180"/>
        <w:jc w:val="both"/>
      </w:pPr>
      <w:r>
        <w:rPr>
          <w:rFonts w:ascii="Times New Roman" w:eastAsia="宋体" w:hAnsi="Times New Roman"/>
          <w:b/>
          <w:bCs/>
          <w:i/>
          <w:iCs/>
          <w:color w:val="000000"/>
          <w:sz w:val="20"/>
          <w:szCs w:val="20"/>
        </w:rPr>
        <w:t>Payment transactions may subject us to additional regulatory requirements and other risks that could be costly and difficult t</w:t>
      </w:r>
      <w:r>
        <w:rPr>
          <w:rFonts w:ascii="Times New Roman" w:eastAsia="宋体" w:hAnsi="Times New Roman"/>
          <w:b/>
          <w:bCs/>
          <w:i/>
          <w:iCs/>
          <w:color w:val="000000"/>
          <w:sz w:val="20"/>
          <w:szCs w:val="20"/>
        </w:rPr>
        <w:t>o comply with or that could harm our business.</w:t>
      </w:r>
    </w:p>
    <w:p w14:paraId="0B2FBC75" w14:textId="77777777" w:rsidR="007F1775" w:rsidRDefault="007F1775">
      <w:pPr>
        <w:ind w:firstLine="540"/>
        <w:jc w:val="both"/>
      </w:pPr>
    </w:p>
    <w:p w14:paraId="0B2FBC76" w14:textId="77777777" w:rsidR="007F1775" w:rsidRDefault="000F083E">
      <w:pPr>
        <w:ind w:firstLine="540"/>
        <w:jc w:val="both"/>
      </w:pPr>
      <w:r>
        <w:rPr>
          <w:rFonts w:ascii="Times New Roman" w:eastAsia="宋体" w:hAnsi="Times New Roman"/>
          <w:color w:val="000000"/>
          <w:sz w:val="20"/>
          <w:szCs w:val="20"/>
        </w:rPr>
        <w:t xml:space="preserve">Several of our products offer Payments functionality, including enabling our users to purchase virtual and digital goods from developers that offer applications using our Payments </w:t>
      </w:r>
      <w:r>
        <w:rPr>
          <w:rFonts w:ascii="Times New Roman" w:eastAsia="宋体" w:hAnsi="Times New Roman"/>
          <w:color w:val="000000"/>
          <w:sz w:val="20"/>
          <w:szCs w:val="20"/>
        </w:rPr>
        <w:t>infrastructure, send money to other users, and make donations to certain charitable organizations, among other activities. We are subject to a variety of laws and regulations in the United States, Europe, and elsewhere, including those governing anti-money</w:t>
      </w:r>
      <w:r>
        <w:rPr>
          <w:rFonts w:ascii="Times New Roman" w:eastAsia="宋体" w:hAnsi="Times New Roman"/>
          <w:color w:val="000000"/>
          <w:sz w:val="20"/>
          <w:szCs w:val="20"/>
        </w:rPr>
        <w:t xml:space="preserve"> laundering and counter-terrorist financing, money transmission, stored value, gift cards and other prepaid access instruments, electronic funds transfer, virtual currency, consumer protection, charitable fundraising, trade sanctions, and import and export</w:t>
      </w:r>
      <w:r>
        <w:rPr>
          <w:rFonts w:ascii="Times New Roman" w:eastAsia="宋体" w:hAnsi="Times New Roman"/>
          <w:color w:val="000000"/>
          <w:sz w:val="20"/>
          <w:szCs w:val="20"/>
        </w:rPr>
        <w:t xml:space="preserve"> restrictions. Depending on how our Payments products evolve, we may also be subject to other laws and regulations including those governing gambling, banking, and lending. In some jurisdictions, the application or interpretation of these laws and regulati</w:t>
      </w:r>
      <w:r>
        <w:rPr>
          <w:rFonts w:ascii="Times New Roman" w:eastAsia="宋体" w:hAnsi="Times New Roman"/>
          <w:color w:val="000000"/>
          <w:sz w:val="20"/>
          <w:szCs w:val="20"/>
        </w:rPr>
        <w:t>ons is not clear. To increase flexibility in how our use of Payments may evolve and to mitigate regulatory uncertainty, we have received certain payments licenses in the United States, the European Economic Area, and other jurisdictions, which will general</w:t>
      </w:r>
      <w:r>
        <w:rPr>
          <w:rFonts w:ascii="Times New Roman" w:eastAsia="宋体" w:hAnsi="Times New Roman"/>
          <w:color w:val="000000"/>
          <w:sz w:val="20"/>
          <w:szCs w:val="20"/>
        </w:rPr>
        <w:t xml:space="preserve">ly require us to demonstrate compliance with many domestic and foreign laws in these areas. Our efforts to comply with these laws and regulations could be costly and result in diversion of management time and effort and may still not guarantee compliance. </w:t>
      </w:r>
      <w:r>
        <w:rPr>
          <w:rFonts w:ascii="Times New Roman" w:eastAsia="宋体" w:hAnsi="Times New Roman"/>
          <w:color w:val="000000"/>
          <w:sz w:val="20"/>
          <w:szCs w:val="20"/>
        </w:rPr>
        <w:t xml:space="preserve">In the event that we are found to be in violation of any such legal or regulatory requirements, we may be subject to monetary fines or other penalties such as a cease and desist order, or we may be required to make product changes, any of which could have </w:t>
      </w:r>
      <w:r>
        <w:rPr>
          <w:rFonts w:ascii="Times New Roman" w:eastAsia="宋体" w:hAnsi="Times New Roman"/>
          <w:color w:val="000000"/>
          <w:sz w:val="20"/>
          <w:szCs w:val="20"/>
        </w:rPr>
        <w:t>an adverse effect on our business and financial results.</w:t>
      </w:r>
    </w:p>
    <w:p w14:paraId="0B2FBC77" w14:textId="77777777" w:rsidR="007F1775" w:rsidRDefault="007F1775">
      <w:pPr>
        <w:ind w:firstLine="540"/>
        <w:jc w:val="both"/>
      </w:pPr>
    </w:p>
    <w:p w14:paraId="0B2FBC78" w14:textId="77777777" w:rsidR="007F1775" w:rsidRDefault="000F083E">
      <w:pPr>
        <w:ind w:firstLine="540"/>
        <w:jc w:val="both"/>
      </w:pPr>
      <w:r>
        <w:rPr>
          <w:rFonts w:ascii="Times New Roman" w:eastAsia="宋体" w:hAnsi="Times New Roman"/>
          <w:color w:val="000000"/>
          <w:sz w:val="20"/>
          <w:szCs w:val="20"/>
        </w:rPr>
        <w:t xml:space="preserve">In addition, we are subject to a variety of additional risks as a result of Payments transactions, including: increased costs and diversion of management time and effort and other resources to deal </w:t>
      </w:r>
      <w:r>
        <w:rPr>
          <w:rFonts w:ascii="Times New Roman" w:eastAsia="宋体" w:hAnsi="Times New Roman"/>
          <w:color w:val="000000"/>
          <w:sz w:val="20"/>
          <w:szCs w:val="20"/>
        </w:rPr>
        <w:t>with bad transactions or customer disputes; potential fraudulent or otherwise illegal activity by users, developers, employees, or third parties; restrictions on the investment of consumer funds used to transact Payments; and additional disclosure and repo</w:t>
      </w:r>
      <w:r>
        <w:rPr>
          <w:rFonts w:ascii="Times New Roman" w:eastAsia="宋体" w:hAnsi="Times New Roman"/>
          <w:color w:val="000000"/>
          <w:sz w:val="20"/>
          <w:szCs w:val="20"/>
        </w:rPr>
        <w:t>rting requirements. We have also launched certain payments functionality on WhatsApp and have announced plans to develop digital payments products and services, which may subject us to many of the foregoing risks and additional licensing requirements.</w:t>
      </w:r>
    </w:p>
    <w:p w14:paraId="0B2FBC79" w14:textId="77777777" w:rsidR="007F1775" w:rsidRDefault="000F083E">
      <w:pPr>
        <w:spacing w:before="180"/>
        <w:jc w:val="both"/>
      </w:pPr>
      <w:r>
        <w:rPr>
          <w:rFonts w:ascii="Times New Roman" w:eastAsia="宋体" w:hAnsi="Times New Roman"/>
          <w:b/>
          <w:bCs/>
          <w:i/>
          <w:iCs/>
          <w:color w:val="000000"/>
          <w:sz w:val="20"/>
          <w:szCs w:val="20"/>
        </w:rPr>
        <w:t xml:space="preserve">Our </w:t>
      </w:r>
      <w:r>
        <w:rPr>
          <w:rFonts w:ascii="Times New Roman" w:eastAsia="宋体" w:hAnsi="Times New Roman"/>
          <w:b/>
          <w:bCs/>
          <w:i/>
          <w:iCs/>
          <w:color w:val="000000"/>
          <w:sz w:val="20"/>
          <w:szCs w:val="20"/>
        </w:rPr>
        <w:t>digital payments initiatives subject us to significant regulatory scrutiny and other risks that could adversely affect our business, reputation, or financial results.</w:t>
      </w:r>
    </w:p>
    <w:p w14:paraId="0B2FBC7A" w14:textId="77777777" w:rsidR="007F1775" w:rsidRDefault="007F1775">
      <w:pPr>
        <w:ind w:firstLine="540"/>
        <w:jc w:val="both"/>
      </w:pPr>
    </w:p>
    <w:p w14:paraId="0B2FBC7B" w14:textId="77777777" w:rsidR="007F1775" w:rsidRDefault="000F083E">
      <w:pPr>
        <w:ind w:firstLine="540"/>
        <w:jc w:val="both"/>
      </w:pPr>
      <w:r>
        <w:rPr>
          <w:rFonts w:ascii="Times New Roman" w:eastAsia="宋体" w:hAnsi="Times New Roman"/>
          <w:color w:val="000000"/>
          <w:sz w:val="20"/>
          <w:szCs w:val="20"/>
        </w:rPr>
        <w:t>We are pursuing digital payments initiatives, such as Novi, a digital wallet that we exp</w:t>
      </w:r>
      <w:r>
        <w:rPr>
          <w:rFonts w:ascii="Times New Roman" w:eastAsia="宋体" w:hAnsi="Times New Roman"/>
          <w:color w:val="000000"/>
          <w:sz w:val="20"/>
          <w:szCs w:val="20"/>
        </w:rPr>
        <w:t>ect to offer as both a standalone application and subsequently integrated in other Meta products. These initiatives may use blockchain-based assets, such as the USDP stablecoin issued by Paxos Trust Company, which is being used in a Novi pilot program in t</w:t>
      </w:r>
      <w:r>
        <w:rPr>
          <w:rFonts w:ascii="Times New Roman" w:eastAsia="宋体" w:hAnsi="Times New Roman"/>
          <w:color w:val="000000"/>
          <w:sz w:val="20"/>
          <w:szCs w:val="20"/>
        </w:rPr>
        <w:t>he United States and Guatemala beginning in October 2021. Our future initiatives to support commerce in the metaverse also may use blockchain-based assets in digital payments. Use of blockchain-based assets in payments are a relatively new and unproven tec</w:t>
      </w:r>
      <w:r>
        <w:rPr>
          <w:rFonts w:ascii="Times New Roman" w:eastAsia="宋体" w:hAnsi="Times New Roman"/>
          <w:color w:val="000000"/>
          <w:sz w:val="20"/>
          <w:szCs w:val="20"/>
        </w:rPr>
        <w:t>hnology, and the laws and regulations surrounding them are uncertain and evolving. These digital payments efforts have drawn significant scrutiny from governments and regulators in multiple jurisdictions and we expect that scrutiny to continue. We are part</w:t>
      </w:r>
      <w:r>
        <w:rPr>
          <w:rFonts w:ascii="Times New Roman" w:eastAsia="宋体" w:hAnsi="Times New Roman"/>
          <w:color w:val="000000"/>
          <w:sz w:val="20"/>
          <w:szCs w:val="20"/>
        </w:rPr>
        <w:t>icipating in responses to inquiries from governments and regulators related to our digital payments initiatives, and adverse government or regulatory actions or negative publicity resulting from such participation may adversely affect our reputation and ha</w:t>
      </w:r>
      <w:r>
        <w:rPr>
          <w:rFonts w:ascii="Times New Roman" w:eastAsia="宋体" w:hAnsi="Times New Roman"/>
          <w:color w:val="000000"/>
          <w:sz w:val="20"/>
          <w:szCs w:val="20"/>
        </w:rPr>
        <w:t>rm our business.</w:t>
      </w:r>
    </w:p>
    <w:p w14:paraId="0B2FBC7C" w14:textId="77777777" w:rsidR="007F1775" w:rsidRDefault="007F1775">
      <w:pPr>
        <w:ind w:firstLine="540"/>
        <w:jc w:val="both"/>
      </w:pPr>
    </w:p>
    <w:p w14:paraId="0B2FBC7D" w14:textId="77777777" w:rsidR="007F1775" w:rsidRDefault="000F083E">
      <w:pPr>
        <w:ind w:firstLine="540"/>
        <w:jc w:val="both"/>
      </w:pPr>
      <w:r>
        <w:rPr>
          <w:rFonts w:ascii="Times New Roman" w:eastAsia="宋体" w:hAnsi="Times New Roman"/>
          <w:color w:val="000000"/>
          <w:sz w:val="20"/>
          <w:szCs w:val="20"/>
        </w:rPr>
        <w:t xml:space="preserve">As our digital payments initiatives evolve, we may be subject to a variety of laws and regulations in the United States and international jurisdictions, including those governing payments, financial services, virtual currency, anti-money </w:t>
      </w:r>
      <w:r>
        <w:rPr>
          <w:rFonts w:ascii="Times New Roman" w:eastAsia="宋体" w:hAnsi="Times New Roman"/>
          <w:color w:val="000000"/>
          <w:sz w:val="20"/>
          <w:szCs w:val="20"/>
        </w:rPr>
        <w:t>laundering, counter-terrorism financing, trade sanctions, data protection, tax, consumer protection, and competition. In many jurisdictions, the application or interpretation of these laws and regulations is not clear, particularly with respect to evolving</w:t>
      </w:r>
      <w:r>
        <w:rPr>
          <w:rFonts w:ascii="Times New Roman" w:eastAsia="宋体" w:hAnsi="Times New Roman"/>
          <w:color w:val="000000"/>
          <w:sz w:val="20"/>
          <w:szCs w:val="20"/>
        </w:rPr>
        <w:t xml:space="preserve"> laws and regulations that are applied to blockchain and digital payments. In addition, Novi has also received state money transmitter licenses in the United States, with more pending approval, and has other financial services license applications pending </w:t>
      </w:r>
      <w:r>
        <w:rPr>
          <w:rFonts w:ascii="Times New Roman" w:eastAsia="宋体" w:hAnsi="Times New Roman"/>
          <w:color w:val="000000"/>
          <w:sz w:val="20"/>
          <w:szCs w:val="20"/>
        </w:rPr>
        <w:t xml:space="preserve">in certain other countries that would allow us to conduct digital wallet activities in those countries. These licenses, </w:t>
      </w:r>
    </w:p>
    <w:p w14:paraId="0B2FBC7E" w14:textId="77777777" w:rsidR="007F1775" w:rsidRDefault="000F083E">
      <w:pPr>
        <w:jc w:val="center"/>
      </w:pPr>
      <w:r>
        <w:rPr>
          <w:rFonts w:ascii="Times New Roman" w:eastAsia="宋体" w:hAnsi="Times New Roman"/>
          <w:color w:val="000000"/>
          <w:sz w:val="20"/>
          <w:szCs w:val="20"/>
        </w:rPr>
        <w:t>78</w:t>
      </w:r>
    </w:p>
    <w:p w14:paraId="0B2FBC7F" w14:textId="77777777" w:rsidR="007F1775" w:rsidRDefault="000F083E">
      <w:r>
        <w:pict w14:anchorId="0B2FBFDB">
          <v:rect id="_x0000_i1102" style="width:415.3pt;height:1.5pt" o:hralign="center" o:hrstd="t" o:hr="t" fillcolor="#a0a0a0" stroked="f"/>
        </w:pict>
      </w:r>
    </w:p>
    <w:p w14:paraId="0B2FBC80" w14:textId="77777777" w:rsidR="007F1775" w:rsidRDefault="007F1775"/>
    <w:p w14:paraId="0B2FBC81" w14:textId="77777777" w:rsidR="007F1775" w:rsidRDefault="007F1775"/>
    <w:p w14:paraId="0B2FBC82" w14:textId="77777777" w:rsidR="007F1775" w:rsidRDefault="000F083E">
      <w:hyperlink r:id="rId156" w:anchor="iea70e328caa94cefb76a9db6ed6338fc_7" w:history="1">
        <w:r>
          <w:rPr>
            <w:rStyle w:val="a5"/>
            <w:rFonts w:ascii="Times New Roman" w:eastAsia="宋体" w:hAnsi="Times New Roman"/>
            <w:sz w:val="20"/>
            <w:szCs w:val="20"/>
          </w:rPr>
          <w:t>Table of Contents</w:t>
        </w:r>
      </w:hyperlink>
    </w:p>
    <w:p w14:paraId="0B2FBC83" w14:textId="77777777" w:rsidR="007F1775" w:rsidRDefault="000F083E">
      <w:pPr>
        <w:jc w:val="both"/>
      </w:pPr>
      <w:r>
        <w:rPr>
          <w:rFonts w:ascii="Times New Roman" w:eastAsia="宋体" w:hAnsi="Times New Roman"/>
          <w:color w:val="000000"/>
          <w:sz w:val="20"/>
          <w:szCs w:val="20"/>
        </w:rPr>
        <w:t>laws, and regulations, as well as any associated inquiries or investigations, may delay or impede the development of digital payments products and services we offer, increase our operating costs, require significa</w:t>
      </w:r>
      <w:r>
        <w:rPr>
          <w:rFonts w:ascii="Times New Roman" w:eastAsia="宋体" w:hAnsi="Times New Roman"/>
          <w:color w:val="000000"/>
          <w:sz w:val="20"/>
          <w:szCs w:val="20"/>
        </w:rPr>
        <w:t>nt management time and attention, or otherwise harm our business.</w:t>
      </w:r>
    </w:p>
    <w:p w14:paraId="0B2FBC84" w14:textId="77777777" w:rsidR="007F1775" w:rsidRDefault="007F1775">
      <w:pPr>
        <w:ind w:firstLine="540"/>
        <w:jc w:val="both"/>
      </w:pPr>
    </w:p>
    <w:p w14:paraId="0B2FBC85" w14:textId="77777777" w:rsidR="007F1775" w:rsidRDefault="000F083E">
      <w:pPr>
        <w:ind w:firstLine="540"/>
        <w:jc w:val="both"/>
      </w:pPr>
      <w:r>
        <w:rPr>
          <w:rFonts w:ascii="Times New Roman" w:eastAsia="宋体" w:hAnsi="Times New Roman"/>
          <w:color w:val="000000"/>
          <w:sz w:val="20"/>
          <w:szCs w:val="20"/>
        </w:rPr>
        <w:t>In addition, market acceptance of digital payments products and services is subject to significant uncertainty. As such, there can be no assurance that digital payments products and service</w:t>
      </w:r>
      <w:r>
        <w:rPr>
          <w:rFonts w:ascii="Times New Roman" w:eastAsia="宋体" w:hAnsi="Times New Roman"/>
          <w:color w:val="000000"/>
          <w:sz w:val="20"/>
          <w:szCs w:val="20"/>
        </w:rPr>
        <w:t>s we offer will be made available in a timely manner, or at all. We do not have significant prior experience with blockchain-based technology, which may adversely affect our ability to successfully develop and market such digital payments products and serv</w:t>
      </w:r>
      <w:r>
        <w:rPr>
          <w:rFonts w:ascii="Times New Roman" w:eastAsia="宋体" w:hAnsi="Times New Roman"/>
          <w:color w:val="000000"/>
          <w:sz w:val="20"/>
          <w:szCs w:val="20"/>
        </w:rPr>
        <w:t>ices. We will also incur increased costs in connection with these efforts, and our investments may not be successful. Any of these events could adversely affect our business, reputation, or financial results.</w:t>
      </w:r>
    </w:p>
    <w:p w14:paraId="0B2FBC86" w14:textId="77777777" w:rsidR="007F1775" w:rsidRDefault="000F083E">
      <w:pPr>
        <w:spacing w:before="180"/>
        <w:jc w:val="center"/>
      </w:pPr>
      <w:r>
        <w:rPr>
          <w:rFonts w:ascii="Times New Roman" w:eastAsia="宋体" w:hAnsi="Times New Roman"/>
          <w:b/>
          <w:bCs/>
          <w:color w:val="000000"/>
          <w:sz w:val="20"/>
          <w:szCs w:val="20"/>
        </w:rPr>
        <w:t>Risks Related to Data, Security, and Intellectu</w:t>
      </w:r>
      <w:r>
        <w:rPr>
          <w:rFonts w:ascii="Times New Roman" w:eastAsia="宋体" w:hAnsi="Times New Roman"/>
          <w:b/>
          <w:bCs/>
          <w:color w:val="000000"/>
          <w:sz w:val="20"/>
          <w:szCs w:val="20"/>
        </w:rPr>
        <w:t>al Property</w:t>
      </w:r>
    </w:p>
    <w:p w14:paraId="0B2FBC87" w14:textId="77777777" w:rsidR="007F1775" w:rsidRDefault="000F083E">
      <w:pPr>
        <w:spacing w:before="180"/>
        <w:jc w:val="both"/>
      </w:pPr>
      <w:r>
        <w:rPr>
          <w:rFonts w:ascii="Times New Roman" w:eastAsia="宋体" w:hAnsi="Times New Roman"/>
          <w:b/>
          <w:bCs/>
          <w:i/>
          <w:iCs/>
          <w:color w:val="000000"/>
          <w:sz w:val="20"/>
          <w:szCs w:val="20"/>
        </w:rPr>
        <w:t>Security breaches, improper access to or disclosure of our data or user data, other hacking and phishing attacks on our systems, or other cyber incidents could harm our reputation and adversely affect our business.</w:t>
      </w:r>
    </w:p>
    <w:p w14:paraId="0B2FBC88" w14:textId="77777777" w:rsidR="007F1775" w:rsidRDefault="007F1775">
      <w:pPr>
        <w:ind w:firstLine="540"/>
        <w:jc w:val="both"/>
      </w:pPr>
    </w:p>
    <w:p w14:paraId="0B2FBC89" w14:textId="77777777" w:rsidR="007F1775" w:rsidRDefault="000F083E">
      <w:pPr>
        <w:ind w:firstLine="540"/>
        <w:jc w:val="both"/>
      </w:pPr>
      <w:r>
        <w:rPr>
          <w:rFonts w:ascii="Times New Roman" w:eastAsia="宋体" w:hAnsi="Times New Roman"/>
          <w:color w:val="000000"/>
          <w:sz w:val="20"/>
          <w:szCs w:val="20"/>
        </w:rPr>
        <w:t>Our industry is prone to cyb</w:t>
      </w:r>
      <w:r>
        <w:rPr>
          <w:rFonts w:ascii="Times New Roman" w:eastAsia="宋体" w:hAnsi="Times New Roman"/>
          <w:color w:val="000000"/>
          <w:sz w:val="20"/>
          <w:szCs w:val="20"/>
        </w:rPr>
        <w:t xml:space="preserve">er-attacks by third parties seeking unauthorized access to our data or users' data or to disrupt our ability to provide service. Our products and services involve the collection, storage, processing, and transmission of a large amount of data. Any failure </w:t>
      </w:r>
      <w:r>
        <w:rPr>
          <w:rFonts w:ascii="Times New Roman" w:eastAsia="宋体" w:hAnsi="Times New Roman"/>
          <w:color w:val="000000"/>
          <w:sz w:val="20"/>
          <w:szCs w:val="20"/>
        </w:rPr>
        <w:t>to prevent or mitigate security breaches and improper access to or disclosure of our data or user data, including personal information, content, or payment information from users, or information from marketers, could result in the loss, modification, discl</w:t>
      </w:r>
      <w:r>
        <w:rPr>
          <w:rFonts w:ascii="Times New Roman" w:eastAsia="宋体" w:hAnsi="Times New Roman"/>
          <w:color w:val="000000"/>
          <w:sz w:val="20"/>
          <w:szCs w:val="20"/>
        </w:rPr>
        <w:t>osure, destruction, or other misuse of such data, which could harm our business and reputation and diminish our competitive position. In addition, computer malware, viruses, social engineering (such as spear phishing attacks), scraping, and general hacking</w:t>
      </w:r>
      <w:r>
        <w:rPr>
          <w:rFonts w:ascii="Times New Roman" w:eastAsia="宋体" w:hAnsi="Times New Roman"/>
          <w:color w:val="000000"/>
          <w:sz w:val="20"/>
          <w:szCs w:val="20"/>
        </w:rPr>
        <w:t xml:space="preserve"> continue to be prevalent in our industry, have occurred on our systems in the past, and will occur on our systems in the future. We also regularly encounter attempts to create false or undesirable user accounts, purchase ads, or take other actions on our </w:t>
      </w:r>
      <w:r>
        <w:rPr>
          <w:rFonts w:ascii="Times New Roman" w:eastAsia="宋体" w:hAnsi="Times New Roman"/>
          <w:color w:val="000000"/>
          <w:sz w:val="20"/>
          <w:szCs w:val="20"/>
        </w:rPr>
        <w:t>platform for purposes such as spamming, spreading misinformation, or other objectionable ends. As a result of our prominence, the size of our user base, the types and volume of personal data and content on our systems, and the evolving nature of our produc</w:t>
      </w:r>
      <w:r>
        <w:rPr>
          <w:rFonts w:ascii="Times New Roman" w:eastAsia="宋体" w:hAnsi="Times New Roman"/>
          <w:color w:val="000000"/>
          <w:sz w:val="20"/>
          <w:szCs w:val="20"/>
        </w:rPr>
        <w:t>ts and services (including our efforts involving new and emerging technologies), we believe that we are a particularly attractive target for such breaches and attacks, including from nation states and highly sophisticated, state-sponsored, or otherwise wel</w:t>
      </w:r>
      <w:r>
        <w:rPr>
          <w:rFonts w:ascii="Times New Roman" w:eastAsia="宋体" w:hAnsi="Times New Roman"/>
          <w:color w:val="000000"/>
          <w:sz w:val="20"/>
          <w:szCs w:val="20"/>
        </w:rPr>
        <w:t>l-funded actors, and we experience heightened risk from time to time as a result of geopolitical events. Our efforts to address undesirable activity on our platform also increase the risk of retaliatory attacks. Such breaches and attacks may cause interrup</w:t>
      </w:r>
      <w:r>
        <w:rPr>
          <w:rFonts w:ascii="Times New Roman" w:eastAsia="宋体" w:hAnsi="Times New Roman"/>
          <w:color w:val="000000"/>
          <w:sz w:val="20"/>
          <w:szCs w:val="20"/>
        </w:rPr>
        <w:t>tions to the services we provide, degrade the user experience, cause users or marketers to lose confidence and trust in our products, impair our internal systems, or result in financial harm to us. Our efforts to protect our company data or the information</w:t>
      </w:r>
      <w:r>
        <w:rPr>
          <w:rFonts w:ascii="Times New Roman" w:eastAsia="宋体" w:hAnsi="Times New Roman"/>
          <w:color w:val="000000"/>
          <w:sz w:val="20"/>
          <w:szCs w:val="20"/>
        </w:rPr>
        <w:t xml:space="preserve"> we receive, and to disable undesirable activities on our platform, may also be unsuccessful due to software bugs or other technical malfunctions; employee, contractor, or vendor error or malfeasance, including defects or vulnerabilities in our vendors' in</w:t>
      </w:r>
      <w:r>
        <w:rPr>
          <w:rFonts w:ascii="Times New Roman" w:eastAsia="宋体" w:hAnsi="Times New Roman"/>
          <w:color w:val="000000"/>
          <w:sz w:val="20"/>
          <w:szCs w:val="20"/>
        </w:rPr>
        <w:t xml:space="preserve">formation technology systems or offerings; government surveillance; breaches of physical security of our facilities or technical infrastructure; or other threats that evolve. In addition, third parties may attempt to fraudulently induce employees or users </w:t>
      </w:r>
      <w:r>
        <w:rPr>
          <w:rFonts w:ascii="Times New Roman" w:eastAsia="宋体" w:hAnsi="Times New Roman"/>
          <w:color w:val="000000"/>
          <w:sz w:val="20"/>
          <w:szCs w:val="20"/>
        </w:rPr>
        <w:t>to disclose information in order to gain access to our data or our users' data. Cyber-attacks continue to evolve in sophistication and volume, and inherently may be difficult to detect for long periods of time. Although we have developed systems and proces</w:t>
      </w:r>
      <w:r>
        <w:rPr>
          <w:rFonts w:ascii="Times New Roman" w:eastAsia="宋体" w:hAnsi="Times New Roman"/>
          <w:color w:val="000000"/>
          <w:sz w:val="20"/>
          <w:szCs w:val="20"/>
        </w:rPr>
        <w:t>ses that are designed to protect our data and user data, to prevent data loss, to disable undesirable accounts and activities on our platform, and to prevent or detect security breaches, we cannot assure you that such measures will provide absolute securit</w:t>
      </w:r>
      <w:r>
        <w:rPr>
          <w:rFonts w:ascii="Times New Roman" w:eastAsia="宋体" w:hAnsi="Times New Roman"/>
          <w:color w:val="000000"/>
          <w:sz w:val="20"/>
          <w:szCs w:val="20"/>
        </w:rPr>
        <w:t>y, that we will be able to react in a timely manner, or that our remediation efforts will be successful. The changes in our work environment as a result of certain personnel working remotely could also impact the security of our systems, as well as our abi</w:t>
      </w:r>
      <w:r>
        <w:rPr>
          <w:rFonts w:ascii="Times New Roman" w:eastAsia="宋体" w:hAnsi="Times New Roman"/>
          <w:color w:val="000000"/>
          <w:sz w:val="20"/>
          <w:szCs w:val="20"/>
        </w:rPr>
        <w:t>lity to protect against attacks and detect and respond to them quickly.</w:t>
      </w:r>
    </w:p>
    <w:p w14:paraId="0B2FBC8A" w14:textId="77777777" w:rsidR="007F1775" w:rsidRDefault="007F1775">
      <w:pPr>
        <w:ind w:firstLine="540"/>
        <w:jc w:val="both"/>
      </w:pPr>
    </w:p>
    <w:p w14:paraId="0B2FBC8B" w14:textId="77777777" w:rsidR="007F1775" w:rsidRDefault="000F083E">
      <w:pPr>
        <w:ind w:firstLine="540"/>
        <w:jc w:val="both"/>
      </w:pPr>
      <w:r>
        <w:rPr>
          <w:rFonts w:ascii="Times New Roman" w:eastAsia="宋体" w:hAnsi="Times New Roman"/>
          <w:color w:val="000000"/>
          <w:sz w:val="20"/>
          <w:szCs w:val="20"/>
        </w:rPr>
        <w:t>In addition, some of our developers or other partners, such as those that help us measure the effectiveness of ads, may receive or store information provided by us or by our users thr</w:t>
      </w:r>
      <w:r>
        <w:rPr>
          <w:rFonts w:ascii="Times New Roman" w:eastAsia="宋体" w:hAnsi="Times New Roman"/>
          <w:color w:val="000000"/>
          <w:sz w:val="20"/>
          <w:szCs w:val="20"/>
        </w:rPr>
        <w:t>ough mobile or web applications integrated with our products. We provide limited information to such third parties based on the scope of services provided to us. However, if these third parties or developers fail to adopt or adhere to adequate data securit</w:t>
      </w:r>
      <w:r>
        <w:rPr>
          <w:rFonts w:ascii="Times New Roman" w:eastAsia="宋体" w:hAnsi="Times New Roman"/>
          <w:color w:val="000000"/>
          <w:sz w:val="20"/>
          <w:szCs w:val="20"/>
        </w:rPr>
        <w:t xml:space="preserve">y practices, or in the event of a breach of their networks, our data or our users' data may be improperly accessed, used, or disclosed. </w:t>
      </w:r>
    </w:p>
    <w:p w14:paraId="0B2FBC8C" w14:textId="77777777" w:rsidR="007F1775" w:rsidRDefault="007F1775">
      <w:pPr>
        <w:ind w:firstLine="540"/>
        <w:jc w:val="both"/>
      </w:pPr>
    </w:p>
    <w:p w14:paraId="0B2FBC8D" w14:textId="77777777" w:rsidR="007F1775" w:rsidRDefault="000F083E">
      <w:pPr>
        <w:ind w:firstLine="540"/>
        <w:jc w:val="both"/>
      </w:pPr>
      <w:r>
        <w:rPr>
          <w:rFonts w:ascii="Times New Roman" w:eastAsia="宋体" w:hAnsi="Times New Roman"/>
          <w:color w:val="000000"/>
          <w:sz w:val="20"/>
          <w:szCs w:val="20"/>
        </w:rPr>
        <w:t>We experience such cyber-attacks and other security incidents of varying degrees from time to time, and we incur signi</w:t>
      </w:r>
      <w:r>
        <w:rPr>
          <w:rFonts w:ascii="Times New Roman" w:eastAsia="宋体" w:hAnsi="Times New Roman"/>
          <w:color w:val="000000"/>
          <w:sz w:val="20"/>
          <w:szCs w:val="20"/>
        </w:rPr>
        <w:t>ficant costs in protecting against or remediating such incidents. In addition, we are subject to a variety of laws and regulations in the United States and abroad relating to cybersecurity and data protection, as well as obligations under our modified cons</w:t>
      </w:r>
      <w:r>
        <w:rPr>
          <w:rFonts w:ascii="Times New Roman" w:eastAsia="宋体" w:hAnsi="Times New Roman"/>
          <w:color w:val="000000"/>
          <w:sz w:val="20"/>
          <w:szCs w:val="20"/>
        </w:rPr>
        <w:t xml:space="preserve">ent order with the FTC. As a result, affected users or government authorities could initiate legal or regulatory actions against us in connection with any actual or perceived security breaches or improper access to or disclosure of data, </w:t>
      </w:r>
    </w:p>
    <w:p w14:paraId="0B2FBC8E" w14:textId="77777777" w:rsidR="007F1775" w:rsidRDefault="000F083E">
      <w:pPr>
        <w:jc w:val="center"/>
      </w:pPr>
      <w:r>
        <w:rPr>
          <w:rFonts w:ascii="Times New Roman" w:eastAsia="宋体" w:hAnsi="Times New Roman"/>
          <w:color w:val="000000"/>
          <w:sz w:val="20"/>
          <w:szCs w:val="20"/>
        </w:rPr>
        <w:t>79</w:t>
      </w:r>
    </w:p>
    <w:p w14:paraId="0B2FBC8F" w14:textId="77777777" w:rsidR="007F1775" w:rsidRDefault="000F083E">
      <w:r>
        <w:pict w14:anchorId="0B2FBFDC">
          <v:rect id="_x0000_i1103" style="width:415.3pt;height:1.5pt" o:hralign="center" o:hrstd="t" o:hr="t" fillcolor="#a0a0a0" stroked="f"/>
        </w:pict>
      </w:r>
    </w:p>
    <w:p w14:paraId="0B2FBC90" w14:textId="77777777" w:rsidR="007F1775" w:rsidRDefault="007F1775"/>
    <w:p w14:paraId="0B2FBC91" w14:textId="77777777" w:rsidR="007F1775" w:rsidRDefault="007F1775"/>
    <w:p w14:paraId="0B2FBC92" w14:textId="77777777" w:rsidR="007F1775" w:rsidRDefault="000F083E">
      <w:hyperlink r:id="rId157" w:anchor="iea70e328caa94cefb76a9db6ed6338fc_7" w:history="1">
        <w:r>
          <w:rPr>
            <w:rStyle w:val="a5"/>
            <w:rFonts w:ascii="Times New Roman" w:eastAsia="宋体" w:hAnsi="Times New Roman"/>
            <w:sz w:val="20"/>
            <w:szCs w:val="20"/>
          </w:rPr>
          <w:t>Table of Contents</w:t>
        </w:r>
      </w:hyperlink>
    </w:p>
    <w:p w14:paraId="0B2FBC93" w14:textId="77777777" w:rsidR="007F1775" w:rsidRDefault="000F083E">
      <w:pPr>
        <w:jc w:val="both"/>
      </w:pPr>
      <w:r>
        <w:rPr>
          <w:rFonts w:ascii="Times New Roman" w:eastAsia="宋体" w:hAnsi="Times New Roman"/>
          <w:color w:val="000000"/>
          <w:sz w:val="20"/>
          <w:szCs w:val="20"/>
        </w:rPr>
        <w:t xml:space="preserve">which has occurred in the past and which could cause us to incur </w:t>
      </w:r>
      <w:r>
        <w:rPr>
          <w:rFonts w:ascii="Times New Roman" w:eastAsia="宋体" w:hAnsi="Times New Roman"/>
          <w:color w:val="000000"/>
          <w:sz w:val="20"/>
          <w:szCs w:val="20"/>
        </w:rPr>
        <w:t>significant expense and liability or result in orders or consent decrees forcing us to modify our business practices. Such incidents or our efforts to remediate such incidents may also result in a decline in our active user base or engagement levels. Any o</w:t>
      </w:r>
      <w:r>
        <w:rPr>
          <w:rFonts w:ascii="Times New Roman" w:eastAsia="宋体" w:hAnsi="Times New Roman"/>
          <w:color w:val="000000"/>
          <w:sz w:val="20"/>
          <w:szCs w:val="20"/>
        </w:rPr>
        <w:t>f these events could have a material and adverse effect on our business, reputation, or financial results.</w:t>
      </w:r>
    </w:p>
    <w:p w14:paraId="0B2FBC94" w14:textId="77777777" w:rsidR="007F1775" w:rsidRDefault="007F1775">
      <w:pPr>
        <w:ind w:firstLine="540"/>
        <w:jc w:val="both"/>
      </w:pPr>
    </w:p>
    <w:p w14:paraId="0B2FBC95" w14:textId="77777777" w:rsidR="007F1775" w:rsidRDefault="000F083E">
      <w:pPr>
        <w:ind w:firstLine="540"/>
        <w:jc w:val="both"/>
      </w:pPr>
      <w:r>
        <w:rPr>
          <w:rFonts w:ascii="Times New Roman" w:eastAsia="宋体" w:hAnsi="Times New Roman"/>
          <w:color w:val="000000"/>
          <w:sz w:val="20"/>
          <w:szCs w:val="20"/>
        </w:rPr>
        <w:t xml:space="preserve">For example, in September 2018, we announced our discovery of a third-party cyber-attack that exploited a vulnerability in Facebook's code to steal </w:t>
      </w:r>
      <w:r>
        <w:rPr>
          <w:rFonts w:ascii="Times New Roman" w:eastAsia="宋体" w:hAnsi="Times New Roman"/>
          <w:color w:val="000000"/>
          <w:sz w:val="20"/>
          <w:szCs w:val="20"/>
        </w:rPr>
        <w:t>user access tokens, which were then used to access certain profile information from approximately 29 million user accounts on Facebook. The events surrounding this cyber-attack became the subject of Irish Data Protection Commission and other government inq</w:t>
      </w:r>
      <w:r>
        <w:rPr>
          <w:rFonts w:ascii="Times New Roman" w:eastAsia="宋体" w:hAnsi="Times New Roman"/>
          <w:color w:val="000000"/>
          <w:sz w:val="20"/>
          <w:szCs w:val="20"/>
        </w:rPr>
        <w:t>uiries. Any such inquiries could subject us to substantial fines and costs, require us to change our business practices, divert resources and the attention of management from our business, or adversely affect our business.</w:t>
      </w:r>
    </w:p>
    <w:p w14:paraId="0B2FBC96" w14:textId="77777777" w:rsidR="007F1775" w:rsidRDefault="000F083E">
      <w:pPr>
        <w:spacing w:before="180"/>
        <w:jc w:val="both"/>
      </w:pPr>
      <w:r>
        <w:rPr>
          <w:rFonts w:ascii="Times New Roman" w:eastAsia="宋体" w:hAnsi="Times New Roman"/>
          <w:b/>
          <w:bCs/>
          <w:i/>
          <w:iCs/>
          <w:color w:val="000000"/>
          <w:sz w:val="20"/>
          <w:szCs w:val="20"/>
        </w:rPr>
        <w:t>We anticipate that our ongoing ef</w:t>
      </w:r>
      <w:r>
        <w:rPr>
          <w:rFonts w:ascii="Times New Roman" w:eastAsia="宋体" w:hAnsi="Times New Roman"/>
          <w:b/>
          <w:bCs/>
          <w:i/>
          <w:iCs/>
          <w:color w:val="000000"/>
          <w:sz w:val="20"/>
          <w:szCs w:val="20"/>
        </w:rPr>
        <w:t>forts related to privacy, safety, security, and content review will identify additional instances of misuse of user data or other undesirable activity by third parties on our platform.</w:t>
      </w:r>
    </w:p>
    <w:p w14:paraId="0B2FBC97" w14:textId="77777777" w:rsidR="007F1775" w:rsidRDefault="007F1775">
      <w:pPr>
        <w:ind w:firstLine="540"/>
        <w:jc w:val="both"/>
      </w:pPr>
    </w:p>
    <w:p w14:paraId="0B2FBC98" w14:textId="77777777" w:rsidR="007F1775" w:rsidRDefault="000F083E">
      <w:pPr>
        <w:ind w:firstLine="540"/>
        <w:jc w:val="both"/>
      </w:pPr>
      <w:r>
        <w:rPr>
          <w:rFonts w:ascii="Times New Roman" w:eastAsia="宋体" w:hAnsi="Times New Roman"/>
          <w:color w:val="000000"/>
          <w:sz w:val="20"/>
          <w:szCs w:val="20"/>
        </w:rPr>
        <w:t>In addition to our efforts to mitigate cybersecurity risks, we are mak</w:t>
      </w:r>
      <w:r>
        <w:rPr>
          <w:rFonts w:ascii="Times New Roman" w:eastAsia="宋体" w:hAnsi="Times New Roman"/>
          <w:color w:val="000000"/>
          <w:sz w:val="20"/>
          <w:szCs w:val="20"/>
        </w:rPr>
        <w:t>ing significant investments in privacy, safety, security, and content review efforts to combat misuse of our services and user data by third parties, including investigations and audits of platform applications, as well as other enforcement efforts. As a r</w:t>
      </w:r>
      <w:r>
        <w:rPr>
          <w:rFonts w:ascii="Times New Roman" w:eastAsia="宋体" w:hAnsi="Times New Roman"/>
          <w:color w:val="000000"/>
          <w:sz w:val="20"/>
          <w:szCs w:val="20"/>
        </w:rPr>
        <w:t>esult of these efforts we have discovered and announced, and anticipate that we will continue to discover and announce, additional incidents of misuse of user data or other undesirable activity by third parties. We may not discover all such incidents or ac</w:t>
      </w:r>
      <w:r>
        <w:rPr>
          <w:rFonts w:ascii="Times New Roman" w:eastAsia="宋体" w:hAnsi="Times New Roman"/>
          <w:color w:val="000000"/>
          <w:sz w:val="20"/>
          <w:szCs w:val="20"/>
        </w:rPr>
        <w:t>tivity, whether as a result of our data or technical limitations, including our lack of visibility over our encrypted services, the scale of activity on our platform, the allocation of resources to other projects, or other factors, and we may be notified o</w:t>
      </w:r>
      <w:r>
        <w:rPr>
          <w:rFonts w:ascii="Times New Roman" w:eastAsia="宋体" w:hAnsi="Times New Roman"/>
          <w:color w:val="000000"/>
          <w:sz w:val="20"/>
          <w:szCs w:val="20"/>
        </w:rPr>
        <w:t xml:space="preserve">f such incidents or activity by the independent privacy assessor required under our modified consent order with the FTC, the media, or other third parties. Such incidents and activities have in the past, and may in the future, include the use of user data </w:t>
      </w:r>
      <w:r>
        <w:rPr>
          <w:rFonts w:ascii="Times New Roman" w:eastAsia="宋体" w:hAnsi="Times New Roman"/>
          <w:color w:val="000000"/>
          <w:sz w:val="20"/>
          <w:szCs w:val="20"/>
        </w:rPr>
        <w:t>or our systems in a manner inconsistent with our terms, contracts or policies, the existence of false or undesirable user accounts, election interference, improper advertising practices, activities that threaten people's safety on- or offline, or instances</w:t>
      </w:r>
      <w:r>
        <w:rPr>
          <w:rFonts w:ascii="Times New Roman" w:eastAsia="宋体" w:hAnsi="Times New Roman"/>
          <w:color w:val="000000"/>
          <w:sz w:val="20"/>
          <w:szCs w:val="20"/>
        </w:rPr>
        <w:t xml:space="preserve"> of spamming, scraping, data harvesting, unsecured datasets, or spreading misinformation. We may also be unsuccessful in our efforts to enforce our policies or otherwise remediate any such incidents. Consequences of any of the foregoing developments includ</w:t>
      </w:r>
      <w:r>
        <w:rPr>
          <w:rFonts w:ascii="Times New Roman" w:eastAsia="宋体" w:hAnsi="Times New Roman"/>
          <w:color w:val="000000"/>
          <w:sz w:val="20"/>
          <w:szCs w:val="20"/>
        </w:rPr>
        <w:t xml:space="preserve">e negative effects on user trust and engagement, harm to our reputation and brands, changes to our business practices in a manner adverse to our business, and adverse effects on our business and financial results. Any such developments may also subject us </w:t>
      </w:r>
      <w:r>
        <w:rPr>
          <w:rFonts w:ascii="Times New Roman" w:eastAsia="宋体" w:hAnsi="Times New Roman"/>
          <w:color w:val="000000"/>
          <w:sz w:val="20"/>
          <w:szCs w:val="20"/>
        </w:rPr>
        <w:t>to additional litigation and regulatory inquiries, which could subject us to monetary penalties and damages, divert management's time and attention, and lead to enhanced regulatory oversight.</w:t>
      </w:r>
    </w:p>
    <w:p w14:paraId="0B2FBC99" w14:textId="77777777" w:rsidR="007F1775" w:rsidRDefault="000F083E">
      <w:pPr>
        <w:spacing w:before="180"/>
        <w:jc w:val="both"/>
      </w:pPr>
      <w:r>
        <w:rPr>
          <w:rFonts w:ascii="Times New Roman" w:eastAsia="宋体" w:hAnsi="Times New Roman"/>
          <w:b/>
          <w:bCs/>
          <w:i/>
          <w:iCs/>
          <w:color w:val="000000"/>
          <w:sz w:val="20"/>
          <w:szCs w:val="20"/>
        </w:rPr>
        <w:t xml:space="preserve">Our products and internal systems rely on software and hardware </w:t>
      </w:r>
      <w:r>
        <w:rPr>
          <w:rFonts w:ascii="Times New Roman" w:eastAsia="宋体" w:hAnsi="Times New Roman"/>
          <w:b/>
          <w:bCs/>
          <w:i/>
          <w:iCs/>
          <w:color w:val="000000"/>
          <w:sz w:val="20"/>
          <w:szCs w:val="20"/>
        </w:rPr>
        <w:t>that is highly technical, and any errors, bugs, or vulnerabilities in these systems, or failures to address or mitigate technical limitations in our systems, could adversely affect our business.</w:t>
      </w:r>
    </w:p>
    <w:p w14:paraId="0B2FBC9A" w14:textId="77777777" w:rsidR="007F1775" w:rsidRDefault="007F1775">
      <w:pPr>
        <w:ind w:firstLine="540"/>
        <w:jc w:val="both"/>
      </w:pPr>
    </w:p>
    <w:p w14:paraId="0B2FBC9B" w14:textId="77777777" w:rsidR="007F1775" w:rsidRDefault="000F083E">
      <w:pPr>
        <w:ind w:firstLine="540"/>
        <w:jc w:val="both"/>
      </w:pPr>
      <w:r>
        <w:rPr>
          <w:rFonts w:ascii="Times New Roman" w:eastAsia="宋体" w:hAnsi="Times New Roman"/>
          <w:color w:val="000000"/>
          <w:sz w:val="20"/>
          <w:szCs w:val="20"/>
        </w:rPr>
        <w:t>Our products and internal systems rely on software and hardw</w:t>
      </w:r>
      <w:r>
        <w:rPr>
          <w:rFonts w:ascii="Times New Roman" w:eastAsia="宋体" w:hAnsi="Times New Roman"/>
          <w:color w:val="000000"/>
          <w:sz w:val="20"/>
          <w:szCs w:val="20"/>
        </w:rPr>
        <w:t>are, including software and hardware developed or maintained internally and/or by third parties, that is highly technical and complex. In addition, our products and internal systems depend on the ability of such software and hardware to store, retrieve, pr</w:t>
      </w:r>
      <w:r>
        <w:rPr>
          <w:rFonts w:ascii="Times New Roman" w:eastAsia="宋体" w:hAnsi="Times New Roman"/>
          <w:color w:val="000000"/>
          <w:sz w:val="20"/>
          <w:szCs w:val="20"/>
        </w:rPr>
        <w:t>ocess, and manage immense amounts of data. The software and hardware on which we rely has contained, and will in the future contain, errors, bugs, or vulnerabilities, and our systems are subject to certain technical limitations that may compromise our abil</w:t>
      </w:r>
      <w:r>
        <w:rPr>
          <w:rFonts w:ascii="Times New Roman" w:eastAsia="宋体" w:hAnsi="Times New Roman"/>
          <w:color w:val="000000"/>
          <w:sz w:val="20"/>
          <w:szCs w:val="20"/>
        </w:rPr>
        <w:t xml:space="preserve">ity to meet our objectives. Some errors, bugs, or vulnerabilities inherently may be difficult to detect and may only be discovered after the code has been released for external or internal use. For example, in September 2018, we announced our discovery of </w:t>
      </w:r>
      <w:r>
        <w:rPr>
          <w:rFonts w:ascii="Times New Roman" w:eastAsia="宋体" w:hAnsi="Times New Roman"/>
          <w:color w:val="000000"/>
          <w:sz w:val="20"/>
          <w:szCs w:val="20"/>
        </w:rPr>
        <w:t>a third-party cyber-attack that exploited a vulnerability in Facebook's code to steal user access tokens and access certain profile information from user accounts on Facebook. Errors, bugs, vulnerabilities, design defects, or technical limitations within t</w:t>
      </w:r>
      <w:r>
        <w:rPr>
          <w:rFonts w:ascii="Times New Roman" w:eastAsia="宋体" w:hAnsi="Times New Roman"/>
          <w:color w:val="000000"/>
          <w:sz w:val="20"/>
          <w:szCs w:val="20"/>
        </w:rPr>
        <w:t>he software and hardware on which we rely, or human error in using such systems, have in the past led to, and may in the future lead to, outcomes including a negative experience for users and marketers who use our products, compromised ability of our produ</w:t>
      </w:r>
      <w:r>
        <w:rPr>
          <w:rFonts w:ascii="Times New Roman" w:eastAsia="宋体" w:hAnsi="Times New Roman"/>
          <w:color w:val="000000"/>
          <w:sz w:val="20"/>
          <w:szCs w:val="20"/>
        </w:rPr>
        <w:t>cts to perform in a manner consistent with our terms, contracts, or policies, delayed product introductions or enhancements, targeting, measurement, or billing errors, compromised ability to protect the data of our users and/or our intellectual property or</w:t>
      </w:r>
      <w:r>
        <w:rPr>
          <w:rFonts w:ascii="Times New Roman" w:eastAsia="宋体" w:hAnsi="Times New Roman"/>
          <w:color w:val="000000"/>
          <w:sz w:val="20"/>
          <w:szCs w:val="20"/>
        </w:rPr>
        <w:t xml:space="preserve"> other data, or reductions in our ability to provide some or all of our services. For example, we make commitments to our users as to how their data will be used within and across our products, and our systems are subject to errors, bugs and technical limi</w:t>
      </w:r>
      <w:r>
        <w:rPr>
          <w:rFonts w:ascii="Times New Roman" w:eastAsia="宋体" w:hAnsi="Times New Roman"/>
          <w:color w:val="000000"/>
          <w:sz w:val="20"/>
          <w:szCs w:val="20"/>
        </w:rPr>
        <w:t>tations that may prevent us from fulfilling these commitments reliably. In addition, any errors, bugs, vulnerabilities, or defects in our systems or the software and hardware on which we rely, failures to properly address or mitigate the technical limitati</w:t>
      </w:r>
      <w:r>
        <w:rPr>
          <w:rFonts w:ascii="Times New Roman" w:eastAsia="宋体" w:hAnsi="Times New Roman"/>
          <w:color w:val="000000"/>
          <w:sz w:val="20"/>
          <w:szCs w:val="20"/>
        </w:rPr>
        <w:t xml:space="preserve">ons in our systems, or associated degradations or interruptions of service or failures to fulfill our commitments to our users, have in the past led to, and may in the future lead to, outcomes including damage to our </w:t>
      </w:r>
    </w:p>
    <w:p w14:paraId="0B2FBC9C" w14:textId="77777777" w:rsidR="007F1775" w:rsidRDefault="000F083E">
      <w:pPr>
        <w:jc w:val="center"/>
      </w:pPr>
      <w:r>
        <w:rPr>
          <w:rFonts w:ascii="Times New Roman" w:eastAsia="宋体" w:hAnsi="Times New Roman"/>
          <w:color w:val="000000"/>
          <w:sz w:val="20"/>
          <w:szCs w:val="20"/>
        </w:rPr>
        <w:t>80</w:t>
      </w:r>
    </w:p>
    <w:p w14:paraId="0B2FBC9D" w14:textId="77777777" w:rsidR="007F1775" w:rsidRDefault="000F083E">
      <w:r>
        <w:pict w14:anchorId="0B2FBFDD">
          <v:rect id="_x0000_i1104" style="width:415.3pt;height:1.5pt" o:hralign="center" o:hrstd="t" o:hr="t" fillcolor="#a0a0a0" stroked="f"/>
        </w:pict>
      </w:r>
    </w:p>
    <w:p w14:paraId="0B2FBC9E" w14:textId="77777777" w:rsidR="007F1775" w:rsidRDefault="007F1775"/>
    <w:p w14:paraId="0B2FBC9F" w14:textId="77777777" w:rsidR="007F1775" w:rsidRDefault="007F1775"/>
    <w:p w14:paraId="0B2FBCA0" w14:textId="77777777" w:rsidR="007F1775" w:rsidRDefault="000F083E">
      <w:hyperlink r:id="rId158" w:anchor="iea70e328caa94cefb76a9db6ed6338fc_7" w:history="1">
        <w:r>
          <w:rPr>
            <w:rStyle w:val="a5"/>
            <w:rFonts w:ascii="Times New Roman" w:eastAsia="宋体" w:hAnsi="Times New Roman"/>
            <w:sz w:val="20"/>
            <w:szCs w:val="20"/>
          </w:rPr>
          <w:t>Table of Contents</w:t>
        </w:r>
      </w:hyperlink>
    </w:p>
    <w:p w14:paraId="0B2FBCA1" w14:textId="77777777" w:rsidR="007F1775" w:rsidRDefault="000F083E">
      <w:pPr>
        <w:jc w:val="both"/>
      </w:pPr>
      <w:r>
        <w:rPr>
          <w:rFonts w:ascii="Times New Roman" w:eastAsia="宋体" w:hAnsi="Times New Roman"/>
          <w:color w:val="000000"/>
          <w:sz w:val="20"/>
          <w:szCs w:val="20"/>
        </w:rPr>
        <w:t>reputation, loss of users, loss of marketers, loss of revenue, regulatory inquiries, litigation, or liability for fi</w:t>
      </w:r>
      <w:r>
        <w:rPr>
          <w:rFonts w:ascii="Times New Roman" w:eastAsia="宋体" w:hAnsi="Times New Roman"/>
          <w:color w:val="000000"/>
          <w:sz w:val="20"/>
          <w:szCs w:val="20"/>
        </w:rPr>
        <w:t>nes, damages, or other remedies, any of which could adversely affect our business and financial results.</w:t>
      </w:r>
    </w:p>
    <w:p w14:paraId="0B2FBCA2" w14:textId="77777777" w:rsidR="007F1775" w:rsidRDefault="000F083E">
      <w:pPr>
        <w:spacing w:before="180"/>
        <w:jc w:val="both"/>
      </w:pPr>
      <w:r>
        <w:rPr>
          <w:rFonts w:ascii="Times New Roman" w:eastAsia="宋体" w:hAnsi="Times New Roman"/>
          <w:b/>
          <w:bCs/>
          <w:i/>
          <w:iCs/>
          <w:color w:val="000000"/>
          <w:sz w:val="20"/>
          <w:szCs w:val="20"/>
        </w:rPr>
        <w:t>If we are unable to protect our intellectual property, the value of our brands and other intangible assets may be diminished, and our business may be a</w:t>
      </w:r>
      <w:r>
        <w:rPr>
          <w:rFonts w:ascii="Times New Roman" w:eastAsia="宋体" w:hAnsi="Times New Roman"/>
          <w:b/>
          <w:bCs/>
          <w:i/>
          <w:iCs/>
          <w:color w:val="000000"/>
          <w:sz w:val="20"/>
          <w:szCs w:val="20"/>
        </w:rPr>
        <w:t>dversely affected.</w:t>
      </w:r>
    </w:p>
    <w:p w14:paraId="0B2FBCA3" w14:textId="77777777" w:rsidR="007F1775" w:rsidRDefault="007F1775">
      <w:pPr>
        <w:ind w:firstLine="540"/>
        <w:jc w:val="both"/>
      </w:pPr>
    </w:p>
    <w:p w14:paraId="0B2FBCA4" w14:textId="77777777" w:rsidR="007F1775" w:rsidRDefault="000F083E">
      <w:pPr>
        <w:ind w:firstLine="540"/>
        <w:jc w:val="both"/>
      </w:pPr>
      <w:r>
        <w:rPr>
          <w:rFonts w:ascii="Times New Roman" w:eastAsia="宋体" w:hAnsi="Times New Roman"/>
          <w:color w:val="000000"/>
          <w:sz w:val="20"/>
          <w:szCs w:val="20"/>
        </w:rPr>
        <w:t xml:space="preserve">We rely and expect to continue to rely on a combination of confidentiality, assignment, and license agreements with our employees, consultants, and third parties with whom we have relationships, as well as trademark, copyright, patent, </w:t>
      </w:r>
      <w:r>
        <w:rPr>
          <w:rFonts w:ascii="Times New Roman" w:eastAsia="宋体" w:hAnsi="Times New Roman"/>
          <w:color w:val="000000"/>
          <w:sz w:val="20"/>
          <w:szCs w:val="20"/>
        </w:rPr>
        <w:t>trade secret, and domain name protection laws, to protect our proprietary rights. In the United States and internationally, we have filed various applications for protection of certain aspects of our intellectual property, and we currently hold a significa</w:t>
      </w:r>
      <w:r>
        <w:rPr>
          <w:rFonts w:ascii="Times New Roman" w:eastAsia="宋体" w:hAnsi="Times New Roman"/>
          <w:color w:val="000000"/>
          <w:sz w:val="20"/>
          <w:szCs w:val="20"/>
        </w:rPr>
        <w:t>nt number of registered trademarks and issued patents in multiple jurisdictions and have acquired patents and patent applications from third parties. Third parties may knowingly or unknowingly infringe our proprietary rights, third parties may challenge pr</w:t>
      </w:r>
      <w:r>
        <w:rPr>
          <w:rFonts w:ascii="Times New Roman" w:eastAsia="宋体" w:hAnsi="Times New Roman"/>
          <w:color w:val="000000"/>
          <w:sz w:val="20"/>
          <w:szCs w:val="20"/>
        </w:rPr>
        <w:t xml:space="preserve">oprietary rights held by us, and pending and future trademark and patent applications may not be approved. In addition, effective intellectual property protection may not be available in every country in which we operate or intend to operate our business. </w:t>
      </w:r>
      <w:r>
        <w:rPr>
          <w:rFonts w:ascii="Times New Roman" w:eastAsia="宋体" w:hAnsi="Times New Roman"/>
          <w:color w:val="000000"/>
          <w:sz w:val="20"/>
          <w:szCs w:val="20"/>
        </w:rPr>
        <w:t>In any or all of these cases, we may be required to expend significant time and expense in order to prevent infringement or to enforce our rights. Although we have generally taken measures to protect our proprietary rights, there can be no assurance that o</w:t>
      </w:r>
      <w:r>
        <w:rPr>
          <w:rFonts w:ascii="Times New Roman" w:eastAsia="宋体" w:hAnsi="Times New Roman"/>
          <w:color w:val="000000"/>
          <w:sz w:val="20"/>
          <w:szCs w:val="20"/>
        </w:rPr>
        <w:t>thers will not offer products or concepts that are substantially similar to ours and compete with our business. In addition, we regularly contribute software source code under open source licenses and have made other technology we developed available under</w:t>
      </w:r>
      <w:r>
        <w:rPr>
          <w:rFonts w:ascii="Times New Roman" w:eastAsia="宋体" w:hAnsi="Times New Roman"/>
          <w:color w:val="000000"/>
          <w:sz w:val="20"/>
          <w:szCs w:val="20"/>
        </w:rPr>
        <w:t xml:space="preserve"> other open licenses, and we include open source software in our products. As a result of our open source contributions and the use of open source in our products, we may license or be required to license or disclose code and/or innovations that turn out t</w:t>
      </w:r>
      <w:r>
        <w:rPr>
          <w:rFonts w:ascii="Times New Roman" w:eastAsia="宋体" w:hAnsi="Times New Roman"/>
          <w:color w:val="000000"/>
          <w:sz w:val="20"/>
          <w:szCs w:val="20"/>
        </w:rPr>
        <w:t>o be material to our business and may also be exposed to increased litigation risk. If the protection of our proprietary rights is inadequate to prevent unauthorized use or appropriation by third parties, the value of our brands and other intangible assets</w:t>
      </w:r>
      <w:r>
        <w:rPr>
          <w:rFonts w:ascii="Times New Roman" w:eastAsia="宋体" w:hAnsi="Times New Roman"/>
          <w:color w:val="000000"/>
          <w:sz w:val="20"/>
          <w:szCs w:val="20"/>
        </w:rPr>
        <w:t xml:space="preserve"> may be diminished and competitors may be able to more effectively mimic our products, services, and methods of operations. Any of these events could have an adverse effect on our business and financial results.</w:t>
      </w:r>
    </w:p>
    <w:p w14:paraId="0B2FBCA5" w14:textId="77777777" w:rsidR="007F1775" w:rsidRDefault="000F083E">
      <w:pPr>
        <w:spacing w:before="180"/>
        <w:jc w:val="both"/>
      </w:pPr>
      <w:r>
        <w:rPr>
          <w:rFonts w:ascii="Times New Roman" w:eastAsia="宋体" w:hAnsi="Times New Roman"/>
          <w:b/>
          <w:bCs/>
          <w:i/>
          <w:iCs/>
          <w:color w:val="000000"/>
          <w:sz w:val="20"/>
          <w:szCs w:val="20"/>
        </w:rPr>
        <w:t>We are currently, and expect to be in the fu</w:t>
      </w:r>
      <w:r>
        <w:rPr>
          <w:rFonts w:ascii="Times New Roman" w:eastAsia="宋体" w:hAnsi="Times New Roman"/>
          <w:b/>
          <w:bCs/>
          <w:i/>
          <w:iCs/>
          <w:color w:val="000000"/>
          <w:sz w:val="20"/>
          <w:szCs w:val="20"/>
        </w:rPr>
        <w:t>ture, party to patent lawsuits and other intellectual property rights claims that are expensive and time consuming and, if resolved adversely, could have a significant impact on our business, financial condition, or results of operations.</w:t>
      </w:r>
    </w:p>
    <w:p w14:paraId="0B2FBCA6" w14:textId="77777777" w:rsidR="007F1775" w:rsidRDefault="007F1775">
      <w:pPr>
        <w:ind w:firstLine="540"/>
        <w:jc w:val="both"/>
      </w:pPr>
    </w:p>
    <w:p w14:paraId="0B2FBCA7" w14:textId="77777777" w:rsidR="007F1775" w:rsidRDefault="000F083E">
      <w:pPr>
        <w:ind w:firstLine="540"/>
        <w:jc w:val="both"/>
      </w:pPr>
      <w:r>
        <w:rPr>
          <w:rFonts w:ascii="Times New Roman" w:eastAsia="宋体" w:hAnsi="Times New Roman"/>
          <w:color w:val="000000"/>
          <w:sz w:val="20"/>
          <w:szCs w:val="20"/>
        </w:rPr>
        <w:t>Companies in the</w:t>
      </w:r>
      <w:r>
        <w:rPr>
          <w:rFonts w:ascii="Times New Roman" w:eastAsia="宋体" w:hAnsi="Times New Roman"/>
          <w:color w:val="000000"/>
          <w:sz w:val="20"/>
          <w:szCs w:val="20"/>
        </w:rPr>
        <w:t xml:space="preserve"> internet, technology, and media industries own large numbers of patents, copyrights, trademarks, and trade secrets, and frequently enter into litigation based on allegations of infringement, misappropriation, or other violations of intellectual property o</w:t>
      </w:r>
      <w:r>
        <w:rPr>
          <w:rFonts w:ascii="Times New Roman" w:eastAsia="宋体" w:hAnsi="Times New Roman"/>
          <w:color w:val="000000"/>
          <w:sz w:val="20"/>
          <w:szCs w:val="20"/>
        </w:rPr>
        <w:t xml:space="preserve">r other rights. In addition, various "non-practicing entities" that own patents and other intellectual property rights often attempt to aggressively assert their rights in order to extract value from technology companies. Furthermore, from time to time we </w:t>
      </w:r>
      <w:r>
        <w:rPr>
          <w:rFonts w:ascii="Times New Roman" w:eastAsia="宋体" w:hAnsi="Times New Roman"/>
          <w:color w:val="000000"/>
          <w:sz w:val="20"/>
          <w:szCs w:val="20"/>
        </w:rPr>
        <w:t>may introduce or acquire new products, including in areas where we historically have not competed, which could increase our exposure to patent and other intellectual property claims from competitors and non-practicing entities.</w:t>
      </w:r>
    </w:p>
    <w:p w14:paraId="0B2FBCA8" w14:textId="77777777" w:rsidR="007F1775" w:rsidRDefault="007F1775">
      <w:pPr>
        <w:ind w:firstLine="540"/>
        <w:jc w:val="both"/>
      </w:pPr>
    </w:p>
    <w:p w14:paraId="0B2FBCA9" w14:textId="77777777" w:rsidR="007F1775" w:rsidRDefault="000F083E">
      <w:pPr>
        <w:ind w:firstLine="540"/>
        <w:jc w:val="both"/>
      </w:pPr>
      <w:r>
        <w:rPr>
          <w:rFonts w:ascii="Times New Roman" w:eastAsia="宋体" w:hAnsi="Times New Roman"/>
          <w:color w:val="000000"/>
          <w:sz w:val="20"/>
          <w:szCs w:val="20"/>
        </w:rPr>
        <w:t xml:space="preserve">From time to time, we </w:t>
      </w:r>
      <w:r>
        <w:rPr>
          <w:rFonts w:ascii="Times New Roman" w:eastAsia="宋体" w:hAnsi="Times New Roman"/>
          <w:color w:val="000000"/>
          <w:sz w:val="20"/>
          <w:szCs w:val="20"/>
        </w:rPr>
        <w:t>receive notice from patent holders and other parties alleging that certain of our products and services, or user content, infringe their intellectual property rights. We presently are involved in a number of intellectual property lawsuits, and as we face i</w:t>
      </w:r>
      <w:r>
        <w:rPr>
          <w:rFonts w:ascii="Times New Roman" w:eastAsia="宋体" w:hAnsi="Times New Roman"/>
          <w:color w:val="000000"/>
          <w:sz w:val="20"/>
          <w:szCs w:val="20"/>
        </w:rPr>
        <w:t>ncreasing competition and gain an increasingly high profile, we expect the number of patent and other intellectual property claims against us to grow. Defending patent and other intellectual property litigation is costly and can impose a significant burden</w:t>
      </w:r>
      <w:r>
        <w:rPr>
          <w:rFonts w:ascii="Times New Roman" w:eastAsia="宋体" w:hAnsi="Times New Roman"/>
          <w:color w:val="000000"/>
          <w:sz w:val="20"/>
          <w:szCs w:val="20"/>
        </w:rPr>
        <w:t xml:space="preserve"> on management and employees, and there can be no assurances that favorable final outcomes will be obtained in all cases. In addition, plaintiffs may seek, and we may become subject to, preliminary or provisional rulings in the course of any such litigatio</w:t>
      </w:r>
      <w:r>
        <w:rPr>
          <w:rFonts w:ascii="Times New Roman" w:eastAsia="宋体" w:hAnsi="Times New Roman"/>
          <w:color w:val="000000"/>
          <w:sz w:val="20"/>
          <w:szCs w:val="20"/>
        </w:rPr>
        <w:t>n, including potential preliminary injunctions requiring us to cease some or all of our operations. We may decide to settle such lawsuits and disputes on terms that are unfavorable to us. Similarly, if any litigation to which we are a party is resolved adv</w:t>
      </w:r>
      <w:r>
        <w:rPr>
          <w:rFonts w:ascii="Times New Roman" w:eastAsia="宋体" w:hAnsi="Times New Roman"/>
          <w:color w:val="000000"/>
          <w:sz w:val="20"/>
          <w:szCs w:val="20"/>
        </w:rPr>
        <w:t>ersely, we may be subject to an unfavorable judgment that may not be reversed upon appeal. The terms of such a settlement or judgment may require us to cease some or all of our operations or pay substantial amounts to the other party. In addition, we may h</w:t>
      </w:r>
      <w:r>
        <w:rPr>
          <w:rFonts w:ascii="Times New Roman" w:eastAsia="宋体" w:hAnsi="Times New Roman"/>
          <w:color w:val="000000"/>
          <w:sz w:val="20"/>
          <w:szCs w:val="20"/>
        </w:rPr>
        <w:t>ave to seek a license to continue practices found to be in violation of a third party's rights, which may not be available on reasonable terms, or at all, and may significantly increase our operating costs and expenses. As a result, we may also be required</w:t>
      </w:r>
      <w:r>
        <w:rPr>
          <w:rFonts w:ascii="Times New Roman" w:eastAsia="宋体" w:hAnsi="Times New Roman"/>
          <w:color w:val="000000"/>
          <w:sz w:val="20"/>
          <w:szCs w:val="20"/>
        </w:rPr>
        <w:t xml:space="preserve"> to develop alternative non-infringing technology or practices or discontinue the practices. The development of alternative non-infringing technology or practices could require significant effort and expense, could result in less effective technology or pr</w:t>
      </w:r>
      <w:r>
        <w:rPr>
          <w:rFonts w:ascii="Times New Roman" w:eastAsia="宋体" w:hAnsi="Times New Roman"/>
          <w:color w:val="000000"/>
          <w:sz w:val="20"/>
          <w:szCs w:val="20"/>
        </w:rPr>
        <w:t>actices or otherwise negatively affect the user experience, or may not be feasible. We have experienced unfavorable outcomes in such disputes and litigation in the past, and our business, financial condition, and results of operations could be adversely af</w:t>
      </w:r>
      <w:r>
        <w:rPr>
          <w:rFonts w:ascii="Times New Roman" w:eastAsia="宋体" w:hAnsi="Times New Roman"/>
          <w:color w:val="000000"/>
          <w:sz w:val="20"/>
          <w:szCs w:val="20"/>
        </w:rPr>
        <w:t>fected as a result of an unfavorable resolution of the disputes and litigation referred to above.</w:t>
      </w:r>
    </w:p>
    <w:p w14:paraId="0B2FBCAA" w14:textId="77777777" w:rsidR="007F1775" w:rsidRDefault="000F083E">
      <w:pPr>
        <w:jc w:val="center"/>
      </w:pPr>
      <w:r>
        <w:rPr>
          <w:rFonts w:ascii="Times New Roman" w:eastAsia="宋体" w:hAnsi="Times New Roman"/>
          <w:color w:val="000000"/>
          <w:sz w:val="20"/>
          <w:szCs w:val="20"/>
        </w:rPr>
        <w:t>81</w:t>
      </w:r>
    </w:p>
    <w:p w14:paraId="0B2FBCAB" w14:textId="77777777" w:rsidR="007F1775" w:rsidRDefault="000F083E">
      <w:r>
        <w:pict w14:anchorId="0B2FBFDE">
          <v:rect id="_x0000_i1105" style="width:415.3pt;height:1.5pt" o:hralign="center" o:hrstd="t" o:hr="t" fillcolor="#a0a0a0" stroked="f"/>
        </w:pict>
      </w:r>
    </w:p>
    <w:p w14:paraId="0B2FBCAC" w14:textId="77777777" w:rsidR="007F1775" w:rsidRDefault="007F1775"/>
    <w:p w14:paraId="0B2FBCAD" w14:textId="77777777" w:rsidR="007F1775" w:rsidRDefault="007F1775"/>
    <w:p w14:paraId="0B2FBCAE" w14:textId="77777777" w:rsidR="007F1775" w:rsidRDefault="000F083E">
      <w:hyperlink r:id="rId159" w:anchor="iea70e328caa94cefb76a9db6ed6338fc_7" w:history="1">
        <w:r>
          <w:rPr>
            <w:rStyle w:val="a5"/>
            <w:rFonts w:ascii="Times New Roman" w:eastAsia="宋体" w:hAnsi="Times New Roman"/>
            <w:sz w:val="20"/>
            <w:szCs w:val="20"/>
          </w:rPr>
          <w:t>T</w:t>
        </w:r>
        <w:r>
          <w:rPr>
            <w:rStyle w:val="a5"/>
            <w:rFonts w:ascii="Times New Roman" w:eastAsia="宋体" w:hAnsi="Times New Roman"/>
            <w:sz w:val="20"/>
            <w:szCs w:val="20"/>
          </w:rPr>
          <w:t>able of Contents</w:t>
        </w:r>
      </w:hyperlink>
    </w:p>
    <w:p w14:paraId="0B2FBCAF" w14:textId="77777777" w:rsidR="007F1775" w:rsidRDefault="000F083E">
      <w:pPr>
        <w:spacing w:before="180"/>
        <w:jc w:val="center"/>
      </w:pPr>
      <w:r>
        <w:rPr>
          <w:rFonts w:ascii="Times New Roman" w:eastAsia="宋体" w:hAnsi="Times New Roman"/>
          <w:b/>
          <w:bCs/>
          <w:color w:val="000000"/>
          <w:sz w:val="20"/>
          <w:szCs w:val="20"/>
        </w:rPr>
        <w:t>Risks Related to Ownership of Our Class A Common Stock</w:t>
      </w:r>
    </w:p>
    <w:p w14:paraId="0B2FBCB0" w14:textId="77777777" w:rsidR="007F1775" w:rsidRDefault="000F083E">
      <w:pPr>
        <w:spacing w:before="180"/>
        <w:jc w:val="both"/>
      </w:pPr>
      <w:r>
        <w:rPr>
          <w:rFonts w:ascii="Times New Roman" w:eastAsia="宋体" w:hAnsi="Times New Roman"/>
          <w:b/>
          <w:bCs/>
          <w:i/>
          <w:iCs/>
          <w:color w:val="000000"/>
          <w:sz w:val="20"/>
          <w:szCs w:val="20"/>
        </w:rPr>
        <w:t>The trading price of our Class A common stock has been and will likely continue to be volatile.</w:t>
      </w:r>
    </w:p>
    <w:p w14:paraId="0B2FBCB1" w14:textId="77777777" w:rsidR="007F1775" w:rsidRDefault="007F1775">
      <w:pPr>
        <w:ind w:firstLine="540"/>
        <w:jc w:val="both"/>
      </w:pPr>
    </w:p>
    <w:p w14:paraId="0B2FBCB2" w14:textId="77777777" w:rsidR="007F1775" w:rsidRDefault="000F083E">
      <w:pPr>
        <w:ind w:firstLine="540"/>
        <w:jc w:val="both"/>
      </w:pPr>
      <w:r>
        <w:rPr>
          <w:rFonts w:ascii="Times New Roman" w:eastAsia="宋体" w:hAnsi="Times New Roman"/>
          <w:color w:val="000000"/>
          <w:sz w:val="20"/>
          <w:szCs w:val="20"/>
        </w:rPr>
        <w:t xml:space="preserve">The trading price of our Class A common stock has been, and is likely to </w:t>
      </w:r>
      <w:r>
        <w:rPr>
          <w:rFonts w:ascii="Times New Roman" w:eastAsia="宋体" w:hAnsi="Times New Roman"/>
          <w:color w:val="000000"/>
          <w:sz w:val="20"/>
          <w:szCs w:val="20"/>
        </w:rPr>
        <w:t>continue to be, volatile. Since shares of our Class A common stock were sold in our initial public offering in May 2012 at a price of $38.00 per share, our stock price has ranged from $17.55 to $384.33 through March 31, 2022. In addition to the factors dis</w:t>
      </w:r>
      <w:r>
        <w:rPr>
          <w:rFonts w:ascii="Times New Roman" w:eastAsia="宋体" w:hAnsi="Times New Roman"/>
          <w:color w:val="000000"/>
          <w:sz w:val="20"/>
          <w:szCs w:val="20"/>
        </w:rPr>
        <w:t>cussed in this Quarterly Report on Form 10-Q, the trading price of our Class A common stock has in the past fluctuated and may in the future fluctuate significantly in response to numerous factors, many of which are beyond our control, including:</w:t>
      </w:r>
    </w:p>
    <w:p w14:paraId="0B2FBCB3"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•actual o</w:t>
      </w:r>
      <w:r>
        <w:rPr>
          <w:rFonts w:ascii="Times New Roman" w:eastAsia="宋体" w:hAnsi="Times New Roman"/>
          <w:color w:val="000000"/>
          <w:sz w:val="20"/>
          <w:szCs w:val="20"/>
        </w:rPr>
        <w:t>r anticipated fluctuations in our revenue and other operating results for either of our reportable segments;</w:t>
      </w:r>
    </w:p>
    <w:p w14:paraId="0B2FBCB4"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financial projections we may provide to the public, any changes in these projections, or our failure to meet these projections;</w:t>
      </w:r>
    </w:p>
    <w:p w14:paraId="0B2FBCB5"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•actions of se</w:t>
      </w:r>
      <w:r>
        <w:rPr>
          <w:rFonts w:ascii="Times New Roman" w:eastAsia="宋体" w:hAnsi="Times New Roman"/>
          <w:color w:val="000000"/>
          <w:sz w:val="20"/>
          <w:szCs w:val="20"/>
        </w:rPr>
        <w:t>curities analysts who initiate or maintain coverage of us, changes in financial estimates by any securities analysts who follow our company, or our failure to meet these estimates or the expectations of investors;</w:t>
      </w:r>
    </w:p>
    <w:p w14:paraId="0B2FBCB6"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•additional shares of our stock being sold</w:t>
      </w:r>
      <w:r>
        <w:rPr>
          <w:rFonts w:ascii="Times New Roman" w:eastAsia="宋体" w:hAnsi="Times New Roman"/>
          <w:color w:val="000000"/>
          <w:sz w:val="20"/>
          <w:szCs w:val="20"/>
        </w:rPr>
        <w:t xml:space="preserve"> into the market by us, our existing stockholders, or in connection with acquisitions, or the anticipation of such sales;</w:t>
      </w:r>
    </w:p>
    <w:p w14:paraId="0B2FBCB7"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•investor sentiment with respect to our competitors, our business partners, and our industry in general;</w:t>
      </w:r>
    </w:p>
    <w:p w14:paraId="0B2FBCB8"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•announcements by us or our c</w:t>
      </w:r>
      <w:r>
        <w:rPr>
          <w:rFonts w:ascii="Times New Roman" w:eastAsia="宋体" w:hAnsi="Times New Roman"/>
          <w:color w:val="000000"/>
          <w:sz w:val="20"/>
          <w:szCs w:val="20"/>
        </w:rPr>
        <w:t>ompetitors of significant products or features, technical innovations, acquisitions, strategic partnerships, joint ventures, or capital commitments;</w:t>
      </w:r>
    </w:p>
    <w:p w14:paraId="0B2FBCB9"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•announcements by us or estimates by third parties of actual or anticipated changes in the size of our user</w:t>
      </w:r>
      <w:r>
        <w:rPr>
          <w:rFonts w:ascii="Times New Roman" w:eastAsia="宋体" w:hAnsi="Times New Roman"/>
          <w:color w:val="000000"/>
          <w:sz w:val="20"/>
          <w:szCs w:val="20"/>
        </w:rPr>
        <w:t xml:space="preserve"> base, the level of user engagement, or the effectiveness of our ad products;</w:t>
      </w:r>
    </w:p>
    <w:p w14:paraId="0B2FBCBA"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•changes in operating performance and stock market valuations of technology companies in our industry, including our developers and competitors;</w:t>
      </w:r>
    </w:p>
    <w:p w14:paraId="0B2FBCBB"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•price and volume fluctuations in</w:t>
      </w:r>
      <w:r>
        <w:rPr>
          <w:rFonts w:ascii="Times New Roman" w:eastAsia="宋体" w:hAnsi="Times New Roman"/>
          <w:color w:val="000000"/>
          <w:sz w:val="20"/>
          <w:szCs w:val="20"/>
        </w:rPr>
        <w:t xml:space="preserve"> the overall stock market, including as a result of trends in the economy as a whole;</w:t>
      </w:r>
    </w:p>
    <w:p w14:paraId="0B2FBCBC"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•the inclusion, exclusion, or deletion of our stock from any trading indices, such as the S&amp;P 500 Index;</w:t>
      </w:r>
    </w:p>
    <w:p w14:paraId="0B2FBCBD"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•media coverage of our business and financial performance;</w:t>
      </w:r>
    </w:p>
    <w:p w14:paraId="0B2FBCB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•lawsu</w:t>
      </w:r>
      <w:r>
        <w:rPr>
          <w:rFonts w:ascii="Times New Roman" w:eastAsia="宋体" w:hAnsi="Times New Roman"/>
          <w:color w:val="000000"/>
          <w:sz w:val="20"/>
          <w:szCs w:val="20"/>
        </w:rPr>
        <w:t>its threatened or filed against us, or developments in pending lawsuits;</w:t>
      </w:r>
    </w:p>
    <w:p w14:paraId="0B2FBCB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•adverse government actions or legislative or regulatory developments relating to advertising, competition, content, privacy, or other matters, including interim or final rulings by t</w:t>
      </w:r>
      <w:r>
        <w:rPr>
          <w:rFonts w:ascii="Times New Roman" w:eastAsia="宋体" w:hAnsi="Times New Roman"/>
          <w:color w:val="000000"/>
          <w:sz w:val="20"/>
          <w:szCs w:val="20"/>
        </w:rPr>
        <w:t>ax, judicial, or regulatory bodies;</w:t>
      </w:r>
    </w:p>
    <w:p w14:paraId="0B2FBCC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•trading activity in our share repurchase program; and</w:t>
      </w:r>
    </w:p>
    <w:p w14:paraId="0B2FBCC1"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•other events or factors, including those resulting from war, incidents of terrorism, pandemics, and other disruptive external events, or responses to these </w:t>
      </w:r>
      <w:r>
        <w:rPr>
          <w:rFonts w:ascii="Times New Roman" w:eastAsia="宋体" w:hAnsi="Times New Roman"/>
          <w:color w:val="000000"/>
          <w:sz w:val="20"/>
          <w:szCs w:val="20"/>
        </w:rPr>
        <w:t>events.</w:t>
      </w:r>
    </w:p>
    <w:p w14:paraId="0B2FBCC2" w14:textId="77777777" w:rsidR="007F1775" w:rsidRDefault="007F1775">
      <w:pPr>
        <w:ind w:firstLine="540"/>
        <w:jc w:val="both"/>
      </w:pPr>
    </w:p>
    <w:p w14:paraId="0B2FBCC3" w14:textId="77777777" w:rsidR="007F1775" w:rsidRDefault="000F083E">
      <w:pPr>
        <w:ind w:firstLine="540"/>
        <w:jc w:val="both"/>
      </w:pPr>
      <w:r>
        <w:rPr>
          <w:rFonts w:ascii="Times New Roman" w:eastAsia="宋体" w:hAnsi="Times New Roman"/>
          <w:color w:val="000000"/>
          <w:sz w:val="20"/>
          <w:szCs w:val="20"/>
        </w:rPr>
        <w:t xml:space="preserve">In addition, the stock markets have experienced extreme price and volume fluctuations that have affected and continue to affect the market prices of equity securities of many technology companies. We are currently subject to securities litigation </w:t>
      </w:r>
      <w:r>
        <w:rPr>
          <w:rFonts w:ascii="Times New Roman" w:eastAsia="宋体" w:hAnsi="Times New Roman"/>
          <w:color w:val="000000"/>
          <w:sz w:val="20"/>
          <w:szCs w:val="20"/>
        </w:rPr>
        <w:t xml:space="preserve">in connection with our platform and user data practices and the misuse of certain data by a developer that shared such data with third parties in violation of our terms and policies; the disclosure of our earnings results for the second quarter of 2018; a </w:t>
      </w:r>
      <w:r>
        <w:rPr>
          <w:rFonts w:ascii="Times New Roman" w:eastAsia="宋体" w:hAnsi="Times New Roman"/>
          <w:color w:val="000000"/>
          <w:sz w:val="20"/>
          <w:szCs w:val="20"/>
        </w:rPr>
        <w:t>former employee's allegations and release of internal company documents beginning in September 2021; and the disclosure of our earnings results for the fourth quarter of 2021. We may experience more such litigation following future periods of volatility. A</w:t>
      </w:r>
      <w:r>
        <w:rPr>
          <w:rFonts w:ascii="Times New Roman" w:eastAsia="宋体" w:hAnsi="Times New Roman"/>
          <w:color w:val="000000"/>
          <w:sz w:val="20"/>
          <w:szCs w:val="20"/>
        </w:rPr>
        <w:t>ny securities litigation could subject us to substantial costs, divert resources and the attention of management from our business, and adversely affect our business.</w:t>
      </w:r>
    </w:p>
    <w:p w14:paraId="0B2FBCC4" w14:textId="77777777" w:rsidR="007F1775" w:rsidRDefault="000F083E">
      <w:pPr>
        <w:jc w:val="center"/>
      </w:pPr>
      <w:r>
        <w:rPr>
          <w:rFonts w:ascii="Times New Roman" w:eastAsia="宋体" w:hAnsi="Times New Roman"/>
          <w:color w:val="000000"/>
          <w:sz w:val="20"/>
          <w:szCs w:val="20"/>
        </w:rPr>
        <w:t>82</w:t>
      </w:r>
    </w:p>
    <w:p w14:paraId="0B2FBCC5" w14:textId="77777777" w:rsidR="007F1775" w:rsidRDefault="000F083E">
      <w:r>
        <w:pict w14:anchorId="0B2FBFDF">
          <v:rect id="_x0000_i1106" style="width:415.3pt;height:1.5pt" o:hralign="center" o:hrstd="t" o:hr="t" fillcolor="#a0a0a0" stroked="f"/>
        </w:pict>
      </w:r>
    </w:p>
    <w:p w14:paraId="0B2FBCC6" w14:textId="77777777" w:rsidR="007F1775" w:rsidRDefault="007F1775"/>
    <w:p w14:paraId="0B2FBCC7" w14:textId="77777777" w:rsidR="007F1775" w:rsidRDefault="007F1775"/>
    <w:p w14:paraId="0B2FBCC8" w14:textId="77777777" w:rsidR="007F1775" w:rsidRDefault="000F083E">
      <w:hyperlink r:id="rId160" w:anchor="iea70e328caa94cefb76a9db6ed6338fc_7" w:history="1">
        <w:r>
          <w:rPr>
            <w:rStyle w:val="a5"/>
            <w:rFonts w:ascii="Times New Roman" w:eastAsia="宋体" w:hAnsi="Times New Roman"/>
            <w:sz w:val="20"/>
            <w:szCs w:val="20"/>
          </w:rPr>
          <w:t>Table of Contents</w:t>
        </w:r>
      </w:hyperlink>
    </w:p>
    <w:p w14:paraId="0B2FBCC9" w14:textId="77777777" w:rsidR="007F1775" w:rsidRDefault="000F083E">
      <w:pPr>
        <w:spacing w:before="180"/>
        <w:jc w:val="both"/>
      </w:pPr>
      <w:r>
        <w:rPr>
          <w:rFonts w:ascii="Times New Roman" w:eastAsia="宋体" w:hAnsi="Times New Roman"/>
          <w:b/>
          <w:bCs/>
          <w:i/>
          <w:iCs/>
          <w:color w:val="000000"/>
          <w:sz w:val="20"/>
          <w:szCs w:val="20"/>
        </w:rPr>
        <w:t>We do not intend to pay cash dividends for the foreseeable future.</w:t>
      </w:r>
    </w:p>
    <w:p w14:paraId="0B2FBCCA" w14:textId="77777777" w:rsidR="007F1775" w:rsidRDefault="007F1775">
      <w:pPr>
        <w:ind w:firstLine="540"/>
        <w:jc w:val="both"/>
      </w:pPr>
    </w:p>
    <w:p w14:paraId="0B2FBCCB" w14:textId="77777777" w:rsidR="007F1775" w:rsidRDefault="000F083E">
      <w:pPr>
        <w:ind w:firstLine="540"/>
        <w:jc w:val="both"/>
      </w:pPr>
      <w:r>
        <w:rPr>
          <w:rFonts w:ascii="Times New Roman" w:eastAsia="宋体" w:hAnsi="Times New Roman"/>
          <w:color w:val="000000"/>
          <w:sz w:val="20"/>
          <w:szCs w:val="20"/>
        </w:rPr>
        <w:t xml:space="preserve">We have never declared or paid cash dividends on our capital stock. We currently intend to </w:t>
      </w:r>
      <w:r>
        <w:rPr>
          <w:rFonts w:ascii="Times New Roman" w:eastAsia="宋体" w:hAnsi="Times New Roman"/>
          <w:color w:val="000000"/>
          <w:sz w:val="20"/>
          <w:szCs w:val="20"/>
        </w:rPr>
        <w:t>retain any future earnings to finance the operation and expansion of our business and fund our share repurchase program, and we do not expect to declare or pay any cash dividends in the foreseeable future. As a result, you may only receive a return on your</w:t>
      </w:r>
      <w:r>
        <w:rPr>
          <w:rFonts w:ascii="Times New Roman" w:eastAsia="宋体" w:hAnsi="Times New Roman"/>
          <w:color w:val="000000"/>
          <w:sz w:val="20"/>
          <w:szCs w:val="20"/>
        </w:rPr>
        <w:t xml:space="preserve"> investment in our Class A common stock if the trading price of your shares increases.</w:t>
      </w:r>
    </w:p>
    <w:p w14:paraId="0B2FBCCC" w14:textId="77777777" w:rsidR="007F1775" w:rsidRDefault="000F083E">
      <w:pPr>
        <w:spacing w:before="180"/>
        <w:jc w:val="both"/>
      </w:pPr>
      <w:r>
        <w:rPr>
          <w:rFonts w:ascii="Times New Roman" w:eastAsia="宋体" w:hAnsi="Times New Roman"/>
          <w:b/>
          <w:bCs/>
          <w:i/>
          <w:iCs/>
          <w:color w:val="000000"/>
          <w:sz w:val="20"/>
          <w:szCs w:val="20"/>
        </w:rPr>
        <w:t>The dual class structure of our common stock and a voting agreement between certain stockholders have the effect of concentrating voting control with our CEO and certain</w:t>
      </w:r>
      <w:r>
        <w:rPr>
          <w:rFonts w:ascii="Times New Roman" w:eastAsia="宋体" w:hAnsi="Times New Roman"/>
          <w:b/>
          <w:bCs/>
          <w:i/>
          <w:iCs/>
          <w:color w:val="000000"/>
          <w:sz w:val="20"/>
          <w:szCs w:val="20"/>
        </w:rPr>
        <w:t xml:space="preserve"> other holders of our Class B common stock; this will limit or preclude your ability to influence corporate matters.</w:t>
      </w:r>
    </w:p>
    <w:p w14:paraId="0B2FBCCD" w14:textId="77777777" w:rsidR="007F1775" w:rsidRDefault="007F1775">
      <w:pPr>
        <w:ind w:firstLine="540"/>
        <w:jc w:val="both"/>
      </w:pPr>
    </w:p>
    <w:p w14:paraId="0B2FBCCE" w14:textId="77777777" w:rsidR="007F1775" w:rsidRDefault="000F083E">
      <w:pPr>
        <w:ind w:firstLine="540"/>
        <w:jc w:val="both"/>
      </w:pPr>
      <w:r>
        <w:rPr>
          <w:rFonts w:ascii="Times New Roman" w:eastAsia="宋体" w:hAnsi="Times New Roman"/>
          <w:color w:val="000000"/>
          <w:sz w:val="20"/>
          <w:szCs w:val="20"/>
        </w:rPr>
        <w:t>Our Class B common stock has ten votes per share and our Class A common stock has one vote per share. Stockholders who hold shares of Clas</w:t>
      </w:r>
      <w:r>
        <w:rPr>
          <w:rFonts w:ascii="Times New Roman" w:eastAsia="宋体" w:hAnsi="Times New Roman"/>
          <w:color w:val="000000"/>
          <w:sz w:val="20"/>
          <w:szCs w:val="20"/>
        </w:rPr>
        <w:t>s B common stock, including certain of our executive officers, employees, and directors and their affiliates, together hold a substantial majority of the voting power of our outstanding capital stock. Because of the ten-to-one voting ratio between our Clas</w:t>
      </w:r>
      <w:r>
        <w:rPr>
          <w:rFonts w:ascii="Times New Roman" w:eastAsia="宋体" w:hAnsi="Times New Roman"/>
          <w:color w:val="000000"/>
          <w:sz w:val="20"/>
          <w:szCs w:val="20"/>
        </w:rPr>
        <w:t>s B and Class A common stock, the holders of our Class B common stock collectively control a majority of the combined voting power of our common stock and therefore are able to control all matters submitted to our stockholders for approval so long as the s</w:t>
      </w:r>
      <w:r>
        <w:rPr>
          <w:rFonts w:ascii="Times New Roman" w:eastAsia="宋体" w:hAnsi="Times New Roman"/>
          <w:color w:val="000000"/>
          <w:sz w:val="20"/>
          <w:szCs w:val="20"/>
        </w:rPr>
        <w:t>hares of Class B common stock represent at least 9.1% of all outstanding shares of our Class A and Class B common stock. This concentrated control will limit or preclude your ability to influence corporate matters for the foreseeable future.</w:t>
      </w:r>
    </w:p>
    <w:p w14:paraId="0B2FBCCF" w14:textId="77777777" w:rsidR="007F1775" w:rsidRDefault="007F1775">
      <w:pPr>
        <w:ind w:firstLine="540"/>
        <w:jc w:val="both"/>
      </w:pPr>
    </w:p>
    <w:p w14:paraId="0B2FBCD0" w14:textId="77777777" w:rsidR="007F1775" w:rsidRDefault="000F083E">
      <w:pPr>
        <w:ind w:firstLine="540"/>
        <w:jc w:val="both"/>
      </w:pPr>
      <w:r>
        <w:rPr>
          <w:rFonts w:ascii="Times New Roman" w:eastAsia="宋体" w:hAnsi="Times New Roman"/>
          <w:color w:val="000000"/>
          <w:sz w:val="20"/>
          <w:szCs w:val="20"/>
        </w:rPr>
        <w:t xml:space="preserve">Transfers by </w:t>
      </w:r>
      <w:r>
        <w:rPr>
          <w:rFonts w:ascii="Times New Roman" w:eastAsia="宋体" w:hAnsi="Times New Roman"/>
          <w:color w:val="000000"/>
          <w:sz w:val="20"/>
          <w:szCs w:val="20"/>
        </w:rPr>
        <w:t>holders of Class B common stock will generally result in those shares converting to Class A common stock, subject to limited exceptions, such as certain transfers effected for estate planning or charitable purposes. The conversion of Class B common stock t</w:t>
      </w:r>
      <w:r>
        <w:rPr>
          <w:rFonts w:ascii="Times New Roman" w:eastAsia="宋体" w:hAnsi="Times New Roman"/>
          <w:color w:val="000000"/>
          <w:sz w:val="20"/>
          <w:szCs w:val="20"/>
        </w:rPr>
        <w:t>o Class A common stock will have the effect, over time, of increasing the relative voting power of those holders of Class B common stock who retain their shares in the long term. If, for example, Mr. Zuckerberg retains a significant portion of his holdings</w:t>
      </w:r>
      <w:r>
        <w:rPr>
          <w:rFonts w:ascii="Times New Roman" w:eastAsia="宋体" w:hAnsi="Times New Roman"/>
          <w:color w:val="000000"/>
          <w:sz w:val="20"/>
          <w:szCs w:val="20"/>
        </w:rPr>
        <w:t xml:space="preserve"> of Class B common stock for an extended period of time, he could, in the future, continue to control a majority of the combined voting power of our outstanding capital stock.</w:t>
      </w:r>
    </w:p>
    <w:p w14:paraId="0B2FBCD1" w14:textId="77777777" w:rsidR="007F1775" w:rsidRDefault="000F083E">
      <w:pPr>
        <w:spacing w:before="180"/>
        <w:jc w:val="both"/>
      </w:pPr>
      <w:r>
        <w:rPr>
          <w:rFonts w:ascii="Times New Roman" w:eastAsia="宋体" w:hAnsi="Times New Roman"/>
          <w:b/>
          <w:bCs/>
          <w:i/>
          <w:iCs/>
          <w:color w:val="000000"/>
          <w:sz w:val="20"/>
          <w:szCs w:val="20"/>
        </w:rPr>
        <w:t>Our status as a "controlled company" could make our Class A common stock less at</w:t>
      </w:r>
      <w:r>
        <w:rPr>
          <w:rFonts w:ascii="Times New Roman" w:eastAsia="宋体" w:hAnsi="Times New Roman"/>
          <w:b/>
          <w:bCs/>
          <w:i/>
          <w:iCs/>
          <w:color w:val="000000"/>
          <w:sz w:val="20"/>
          <w:szCs w:val="20"/>
        </w:rPr>
        <w:t>tractive to some investors or otherwise harm our stock price.</w:t>
      </w:r>
    </w:p>
    <w:p w14:paraId="0B2FBCD2" w14:textId="77777777" w:rsidR="007F1775" w:rsidRDefault="007F1775">
      <w:pPr>
        <w:ind w:firstLine="540"/>
        <w:jc w:val="both"/>
      </w:pPr>
    </w:p>
    <w:p w14:paraId="0B2FBCD3" w14:textId="77777777" w:rsidR="007F1775" w:rsidRDefault="000F083E">
      <w:pPr>
        <w:ind w:firstLine="540"/>
        <w:jc w:val="both"/>
      </w:pPr>
      <w:r>
        <w:rPr>
          <w:rFonts w:ascii="Times New Roman" w:eastAsia="宋体" w:hAnsi="Times New Roman"/>
          <w:color w:val="000000"/>
          <w:sz w:val="20"/>
          <w:szCs w:val="20"/>
        </w:rPr>
        <w:t>Because we qualify as a "controlled company" under the corporate governance rules for Nasdaq-listed companies, we are not required to have a majority of our board of directors be independent, n</w:t>
      </w:r>
      <w:r>
        <w:rPr>
          <w:rFonts w:ascii="Times New Roman" w:eastAsia="宋体" w:hAnsi="Times New Roman"/>
          <w:color w:val="000000"/>
          <w:sz w:val="20"/>
          <w:szCs w:val="20"/>
        </w:rPr>
        <w:t>or are we required to have a compensation committee or an independent nominating function. In the future we could elect not to have a majority of our board of directors be independent or not to have a compensation committee or an independent nominating fun</w:t>
      </w:r>
      <w:r>
        <w:rPr>
          <w:rFonts w:ascii="Times New Roman" w:eastAsia="宋体" w:hAnsi="Times New Roman"/>
          <w:color w:val="000000"/>
          <w:sz w:val="20"/>
          <w:szCs w:val="20"/>
        </w:rPr>
        <w:t>ction. Accordingly, should the interests of our controlling stockholder differ from those of other stockholders, the other stockholders may not have the same protections afforded to stockholders of companies that are subject to all of the corporate governa</w:t>
      </w:r>
      <w:r>
        <w:rPr>
          <w:rFonts w:ascii="Times New Roman" w:eastAsia="宋体" w:hAnsi="Times New Roman"/>
          <w:color w:val="000000"/>
          <w:sz w:val="20"/>
          <w:szCs w:val="20"/>
        </w:rPr>
        <w:t>nce rules for Nasdaq-listed companies. Our status as a controlled company could make our Class A common stock less attractive to some investors or otherwise harm our stock price.</w:t>
      </w:r>
    </w:p>
    <w:p w14:paraId="0B2FBCD4" w14:textId="77777777" w:rsidR="007F1775" w:rsidRDefault="000F083E">
      <w:pPr>
        <w:spacing w:before="180"/>
        <w:jc w:val="both"/>
      </w:pPr>
      <w:r>
        <w:rPr>
          <w:rFonts w:ascii="Times New Roman" w:eastAsia="宋体" w:hAnsi="Times New Roman"/>
          <w:b/>
          <w:bCs/>
          <w:i/>
          <w:iCs/>
          <w:color w:val="000000"/>
          <w:sz w:val="20"/>
          <w:szCs w:val="20"/>
        </w:rPr>
        <w:t>Delaware law and provisions in our certificate of incorporation and bylaws co</w:t>
      </w:r>
      <w:r>
        <w:rPr>
          <w:rFonts w:ascii="Times New Roman" w:eastAsia="宋体" w:hAnsi="Times New Roman"/>
          <w:b/>
          <w:bCs/>
          <w:i/>
          <w:iCs/>
          <w:color w:val="000000"/>
          <w:sz w:val="20"/>
          <w:szCs w:val="20"/>
        </w:rPr>
        <w:t>uld make a merger, tender offer, or proxy contest difficult, thereby depressing the trading price of our Class A common stock.</w:t>
      </w:r>
    </w:p>
    <w:p w14:paraId="0B2FBCD5" w14:textId="77777777" w:rsidR="007F1775" w:rsidRDefault="007F1775">
      <w:pPr>
        <w:ind w:firstLine="540"/>
        <w:jc w:val="both"/>
      </w:pPr>
    </w:p>
    <w:p w14:paraId="0B2FBCD6" w14:textId="77777777" w:rsidR="007F1775" w:rsidRDefault="000F083E">
      <w:pPr>
        <w:ind w:firstLine="540"/>
        <w:jc w:val="both"/>
      </w:pPr>
      <w:r>
        <w:rPr>
          <w:rFonts w:ascii="Times New Roman" w:eastAsia="宋体" w:hAnsi="Times New Roman"/>
          <w:color w:val="000000"/>
          <w:sz w:val="20"/>
          <w:szCs w:val="20"/>
        </w:rPr>
        <w:t>Our status as a Delaware corporation and the anti-takeover provisions of the Delaware General Corporation Law may discourage, de</w:t>
      </w:r>
      <w:r>
        <w:rPr>
          <w:rFonts w:ascii="Times New Roman" w:eastAsia="宋体" w:hAnsi="Times New Roman"/>
          <w:color w:val="000000"/>
          <w:sz w:val="20"/>
          <w:szCs w:val="20"/>
        </w:rPr>
        <w:t xml:space="preserve">lay, or prevent a change in control by prohibiting us from engaging in a business combination with an interested stockholder for a period of three years after the person becomes an interested stockholder, even if a change of control would be beneficial to </w:t>
      </w:r>
      <w:r>
        <w:rPr>
          <w:rFonts w:ascii="Times New Roman" w:eastAsia="宋体" w:hAnsi="Times New Roman"/>
          <w:color w:val="000000"/>
          <w:sz w:val="20"/>
          <w:szCs w:val="20"/>
        </w:rPr>
        <w:t>our existing stockholders. In addition, our current certificate of incorporation and bylaws contain provisions that may make the acquisition of our company more difficult, including the following:</w:t>
      </w:r>
    </w:p>
    <w:p w14:paraId="0B2FBCD7"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•until the first date on which the outstanding shares of ou</w:t>
      </w:r>
      <w:r>
        <w:rPr>
          <w:rFonts w:ascii="Times New Roman" w:eastAsia="宋体" w:hAnsi="Times New Roman"/>
          <w:color w:val="000000"/>
          <w:sz w:val="20"/>
          <w:szCs w:val="20"/>
        </w:rPr>
        <w:t>r Class B common stock represent less than 35% of the combined voting power of our common stock, any transaction that would result in a change in control of our company requires the approval of a majority of our outstanding Class B common stock voting as a</w:t>
      </w:r>
      <w:r>
        <w:rPr>
          <w:rFonts w:ascii="Times New Roman" w:eastAsia="宋体" w:hAnsi="Times New Roman"/>
          <w:color w:val="000000"/>
          <w:sz w:val="20"/>
          <w:szCs w:val="20"/>
        </w:rPr>
        <w:t xml:space="preserve"> separate class;</w:t>
      </w:r>
    </w:p>
    <w:p w14:paraId="0B2FBCD8"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•we currently have a dual class common stock structure, which provides Mr. Zuckerberg with the ability to control the outcome of matters requiring stockholder approval, even if he owns significantly less than a majority of the shares of </w:t>
      </w:r>
      <w:r>
        <w:rPr>
          <w:rFonts w:ascii="Times New Roman" w:eastAsia="宋体" w:hAnsi="Times New Roman"/>
          <w:color w:val="000000"/>
          <w:sz w:val="20"/>
          <w:szCs w:val="20"/>
        </w:rPr>
        <w:t>our outstanding Class A and Class B common stock;</w:t>
      </w:r>
    </w:p>
    <w:p w14:paraId="0B2FBCD9" w14:textId="77777777" w:rsidR="007F1775" w:rsidRDefault="000F083E">
      <w:pPr>
        <w:jc w:val="center"/>
      </w:pPr>
      <w:r>
        <w:rPr>
          <w:rFonts w:ascii="Times New Roman" w:eastAsia="宋体" w:hAnsi="Times New Roman"/>
          <w:color w:val="000000"/>
          <w:sz w:val="20"/>
          <w:szCs w:val="20"/>
        </w:rPr>
        <w:t>83</w:t>
      </w:r>
    </w:p>
    <w:p w14:paraId="0B2FBCDA" w14:textId="77777777" w:rsidR="007F1775" w:rsidRDefault="000F083E">
      <w:r>
        <w:pict w14:anchorId="0B2FBFE0">
          <v:rect id="_x0000_i1107" style="width:415.3pt;height:1.5pt" o:hralign="center" o:hrstd="t" o:hr="t" fillcolor="#a0a0a0" stroked="f"/>
        </w:pict>
      </w:r>
    </w:p>
    <w:p w14:paraId="0B2FBCDB" w14:textId="77777777" w:rsidR="007F1775" w:rsidRDefault="007F1775"/>
    <w:p w14:paraId="0B2FBCDC" w14:textId="77777777" w:rsidR="007F1775" w:rsidRDefault="007F1775"/>
    <w:p w14:paraId="0B2FBCDD" w14:textId="77777777" w:rsidR="007F1775" w:rsidRDefault="000F083E">
      <w:hyperlink r:id="rId161" w:anchor="iea70e328caa94cefb76a9db6ed6338fc_7" w:history="1">
        <w:r>
          <w:rPr>
            <w:rStyle w:val="a5"/>
            <w:rFonts w:ascii="Times New Roman" w:eastAsia="宋体" w:hAnsi="Times New Roman"/>
            <w:sz w:val="20"/>
            <w:szCs w:val="20"/>
          </w:rPr>
          <w:t>Table of Contents</w:t>
        </w:r>
      </w:hyperlink>
    </w:p>
    <w:p w14:paraId="0B2FBCDE"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•when the outstanding shares</w:t>
      </w:r>
      <w:r>
        <w:rPr>
          <w:rFonts w:ascii="Times New Roman" w:eastAsia="宋体" w:hAnsi="Times New Roman"/>
          <w:color w:val="000000"/>
          <w:sz w:val="20"/>
          <w:szCs w:val="20"/>
        </w:rPr>
        <w:t xml:space="preserve"> of our Class B common stock represent less than a majority of the combined voting power of common stock, certain amendments to our certificate of incorporation or bylaws will require the approval of two-thirds of the combined vote of our then-outstanding </w:t>
      </w:r>
      <w:r>
        <w:rPr>
          <w:rFonts w:ascii="Times New Roman" w:eastAsia="宋体" w:hAnsi="Times New Roman"/>
          <w:color w:val="000000"/>
          <w:sz w:val="20"/>
          <w:szCs w:val="20"/>
        </w:rPr>
        <w:t>shares of Class A and Class B common stock;</w:t>
      </w:r>
    </w:p>
    <w:p w14:paraId="0B2FBCDF"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•when the outstanding shares of our Class B common stock represent less than a majority of the combined voting power of our common stock, vacancies on our board of directors will be able to be filled only by our </w:t>
      </w:r>
      <w:r>
        <w:rPr>
          <w:rFonts w:ascii="Times New Roman" w:eastAsia="宋体" w:hAnsi="Times New Roman"/>
          <w:color w:val="000000"/>
          <w:sz w:val="20"/>
          <w:szCs w:val="20"/>
        </w:rPr>
        <w:t>board of directors and not by stockholders;</w:t>
      </w:r>
    </w:p>
    <w:p w14:paraId="0B2FBCE0"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•when the outstanding shares of our Class B common stock represent less than a majority of the combined voting power of our common stock, our board of directors will be classified into three classes of directors </w:t>
      </w:r>
      <w:r>
        <w:rPr>
          <w:rFonts w:ascii="Times New Roman" w:eastAsia="宋体" w:hAnsi="Times New Roman"/>
          <w:color w:val="000000"/>
          <w:sz w:val="20"/>
          <w:szCs w:val="20"/>
        </w:rPr>
        <w:t>with staggered three-year terms and directors will only be able to be removed from office for cause;</w:t>
      </w:r>
    </w:p>
    <w:p w14:paraId="0B2FBCE1"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 xml:space="preserve">•when the outstanding shares of our Class B common stock represent less than a majority of the combined voting power of our common stock, our stockholders </w:t>
      </w:r>
      <w:r>
        <w:rPr>
          <w:rFonts w:ascii="Times New Roman" w:eastAsia="宋体" w:hAnsi="Times New Roman"/>
          <w:color w:val="000000"/>
          <w:sz w:val="20"/>
          <w:szCs w:val="20"/>
        </w:rPr>
        <w:t>will only be able to take action at a meeting of stockholders and not by written consent;</w:t>
      </w:r>
    </w:p>
    <w:p w14:paraId="0B2FBCE2"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•only our chairman, our chief executive officer, our president, or a majority of our board of directors are authorized to call a special meeting of stockholders;</w:t>
      </w:r>
    </w:p>
    <w:p w14:paraId="0B2FBCE3"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•adv</w:t>
      </w:r>
      <w:r>
        <w:rPr>
          <w:rFonts w:ascii="Times New Roman" w:eastAsia="宋体" w:hAnsi="Times New Roman"/>
          <w:color w:val="000000"/>
          <w:sz w:val="20"/>
          <w:szCs w:val="20"/>
        </w:rPr>
        <w:t>ance notice procedures apply for stockholders to nominate candidates for election as directors or to bring matters before an annual meeting of stockholders;</w:t>
      </w:r>
    </w:p>
    <w:p w14:paraId="0B2FBCE4"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•our certificate of incorporation authorizes undesignated preferred stock, the terms of which may b</w:t>
      </w:r>
      <w:r>
        <w:rPr>
          <w:rFonts w:ascii="Times New Roman" w:eastAsia="宋体" w:hAnsi="Times New Roman"/>
          <w:color w:val="000000"/>
          <w:sz w:val="20"/>
          <w:szCs w:val="20"/>
        </w:rPr>
        <w:t>e established, and shares of which may be issued, without stockholder approval; and</w:t>
      </w:r>
    </w:p>
    <w:p w14:paraId="0B2FBCE5" w14:textId="77777777" w:rsidR="007F1775" w:rsidRDefault="000F083E">
      <w:pPr>
        <w:pBdr>
          <w:left w:val="none" w:sz="0" w:space="0" w:color="auto"/>
        </w:pBdr>
        <w:spacing w:before="180"/>
        <w:ind w:hanging="720"/>
        <w:jc w:val="both"/>
      </w:pPr>
      <w:r>
        <w:rPr>
          <w:rFonts w:ascii="Times New Roman" w:eastAsia="宋体" w:hAnsi="Times New Roman"/>
          <w:color w:val="000000"/>
          <w:sz w:val="20"/>
          <w:szCs w:val="20"/>
        </w:rPr>
        <w:t>•certain litigation against us can only be brought in Delaware.</w:t>
      </w:r>
    </w:p>
    <w:p w14:paraId="0B2FBCE6" w14:textId="77777777" w:rsidR="007F1775" w:rsidRDefault="007F1775">
      <w:pPr>
        <w:spacing w:before="180"/>
        <w:ind w:firstLine="540"/>
        <w:jc w:val="both"/>
      </w:pPr>
    </w:p>
    <w:p w14:paraId="0B2FBCE7" w14:textId="77777777" w:rsidR="007F1775" w:rsidRDefault="000F083E">
      <w:pPr>
        <w:jc w:val="center"/>
      </w:pPr>
      <w:r>
        <w:rPr>
          <w:rFonts w:ascii="Times New Roman" w:eastAsia="宋体" w:hAnsi="Times New Roman"/>
          <w:color w:val="000000"/>
          <w:sz w:val="20"/>
          <w:szCs w:val="20"/>
        </w:rPr>
        <w:t>84</w:t>
      </w:r>
    </w:p>
    <w:p w14:paraId="0B2FBCE8" w14:textId="77777777" w:rsidR="007F1775" w:rsidRDefault="000F083E">
      <w:r>
        <w:pict w14:anchorId="0B2FBFE1">
          <v:rect id="_x0000_i1108" style="width:415.3pt;height:1.5pt" o:hralign="center" o:hrstd="t" o:hr="t" fillcolor="#a0a0a0" stroked="f"/>
        </w:pict>
      </w:r>
    </w:p>
    <w:p w14:paraId="0B2FBCE9" w14:textId="77777777" w:rsidR="007F1775" w:rsidRDefault="007F1775"/>
    <w:p w14:paraId="0B2FBCEA" w14:textId="77777777" w:rsidR="007F1775" w:rsidRDefault="007F1775"/>
    <w:p w14:paraId="0B2FBCEB" w14:textId="77777777" w:rsidR="007F1775" w:rsidRDefault="000F083E">
      <w:hyperlink r:id="rId162" w:anchor="iea70e328caa94cefb76a9db6ed6338fc_7" w:history="1">
        <w:r>
          <w:rPr>
            <w:rStyle w:val="a5"/>
            <w:rFonts w:ascii="Times New Roman" w:eastAsia="宋体" w:hAnsi="Times New Roman"/>
            <w:sz w:val="20"/>
            <w:szCs w:val="20"/>
          </w:rPr>
          <w:t>Table of Contents</w:t>
        </w:r>
      </w:hyperlink>
    </w:p>
    <w:p w14:paraId="0B2FBCEC" w14:textId="77777777" w:rsidR="007F1775" w:rsidRDefault="000F083E">
      <w:pPr>
        <w:pBdr>
          <w:left w:val="none" w:sz="0" w:space="0" w:color="auto"/>
        </w:pBdr>
        <w:spacing w:before="180"/>
        <w:ind w:hanging="360"/>
      </w:pPr>
      <w:r>
        <w:rPr>
          <w:rFonts w:ascii="Times New Roman" w:eastAsia="宋体" w:hAnsi="Times New Roman"/>
          <w:b/>
          <w:bCs/>
          <w:color w:val="000000"/>
          <w:sz w:val="20"/>
          <w:szCs w:val="20"/>
        </w:rPr>
        <w:t xml:space="preserve">Item 2.Unregistered Sales of Equity Securities and Use of Proceeds </w:t>
      </w:r>
    </w:p>
    <w:p w14:paraId="0B2FBCED" w14:textId="77777777" w:rsidR="007F1775" w:rsidRDefault="000F083E">
      <w:pPr>
        <w:spacing w:before="180"/>
        <w:ind w:firstLine="540"/>
      </w:pPr>
      <w:r>
        <w:rPr>
          <w:rFonts w:ascii="Times New Roman" w:eastAsia="宋体" w:hAnsi="Times New Roman"/>
          <w:b/>
          <w:bCs/>
          <w:i/>
          <w:iCs/>
          <w:color w:val="000000"/>
          <w:sz w:val="20"/>
          <w:szCs w:val="20"/>
        </w:rPr>
        <w:t xml:space="preserve">a) Sales of Unregistered Securities </w:t>
      </w:r>
    </w:p>
    <w:p w14:paraId="0B2FBCEE" w14:textId="77777777" w:rsidR="007F1775" w:rsidRDefault="000F083E">
      <w:pPr>
        <w:spacing w:before="180"/>
        <w:ind w:firstLine="540"/>
      </w:pPr>
      <w:r>
        <w:rPr>
          <w:rFonts w:ascii="Times New Roman" w:eastAsia="宋体" w:hAnsi="Times New Roman"/>
          <w:color w:val="000000"/>
          <w:sz w:val="20"/>
          <w:szCs w:val="20"/>
        </w:rPr>
        <w:t>None.</w:t>
      </w:r>
    </w:p>
    <w:p w14:paraId="0B2FBCEF" w14:textId="77777777" w:rsidR="007F1775" w:rsidRDefault="000F083E">
      <w:pPr>
        <w:spacing w:before="180"/>
        <w:ind w:firstLine="540"/>
      </w:pPr>
      <w:r>
        <w:rPr>
          <w:rFonts w:ascii="Times New Roman" w:eastAsia="宋体" w:hAnsi="Times New Roman"/>
          <w:b/>
          <w:bCs/>
          <w:i/>
          <w:iCs/>
          <w:color w:val="000000"/>
          <w:sz w:val="20"/>
          <w:szCs w:val="20"/>
        </w:rPr>
        <w:t>c) Issuer Purchases of Equity Securities</w:t>
      </w:r>
    </w:p>
    <w:p w14:paraId="0B2FBCF0" w14:textId="77777777" w:rsidR="007F1775" w:rsidRDefault="000F083E">
      <w:pPr>
        <w:spacing w:before="180"/>
        <w:ind w:firstLine="540"/>
      </w:pPr>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summarizes the share repurchase activity for the three months ended March 31, 2022:</w:t>
      </w:r>
    </w:p>
    <w:tbl>
      <w:tblPr>
        <w:tblW w:w="5000" w:type="pct"/>
        <w:tblCellMar>
          <w:top w:w="15" w:type="dxa"/>
          <w:left w:w="15" w:type="dxa"/>
          <w:bottom w:w="15" w:type="dxa"/>
          <w:right w:w="15" w:type="dxa"/>
        </w:tblCellMar>
        <w:tblLook w:val="04A0" w:firstRow="1" w:lastRow="0" w:firstColumn="1" w:lastColumn="0" w:noHBand="0" w:noVBand="1"/>
      </w:tblPr>
      <w:tblGrid>
        <w:gridCol w:w="48"/>
        <w:gridCol w:w="2715"/>
        <w:gridCol w:w="37"/>
        <w:gridCol w:w="56"/>
        <w:gridCol w:w="1194"/>
        <w:gridCol w:w="36"/>
        <w:gridCol w:w="36"/>
        <w:gridCol w:w="36"/>
        <w:gridCol w:w="36"/>
        <w:gridCol w:w="120"/>
        <w:gridCol w:w="1176"/>
        <w:gridCol w:w="36"/>
        <w:gridCol w:w="36"/>
        <w:gridCol w:w="36"/>
        <w:gridCol w:w="36"/>
        <w:gridCol w:w="53"/>
        <w:gridCol w:w="1172"/>
        <w:gridCol w:w="36"/>
        <w:gridCol w:w="36"/>
        <w:gridCol w:w="36"/>
        <w:gridCol w:w="36"/>
        <w:gridCol w:w="121"/>
        <w:gridCol w:w="1176"/>
        <w:gridCol w:w="36"/>
      </w:tblGrid>
      <w:tr w:rsidR="007F1775" w14:paraId="0B2FBD09" w14:textId="77777777">
        <w:tc>
          <w:tcPr>
            <w:tcW w:w="50" w:type="pct"/>
            <w:shd w:val="clear" w:color="auto" w:fill="auto"/>
            <w:vAlign w:val="bottom"/>
          </w:tcPr>
          <w:p w14:paraId="0B2FBCF1" w14:textId="77777777" w:rsidR="007F1775" w:rsidRDefault="007F1775">
            <w:pPr>
              <w:rPr>
                <w:rFonts w:ascii="宋体"/>
              </w:rPr>
            </w:pPr>
          </w:p>
        </w:tc>
        <w:tc>
          <w:tcPr>
            <w:tcW w:w="1648" w:type="pct"/>
            <w:shd w:val="clear" w:color="auto" w:fill="auto"/>
            <w:vAlign w:val="bottom"/>
          </w:tcPr>
          <w:p w14:paraId="0B2FBCF2" w14:textId="77777777" w:rsidR="007F1775" w:rsidRDefault="007F1775">
            <w:pPr>
              <w:rPr>
                <w:rFonts w:ascii="宋体"/>
              </w:rPr>
            </w:pPr>
          </w:p>
        </w:tc>
        <w:tc>
          <w:tcPr>
            <w:tcW w:w="5" w:type="pct"/>
            <w:shd w:val="clear" w:color="auto" w:fill="auto"/>
            <w:vAlign w:val="bottom"/>
          </w:tcPr>
          <w:p w14:paraId="0B2FBCF3" w14:textId="77777777" w:rsidR="007F1775" w:rsidRDefault="007F1775">
            <w:pPr>
              <w:rPr>
                <w:rFonts w:ascii="宋体"/>
              </w:rPr>
            </w:pPr>
          </w:p>
        </w:tc>
        <w:tc>
          <w:tcPr>
            <w:tcW w:w="50" w:type="pct"/>
            <w:shd w:val="clear" w:color="auto" w:fill="auto"/>
            <w:vAlign w:val="bottom"/>
          </w:tcPr>
          <w:p w14:paraId="0B2FBCF4" w14:textId="77777777" w:rsidR="007F1775" w:rsidRDefault="007F1775">
            <w:pPr>
              <w:rPr>
                <w:rFonts w:ascii="宋体"/>
              </w:rPr>
            </w:pPr>
          </w:p>
        </w:tc>
        <w:tc>
          <w:tcPr>
            <w:tcW w:w="741" w:type="pct"/>
            <w:shd w:val="clear" w:color="auto" w:fill="auto"/>
            <w:vAlign w:val="bottom"/>
          </w:tcPr>
          <w:p w14:paraId="0B2FBCF5" w14:textId="77777777" w:rsidR="007F1775" w:rsidRDefault="007F1775">
            <w:pPr>
              <w:rPr>
                <w:rFonts w:ascii="宋体"/>
              </w:rPr>
            </w:pPr>
          </w:p>
        </w:tc>
        <w:tc>
          <w:tcPr>
            <w:tcW w:w="5" w:type="pct"/>
            <w:shd w:val="clear" w:color="auto" w:fill="auto"/>
            <w:vAlign w:val="bottom"/>
          </w:tcPr>
          <w:p w14:paraId="0B2FBCF6" w14:textId="77777777" w:rsidR="007F1775" w:rsidRDefault="007F1775">
            <w:pPr>
              <w:rPr>
                <w:rFonts w:ascii="宋体"/>
              </w:rPr>
            </w:pPr>
          </w:p>
        </w:tc>
        <w:tc>
          <w:tcPr>
            <w:tcW w:w="5" w:type="pct"/>
            <w:shd w:val="clear" w:color="auto" w:fill="auto"/>
            <w:vAlign w:val="bottom"/>
          </w:tcPr>
          <w:p w14:paraId="0B2FBCF7" w14:textId="77777777" w:rsidR="007F1775" w:rsidRDefault="007F1775">
            <w:pPr>
              <w:rPr>
                <w:rFonts w:ascii="宋体"/>
              </w:rPr>
            </w:pPr>
          </w:p>
        </w:tc>
        <w:tc>
          <w:tcPr>
            <w:tcW w:w="27" w:type="pct"/>
            <w:shd w:val="clear" w:color="auto" w:fill="auto"/>
            <w:vAlign w:val="bottom"/>
          </w:tcPr>
          <w:p w14:paraId="0B2FBCF8" w14:textId="77777777" w:rsidR="007F1775" w:rsidRDefault="007F1775">
            <w:pPr>
              <w:rPr>
                <w:rFonts w:ascii="宋体"/>
              </w:rPr>
            </w:pPr>
          </w:p>
        </w:tc>
        <w:tc>
          <w:tcPr>
            <w:tcW w:w="5" w:type="pct"/>
            <w:shd w:val="clear" w:color="auto" w:fill="auto"/>
            <w:vAlign w:val="bottom"/>
          </w:tcPr>
          <w:p w14:paraId="0B2FBCF9" w14:textId="77777777" w:rsidR="007F1775" w:rsidRDefault="007F1775">
            <w:pPr>
              <w:rPr>
                <w:rFonts w:ascii="宋体"/>
              </w:rPr>
            </w:pPr>
          </w:p>
        </w:tc>
        <w:tc>
          <w:tcPr>
            <w:tcW w:w="50" w:type="pct"/>
            <w:shd w:val="clear" w:color="auto" w:fill="auto"/>
            <w:vAlign w:val="bottom"/>
          </w:tcPr>
          <w:p w14:paraId="0B2FBCFA" w14:textId="77777777" w:rsidR="007F1775" w:rsidRDefault="007F1775">
            <w:pPr>
              <w:rPr>
                <w:rFonts w:ascii="宋体"/>
              </w:rPr>
            </w:pPr>
          </w:p>
        </w:tc>
        <w:tc>
          <w:tcPr>
            <w:tcW w:w="741" w:type="pct"/>
            <w:shd w:val="clear" w:color="auto" w:fill="auto"/>
            <w:vAlign w:val="bottom"/>
          </w:tcPr>
          <w:p w14:paraId="0B2FBCFB" w14:textId="77777777" w:rsidR="007F1775" w:rsidRDefault="007F1775">
            <w:pPr>
              <w:rPr>
                <w:rFonts w:ascii="宋体"/>
              </w:rPr>
            </w:pPr>
          </w:p>
        </w:tc>
        <w:tc>
          <w:tcPr>
            <w:tcW w:w="5" w:type="pct"/>
            <w:shd w:val="clear" w:color="auto" w:fill="auto"/>
            <w:vAlign w:val="bottom"/>
          </w:tcPr>
          <w:p w14:paraId="0B2FBCFC" w14:textId="77777777" w:rsidR="007F1775" w:rsidRDefault="007F1775">
            <w:pPr>
              <w:rPr>
                <w:rFonts w:ascii="宋体"/>
              </w:rPr>
            </w:pPr>
          </w:p>
        </w:tc>
        <w:tc>
          <w:tcPr>
            <w:tcW w:w="5" w:type="pct"/>
            <w:shd w:val="clear" w:color="auto" w:fill="auto"/>
            <w:vAlign w:val="bottom"/>
          </w:tcPr>
          <w:p w14:paraId="0B2FBCFD" w14:textId="77777777" w:rsidR="007F1775" w:rsidRDefault="007F1775">
            <w:pPr>
              <w:rPr>
                <w:rFonts w:ascii="宋体"/>
              </w:rPr>
            </w:pPr>
          </w:p>
        </w:tc>
        <w:tc>
          <w:tcPr>
            <w:tcW w:w="27" w:type="pct"/>
            <w:shd w:val="clear" w:color="auto" w:fill="auto"/>
            <w:vAlign w:val="bottom"/>
          </w:tcPr>
          <w:p w14:paraId="0B2FBCFE" w14:textId="77777777" w:rsidR="007F1775" w:rsidRDefault="007F1775">
            <w:pPr>
              <w:rPr>
                <w:rFonts w:ascii="宋体"/>
              </w:rPr>
            </w:pPr>
          </w:p>
        </w:tc>
        <w:tc>
          <w:tcPr>
            <w:tcW w:w="5" w:type="pct"/>
            <w:shd w:val="clear" w:color="auto" w:fill="auto"/>
            <w:vAlign w:val="bottom"/>
          </w:tcPr>
          <w:p w14:paraId="0B2FBCFF" w14:textId="77777777" w:rsidR="007F1775" w:rsidRDefault="007F1775">
            <w:pPr>
              <w:rPr>
                <w:rFonts w:ascii="宋体"/>
              </w:rPr>
            </w:pPr>
          </w:p>
        </w:tc>
        <w:tc>
          <w:tcPr>
            <w:tcW w:w="50" w:type="pct"/>
            <w:shd w:val="clear" w:color="auto" w:fill="auto"/>
            <w:vAlign w:val="bottom"/>
          </w:tcPr>
          <w:p w14:paraId="0B2FBD00" w14:textId="77777777" w:rsidR="007F1775" w:rsidRDefault="007F1775">
            <w:pPr>
              <w:rPr>
                <w:rFonts w:ascii="宋体"/>
              </w:rPr>
            </w:pPr>
          </w:p>
        </w:tc>
        <w:tc>
          <w:tcPr>
            <w:tcW w:w="741" w:type="pct"/>
            <w:shd w:val="clear" w:color="auto" w:fill="auto"/>
            <w:vAlign w:val="bottom"/>
          </w:tcPr>
          <w:p w14:paraId="0B2FBD01" w14:textId="77777777" w:rsidR="007F1775" w:rsidRDefault="007F1775">
            <w:pPr>
              <w:rPr>
                <w:rFonts w:ascii="宋体"/>
              </w:rPr>
            </w:pPr>
          </w:p>
        </w:tc>
        <w:tc>
          <w:tcPr>
            <w:tcW w:w="5" w:type="pct"/>
            <w:shd w:val="clear" w:color="auto" w:fill="auto"/>
            <w:vAlign w:val="bottom"/>
          </w:tcPr>
          <w:p w14:paraId="0B2FBD02" w14:textId="77777777" w:rsidR="007F1775" w:rsidRDefault="007F1775">
            <w:pPr>
              <w:rPr>
                <w:rFonts w:ascii="宋体"/>
              </w:rPr>
            </w:pPr>
          </w:p>
        </w:tc>
        <w:tc>
          <w:tcPr>
            <w:tcW w:w="5" w:type="pct"/>
            <w:shd w:val="clear" w:color="auto" w:fill="auto"/>
            <w:vAlign w:val="bottom"/>
          </w:tcPr>
          <w:p w14:paraId="0B2FBD03" w14:textId="77777777" w:rsidR="007F1775" w:rsidRDefault="007F1775">
            <w:pPr>
              <w:rPr>
                <w:rFonts w:ascii="宋体"/>
              </w:rPr>
            </w:pPr>
          </w:p>
        </w:tc>
        <w:tc>
          <w:tcPr>
            <w:tcW w:w="27" w:type="pct"/>
            <w:shd w:val="clear" w:color="auto" w:fill="auto"/>
            <w:vAlign w:val="bottom"/>
          </w:tcPr>
          <w:p w14:paraId="0B2FBD04" w14:textId="77777777" w:rsidR="007F1775" w:rsidRDefault="007F1775">
            <w:pPr>
              <w:rPr>
                <w:rFonts w:ascii="宋体"/>
              </w:rPr>
            </w:pPr>
          </w:p>
        </w:tc>
        <w:tc>
          <w:tcPr>
            <w:tcW w:w="5" w:type="pct"/>
            <w:shd w:val="clear" w:color="auto" w:fill="auto"/>
            <w:vAlign w:val="bottom"/>
          </w:tcPr>
          <w:p w14:paraId="0B2FBD05" w14:textId="77777777" w:rsidR="007F1775" w:rsidRDefault="007F1775">
            <w:pPr>
              <w:rPr>
                <w:rFonts w:ascii="宋体"/>
              </w:rPr>
            </w:pPr>
          </w:p>
        </w:tc>
        <w:tc>
          <w:tcPr>
            <w:tcW w:w="50" w:type="pct"/>
            <w:shd w:val="clear" w:color="auto" w:fill="auto"/>
            <w:vAlign w:val="bottom"/>
          </w:tcPr>
          <w:p w14:paraId="0B2FBD06" w14:textId="77777777" w:rsidR="007F1775" w:rsidRDefault="007F1775">
            <w:pPr>
              <w:rPr>
                <w:rFonts w:ascii="宋体"/>
              </w:rPr>
            </w:pPr>
          </w:p>
        </w:tc>
        <w:tc>
          <w:tcPr>
            <w:tcW w:w="741" w:type="pct"/>
            <w:shd w:val="clear" w:color="auto" w:fill="auto"/>
            <w:vAlign w:val="bottom"/>
          </w:tcPr>
          <w:p w14:paraId="0B2FBD07" w14:textId="77777777" w:rsidR="007F1775" w:rsidRDefault="007F1775">
            <w:pPr>
              <w:rPr>
                <w:rFonts w:ascii="宋体"/>
              </w:rPr>
            </w:pPr>
          </w:p>
        </w:tc>
        <w:tc>
          <w:tcPr>
            <w:tcW w:w="5" w:type="pct"/>
            <w:shd w:val="clear" w:color="auto" w:fill="auto"/>
            <w:vAlign w:val="bottom"/>
          </w:tcPr>
          <w:p w14:paraId="0B2FBD08" w14:textId="77777777" w:rsidR="007F1775" w:rsidRDefault="007F1775">
            <w:pPr>
              <w:rPr>
                <w:rFonts w:ascii="宋体"/>
              </w:rPr>
            </w:pPr>
          </w:p>
        </w:tc>
      </w:tr>
      <w:tr w:rsidR="007F1775" w14:paraId="0B2FBD12" w14:textId="77777777">
        <w:tc>
          <w:tcPr>
            <w:tcW w:w="0" w:type="auto"/>
            <w:gridSpan w:val="3"/>
            <w:shd w:val="clear" w:color="auto" w:fill="auto"/>
            <w:tcMar>
              <w:top w:w="0" w:type="dxa"/>
              <w:left w:w="20" w:type="dxa"/>
              <w:bottom w:w="0" w:type="dxa"/>
              <w:right w:w="20" w:type="dxa"/>
            </w:tcMar>
            <w:vAlign w:val="bottom"/>
          </w:tcPr>
          <w:p w14:paraId="0B2FBD0A"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D0B" w14:textId="77777777" w:rsidR="007F1775" w:rsidRDefault="000F083E">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Total Number of Shares Purchased</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0B2FBD0C"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D0D" w14:textId="77777777" w:rsidR="007F1775" w:rsidRDefault="000F083E">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Average Price Paid Per Share</w:t>
            </w:r>
            <w:r>
              <w:rPr>
                <w:rFonts w:ascii="Times New Roman" w:eastAsia="宋体" w:hAnsi="Times New Roman"/>
                <w:b/>
                <w:bCs/>
                <w:color w:val="000000"/>
                <w:sz w:val="10"/>
                <w:szCs w:val="10"/>
              </w:rPr>
              <w:t>(2)</w:t>
            </w:r>
          </w:p>
        </w:tc>
        <w:tc>
          <w:tcPr>
            <w:tcW w:w="0" w:type="auto"/>
            <w:gridSpan w:val="3"/>
            <w:shd w:val="clear" w:color="auto" w:fill="auto"/>
            <w:tcMar>
              <w:top w:w="0" w:type="dxa"/>
              <w:left w:w="20" w:type="dxa"/>
              <w:bottom w:w="0" w:type="dxa"/>
              <w:right w:w="20" w:type="dxa"/>
            </w:tcMar>
            <w:vAlign w:val="bottom"/>
          </w:tcPr>
          <w:p w14:paraId="0B2FBD0E"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D0F" w14:textId="77777777" w:rsidR="007F1775" w:rsidRDefault="000F083E">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 xml:space="preserve">Total Number of Shares Purchased as Part of </w:t>
            </w:r>
            <w:r>
              <w:rPr>
                <w:rFonts w:ascii="Times New Roman" w:eastAsia="宋体" w:hAnsi="Times New Roman"/>
                <w:b/>
                <w:bCs/>
                <w:color w:val="000000"/>
                <w:sz w:val="16"/>
                <w:szCs w:val="16"/>
              </w:rPr>
              <w:t>Publicly Announced Programs</w:t>
            </w:r>
            <w:r>
              <w:rPr>
                <w:rFonts w:ascii="Times New Roman" w:eastAsia="宋体" w:hAnsi="Times New Roman"/>
                <w:b/>
                <w:bCs/>
                <w:color w:val="000000"/>
                <w:sz w:val="10"/>
                <w:szCs w:val="10"/>
              </w:rPr>
              <w:t>(1)</w:t>
            </w:r>
          </w:p>
        </w:tc>
        <w:tc>
          <w:tcPr>
            <w:tcW w:w="0" w:type="auto"/>
            <w:gridSpan w:val="3"/>
            <w:shd w:val="clear" w:color="auto" w:fill="auto"/>
            <w:tcMar>
              <w:top w:w="0" w:type="dxa"/>
              <w:left w:w="20" w:type="dxa"/>
              <w:bottom w:w="0" w:type="dxa"/>
              <w:right w:w="20" w:type="dxa"/>
            </w:tcMar>
            <w:vAlign w:val="bottom"/>
          </w:tcPr>
          <w:p w14:paraId="0B2FBD10"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D11" w14:textId="77777777" w:rsidR="007F1775" w:rsidRDefault="000F083E">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Approximate Dollar Value of Shares that May Yet Be Purchased Under the Plans or Programs</w:t>
            </w:r>
            <w:r>
              <w:rPr>
                <w:rFonts w:ascii="Times New Roman" w:eastAsia="宋体" w:hAnsi="Times New Roman"/>
                <w:b/>
                <w:bCs/>
                <w:color w:val="000000"/>
                <w:sz w:val="10"/>
                <w:szCs w:val="10"/>
              </w:rPr>
              <w:t>(1)</w:t>
            </w:r>
          </w:p>
        </w:tc>
      </w:tr>
      <w:tr w:rsidR="007F1775" w14:paraId="0B2FBD1B" w14:textId="77777777">
        <w:tc>
          <w:tcPr>
            <w:tcW w:w="0" w:type="auto"/>
            <w:gridSpan w:val="3"/>
            <w:shd w:val="clear" w:color="auto" w:fill="FFFFFF"/>
            <w:tcMar>
              <w:top w:w="0" w:type="dxa"/>
              <w:left w:w="20" w:type="dxa"/>
              <w:bottom w:w="0" w:type="dxa"/>
              <w:right w:w="20" w:type="dxa"/>
            </w:tcMar>
            <w:vAlign w:val="bottom"/>
          </w:tcPr>
          <w:p w14:paraId="0B2FBD13" w14:textId="77777777" w:rsidR="007F1775" w:rsidRDefault="007F17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B2FBD14" w14:textId="77777777" w:rsidR="007F1775" w:rsidRDefault="000F083E">
            <w:pPr>
              <w:jc w:val="center"/>
              <w:textAlignment w:val="bottom"/>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0B2FBD15" w14:textId="77777777" w:rsidR="007F1775" w:rsidRDefault="007F177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B2FBD16"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D17" w14:textId="77777777" w:rsidR="007F1775" w:rsidRDefault="007F17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B2FBD18" w14:textId="77777777" w:rsidR="007F1775" w:rsidRDefault="000F083E">
            <w:pPr>
              <w:jc w:val="center"/>
              <w:textAlignment w:val="bottom"/>
            </w:pPr>
            <w:r>
              <w:rPr>
                <w:rFonts w:ascii="Times New Roman" w:eastAsia="宋体" w:hAnsi="Times New Roman"/>
                <w:b/>
                <w:bCs/>
                <w:color w:val="000000"/>
                <w:sz w:val="16"/>
                <w:szCs w:val="16"/>
              </w:rPr>
              <w:t>(in thousands)</w:t>
            </w:r>
          </w:p>
        </w:tc>
        <w:tc>
          <w:tcPr>
            <w:tcW w:w="0" w:type="auto"/>
            <w:gridSpan w:val="3"/>
            <w:shd w:val="clear" w:color="auto" w:fill="FFFFFF"/>
            <w:tcMar>
              <w:top w:w="0" w:type="dxa"/>
              <w:left w:w="20" w:type="dxa"/>
              <w:bottom w:w="0" w:type="dxa"/>
              <w:right w:w="20" w:type="dxa"/>
            </w:tcMar>
            <w:vAlign w:val="bottom"/>
          </w:tcPr>
          <w:p w14:paraId="0B2FBD19" w14:textId="77777777" w:rsidR="007F1775" w:rsidRDefault="007F177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B2FBD1A" w14:textId="77777777" w:rsidR="007F1775" w:rsidRDefault="000F083E">
            <w:pPr>
              <w:jc w:val="center"/>
              <w:textAlignment w:val="bottom"/>
            </w:pPr>
            <w:r>
              <w:rPr>
                <w:rFonts w:ascii="Times New Roman" w:eastAsia="宋体" w:hAnsi="Times New Roman"/>
                <w:b/>
                <w:bCs/>
                <w:color w:val="000000"/>
                <w:sz w:val="16"/>
                <w:szCs w:val="16"/>
              </w:rPr>
              <w:t>(in millions)</w:t>
            </w:r>
          </w:p>
        </w:tc>
      </w:tr>
      <w:tr w:rsidR="007F1775" w14:paraId="0B2FBD2A" w14:textId="77777777">
        <w:tc>
          <w:tcPr>
            <w:tcW w:w="0" w:type="auto"/>
            <w:gridSpan w:val="3"/>
            <w:shd w:val="clear" w:color="auto" w:fill="CCEEFF"/>
            <w:tcMar>
              <w:top w:w="40" w:type="dxa"/>
              <w:left w:w="20" w:type="dxa"/>
              <w:bottom w:w="40" w:type="dxa"/>
              <w:right w:w="20" w:type="dxa"/>
            </w:tcMar>
            <w:vAlign w:val="bottom"/>
          </w:tcPr>
          <w:p w14:paraId="0B2FBD1C" w14:textId="77777777" w:rsidR="007F1775" w:rsidRDefault="000F083E">
            <w:pPr>
              <w:textAlignment w:val="bottom"/>
            </w:pPr>
            <w:r>
              <w:rPr>
                <w:rFonts w:ascii="Times New Roman" w:eastAsia="宋体" w:hAnsi="Times New Roman"/>
                <w:color w:val="000000"/>
                <w:sz w:val="20"/>
                <w:szCs w:val="20"/>
              </w:rPr>
              <w:t>January 1 - 31, 2022</w:t>
            </w:r>
          </w:p>
        </w:tc>
        <w:tc>
          <w:tcPr>
            <w:tcW w:w="0" w:type="auto"/>
            <w:gridSpan w:val="2"/>
            <w:shd w:val="clear" w:color="auto" w:fill="CCEEFF"/>
            <w:tcMar>
              <w:top w:w="40" w:type="dxa"/>
              <w:left w:w="20" w:type="dxa"/>
              <w:bottom w:w="40" w:type="dxa"/>
              <w:right w:w="0" w:type="dxa"/>
            </w:tcMar>
            <w:vAlign w:val="bottom"/>
          </w:tcPr>
          <w:p w14:paraId="0B2FBD1D" w14:textId="77777777" w:rsidR="007F1775" w:rsidRDefault="000F083E">
            <w:pPr>
              <w:jc w:val="right"/>
              <w:textAlignment w:val="bottom"/>
            </w:pPr>
            <w:r>
              <w:rPr>
                <w:rFonts w:ascii="Times New Roman" w:eastAsia="宋体" w:hAnsi="Times New Roman"/>
                <w:color w:val="000000"/>
                <w:sz w:val="20"/>
                <w:szCs w:val="20"/>
              </w:rPr>
              <w:t>19,687 </w:t>
            </w:r>
          </w:p>
        </w:tc>
        <w:tc>
          <w:tcPr>
            <w:tcW w:w="0" w:type="auto"/>
            <w:shd w:val="clear" w:color="auto" w:fill="CCEEFF"/>
            <w:tcMar>
              <w:top w:w="40" w:type="dxa"/>
              <w:left w:w="0" w:type="dxa"/>
              <w:bottom w:w="40" w:type="dxa"/>
              <w:right w:w="20" w:type="dxa"/>
            </w:tcMar>
            <w:vAlign w:val="bottom"/>
          </w:tcPr>
          <w:p w14:paraId="0B2FBD1E"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D1F"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D20"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D21" w14:textId="77777777" w:rsidR="007F1775" w:rsidRDefault="000F083E">
            <w:pPr>
              <w:jc w:val="right"/>
              <w:textAlignment w:val="bottom"/>
            </w:pPr>
            <w:r>
              <w:rPr>
                <w:rFonts w:ascii="Times New Roman" w:eastAsia="宋体" w:hAnsi="Times New Roman"/>
                <w:color w:val="000000"/>
                <w:sz w:val="20"/>
                <w:szCs w:val="20"/>
              </w:rPr>
              <w:t>316.45 </w:t>
            </w:r>
          </w:p>
        </w:tc>
        <w:tc>
          <w:tcPr>
            <w:tcW w:w="0" w:type="auto"/>
            <w:shd w:val="clear" w:color="auto" w:fill="CCEEFF"/>
            <w:tcMar>
              <w:top w:w="40" w:type="dxa"/>
              <w:left w:w="0" w:type="dxa"/>
              <w:bottom w:w="40" w:type="dxa"/>
              <w:right w:w="20" w:type="dxa"/>
            </w:tcMar>
            <w:vAlign w:val="bottom"/>
          </w:tcPr>
          <w:p w14:paraId="0B2FBD22"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D23"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D24" w14:textId="77777777" w:rsidR="007F1775" w:rsidRDefault="000F083E">
            <w:pPr>
              <w:jc w:val="right"/>
              <w:textAlignment w:val="bottom"/>
            </w:pPr>
            <w:r>
              <w:rPr>
                <w:rFonts w:ascii="Times New Roman" w:eastAsia="宋体" w:hAnsi="Times New Roman"/>
                <w:color w:val="000000"/>
                <w:sz w:val="20"/>
                <w:szCs w:val="20"/>
              </w:rPr>
              <w:t>19,687 </w:t>
            </w:r>
          </w:p>
        </w:tc>
        <w:tc>
          <w:tcPr>
            <w:tcW w:w="0" w:type="auto"/>
            <w:shd w:val="clear" w:color="auto" w:fill="CCEEFF"/>
            <w:tcMar>
              <w:top w:w="40" w:type="dxa"/>
              <w:left w:w="0" w:type="dxa"/>
              <w:bottom w:w="40" w:type="dxa"/>
              <w:right w:w="20" w:type="dxa"/>
            </w:tcMar>
            <w:vAlign w:val="bottom"/>
          </w:tcPr>
          <w:p w14:paraId="0B2FBD25"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D26"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D27"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D28" w14:textId="77777777" w:rsidR="007F1775" w:rsidRDefault="000F083E">
            <w:pPr>
              <w:jc w:val="right"/>
              <w:textAlignment w:val="bottom"/>
            </w:pPr>
            <w:r>
              <w:rPr>
                <w:rFonts w:ascii="Times New Roman" w:eastAsia="宋体" w:hAnsi="Times New Roman"/>
                <w:color w:val="000000"/>
                <w:sz w:val="20"/>
                <w:szCs w:val="20"/>
              </w:rPr>
              <w:t>32,563 </w:t>
            </w:r>
          </w:p>
        </w:tc>
        <w:tc>
          <w:tcPr>
            <w:tcW w:w="0" w:type="auto"/>
            <w:shd w:val="clear" w:color="auto" w:fill="CCEEFF"/>
            <w:tcMar>
              <w:top w:w="40" w:type="dxa"/>
              <w:left w:w="0" w:type="dxa"/>
              <w:bottom w:w="40" w:type="dxa"/>
              <w:right w:w="20" w:type="dxa"/>
            </w:tcMar>
            <w:vAlign w:val="bottom"/>
          </w:tcPr>
          <w:p w14:paraId="0B2FBD29" w14:textId="77777777" w:rsidR="007F1775" w:rsidRDefault="007F1775">
            <w:pPr>
              <w:jc w:val="right"/>
              <w:rPr>
                <w:rFonts w:ascii="宋体"/>
              </w:rPr>
            </w:pPr>
          </w:p>
        </w:tc>
      </w:tr>
      <w:tr w:rsidR="007F1775" w14:paraId="0B2FBD39" w14:textId="77777777">
        <w:tc>
          <w:tcPr>
            <w:tcW w:w="0" w:type="auto"/>
            <w:gridSpan w:val="3"/>
            <w:shd w:val="clear" w:color="auto" w:fill="auto"/>
            <w:tcMar>
              <w:top w:w="40" w:type="dxa"/>
              <w:left w:w="20" w:type="dxa"/>
              <w:bottom w:w="40" w:type="dxa"/>
              <w:right w:w="20" w:type="dxa"/>
            </w:tcMar>
            <w:vAlign w:val="bottom"/>
          </w:tcPr>
          <w:p w14:paraId="0B2FBD2B" w14:textId="77777777" w:rsidR="007F1775" w:rsidRDefault="000F083E">
            <w:pPr>
              <w:textAlignment w:val="bottom"/>
            </w:pPr>
            <w:r>
              <w:rPr>
                <w:rFonts w:ascii="Times New Roman" w:eastAsia="宋体" w:hAnsi="Times New Roman"/>
                <w:color w:val="000000"/>
                <w:sz w:val="20"/>
                <w:szCs w:val="20"/>
              </w:rPr>
              <w:t>February 1 - 28, 2022</w:t>
            </w:r>
          </w:p>
        </w:tc>
        <w:tc>
          <w:tcPr>
            <w:tcW w:w="0" w:type="auto"/>
            <w:gridSpan w:val="2"/>
            <w:shd w:val="clear" w:color="auto" w:fill="FFFFFF"/>
            <w:tcMar>
              <w:top w:w="40" w:type="dxa"/>
              <w:left w:w="20" w:type="dxa"/>
              <w:bottom w:w="40" w:type="dxa"/>
              <w:right w:w="0" w:type="dxa"/>
            </w:tcMar>
            <w:vAlign w:val="bottom"/>
          </w:tcPr>
          <w:p w14:paraId="0B2FBD2C" w14:textId="77777777" w:rsidR="007F1775" w:rsidRDefault="000F083E">
            <w:pPr>
              <w:jc w:val="right"/>
              <w:textAlignment w:val="bottom"/>
            </w:pPr>
            <w:r>
              <w:rPr>
                <w:rFonts w:ascii="Times New Roman" w:eastAsia="宋体" w:hAnsi="Times New Roman"/>
                <w:color w:val="000000"/>
                <w:sz w:val="20"/>
                <w:szCs w:val="20"/>
              </w:rPr>
              <w:t>5,918 </w:t>
            </w:r>
          </w:p>
        </w:tc>
        <w:tc>
          <w:tcPr>
            <w:tcW w:w="0" w:type="auto"/>
            <w:shd w:val="clear" w:color="auto" w:fill="FFFFFF"/>
            <w:tcMar>
              <w:top w:w="40" w:type="dxa"/>
              <w:left w:w="0" w:type="dxa"/>
              <w:bottom w:w="40" w:type="dxa"/>
              <w:right w:w="20" w:type="dxa"/>
            </w:tcMar>
            <w:vAlign w:val="bottom"/>
          </w:tcPr>
          <w:p w14:paraId="0B2FBD2D"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D2E"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BD2F"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BD30" w14:textId="77777777" w:rsidR="007F1775" w:rsidRDefault="000F083E">
            <w:pPr>
              <w:jc w:val="right"/>
              <w:textAlignment w:val="bottom"/>
            </w:pPr>
            <w:r>
              <w:rPr>
                <w:rFonts w:ascii="Times New Roman" w:eastAsia="宋体" w:hAnsi="Times New Roman"/>
                <w:color w:val="000000"/>
                <w:sz w:val="20"/>
                <w:szCs w:val="20"/>
              </w:rPr>
              <w:t>224.75 </w:t>
            </w:r>
          </w:p>
        </w:tc>
        <w:tc>
          <w:tcPr>
            <w:tcW w:w="0" w:type="auto"/>
            <w:shd w:val="clear" w:color="auto" w:fill="FFFFFF"/>
            <w:tcMar>
              <w:top w:w="40" w:type="dxa"/>
              <w:left w:w="0" w:type="dxa"/>
              <w:bottom w:w="40" w:type="dxa"/>
              <w:right w:w="20" w:type="dxa"/>
            </w:tcMar>
            <w:vAlign w:val="bottom"/>
          </w:tcPr>
          <w:p w14:paraId="0B2FBD31"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D32" w14:textId="77777777" w:rsidR="007F1775" w:rsidRDefault="007F1775">
            <w:pPr>
              <w:rPr>
                <w:rFonts w:ascii="宋体"/>
              </w:rPr>
            </w:pPr>
          </w:p>
        </w:tc>
        <w:tc>
          <w:tcPr>
            <w:tcW w:w="0" w:type="auto"/>
            <w:gridSpan w:val="2"/>
            <w:shd w:val="clear" w:color="auto" w:fill="FFFFFF"/>
            <w:tcMar>
              <w:top w:w="40" w:type="dxa"/>
              <w:left w:w="20" w:type="dxa"/>
              <w:bottom w:w="40" w:type="dxa"/>
              <w:right w:w="0" w:type="dxa"/>
            </w:tcMar>
            <w:vAlign w:val="bottom"/>
          </w:tcPr>
          <w:p w14:paraId="0B2FBD33" w14:textId="77777777" w:rsidR="007F1775" w:rsidRDefault="000F083E">
            <w:pPr>
              <w:jc w:val="right"/>
              <w:textAlignment w:val="bottom"/>
            </w:pPr>
            <w:r>
              <w:rPr>
                <w:rFonts w:ascii="Times New Roman" w:eastAsia="宋体" w:hAnsi="Times New Roman"/>
                <w:color w:val="000000"/>
                <w:sz w:val="20"/>
                <w:szCs w:val="20"/>
              </w:rPr>
              <w:t>5,918 </w:t>
            </w:r>
          </w:p>
        </w:tc>
        <w:tc>
          <w:tcPr>
            <w:tcW w:w="0" w:type="auto"/>
            <w:shd w:val="clear" w:color="auto" w:fill="FFFFFF"/>
            <w:tcMar>
              <w:top w:w="40" w:type="dxa"/>
              <w:left w:w="0" w:type="dxa"/>
              <w:bottom w:w="40" w:type="dxa"/>
              <w:right w:w="20" w:type="dxa"/>
            </w:tcMar>
            <w:vAlign w:val="bottom"/>
          </w:tcPr>
          <w:p w14:paraId="0B2FBD34"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D35" w14:textId="77777777" w:rsidR="007F1775" w:rsidRDefault="007F1775">
            <w:pPr>
              <w:rPr>
                <w:rFonts w:ascii="宋体"/>
              </w:rPr>
            </w:pPr>
          </w:p>
        </w:tc>
        <w:tc>
          <w:tcPr>
            <w:tcW w:w="0" w:type="auto"/>
            <w:shd w:val="clear" w:color="auto" w:fill="FFFFFF"/>
            <w:tcMar>
              <w:top w:w="40" w:type="dxa"/>
              <w:left w:w="20" w:type="dxa"/>
              <w:bottom w:w="40" w:type="dxa"/>
              <w:right w:w="0" w:type="dxa"/>
            </w:tcMar>
            <w:vAlign w:val="bottom"/>
          </w:tcPr>
          <w:p w14:paraId="0B2FBD36"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B2FBD37" w14:textId="77777777" w:rsidR="007F1775" w:rsidRDefault="000F083E">
            <w:pPr>
              <w:jc w:val="right"/>
              <w:textAlignment w:val="bottom"/>
            </w:pPr>
            <w:r>
              <w:rPr>
                <w:rFonts w:ascii="Times New Roman" w:eastAsia="宋体" w:hAnsi="Times New Roman"/>
                <w:color w:val="000000"/>
                <w:sz w:val="20"/>
                <w:szCs w:val="20"/>
              </w:rPr>
              <w:t>31,233 </w:t>
            </w:r>
          </w:p>
        </w:tc>
        <w:tc>
          <w:tcPr>
            <w:tcW w:w="0" w:type="auto"/>
            <w:shd w:val="clear" w:color="auto" w:fill="FFFFFF"/>
            <w:tcMar>
              <w:top w:w="40" w:type="dxa"/>
              <w:left w:w="0" w:type="dxa"/>
              <w:bottom w:w="40" w:type="dxa"/>
              <w:right w:w="20" w:type="dxa"/>
            </w:tcMar>
            <w:vAlign w:val="bottom"/>
          </w:tcPr>
          <w:p w14:paraId="0B2FBD38" w14:textId="77777777" w:rsidR="007F1775" w:rsidRDefault="007F1775">
            <w:pPr>
              <w:jc w:val="right"/>
              <w:rPr>
                <w:rFonts w:ascii="宋体"/>
              </w:rPr>
            </w:pPr>
          </w:p>
        </w:tc>
      </w:tr>
      <w:tr w:rsidR="007F1775" w14:paraId="0B2FBD48" w14:textId="77777777">
        <w:tc>
          <w:tcPr>
            <w:tcW w:w="0" w:type="auto"/>
            <w:gridSpan w:val="3"/>
            <w:shd w:val="clear" w:color="auto" w:fill="CCEEFF"/>
            <w:tcMar>
              <w:top w:w="40" w:type="dxa"/>
              <w:left w:w="20" w:type="dxa"/>
              <w:bottom w:w="40" w:type="dxa"/>
              <w:right w:w="20" w:type="dxa"/>
            </w:tcMar>
            <w:vAlign w:val="bottom"/>
          </w:tcPr>
          <w:p w14:paraId="0B2FBD3A" w14:textId="77777777" w:rsidR="007F1775" w:rsidRDefault="000F083E">
            <w:pPr>
              <w:textAlignment w:val="bottom"/>
            </w:pPr>
            <w:r>
              <w:rPr>
                <w:rFonts w:ascii="Times New Roman" w:eastAsia="宋体" w:hAnsi="Times New Roman"/>
                <w:color w:val="000000"/>
                <w:sz w:val="20"/>
                <w:szCs w:val="20"/>
              </w:rPr>
              <w:t>March 1 - 31, 2022</w:t>
            </w:r>
          </w:p>
        </w:tc>
        <w:tc>
          <w:tcPr>
            <w:tcW w:w="0" w:type="auto"/>
            <w:gridSpan w:val="2"/>
            <w:shd w:val="clear" w:color="auto" w:fill="CCEEFF"/>
            <w:tcMar>
              <w:top w:w="40" w:type="dxa"/>
              <w:left w:w="20" w:type="dxa"/>
              <w:bottom w:w="40" w:type="dxa"/>
              <w:right w:w="0" w:type="dxa"/>
            </w:tcMar>
            <w:vAlign w:val="bottom"/>
          </w:tcPr>
          <w:p w14:paraId="0B2FBD3B" w14:textId="77777777" w:rsidR="007F1775" w:rsidRDefault="000F083E">
            <w:pPr>
              <w:jc w:val="right"/>
              <w:textAlignment w:val="bottom"/>
            </w:pPr>
            <w:r>
              <w:rPr>
                <w:rFonts w:ascii="Times New Roman" w:eastAsia="宋体" w:hAnsi="Times New Roman"/>
                <w:color w:val="000000"/>
                <w:sz w:val="20"/>
                <w:szCs w:val="20"/>
              </w:rPr>
              <w:t>8,666 </w:t>
            </w:r>
          </w:p>
        </w:tc>
        <w:tc>
          <w:tcPr>
            <w:tcW w:w="0" w:type="auto"/>
            <w:shd w:val="clear" w:color="auto" w:fill="CCEEFF"/>
            <w:tcMar>
              <w:top w:w="40" w:type="dxa"/>
              <w:left w:w="0" w:type="dxa"/>
              <w:bottom w:w="40" w:type="dxa"/>
              <w:right w:w="20" w:type="dxa"/>
            </w:tcMar>
            <w:vAlign w:val="bottom"/>
          </w:tcPr>
          <w:p w14:paraId="0B2FBD3C"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D3D" w14:textId="77777777" w:rsidR="007F1775" w:rsidRDefault="007F1775">
            <w:pPr>
              <w:rPr>
                <w:rFonts w:ascii="宋体"/>
              </w:rPr>
            </w:pPr>
          </w:p>
        </w:tc>
        <w:tc>
          <w:tcPr>
            <w:tcW w:w="0" w:type="auto"/>
            <w:shd w:val="clear" w:color="auto" w:fill="CCEEFF"/>
            <w:tcMar>
              <w:top w:w="40" w:type="dxa"/>
              <w:left w:w="20" w:type="dxa"/>
              <w:bottom w:w="40" w:type="dxa"/>
              <w:right w:w="0" w:type="dxa"/>
            </w:tcMar>
            <w:vAlign w:val="bottom"/>
          </w:tcPr>
          <w:p w14:paraId="0B2FBD3E" w14:textId="77777777" w:rsidR="007F1775" w:rsidRDefault="000F083E">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B2FBD3F" w14:textId="77777777" w:rsidR="007F1775" w:rsidRDefault="000F083E">
            <w:pPr>
              <w:jc w:val="right"/>
              <w:textAlignment w:val="bottom"/>
            </w:pPr>
            <w:r>
              <w:rPr>
                <w:rFonts w:ascii="Times New Roman" w:eastAsia="宋体" w:hAnsi="Times New Roman"/>
                <w:color w:val="000000"/>
                <w:sz w:val="20"/>
                <w:szCs w:val="20"/>
              </w:rPr>
              <w:t>210.79 </w:t>
            </w:r>
          </w:p>
        </w:tc>
        <w:tc>
          <w:tcPr>
            <w:tcW w:w="0" w:type="auto"/>
            <w:shd w:val="clear" w:color="auto" w:fill="CCEEFF"/>
            <w:tcMar>
              <w:top w:w="40" w:type="dxa"/>
              <w:left w:w="0" w:type="dxa"/>
              <w:bottom w:w="40" w:type="dxa"/>
              <w:right w:w="20" w:type="dxa"/>
            </w:tcMar>
            <w:vAlign w:val="bottom"/>
          </w:tcPr>
          <w:p w14:paraId="0B2FBD40"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D41" w14:textId="77777777" w:rsidR="007F1775" w:rsidRDefault="007F1775">
            <w:pPr>
              <w:rPr>
                <w:rFonts w:ascii="宋体"/>
              </w:rPr>
            </w:pPr>
          </w:p>
        </w:tc>
        <w:tc>
          <w:tcPr>
            <w:tcW w:w="0" w:type="auto"/>
            <w:gridSpan w:val="2"/>
            <w:shd w:val="clear" w:color="auto" w:fill="CCEEFF"/>
            <w:tcMar>
              <w:top w:w="40" w:type="dxa"/>
              <w:left w:w="20" w:type="dxa"/>
              <w:bottom w:w="40" w:type="dxa"/>
              <w:right w:w="0" w:type="dxa"/>
            </w:tcMar>
            <w:vAlign w:val="bottom"/>
          </w:tcPr>
          <w:p w14:paraId="0B2FBD42" w14:textId="77777777" w:rsidR="007F1775" w:rsidRDefault="000F083E">
            <w:pPr>
              <w:jc w:val="right"/>
              <w:textAlignment w:val="bottom"/>
            </w:pPr>
            <w:r>
              <w:rPr>
                <w:rFonts w:ascii="Times New Roman" w:eastAsia="宋体" w:hAnsi="Times New Roman"/>
                <w:color w:val="000000"/>
                <w:sz w:val="20"/>
                <w:szCs w:val="20"/>
              </w:rPr>
              <w:t>8,666 </w:t>
            </w:r>
          </w:p>
        </w:tc>
        <w:tc>
          <w:tcPr>
            <w:tcW w:w="0" w:type="auto"/>
            <w:shd w:val="clear" w:color="auto" w:fill="CCEEFF"/>
            <w:tcMar>
              <w:top w:w="40" w:type="dxa"/>
              <w:left w:w="0" w:type="dxa"/>
              <w:bottom w:w="40" w:type="dxa"/>
              <w:right w:w="20" w:type="dxa"/>
            </w:tcMar>
            <w:vAlign w:val="bottom"/>
          </w:tcPr>
          <w:p w14:paraId="0B2FBD43" w14:textId="77777777" w:rsidR="007F1775" w:rsidRDefault="007F1775">
            <w:pPr>
              <w:jc w:val="right"/>
              <w:rPr>
                <w:rFonts w:ascii="宋体"/>
              </w:rPr>
            </w:pPr>
          </w:p>
        </w:tc>
        <w:tc>
          <w:tcPr>
            <w:tcW w:w="0" w:type="auto"/>
            <w:gridSpan w:val="3"/>
            <w:shd w:val="clear" w:color="auto" w:fill="CCEEFF"/>
            <w:tcMar>
              <w:top w:w="0" w:type="dxa"/>
              <w:left w:w="20" w:type="dxa"/>
              <w:bottom w:w="0" w:type="dxa"/>
              <w:right w:w="20" w:type="dxa"/>
            </w:tcMar>
            <w:vAlign w:val="bottom"/>
          </w:tcPr>
          <w:p w14:paraId="0B2FBD44" w14:textId="77777777" w:rsidR="007F1775" w:rsidRDefault="007F1775">
            <w:pPr>
              <w:rPr>
                <w:rFonts w:ascii="宋体"/>
              </w:rPr>
            </w:pPr>
          </w:p>
        </w:tc>
        <w:tc>
          <w:tcPr>
            <w:tcW w:w="0" w:type="auto"/>
            <w:shd w:val="clear" w:color="auto" w:fill="CCEEFF"/>
            <w:tcMar>
              <w:top w:w="40" w:type="dxa"/>
              <w:left w:w="20" w:type="dxa"/>
              <w:bottom w:w="40" w:type="dxa"/>
              <w:right w:w="0" w:type="dxa"/>
            </w:tcMar>
          </w:tcPr>
          <w:p w14:paraId="0B2FBD45" w14:textId="77777777" w:rsidR="007F1775" w:rsidRDefault="000F083E">
            <w:pPr>
              <w:textAlignment w:val="top"/>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tcPr>
          <w:p w14:paraId="0B2FBD46" w14:textId="77777777" w:rsidR="007F1775" w:rsidRDefault="000F083E">
            <w:pPr>
              <w:jc w:val="right"/>
              <w:textAlignment w:val="top"/>
            </w:pPr>
            <w:r>
              <w:rPr>
                <w:rFonts w:ascii="Times New Roman" w:eastAsia="宋体" w:hAnsi="Times New Roman"/>
                <w:color w:val="000000"/>
                <w:sz w:val="20"/>
                <w:szCs w:val="20"/>
              </w:rPr>
              <w:t>29,406 </w:t>
            </w:r>
          </w:p>
        </w:tc>
        <w:tc>
          <w:tcPr>
            <w:tcW w:w="0" w:type="auto"/>
            <w:shd w:val="clear" w:color="auto" w:fill="CCEEFF"/>
            <w:tcMar>
              <w:top w:w="40" w:type="dxa"/>
              <w:left w:w="0" w:type="dxa"/>
              <w:bottom w:w="40" w:type="dxa"/>
              <w:right w:w="20" w:type="dxa"/>
            </w:tcMar>
          </w:tcPr>
          <w:p w14:paraId="0B2FBD47" w14:textId="77777777" w:rsidR="007F1775" w:rsidRDefault="007F1775">
            <w:pPr>
              <w:jc w:val="right"/>
              <w:rPr>
                <w:rFonts w:ascii="宋体"/>
              </w:rPr>
            </w:pPr>
          </w:p>
        </w:tc>
      </w:tr>
      <w:tr w:rsidR="007F1775" w14:paraId="0B2FBD53" w14:textId="77777777">
        <w:tc>
          <w:tcPr>
            <w:tcW w:w="0" w:type="auto"/>
            <w:gridSpan w:val="3"/>
            <w:shd w:val="clear" w:color="auto" w:fill="FFFFFF"/>
            <w:tcMar>
              <w:top w:w="0" w:type="dxa"/>
              <w:left w:w="20" w:type="dxa"/>
              <w:bottom w:w="0" w:type="dxa"/>
              <w:right w:w="20" w:type="dxa"/>
            </w:tcMar>
            <w:vAlign w:val="bottom"/>
          </w:tcPr>
          <w:p w14:paraId="0B2FBD49" w14:textId="77777777" w:rsidR="007F1775" w:rsidRDefault="007F177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BD4A" w14:textId="77777777" w:rsidR="007F1775" w:rsidRDefault="000F083E">
            <w:pPr>
              <w:jc w:val="right"/>
              <w:textAlignment w:val="bottom"/>
            </w:pPr>
            <w:r>
              <w:rPr>
                <w:rFonts w:ascii="Times New Roman" w:eastAsia="宋体" w:hAnsi="Times New Roman"/>
                <w:color w:val="000000"/>
                <w:sz w:val="20"/>
                <w:szCs w:val="20"/>
              </w:rPr>
              <w:t>34,271 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BD4B"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D4C"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D4D" w14:textId="77777777" w:rsidR="007F1775" w:rsidRDefault="007F1775">
            <w:pPr>
              <w:rPr>
                <w:rFonts w:ascii="宋体"/>
              </w:rPr>
            </w:pPr>
          </w:p>
        </w:tc>
        <w:tc>
          <w:tcPr>
            <w:tcW w:w="0" w:type="auto"/>
            <w:gridSpan w:val="3"/>
            <w:shd w:val="clear" w:color="auto" w:fill="FFFFFF"/>
            <w:tcMar>
              <w:top w:w="0" w:type="dxa"/>
              <w:left w:w="20" w:type="dxa"/>
              <w:bottom w:w="0" w:type="dxa"/>
              <w:right w:w="20" w:type="dxa"/>
            </w:tcMar>
            <w:vAlign w:val="bottom"/>
          </w:tcPr>
          <w:p w14:paraId="0B2FBD4E" w14:textId="77777777" w:rsidR="007F1775" w:rsidRDefault="007F177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B2FBD4F" w14:textId="77777777" w:rsidR="007F1775" w:rsidRDefault="000F083E">
            <w:pPr>
              <w:jc w:val="right"/>
              <w:textAlignment w:val="bottom"/>
            </w:pPr>
            <w:r>
              <w:rPr>
                <w:rFonts w:ascii="Times New Roman" w:eastAsia="宋体" w:hAnsi="Times New Roman"/>
                <w:color w:val="000000"/>
                <w:sz w:val="20"/>
                <w:szCs w:val="20"/>
              </w:rPr>
              <w:t>34,271 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B2FBD50" w14:textId="77777777" w:rsidR="007F1775" w:rsidRDefault="007F1775">
            <w:pPr>
              <w:jc w:val="right"/>
              <w:rPr>
                <w:rFonts w:ascii="宋体"/>
              </w:rPr>
            </w:pPr>
          </w:p>
        </w:tc>
        <w:tc>
          <w:tcPr>
            <w:tcW w:w="0" w:type="auto"/>
            <w:gridSpan w:val="3"/>
            <w:shd w:val="clear" w:color="auto" w:fill="FFFFFF"/>
            <w:tcMar>
              <w:top w:w="0" w:type="dxa"/>
              <w:left w:w="20" w:type="dxa"/>
              <w:bottom w:w="0" w:type="dxa"/>
              <w:right w:w="20" w:type="dxa"/>
            </w:tcMar>
            <w:vAlign w:val="bottom"/>
          </w:tcPr>
          <w:p w14:paraId="0B2FBD5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52" w14:textId="77777777" w:rsidR="007F1775" w:rsidRDefault="007F1775">
            <w:pPr>
              <w:rPr>
                <w:rFonts w:ascii="宋体"/>
              </w:rPr>
            </w:pPr>
          </w:p>
        </w:tc>
      </w:tr>
    </w:tbl>
    <w:p w14:paraId="0B2FBD54" w14:textId="77777777" w:rsidR="007F1775" w:rsidRDefault="000F083E">
      <w:pPr>
        <w:spacing w:before="120"/>
      </w:pPr>
      <w:r>
        <w:rPr>
          <w:rFonts w:ascii="Times New Roman" w:eastAsia="宋体" w:hAnsi="Times New Roman"/>
          <w:color w:val="000000"/>
          <w:sz w:val="12"/>
          <w:szCs w:val="12"/>
        </w:rPr>
        <w:t>____________________________________</w:t>
      </w:r>
    </w:p>
    <w:p w14:paraId="0B2FBD55" w14:textId="77777777" w:rsidR="007F1775" w:rsidRDefault="000F083E">
      <w:pPr>
        <w:pBdr>
          <w:left w:val="none" w:sz="0" w:space="0" w:color="auto"/>
        </w:pBdr>
        <w:ind w:hanging="360"/>
        <w:jc w:val="both"/>
      </w:pPr>
      <w:r>
        <w:rPr>
          <w:rFonts w:ascii="Times New Roman" w:eastAsia="宋体" w:hAnsi="Times New Roman"/>
          <w:color w:val="000000"/>
          <w:sz w:val="18"/>
          <w:szCs w:val="18"/>
        </w:rPr>
        <w:t xml:space="preserve">(1)Our board of directors has authorized a share repurchase program of our Class A common stock, which commenced in January 2017 and </w:t>
      </w:r>
      <w:r>
        <w:rPr>
          <w:rFonts w:ascii="Times New Roman" w:eastAsia="宋体" w:hAnsi="Times New Roman"/>
          <w:color w:val="000000"/>
          <w:sz w:val="18"/>
          <w:szCs w:val="18"/>
        </w:rPr>
        <w:t>does not have an expiration date. As of December 31, 2021, $38.79 billion remained available for repurchases under this program. The timing and actual number of shares repurchased depend on a variety of factors, including price, general business and market</w:t>
      </w:r>
      <w:r>
        <w:rPr>
          <w:rFonts w:ascii="Times New Roman" w:eastAsia="宋体" w:hAnsi="Times New Roman"/>
          <w:color w:val="000000"/>
          <w:sz w:val="18"/>
          <w:szCs w:val="18"/>
        </w:rPr>
        <w:t xml:space="preserve"> conditions, and other investment opportunities, and shares may be repurchased through open market purchases or privately negotiated transactions, including through the use of trading plans intended to qualify under Rule 10b5-1 under the Exchange Act.</w:t>
      </w:r>
    </w:p>
    <w:p w14:paraId="0B2FBD56" w14:textId="77777777" w:rsidR="007F1775" w:rsidRDefault="000F083E">
      <w:pPr>
        <w:pBdr>
          <w:left w:val="none" w:sz="0" w:space="0" w:color="auto"/>
        </w:pBdr>
        <w:ind w:hanging="360"/>
        <w:jc w:val="both"/>
      </w:pPr>
      <w:r>
        <w:rPr>
          <w:rFonts w:ascii="Times New Roman" w:eastAsia="宋体" w:hAnsi="Times New Roman"/>
          <w:color w:val="000000"/>
          <w:sz w:val="18"/>
          <w:szCs w:val="18"/>
        </w:rPr>
        <w:t>(2)A</w:t>
      </w:r>
      <w:r>
        <w:rPr>
          <w:rFonts w:ascii="Times New Roman" w:eastAsia="宋体" w:hAnsi="Times New Roman"/>
          <w:color w:val="000000"/>
          <w:sz w:val="18"/>
          <w:szCs w:val="18"/>
        </w:rPr>
        <w:t>verage price paid per share includes costs associated with the repurchases.</w:t>
      </w:r>
    </w:p>
    <w:p w14:paraId="0B2FBD57" w14:textId="77777777" w:rsidR="007F1775" w:rsidRDefault="007F1775"/>
    <w:p w14:paraId="0B2FBD58" w14:textId="77777777" w:rsidR="007F1775" w:rsidRDefault="000F083E">
      <w:pPr>
        <w:jc w:val="center"/>
      </w:pPr>
      <w:r>
        <w:rPr>
          <w:rFonts w:ascii="Times New Roman" w:eastAsia="宋体" w:hAnsi="Times New Roman"/>
          <w:color w:val="000000"/>
          <w:sz w:val="20"/>
          <w:szCs w:val="20"/>
        </w:rPr>
        <w:t>85</w:t>
      </w:r>
    </w:p>
    <w:p w14:paraId="0B2FBD59" w14:textId="77777777" w:rsidR="007F1775" w:rsidRDefault="000F083E">
      <w:r>
        <w:pict w14:anchorId="0B2FBFE2">
          <v:rect id="_x0000_i1109" style="width:415.3pt;height:1.5pt" o:hralign="center" o:hrstd="t" o:hr="t" fillcolor="#a0a0a0" stroked="f"/>
        </w:pict>
      </w:r>
    </w:p>
    <w:p w14:paraId="0B2FBD5A" w14:textId="77777777" w:rsidR="007F1775" w:rsidRDefault="007F1775"/>
    <w:p w14:paraId="0B2FBD5B" w14:textId="77777777" w:rsidR="007F1775" w:rsidRDefault="007F1775"/>
    <w:p w14:paraId="0B2FBD5C" w14:textId="77777777" w:rsidR="007F1775" w:rsidRDefault="000F083E">
      <w:hyperlink r:id="rId163" w:anchor="iea70e328caa94cefb76a9db6ed6338fc_7" w:history="1">
        <w:r>
          <w:rPr>
            <w:rStyle w:val="a5"/>
            <w:rFonts w:ascii="Times New Roman" w:eastAsia="宋体" w:hAnsi="Times New Roman"/>
            <w:sz w:val="20"/>
            <w:szCs w:val="20"/>
          </w:rPr>
          <w:t>Table of Contents</w:t>
        </w:r>
      </w:hyperlink>
    </w:p>
    <w:p w14:paraId="0B2FBD5D" w14:textId="77777777" w:rsidR="007F1775" w:rsidRDefault="000F083E">
      <w:pPr>
        <w:pBdr>
          <w:left w:val="none" w:sz="0" w:space="0" w:color="auto"/>
        </w:pBdr>
        <w:spacing w:before="280"/>
        <w:ind w:hanging="360"/>
      </w:pPr>
      <w:r>
        <w:rPr>
          <w:rFonts w:ascii="Times New Roman" w:eastAsia="宋体" w:hAnsi="Times New Roman"/>
          <w:b/>
          <w:bCs/>
          <w:color w:val="000000"/>
          <w:sz w:val="20"/>
          <w:szCs w:val="20"/>
        </w:rPr>
        <w:t>I</w:t>
      </w:r>
      <w:r>
        <w:rPr>
          <w:rFonts w:ascii="Times New Roman" w:eastAsia="宋体" w:hAnsi="Times New Roman"/>
          <w:b/>
          <w:bCs/>
          <w:color w:val="000000"/>
          <w:sz w:val="20"/>
          <w:szCs w:val="20"/>
        </w:rPr>
        <w:t xml:space="preserve">tem 6.Exhibits </w:t>
      </w:r>
    </w:p>
    <w:p w14:paraId="0B2FBD5E" w14:textId="77777777" w:rsidR="007F1775" w:rsidRDefault="007F1775"/>
    <w:tbl>
      <w:tblPr>
        <w:tblW w:w="5000"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47"/>
        <w:gridCol w:w="2869"/>
        <w:gridCol w:w="39"/>
        <w:gridCol w:w="36"/>
        <w:gridCol w:w="36"/>
        <w:gridCol w:w="36"/>
        <w:gridCol w:w="61"/>
        <w:gridCol w:w="371"/>
        <w:gridCol w:w="37"/>
        <w:gridCol w:w="37"/>
        <w:gridCol w:w="37"/>
        <w:gridCol w:w="37"/>
        <w:gridCol w:w="89"/>
        <w:gridCol w:w="810"/>
        <w:gridCol w:w="37"/>
        <w:gridCol w:w="36"/>
        <w:gridCol w:w="36"/>
        <w:gridCol w:w="36"/>
        <w:gridCol w:w="70"/>
        <w:gridCol w:w="471"/>
        <w:gridCol w:w="36"/>
        <w:gridCol w:w="36"/>
        <w:gridCol w:w="36"/>
        <w:gridCol w:w="36"/>
        <w:gridCol w:w="48"/>
        <w:gridCol w:w="1148"/>
        <w:gridCol w:w="36"/>
        <w:gridCol w:w="36"/>
        <w:gridCol w:w="36"/>
        <w:gridCol w:w="36"/>
        <w:gridCol w:w="87"/>
        <w:gridCol w:w="585"/>
        <w:gridCol w:w="36"/>
      </w:tblGrid>
      <w:tr w:rsidR="007F1775" w14:paraId="0B2FBD86" w14:textId="77777777">
        <w:tc>
          <w:tcPr>
            <w:tcW w:w="50" w:type="pct"/>
            <w:shd w:val="clear" w:color="auto" w:fill="auto"/>
            <w:vAlign w:val="bottom"/>
          </w:tcPr>
          <w:p w14:paraId="0B2FBD5F" w14:textId="77777777" w:rsidR="007F1775" w:rsidRDefault="007F1775">
            <w:pPr>
              <w:rPr>
                <w:rFonts w:ascii="宋体"/>
              </w:rPr>
            </w:pPr>
          </w:p>
        </w:tc>
        <w:tc>
          <w:tcPr>
            <w:tcW w:w="391" w:type="pct"/>
            <w:shd w:val="clear" w:color="auto" w:fill="auto"/>
            <w:vAlign w:val="bottom"/>
          </w:tcPr>
          <w:p w14:paraId="0B2FBD60" w14:textId="77777777" w:rsidR="007F1775" w:rsidRDefault="007F1775">
            <w:pPr>
              <w:rPr>
                <w:rFonts w:ascii="宋体"/>
              </w:rPr>
            </w:pPr>
          </w:p>
        </w:tc>
        <w:tc>
          <w:tcPr>
            <w:tcW w:w="5" w:type="pct"/>
            <w:shd w:val="clear" w:color="auto" w:fill="auto"/>
            <w:vAlign w:val="bottom"/>
          </w:tcPr>
          <w:p w14:paraId="0B2FBD61" w14:textId="77777777" w:rsidR="007F1775" w:rsidRDefault="007F1775">
            <w:pPr>
              <w:rPr>
                <w:rFonts w:ascii="宋体"/>
              </w:rPr>
            </w:pPr>
          </w:p>
        </w:tc>
        <w:tc>
          <w:tcPr>
            <w:tcW w:w="5" w:type="pct"/>
            <w:shd w:val="clear" w:color="auto" w:fill="auto"/>
            <w:vAlign w:val="bottom"/>
          </w:tcPr>
          <w:p w14:paraId="0B2FBD62" w14:textId="77777777" w:rsidR="007F1775" w:rsidRDefault="007F1775">
            <w:pPr>
              <w:rPr>
                <w:rFonts w:ascii="宋体"/>
              </w:rPr>
            </w:pPr>
          </w:p>
        </w:tc>
        <w:tc>
          <w:tcPr>
            <w:tcW w:w="27" w:type="pct"/>
            <w:shd w:val="clear" w:color="auto" w:fill="auto"/>
            <w:vAlign w:val="bottom"/>
          </w:tcPr>
          <w:p w14:paraId="0B2FBD63" w14:textId="77777777" w:rsidR="007F1775" w:rsidRDefault="007F1775">
            <w:pPr>
              <w:rPr>
                <w:rFonts w:ascii="宋体"/>
              </w:rPr>
            </w:pPr>
          </w:p>
        </w:tc>
        <w:tc>
          <w:tcPr>
            <w:tcW w:w="5" w:type="pct"/>
            <w:shd w:val="clear" w:color="auto" w:fill="auto"/>
            <w:vAlign w:val="bottom"/>
          </w:tcPr>
          <w:p w14:paraId="0B2FBD64" w14:textId="77777777" w:rsidR="007F1775" w:rsidRDefault="007F1775">
            <w:pPr>
              <w:rPr>
                <w:rFonts w:ascii="宋体"/>
              </w:rPr>
            </w:pPr>
          </w:p>
        </w:tc>
        <w:tc>
          <w:tcPr>
            <w:tcW w:w="50" w:type="pct"/>
            <w:shd w:val="clear" w:color="auto" w:fill="auto"/>
            <w:vAlign w:val="bottom"/>
          </w:tcPr>
          <w:p w14:paraId="0B2FBD65" w14:textId="77777777" w:rsidR="007F1775" w:rsidRDefault="007F1775">
            <w:pPr>
              <w:rPr>
                <w:rFonts w:ascii="宋体"/>
              </w:rPr>
            </w:pPr>
          </w:p>
        </w:tc>
        <w:tc>
          <w:tcPr>
            <w:tcW w:w="1782" w:type="pct"/>
            <w:shd w:val="clear" w:color="auto" w:fill="auto"/>
            <w:vAlign w:val="bottom"/>
          </w:tcPr>
          <w:p w14:paraId="0B2FBD66" w14:textId="77777777" w:rsidR="007F1775" w:rsidRDefault="007F1775">
            <w:pPr>
              <w:rPr>
                <w:rFonts w:ascii="宋体"/>
              </w:rPr>
            </w:pPr>
          </w:p>
        </w:tc>
        <w:tc>
          <w:tcPr>
            <w:tcW w:w="5" w:type="pct"/>
            <w:shd w:val="clear" w:color="auto" w:fill="auto"/>
            <w:vAlign w:val="bottom"/>
          </w:tcPr>
          <w:p w14:paraId="0B2FBD67" w14:textId="77777777" w:rsidR="007F1775" w:rsidRDefault="007F1775">
            <w:pPr>
              <w:rPr>
                <w:rFonts w:ascii="宋体"/>
              </w:rPr>
            </w:pPr>
          </w:p>
        </w:tc>
        <w:tc>
          <w:tcPr>
            <w:tcW w:w="5" w:type="pct"/>
            <w:shd w:val="clear" w:color="auto" w:fill="auto"/>
            <w:vAlign w:val="bottom"/>
          </w:tcPr>
          <w:p w14:paraId="0B2FBD68" w14:textId="77777777" w:rsidR="007F1775" w:rsidRDefault="007F1775">
            <w:pPr>
              <w:rPr>
                <w:rFonts w:ascii="宋体"/>
              </w:rPr>
            </w:pPr>
          </w:p>
        </w:tc>
        <w:tc>
          <w:tcPr>
            <w:tcW w:w="27" w:type="pct"/>
            <w:shd w:val="clear" w:color="auto" w:fill="auto"/>
            <w:vAlign w:val="bottom"/>
          </w:tcPr>
          <w:p w14:paraId="0B2FBD69" w14:textId="77777777" w:rsidR="007F1775" w:rsidRDefault="007F1775">
            <w:pPr>
              <w:rPr>
                <w:rFonts w:ascii="宋体"/>
              </w:rPr>
            </w:pPr>
          </w:p>
        </w:tc>
        <w:tc>
          <w:tcPr>
            <w:tcW w:w="5" w:type="pct"/>
            <w:shd w:val="clear" w:color="auto" w:fill="auto"/>
            <w:vAlign w:val="bottom"/>
          </w:tcPr>
          <w:p w14:paraId="0B2FBD6A" w14:textId="77777777" w:rsidR="007F1775" w:rsidRDefault="007F1775">
            <w:pPr>
              <w:rPr>
                <w:rFonts w:ascii="宋体"/>
              </w:rPr>
            </w:pPr>
          </w:p>
        </w:tc>
        <w:tc>
          <w:tcPr>
            <w:tcW w:w="50" w:type="pct"/>
            <w:shd w:val="clear" w:color="auto" w:fill="auto"/>
            <w:vAlign w:val="bottom"/>
          </w:tcPr>
          <w:p w14:paraId="0B2FBD6B" w14:textId="77777777" w:rsidR="007F1775" w:rsidRDefault="007F1775">
            <w:pPr>
              <w:rPr>
                <w:rFonts w:ascii="宋体"/>
              </w:rPr>
            </w:pPr>
          </w:p>
        </w:tc>
        <w:tc>
          <w:tcPr>
            <w:tcW w:w="294" w:type="pct"/>
            <w:shd w:val="clear" w:color="auto" w:fill="auto"/>
            <w:vAlign w:val="bottom"/>
          </w:tcPr>
          <w:p w14:paraId="0B2FBD6C" w14:textId="77777777" w:rsidR="007F1775" w:rsidRDefault="007F1775">
            <w:pPr>
              <w:rPr>
                <w:rFonts w:ascii="宋体"/>
              </w:rPr>
            </w:pPr>
          </w:p>
        </w:tc>
        <w:tc>
          <w:tcPr>
            <w:tcW w:w="5" w:type="pct"/>
            <w:shd w:val="clear" w:color="auto" w:fill="auto"/>
            <w:vAlign w:val="bottom"/>
          </w:tcPr>
          <w:p w14:paraId="0B2FBD6D" w14:textId="77777777" w:rsidR="007F1775" w:rsidRDefault="007F1775">
            <w:pPr>
              <w:rPr>
                <w:rFonts w:ascii="宋体"/>
              </w:rPr>
            </w:pPr>
          </w:p>
        </w:tc>
        <w:tc>
          <w:tcPr>
            <w:tcW w:w="5" w:type="pct"/>
            <w:shd w:val="clear" w:color="auto" w:fill="auto"/>
            <w:vAlign w:val="bottom"/>
          </w:tcPr>
          <w:p w14:paraId="0B2FBD6E" w14:textId="77777777" w:rsidR="007F1775" w:rsidRDefault="007F1775">
            <w:pPr>
              <w:rPr>
                <w:rFonts w:ascii="宋体"/>
              </w:rPr>
            </w:pPr>
          </w:p>
        </w:tc>
        <w:tc>
          <w:tcPr>
            <w:tcW w:w="27" w:type="pct"/>
            <w:shd w:val="clear" w:color="auto" w:fill="auto"/>
            <w:vAlign w:val="bottom"/>
          </w:tcPr>
          <w:p w14:paraId="0B2FBD6F" w14:textId="77777777" w:rsidR="007F1775" w:rsidRDefault="007F1775">
            <w:pPr>
              <w:rPr>
                <w:rFonts w:ascii="宋体"/>
              </w:rPr>
            </w:pPr>
          </w:p>
        </w:tc>
        <w:tc>
          <w:tcPr>
            <w:tcW w:w="5" w:type="pct"/>
            <w:shd w:val="clear" w:color="auto" w:fill="auto"/>
            <w:vAlign w:val="bottom"/>
          </w:tcPr>
          <w:p w14:paraId="0B2FBD70" w14:textId="77777777" w:rsidR="007F1775" w:rsidRDefault="007F1775">
            <w:pPr>
              <w:rPr>
                <w:rFonts w:ascii="宋体"/>
              </w:rPr>
            </w:pPr>
          </w:p>
        </w:tc>
        <w:tc>
          <w:tcPr>
            <w:tcW w:w="50" w:type="pct"/>
            <w:shd w:val="clear" w:color="auto" w:fill="auto"/>
            <w:vAlign w:val="bottom"/>
          </w:tcPr>
          <w:p w14:paraId="0B2FBD71" w14:textId="77777777" w:rsidR="007F1775" w:rsidRDefault="007F1775">
            <w:pPr>
              <w:rPr>
                <w:rFonts w:ascii="宋体"/>
              </w:rPr>
            </w:pPr>
          </w:p>
        </w:tc>
        <w:tc>
          <w:tcPr>
            <w:tcW w:w="458" w:type="pct"/>
            <w:shd w:val="clear" w:color="auto" w:fill="auto"/>
            <w:vAlign w:val="bottom"/>
          </w:tcPr>
          <w:p w14:paraId="0B2FBD72" w14:textId="77777777" w:rsidR="007F1775" w:rsidRDefault="007F1775">
            <w:pPr>
              <w:rPr>
                <w:rFonts w:ascii="宋体"/>
              </w:rPr>
            </w:pPr>
          </w:p>
        </w:tc>
        <w:tc>
          <w:tcPr>
            <w:tcW w:w="5" w:type="pct"/>
            <w:shd w:val="clear" w:color="auto" w:fill="auto"/>
            <w:vAlign w:val="bottom"/>
          </w:tcPr>
          <w:p w14:paraId="0B2FBD73" w14:textId="77777777" w:rsidR="007F1775" w:rsidRDefault="007F1775">
            <w:pPr>
              <w:rPr>
                <w:rFonts w:ascii="宋体"/>
              </w:rPr>
            </w:pPr>
          </w:p>
        </w:tc>
        <w:tc>
          <w:tcPr>
            <w:tcW w:w="5" w:type="pct"/>
            <w:shd w:val="clear" w:color="auto" w:fill="auto"/>
            <w:vAlign w:val="bottom"/>
          </w:tcPr>
          <w:p w14:paraId="0B2FBD74" w14:textId="77777777" w:rsidR="007F1775" w:rsidRDefault="007F1775">
            <w:pPr>
              <w:rPr>
                <w:rFonts w:ascii="宋体"/>
              </w:rPr>
            </w:pPr>
          </w:p>
        </w:tc>
        <w:tc>
          <w:tcPr>
            <w:tcW w:w="27" w:type="pct"/>
            <w:shd w:val="clear" w:color="auto" w:fill="auto"/>
            <w:vAlign w:val="bottom"/>
          </w:tcPr>
          <w:p w14:paraId="0B2FBD75" w14:textId="77777777" w:rsidR="007F1775" w:rsidRDefault="007F1775">
            <w:pPr>
              <w:rPr>
                <w:rFonts w:ascii="宋体"/>
              </w:rPr>
            </w:pPr>
          </w:p>
        </w:tc>
        <w:tc>
          <w:tcPr>
            <w:tcW w:w="5" w:type="pct"/>
            <w:shd w:val="clear" w:color="auto" w:fill="auto"/>
            <w:vAlign w:val="bottom"/>
          </w:tcPr>
          <w:p w14:paraId="0B2FBD76" w14:textId="77777777" w:rsidR="007F1775" w:rsidRDefault="007F1775">
            <w:pPr>
              <w:rPr>
                <w:rFonts w:ascii="宋体"/>
              </w:rPr>
            </w:pPr>
          </w:p>
        </w:tc>
        <w:tc>
          <w:tcPr>
            <w:tcW w:w="50" w:type="pct"/>
            <w:shd w:val="clear" w:color="auto" w:fill="auto"/>
            <w:vAlign w:val="bottom"/>
          </w:tcPr>
          <w:p w14:paraId="0B2FBD77" w14:textId="77777777" w:rsidR="007F1775" w:rsidRDefault="007F1775">
            <w:pPr>
              <w:rPr>
                <w:rFonts w:ascii="宋体"/>
              </w:rPr>
            </w:pPr>
          </w:p>
        </w:tc>
        <w:tc>
          <w:tcPr>
            <w:tcW w:w="339" w:type="pct"/>
            <w:shd w:val="clear" w:color="auto" w:fill="auto"/>
            <w:vAlign w:val="bottom"/>
          </w:tcPr>
          <w:p w14:paraId="0B2FBD78" w14:textId="77777777" w:rsidR="007F1775" w:rsidRDefault="007F1775">
            <w:pPr>
              <w:rPr>
                <w:rFonts w:ascii="宋体"/>
              </w:rPr>
            </w:pPr>
          </w:p>
        </w:tc>
        <w:tc>
          <w:tcPr>
            <w:tcW w:w="5" w:type="pct"/>
            <w:shd w:val="clear" w:color="auto" w:fill="auto"/>
            <w:vAlign w:val="bottom"/>
          </w:tcPr>
          <w:p w14:paraId="0B2FBD79" w14:textId="77777777" w:rsidR="007F1775" w:rsidRDefault="007F1775">
            <w:pPr>
              <w:rPr>
                <w:rFonts w:ascii="宋体"/>
              </w:rPr>
            </w:pPr>
          </w:p>
        </w:tc>
        <w:tc>
          <w:tcPr>
            <w:tcW w:w="5" w:type="pct"/>
            <w:shd w:val="clear" w:color="auto" w:fill="auto"/>
            <w:vAlign w:val="bottom"/>
          </w:tcPr>
          <w:p w14:paraId="0B2FBD7A" w14:textId="77777777" w:rsidR="007F1775" w:rsidRDefault="007F1775">
            <w:pPr>
              <w:rPr>
                <w:rFonts w:ascii="宋体"/>
              </w:rPr>
            </w:pPr>
          </w:p>
        </w:tc>
        <w:tc>
          <w:tcPr>
            <w:tcW w:w="27" w:type="pct"/>
            <w:shd w:val="clear" w:color="auto" w:fill="auto"/>
            <w:vAlign w:val="bottom"/>
          </w:tcPr>
          <w:p w14:paraId="0B2FBD7B" w14:textId="77777777" w:rsidR="007F1775" w:rsidRDefault="007F1775">
            <w:pPr>
              <w:rPr>
                <w:rFonts w:ascii="宋体"/>
              </w:rPr>
            </w:pPr>
          </w:p>
        </w:tc>
        <w:tc>
          <w:tcPr>
            <w:tcW w:w="5" w:type="pct"/>
            <w:shd w:val="clear" w:color="auto" w:fill="auto"/>
            <w:vAlign w:val="bottom"/>
          </w:tcPr>
          <w:p w14:paraId="0B2FBD7C" w14:textId="77777777" w:rsidR="007F1775" w:rsidRDefault="007F1775">
            <w:pPr>
              <w:rPr>
                <w:rFonts w:ascii="宋体"/>
              </w:rPr>
            </w:pPr>
          </w:p>
        </w:tc>
        <w:tc>
          <w:tcPr>
            <w:tcW w:w="50" w:type="pct"/>
            <w:shd w:val="clear" w:color="auto" w:fill="auto"/>
            <w:vAlign w:val="bottom"/>
          </w:tcPr>
          <w:p w14:paraId="0B2FBD7D" w14:textId="77777777" w:rsidR="007F1775" w:rsidRDefault="007F1775">
            <w:pPr>
              <w:rPr>
                <w:rFonts w:ascii="宋体"/>
              </w:rPr>
            </w:pPr>
          </w:p>
        </w:tc>
        <w:tc>
          <w:tcPr>
            <w:tcW w:w="785" w:type="pct"/>
            <w:shd w:val="clear" w:color="auto" w:fill="auto"/>
            <w:vAlign w:val="bottom"/>
          </w:tcPr>
          <w:p w14:paraId="0B2FBD7E" w14:textId="77777777" w:rsidR="007F1775" w:rsidRDefault="007F1775">
            <w:pPr>
              <w:rPr>
                <w:rFonts w:ascii="宋体"/>
              </w:rPr>
            </w:pPr>
          </w:p>
        </w:tc>
        <w:tc>
          <w:tcPr>
            <w:tcW w:w="5" w:type="pct"/>
            <w:shd w:val="clear" w:color="auto" w:fill="auto"/>
            <w:vAlign w:val="bottom"/>
          </w:tcPr>
          <w:p w14:paraId="0B2FBD7F" w14:textId="77777777" w:rsidR="007F1775" w:rsidRDefault="007F1775">
            <w:pPr>
              <w:rPr>
                <w:rFonts w:ascii="宋体"/>
              </w:rPr>
            </w:pPr>
          </w:p>
        </w:tc>
        <w:tc>
          <w:tcPr>
            <w:tcW w:w="5" w:type="pct"/>
            <w:shd w:val="clear" w:color="auto" w:fill="auto"/>
            <w:vAlign w:val="bottom"/>
          </w:tcPr>
          <w:p w14:paraId="0B2FBD80" w14:textId="77777777" w:rsidR="007F1775" w:rsidRDefault="007F1775">
            <w:pPr>
              <w:rPr>
                <w:rFonts w:ascii="宋体"/>
              </w:rPr>
            </w:pPr>
          </w:p>
        </w:tc>
        <w:tc>
          <w:tcPr>
            <w:tcW w:w="27" w:type="pct"/>
            <w:shd w:val="clear" w:color="auto" w:fill="auto"/>
            <w:vAlign w:val="bottom"/>
          </w:tcPr>
          <w:p w14:paraId="0B2FBD81" w14:textId="77777777" w:rsidR="007F1775" w:rsidRDefault="007F1775">
            <w:pPr>
              <w:rPr>
                <w:rFonts w:ascii="宋体"/>
              </w:rPr>
            </w:pPr>
          </w:p>
        </w:tc>
        <w:tc>
          <w:tcPr>
            <w:tcW w:w="5" w:type="pct"/>
            <w:shd w:val="clear" w:color="auto" w:fill="auto"/>
            <w:vAlign w:val="bottom"/>
          </w:tcPr>
          <w:p w14:paraId="0B2FBD82" w14:textId="77777777" w:rsidR="007F1775" w:rsidRDefault="007F1775">
            <w:pPr>
              <w:rPr>
                <w:rFonts w:ascii="宋体"/>
              </w:rPr>
            </w:pPr>
          </w:p>
        </w:tc>
        <w:tc>
          <w:tcPr>
            <w:tcW w:w="50" w:type="pct"/>
            <w:shd w:val="clear" w:color="auto" w:fill="auto"/>
            <w:vAlign w:val="bottom"/>
          </w:tcPr>
          <w:p w14:paraId="0B2FBD83" w14:textId="77777777" w:rsidR="007F1775" w:rsidRDefault="007F1775">
            <w:pPr>
              <w:rPr>
                <w:rFonts w:ascii="宋体"/>
              </w:rPr>
            </w:pPr>
          </w:p>
        </w:tc>
        <w:tc>
          <w:tcPr>
            <w:tcW w:w="339" w:type="pct"/>
            <w:shd w:val="clear" w:color="auto" w:fill="auto"/>
            <w:vAlign w:val="bottom"/>
          </w:tcPr>
          <w:p w14:paraId="0B2FBD84" w14:textId="77777777" w:rsidR="007F1775" w:rsidRDefault="007F1775">
            <w:pPr>
              <w:rPr>
                <w:rFonts w:ascii="宋体"/>
              </w:rPr>
            </w:pPr>
          </w:p>
        </w:tc>
        <w:tc>
          <w:tcPr>
            <w:tcW w:w="5" w:type="pct"/>
            <w:shd w:val="clear" w:color="auto" w:fill="auto"/>
            <w:vAlign w:val="bottom"/>
          </w:tcPr>
          <w:p w14:paraId="0B2FBD85" w14:textId="77777777" w:rsidR="007F1775" w:rsidRDefault="007F1775">
            <w:pPr>
              <w:rPr>
                <w:rFonts w:ascii="宋体"/>
              </w:rPr>
            </w:pPr>
          </w:p>
        </w:tc>
      </w:tr>
      <w:tr w:rsidR="007F1775" w14:paraId="0B2FBD8E" w14:textId="77777777">
        <w:trPr>
          <w:trHeight w:val="300"/>
        </w:trPr>
        <w:tc>
          <w:tcPr>
            <w:tcW w:w="0" w:type="auto"/>
            <w:gridSpan w:val="3"/>
            <w:shd w:val="clear" w:color="auto" w:fill="auto"/>
            <w:tcMar>
              <w:top w:w="40" w:type="dxa"/>
              <w:left w:w="20" w:type="dxa"/>
              <w:bottom w:w="40" w:type="dxa"/>
              <w:right w:w="20" w:type="dxa"/>
            </w:tcMar>
            <w:vAlign w:val="bottom"/>
          </w:tcPr>
          <w:p w14:paraId="0B2FBD87" w14:textId="77777777" w:rsidR="007F1775" w:rsidRDefault="000F083E">
            <w:pPr>
              <w:jc w:val="center"/>
              <w:textAlignment w:val="bottom"/>
            </w:pPr>
            <w:r>
              <w:rPr>
                <w:rFonts w:ascii="Times New Roman" w:eastAsia="宋体" w:hAnsi="Times New Roman"/>
                <w:b/>
                <w:bCs/>
                <w:color w:val="000000"/>
                <w:sz w:val="16"/>
                <w:szCs w:val="16"/>
              </w:rPr>
              <w:t>Exhibit</w:t>
            </w:r>
          </w:p>
        </w:tc>
        <w:tc>
          <w:tcPr>
            <w:tcW w:w="0" w:type="auto"/>
            <w:gridSpan w:val="3"/>
            <w:shd w:val="clear" w:color="auto" w:fill="auto"/>
            <w:tcMar>
              <w:top w:w="0" w:type="dxa"/>
              <w:left w:w="20" w:type="dxa"/>
              <w:bottom w:w="0" w:type="dxa"/>
              <w:right w:w="20" w:type="dxa"/>
            </w:tcMar>
            <w:vAlign w:val="bottom"/>
          </w:tcPr>
          <w:p w14:paraId="0B2FBD8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8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8A" w14:textId="77777777" w:rsidR="007F1775" w:rsidRDefault="007F1775">
            <w:pPr>
              <w:rPr>
                <w:rFonts w:ascii="宋体"/>
              </w:rPr>
            </w:pPr>
          </w:p>
        </w:tc>
        <w:tc>
          <w:tcPr>
            <w:tcW w:w="0" w:type="auto"/>
            <w:gridSpan w:val="21"/>
            <w:shd w:val="clear" w:color="auto" w:fill="auto"/>
            <w:tcMar>
              <w:top w:w="40" w:type="dxa"/>
              <w:left w:w="20" w:type="dxa"/>
              <w:bottom w:w="40" w:type="dxa"/>
              <w:right w:w="20" w:type="dxa"/>
            </w:tcMar>
            <w:vAlign w:val="bottom"/>
          </w:tcPr>
          <w:p w14:paraId="0B2FBD8B" w14:textId="77777777" w:rsidR="007F1775" w:rsidRDefault="000F083E">
            <w:pPr>
              <w:jc w:val="center"/>
              <w:textAlignment w:val="bottom"/>
            </w:pPr>
            <w:r>
              <w:rPr>
                <w:rFonts w:ascii="Times New Roman" w:eastAsia="宋体" w:hAnsi="Times New Roman"/>
                <w:b/>
                <w:bCs/>
                <w:color w:val="000000"/>
                <w:sz w:val="16"/>
                <w:szCs w:val="16"/>
              </w:rPr>
              <w:t>Incorporated by Reference</w:t>
            </w:r>
          </w:p>
        </w:tc>
        <w:tc>
          <w:tcPr>
            <w:tcW w:w="0" w:type="auto"/>
            <w:gridSpan w:val="3"/>
            <w:shd w:val="clear" w:color="auto" w:fill="auto"/>
            <w:tcMar>
              <w:top w:w="0" w:type="dxa"/>
              <w:left w:w="20" w:type="dxa"/>
              <w:bottom w:w="0" w:type="dxa"/>
              <w:right w:w="20" w:type="dxa"/>
            </w:tcMar>
            <w:vAlign w:val="bottom"/>
          </w:tcPr>
          <w:p w14:paraId="0B2FBD8C" w14:textId="77777777" w:rsidR="007F1775" w:rsidRDefault="007F1775">
            <w:pPr>
              <w:rPr>
                <w:rFonts w:ascii="宋体"/>
              </w:rPr>
            </w:pPr>
          </w:p>
        </w:tc>
        <w:tc>
          <w:tcPr>
            <w:tcW w:w="0" w:type="auto"/>
            <w:gridSpan w:val="3"/>
            <w:vMerge w:val="restart"/>
            <w:tcBorders>
              <w:bottom w:val="single" w:sz="8" w:space="0" w:color="000000"/>
            </w:tcBorders>
            <w:shd w:val="clear" w:color="auto" w:fill="auto"/>
            <w:tcMar>
              <w:top w:w="40" w:type="dxa"/>
              <w:left w:w="20" w:type="dxa"/>
              <w:bottom w:w="40" w:type="dxa"/>
              <w:right w:w="20" w:type="dxa"/>
            </w:tcMar>
            <w:vAlign w:val="bottom"/>
          </w:tcPr>
          <w:p w14:paraId="0B2FBD8D" w14:textId="77777777" w:rsidR="007F1775" w:rsidRDefault="000F083E">
            <w:pPr>
              <w:jc w:val="center"/>
              <w:textAlignment w:val="bottom"/>
            </w:pPr>
            <w:r>
              <w:rPr>
                <w:rFonts w:ascii="Times New Roman" w:eastAsia="宋体" w:hAnsi="Times New Roman"/>
                <w:b/>
                <w:bCs/>
                <w:color w:val="000000"/>
                <w:sz w:val="16"/>
                <w:szCs w:val="16"/>
              </w:rPr>
              <w:t>Filed</w:t>
            </w:r>
            <w:r>
              <w:rPr>
                <w:rFonts w:ascii="Times New Roman" w:eastAsia="宋体" w:hAnsi="Times New Roman"/>
                <w:b/>
                <w:bCs/>
                <w:color w:val="000000"/>
                <w:sz w:val="16"/>
                <w:szCs w:val="16"/>
              </w:rPr>
              <w:br/>
              <w:t>Herewith</w:t>
            </w:r>
          </w:p>
        </w:tc>
      </w:tr>
      <w:tr w:rsidR="007F1775" w14:paraId="0B2FBD9C" w14:textId="77777777">
        <w:trPr>
          <w:trHeight w:val="300"/>
        </w:trPr>
        <w:tc>
          <w:tcPr>
            <w:tcW w:w="0" w:type="auto"/>
            <w:gridSpan w:val="3"/>
            <w:shd w:val="clear" w:color="auto" w:fill="auto"/>
            <w:tcMar>
              <w:top w:w="40" w:type="dxa"/>
              <w:left w:w="20" w:type="dxa"/>
              <w:bottom w:w="40" w:type="dxa"/>
              <w:right w:w="20" w:type="dxa"/>
            </w:tcMar>
            <w:vAlign w:val="bottom"/>
          </w:tcPr>
          <w:p w14:paraId="0B2FBD8F" w14:textId="77777777" w:rsidR="007F1775" w:rsidRDefault="000F083E">
            <w:pPr>
              <w:jc w:val="center"/>
              <w:textAlignment w:val="bottom"/>
            </w:pPr>
            <w:r>
              <w:rPr>
                <w:rFonts w:ascii="Times New Roman" w:eastAsia="宋体" w:hAnsi="Times New Roman"/>
                <w:b/>
                <w:bCs/>
                <w:color w:val="000000"/>
                <w:sz w:val="16"/>
                <w:szCs w:val="16"/>
              </w:rPr>
              <w:t>Number</w:t>
            </w:r>
          </w:p>
        </w:tc>
        <w:tc>
          <w:tcPr>
            <w:tcW w:w="0" w:type="auto"/>
            <w:gridSpan w:val="3"/>
            <w:shd w:val="clear" w:color="auto" w:fill="auto"/>
            <w:tcMar>
              <w:top w:w="0" w:type="dxa"/>
              <w:left w:w="20" w:type="dxa"/>
              <w:bottom w:w="0" w:type="dxa"/>
              <w:right w:w="20" w:type="dxa"/>
            </w:tcMar>
            <w:vAlign w:val="bottom"/>
          </w:tcPr>
          <w:p w14:paraId="0B2FBD90" w14:textId="77777777" w:rsidR="007F1775" w:rsidRDefault="007F177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B2FBD91" w14:textId="77777777" w:rsidR="007F1775" w:rsidRDefault="000F083E">
            <w:pPr>
              <w:jc w:val="center"/>
              <w:textAlignment w:val="bottom"/>
            </w:pPr>
            <w:r>
              <w:rPr>
                <w:rFonts w:ascii="Times New Roman" w:eastAsia="宋体" w:hAnsi="Times New Roman"/>
                <w:b/>
                <w:bCs/>
                <w:color w:val="000000"/>
                <w:sz w:val="16"/>
                <w:szCs w:val="16"/>
              </w:rPr>
              <w:t xml:space="preserve">Exhibit </w:t>
            </w:r>
            <w:r>
              <w:rPr>
                <w:rFonts w:ascii="Times New Roman" w:eastAsia="宋体" w:hAnsi="Times New Roman"/>
                <w:b/>
                <w:bCs/>
                <w:color w:val="000000"/>
                <w:sz w:val="16"/>
                <w:szCs w:val="16"/>
              </w:rPr>
              <w:t>Description</w:t>
            </w:r>
          </w:p>
        </w:tc>
        <w:tc>
          <w:tcPr>
            <w:tcW w:w="0" w:type="auto"/>
            <w:gridSpan w:val="3"/>
            <w:shd w:val="clear" w:color="auto" w:fill="auto"/>
            <w:tcMar>
              <w:top w:w="0" w:type="dxa"/>
              <w:left w:w="20" w:type="dxa"/>
              <w:bottom w:w="0" w:type="dxa"/>
              <w:right w:w="20" w:type="dxa"/>
            </w:tcMar>
            <w:vAlign w:val="bottom"/>
          </w:tcPr>
          <w:p w14:paraId="0B2FBD92" w14:textId="77777777" w:rsidR="007F1775" w:rsidRDefault="007F177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B2FBD93" w14:textId="77777777" w:rsidR="007F1775" w:rsidRDefault="000F083E">
            <w:pPr>
              <w:jc w:val="center"/>
              <w:textAlignment w:val="bottom"/>
            </w:pPr>
            <w:r>
              <w:rPr>
                <w:rFonts w:ascii="Times New Roman" w:eastAsia="宋体" w:hAnsi="Times New Roman"/>
                <w:b/>
                <w:bCs/>
                <w:color w:val="000000"/>
                <w:sz w:val="16"/>
                <w:szCs w:val="16"/>
              </w:rPr>
              <w:t>Form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D94" w14:textId="77777777" w:rsidR="007F1775" w:rsidRDefault="007F177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B2FBD95" w14:textId="77777777" w:rsidR="007F1775" w:rsidRDefault="000F083E">
            <w:pPr>
              <w:jc w:val="center"/>
              <w:textAlignment w:val="bottom"/>
            </w:pPr>
            <w:r>
              <w:rPr>
                <w:rFonts w:ascii="Times New Roman" w:eastAsia="宋体" w:hAnsi="Times New Roman"/>
                <w:b/>
                <w:bCs/>
                <w:color w:val="000000"/>
                <w:sz w:val="16"/>
                <w:szCs w:val="16"/>
              </w:rPr>
              <w:t>File No.</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D96" w14:textId="77777777" w:rsidR="007F1775" w:rsidRDefault="007F177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B2FBD97" w14:textId="77777777" w:rsidR="007F1775" w:rsidRDefault="000F083E">
            <w:pPr>
              <w:jc w:val="center"/>
              <w:textAlignment w:val="bottom"/>
            </w:pPr>
            <w:r>
              <w:rPr>
                <w:rFonts w:ascii="Times New Roman" w:eastAsia="宋体" w:hAnsi="Times New Roman"/>
                <w:b/>
                <w:bCs/>
                <w:color w:val="000000"/>
                <w:sz w:val="16"/>
                <w:szCs w:val="16"/>
              </w:rPr>
              <w:t>Exhibit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D98" w14:textId="77777777" w:rsidR="007F1775" w:rsidRDefault="007F177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B2FBD99" w14:textId="77777777" w:rsidR="007F1775" w:rsidRDefault="000F083E">
            <w:pPr>
              <w:jc w:val="center"/>
              <w:textAlignment w:val="bottom"/>
            </w:pPr>
            <w:r>
              <w:rPr>
                <w:rFonts w:ascii="Times New Roman" w:eastAsia="宋体" w:hAnsi="Times New Roman"/>
                <w:b/>
                <w:bCs/>
                <w:color w:val="000000"/>
                <w:sz w:val="16"/>
                <w:szCs w:val="16"/>
              </w:rPr>
              <w:t>Filing Date</w:t>
            </w:r>
          </w:p>
        </w:tc>
        <w:tc>
          <w:tcPr>
            <w:tcW w:w="0" w:type="auto"/>
            <w:gridSpan w:val="3"/>
            <w:shd w:val="clear" w:color="auto" w:fill="auto"/>
            <w:tcMar>
              <w:top w:w="0" w:type="dxa"/>
              <w:left w:w="20" w:type="dxa"/>
              <w:bottom w:w="0" w:type="dxa"/>
              <w:right w:w="20" w:type="dxa"/>
            </w:tcMar>
            <w:vAlign w:val="bottom"/>
          </w:tcPr>
          <w:p w14:paraId="0B2FBD9A" w14:textId="77777777" w:rsidR="007F1775" w:rsidRDefault="007F1775">
            <w:pPr>
              <w:rPr>
                <w:rFonts w:ascii="宋体"/>
              </w:rPr>
            </w:pPr>
          </w:p>
        </w:tc>
        <w:tc>
          <w:tcPr>
            <w:tcW w:w="0" w:type="auto"/>
            <w:gridSpan w:val="3"/>
            <w:vMerge/>
            <w:tcBorders>
              <w:bottom w:val="single" w:sz="8" w:space="0" w:color="000000"/>
            </w:tcBorders>
            <w:shd w:val="clear" w:color="auto" w:fill="auto"/>
            <w:tcMar>
              <w:top w:w="40" w:type="dxa"/>
              <w:left w:w="20" w:type="dxa"/>
              <w:bottom w:w="40" w:type="dxa"/>
              <w:right w:w="20" w:type="dxa"/>
            </w:tcMar>
            <w:vAlign w:val="bottom"/>
          </w:tcPr>
          <w:p w14:paraId="0B2FBD9B" w14:textId="77777777" w:rsidR="007F1775" w:rsidRDefault="007F1775">
            <w:pPr>
              <w:jc w:val="center"/>
              <w:rPr>
                <w:rFonts w:ascii="宋体"/>
              </w:rPr>
            </w:pPr>
          </w:p>
        </w:tc>
      </w:tr>
      <w:tr w:rsidR="007F1775" w14:paraId="0B2FBDA4"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0B2FBD9D"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D9E"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D9F"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DA0"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DA1"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DA2"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DA3" w14:textId="77777777" w:rsidR="007F1775" w:rsidRDefault="007F1775">
            <w:pPr>
              <w:rPr>
                <w:rFonts w:ascii="宋体"/>
              </w:rPr>
            </w:pPr>
          </w:p>
        </w:tc>
      </w:tr>
      <w:tr w:rsidR="007F1775" w14:paraId="0B2FBDB2" w14:textId="77777777">
        <w:tc>
          <w:tcPr>
            <w:tcW w:w="0" w:type="auto"/>
            <w:gridSpan w:val="3"/>
            <w:shd w:val="clear" w:color="auto" w:fill="auto"/>
            <w:tcMar>
              <w:top w:w="40" w:type="dxa"/>
              <w:left w:w="20" w:type="dxa"/>
              <w:bottom w:w="40" w:type="dxa"/>
              <w:right w:w="20" w:type="dxa"/>
            </w:tcMar>
          </w:tcPr>
          <w:p w14:paraId="0B2FBDA5" w14:textId="77777777" w:rsidR="007F1775" w:rsidRDefault="000F083E">
            <w:pPr>
              <w:textAlignment w:val="top"/>
            </w:pPr>
            <w:r>
              <w:rPr>
                <w:rFonts w:ascii="Times New Roman" w:eastAsia="宋体" w:hAnsi="Times New Roman"/>
                <w:color w:val="000000"/>
                <w:sz w:val="20"/>
                <w:szCs w:val="20"/>
              </w:rPr>
              <w:t>10.1</w:t>
            </w:r>
          </w:p>
        </w:tc>
        <w:tc>
          <w:tcPr>
            <w:tcW w:w="0" w:type="auto"/>
            <w:gridSpan w:val="3"/>
            <w:shd w:val="clear" w:color="auto" w:fill="auto"/>
            <w:tcMar>
              <w:top w:w="0" w:type="dxa"/>
              <w:left w:w="20" w:type="dxa"/>
              <w:bottom w:w="0" w:type="dxa"/>
              <w:right w:w="20" w:type="dxa"/>
            </w:tcMar>
            <w:vAlign w:val="bottom"/>
          </w:tcPr>
          <w:p w14:paraId="0B2FBDA6"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DA7" w14:textId="77777777" w:rsidR="007F1775" w:rsidRDefault="000F083E">
            <w:pPr>
              <w:pBdr>
                <w:top w:val="none" w:sz="0" w:space="0" w:color="auto"/>
                <w:left w:val="none" w:sz="0" w:space="0" w:color="auto"/>
                <w:bottom w:val="none" w:sz="0" w:space="0" w:color="auto"/>
                <w:right w:val="none" w:sz="0" w:space="0" w:color="auto"/>
              </w:pBdr>
              <w:textAlignment w:val="top"/>
            </w:pPr>
            <w:hyperlink r:id="rId164" w:history="1">
              <w:r>
                <w:rPr>
                  <w:rStyle w:val="a5"/>
                  <w:rFonts w:ascii="Times New Roman" w:eastAsia="宋体" w:hAnsi="Times New Roman"/>
                  <w:sz w:val="20"/>
                  <w:szCs w:val="20"/>
                </w:rPr>
                <w:t xml:space="preserve">Form of Executive </w:t>
              </w:r>
            </w:hyperlink>
            <w:hyperlink r:id="rId165" w:history="1">
              <w:r>
                <w:rPr>
                  <w:rStyle w:val="a5"/>
                  <w:rFonts w:ascii="Times New Roman" w:eastAsia="宋体" w:hAnsi="Times New Roman"/>
                  <w:sz w:val="20"/>
                  <w:szCs w:val="20"/>
                </w:rPr>
                <w:t xml:space="preserve">Officer </w:t>
              </w:r>
            </w:hyperlink>
            <w:hyperlink r:id="rId166" w:history="1">
              <w:r>
                <w:rPr>
                  <w:rStyle w:val="a5"/>
                  <w:rFonts w:ascii="Times New Roman" w:eastAsia="宋体" w:hAnsi="Times New Roman"/>
                  <w:sz w:val="20"/>
                  <w:szCs w:val="20"/>
                </w:rPr>
                <w:t>Offer Letter.</w:t>
              </w:r>
            </w:hyperlink>
          </w:p>
        </w:tc>
        <w:tc>
          <w:tcPr>
            <w:tcW w:w="0" w:type="auto"/>
            <w:gridSpan w:val="3"/>
            <w:shd w:val="clear" w:color="auto" w:fill="auto"/>
            <w:tcMar>
              <w:top w:w="0" w:type="dxa"/>
              <w:left w:w="20" w:type="dxa"/>
              <w:bottom w:w="0" w:type="dxa"/>
              <w:right w:w="20" w:type="dxa"/>
            </w:tcMar>
            <w:vAlign w:val="bottom"/>
          </w:tcPr>
          <w:p w14:paraId="0B2FBDA8"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DA9" w14:textId="77777777" w:rsidR="007F1775" w:rsidRDefault="000F083E">
            <w:pPr>
              <w:jc w:val="center"/>
              <w:textAlignment w:val="top"/>
            </w:pPr>
            <w:r>
              <w:rPr>
                <w:rFonts w:ascii="Times New Roman" w:eastAsia="宋体" w:hAnsi="Times New Roman"/>
                <w:color w:val="000000"/>
                <w:sz w:val="20"/>
                <w:szCs w:val="20"/>
              </w:rPr>
              <w:t>10-Q</w:t>
            </w:r>
          </w:p>
        </w:tc>
        <w:tc>
          <w:tcPr>
            <w:tcW w:w="0" w:type="auto"/>
            <w:gridSpan w:val="3"/>
            <w:shd w:val="clear" w:color="auto" w:fill="auto"/>
            <w:tcMar>
              <w:top w:w="0" w:type="dxa"/>
              <w:left w:w="20" w:type="dxa"/>
              <w:bottom w:w="0" w:type="dxa"/>
              <w:right w:w="20" w:type="dxa"/>
            </w:tcMar>
            <w:vAlign w:val="bottom"/>
          </w:tcPr>
          <w:p w14:paraId="0B2FBDAA"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DAB" w14:textId="77777777" w:rsidR="007F1775" w:rsidRDefault="000F083E">
            <w:pPr>
              <w:jc w:val="center"/>
              <w:textAlignment w:val="top"/>
            </w:pPr>
            <w:r>
              <w:rPr>
                <w:rFonts w:ascii="Times New Roman" w:eastAsia="宋体" w:hAnsi="Times New Roman"/>
                <w:color w:val="000000"/>
                <w:sz w:val="20"/>
                <w:szCs w:val="20"/>
              </w:rPr>
              <w:t>001-35551</w:t>
            </w:r>
          </w:p>
        </w:tc>
        <w:tc>
          <w:tcPr>
            <w:tcW w:w="0" w:type="auto"/>
            <w:gridSpan w:val="3"/>
            <w:shd w:val="clear" w:color="auto" w:fill="auto"/>
            <w:tcMar>
              <w:top w:w="0" w:type="dxa"/>
              <w:left w:w="20" w:type="dxa"/>
              <w:bottom w:w="0" w:type="dxa"/>
              <w:right w:w="20" w:type="dxa"/>
            </w:tcMar>
            <w:vAlign w:val="bottom"/>
          </w:tcPr>
          <w:p w14:paraId="0B2FBDAC"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DAD" w14:textId="77777777" w:rsidR="007F1775" w:rsidRDefault="000F083E">
            <w:pPr>
              <w:jc w:val="cente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0B2FBDAE"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DAF" w14:textId="77777777" w:rsidR="007F1775" w:rsidRDefault="000F083E">
            <w:pPr>
              <w:jc w:val="center"/>
              <w:textAlignment w:val="top"/>
            </w:pPr>
            <w:r>
              <w:rPr>
                <w:rFonts w:ascii="Times New Roman" w:eastAsia="宋体" w:hAnsi="Times New Roman"/>
                <w:color w:val="000000"/>
                <w:sz w:val="20"/>
                <w:szCs w:val="20"/>
              </w:rPr>
              <w:t>July 25, 2019</w:t>
            </w:r>
          </w:p>
        </w:tc>
        <w:tc>
          <w:tcPr>
            <w:tcW w:w="0" w:type="auto"/>
            <w:gridSpan w:val="3"/>
            <w:shd w:val="clear" w:color="auto" w:fill="auto"/>
            <w:tcMar>
              <w:top w:w="0" w:type="dxa"/>
              <w:left w:w="20" w:type="dxa"/>
              <w:bottom w:w="0" w:type="dxa"/>
              <w:right w:w="20" w:type="dxa"/>
            </w:tcMar>
            <w:vAlign w:val="bottom"/>
          </w:tcPr>
          <w:p w14:paraId="0B2FBDB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1" w14:textId="77777777" w:rsidR="007F1775" w:rsidRDefault="007F1775">
            <w:pPr>
              <w:rPr>
                <w:rFonts w:ascii="宋体"/>
              </w:rPr>
            </w:pPr>
          </w:p>
        </w:tc>
      </w:tr>
      <w:tr w:rsidR="007F1775" w14:paraId="0B2FBDC0" w14:textId="77777777">
        <w:trPr>
          <w:trHeight w:val="60"/>
        </w:trPr>
        <w:tc>
          <w:tcPr>
            <w:tcW w:w="0" w:type="auto"/>
            <w:gridSpan w:val="3"/>
            <w:shd w:val="clear" w:color="auto" w:fill="auto"/>
            <w:tcMar>
              <w:top w:w="0" w:type="dxa"/>
              <w:left w:w="20" w:type="dxa"/>
              <w:bottom w:w="0" w:type="dxa"/>
              <w:right w:w="20" w:type="dxa"/>
            </w:tcMar>
            <w:vAlign w:val="bottom"/>
          </w:tcPr>
          <w:p w14:paraId="0B2FBDB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BF" w14:textId="77777777" w:rsidR="007F1775" w:rsidRDefault="007F1775">
            <w:pPr>
              <w:rPr>
                <w:rFonts w:ascii="宋体"/>
              </w:rPr>
            </w:pPr>
          </w:p>
        </w:tc>
      </w:tr>
      <w:tr w:rsidR="007F1775" w14:paraId="0B2FBDCE" w14:textId="77777777">
        <w:tc>
          <w:tcPr>
            <w:tcW w:w="0" w:type="auto"/>
            <w:gridSpan w:val="3"/>
            <w:shd w:val="clear" w:color="auto" w:fill="auto"/>
            <w:tcMar>
              <w:top w:w="40" w:type="dxa"/>
              <w:left w:w="20" w:type="dxa"/>
              <w:bottom w:w="40" w:type="dxa"/>
              <w:right w:w="20" w:type="dxa"/>
            </w:tcMar>
          </w:tcPr>
          <w:p w14:paraId="0B2FBDC1" w14:textId="77777777" w:rsidR="007F1775" w:rsidRDefault="000F083E">
            <w:pPr>
              <w:textAlignment w:val="top"/>
            </w:pPr>
            <w:r>
              <w:rPr>
                <w:rFonts w:ascii="Times New Roman" w:eastAsia="宋体" w:hAnsi="Times New Roman"/>
                <w:color w:val="000000"/>
                <w:sz w:val="20"/>
                <w:szCs w:val="20"/>
              </w:rPr>
              <w:t>10.2</w:t>
            </w:r>
          </w:p>
        </w:tc>
        <w:tc>
          <w:tcPr>
            <w:tcW w:w="0" w:type="auto"/>
            <w:gridSpan w:val="3"/>
            <w:shd w:val="clear" w:color="auto" w:fill="auto"/>
            <w:tcMar>
              <w:top w:w="0" w:type="dxa"/>
              <w:left w:w="20" w:type="dxa"/>
              <w:bottom w:w="0" w:type="dxa"/>
              <w:right w:w="20" w:type="dxa"/>
            </w:tcMar>
            <w:vAlign w:val="bottom"/>
          </w:tcPr>
          <w:p w14:paraId="0B2FBDC2"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DC3" w14:textId="77777777" w:rsidR="007F1775" w:rsidRDefault="000F083E">
            <w:pPr>
              <w:pBdr>
                <w:top w:val="none" w:sz="0" w:space="0" w:color="auto"/>
                <w:left w:val="none" w:sz="0" w:space="0" w:color="auto"/>
                <w:bottom w:val="none" w:sz="0" w:space="0" w:color="auto"/>
                <w:right w:val="none" w:sz="0" w:space="0" w:color="auto"/>
              </w:pBdr>
              <w:textAlignment w:val="top"/>
            </w:pPr>
            <w:hyperlink r:id="rId167" w:history="1">
              <w:r>
                <w:rPr>
                  <w:rStyle w:val="a5"/>
                  <w:rFonts w:ascii="Times New Roman" w:eastAsia="宋体" w:hAnsi="Times New Roman"/>
                  <w:sz w:val="20"/>
                  <w:szCs w:val="20"/>
                </w:rPr>
                <w:t>Amended and Restated Offer Letter, dated September 14, 2021, between Registrant and Marne L. Levine.</w:t>
              </w:r>
            </w:hyperlink>
          </w:p>
        </w:tc>
        <w:tc>
          <w:tcPr>
            <w:tcW w:w="0" w:type="auto"/>
            <w:gridSpan w:val="3"/>
            <w:shd w:val="clear" w:color="auto" w:fill="auto"/>
            <w:tcMar>
              <w:top w:w="0" w:type="dxa"/>
              <w:left w:w="20" w:type="dxa"/>
              <w:bottom w:w="0" w:type="dxa"/>
              <w:right w:w="20" w:type="dxa"/>
            </w:tcMar>
            <w:vAlign w:val="bottom"/>
          </w:tcPr>
          <w:p w14:paraId="0B2FBDC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C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C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C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C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C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C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C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CC"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DCD"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DDC" w14:textId="77777777">
        <w:trPr>
          <w:trHeight w:val="60"/>
        </w:trPr>
        <w:tc>
          <w:tcPr>
            <w:tcW w:w="0" w:type="auto"/>
            <w:gridSpan w:val="3"/>
            <w:shd w:val="clear" w:color="auto" w:fill="auto"/>
            <w:tcMar>
              <w:top w:w="0" w:type="dxa"/>
              <w:left w:w="20" w:type="dxa"/>
              <w:bottom w:w="0" w:type="dxa"/>
              <w:right w:w="20" w:type="dxa"/>
            </w:tcMar>
            <w:vAlign w:val="bottom"/>
          </w:tcPr>
          <w:p w14:paraId="0B2FBDC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DB" w14:textId="77777777" w:rsidR="007F1775" w:rsidRDefault="007F1775">
            <w:pPr>
              <w:rPr>
                <w:rFonts w:ascii="宋体"/>
              </w:rPr>
            </w:pPr>
          </w:p>
        </w:tc>
      </w:tr>
      <w:tr w:rsidR="007F1775" w14:paraId="0B2FBDEA" w14:textId="77777777">
        <w:tc>
          <w:tcPr>
            <w:tcW w:w="0" w:type="auto"/>
            <w:gridSpan w:val="3"/>
            <w:shd w:val="clear" w:color="auto" w:fill="auto"/>
            <w:tcMar>
              <w:top w:w="40" w:type="dxa"/>
              <w:left w:w="20" w:type="dxa"/>
              <w:bottom w:w="40" w:type="dxa"/>
              <w:right w:w="20" w:type="dxa"/>
            </w:tcMar>
          </w:tcPr>
          <w:p w14:paraId="0B2FBDDD" w14:textId="77777777" w:rsidR="007F1775" w:rsidRDefault="000F083E">
            <w:pPr>
              <w:textAlignment w:val="top"/>
            </w:pPr>
            <w:r>
              <w:rPr>
                <w:rFonts w:ascii="Times New Roman" w:eastAsia="宋体" w:hAnsi="Times New Roman"/>
                <w:color w:val="000000"/>
                <w:sz w:val="20"/>
                <w:szCs w:val="20"/>
              </w:rPr>
              <w:t>10.3</w:t>
            </w:r>
          </w:p>
        </w:tc>
        <w:tc>
          <w:tcPr>
            <w:tcW w:w="0" w:type="auto"/>
            <w:gridSpan w:val="3"/>
            <w:shd w:val="clear" w:color="auto" w:fill="auto"/>
            <w:tcMar>
              <w:top w:w="0" w:type="dxa"/>
              <w:left w:w="20" w:type="dxa"/>
              <w:bottom w:w="0" w:type="dxa"/>
              <w:right w:w="20" w:type="dxa"/>
            </w:tcMar>
            <w:vAlign w:val="bottom"/>
          </w:tcPr>
          <w:p w14:paraId="0B2FBDDE"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DDF" w14:textId="77777777" w:rsidR="007F1775" w:rsidRDefault="000F083E">
            <w:pPr>
              <w:pBdr>
                <w:top w:val="none" w:sz="0" w:space="0" w:color="auto"/>
                <w:left w:val="none" w:sz="0" w:space="0" w:color="auto"/>
                <w:bottom w:val="none" w:sz="0" w:space="0" w:color="auto"/>
                <w:right w:val="none" w:sz="0" w:space="0" w:color="auto"/>
              </w:pBdr>
              <w:textAlignment w:val="top"/>
            </w:pPr>
            <w:hyperlink r:id="rId168" w:history="1">
              <w:r>
                <w:rPr>
                  <w:rStyle w:val="a5"/>
                  <w:rFonts w:ascii="Times New Roman" w:eastAsia="宋体" w:hAnsi="Times New Roman"/>
                  <w:sz w:val="20"/>
                  <w:szCs w:val="20"/>
                </w:rPr>
                <w:t>2012 Equity Incentive Plan forms of award agreements (Additional Forms).</w:t>
              </w:r>
            </w:hyperlink>
          </w:p>
        </w:tc>
        <w:tc>
          <w:tcPr>
            <w:tcW w:w="0" w:type="auto"/>
            <w:gridSpan w:val="3"/>
            <w:shd w:val="clear" w:color="auto" w:fill="auto"/>
            <w:tcMar>
              <w:top w:w="0" w:type="dxa"/>
              <w:left w:w="20" w:type="dxa"/>
              <w:bottom w:w="0" w:type="dxa"/>
              <w:right w:w="20" w:type="dxa"/>
            </w:tcMar>
            <w:vAlign w:val="bottom"/>
          </w:tcPr>
          <w:p w14:paraId="0B2FBDE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8"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DE9"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DF8" w14:textId="77777777">
        <w:trPr>
          <w:trHeight w:val="60"/>
        </w:trPr>
        <w:tc>
          <w:tcPr>
            <w:tcW w:w="0" w:type="auto"/>
            <w:gridSpan w:val="3"/>
            <w:shd w:val="clear" w:color="auto" w:fill="auto"/>
            <w:tcMar>
              <w:top w:w="0" w:type="dxa"/>
              <w:left w:w="20" w:type="dxa"/>
              <w:bottom w:w="0" w:type="dxa"/>
              <w:right w:w="20" w:type="dxa"/>
            </w:tcMar>
            <w:vAlign w:val="bottom"/>
          </w:tcPr>
          <w:p w14:paraId="0B2FBDE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E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7" w14:textId="77777777" w:rsidR="007F1775" w:rsidRDefault="007F1775">
            <w:pPr>
              <w:rPr>
                <w:rFonts w:ascii="宋体"/>
              </w:rPr>
            </w:pPr>
          </w:p>
        </w:tc>
      </w:tr>
      <w:tr w:rsidR="007F1775" w14:paraId="0B2FBE06" w14:textId="77777777">
        <w:tc>
          <w:tcPr>
            <w:tcW w:w="0" w:type="auto"/>
            <w:gridSpan w:val="3"/>
            <w:shd w:val="clear" w:color="auto" w:fill="auto"/>
            <w:tcMar>
              <w:top w:w="40" w:type="dxa"/>
              <w:left w:w="20" w:type="dxa"/>
              <w:bottom w:w="40" w:type="dxa"/>
              <w:right w:w="20" w:type="dxa"/>
            </w:tcMar>
          </w:tcPr>
          <w:p w14:paraId="0B2FBDF9" w14:textId="77777777" w:rsidR="007F1775" w:rsidRDefault="000F083E">
            <w:pPr>
              <w:textAlignment w:val="top"/>
            </w:pPr>
            <w:r>
              <w:rPr>
                <w:rFonts w:ascii="Times New Roman" w:eastAsia="宋体" w:hAnsi="Times New Roman"/>
                <w:color w:val="000000"/>
                <w:sz w:val="20"/>
                <w:szCs w:val="20"/>
              </w:rPr>
              <w:t>31.1</w:t>
            </w:r>
          </w:p>
        </w:tc>
        <w:tc>
          <w:tcPr>
            <w:tcW w:w="0" w:type="auto"/>
            <w:gridSpan w:val="3"/>
            <w:shd w:val="clear" w:color="auto" w:fill="auto"/>
            <w:tcMar>
              <w:top w:w="0" w:type="dxa"/>
              <w:left w:w="20" w:type="dxa"/>
              <w:bottom w:w="0" w:type="dxa"/>
              <w:right w:w="20" w:type="dxa"/>
            </w:tcMar>
            <w:vAlign w:val="bottom"/>
          </w:tcPr>
          <w:p w14:paraId="0B2FBDFA"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DFB" w14:textId="77777777" w:rsidR="007F1775" w:rsidRDefault="000F083E">
            <w:pPr>
              <w:pBdr>
                <w:top w:val="none" w:sz="0" w:space="0" w:color="auto"/>
                <w:left w:val="none" w:sz="0" w:space="0" w:color="auto"/>
                <w:bottom w:val="none" w:sz="0" w:space="0" w:color="auto"/>
                <w:right w:val="none" w:sz="0" w:space="0" w:color="auto"/>
              </w:pBdr>
              <w:textAlignment w:val="top"/>
            </w:pPr>
            <w:hyperlink r:id="rId169" w:history="1">
              <w:r>
                <w:rPr>
                  <w:rStyle w:val="a5"/>
                  <w:rFonts w:ascii="Times New Roman" w:eastAsia="宋体" w:hAnsi="Times New Roman"/>
                  <w:sz w:val="20"/>
                  <w:szCs w:val="20"/>
                </w:rPr>
                <w:t>Certification of Mark Zuckerberg, Chief Executive Officer, pursuant to Rule 13a-14(a)/15d-14(a), as adopted pursuant to Section 302 of the Sarbanes-Ox</w:t>
              </w:r>
              <w:r>
                <w:rPr>
                  <w:rStyle w:val="a5"/>
                  <w:rFonts w:ascii="Times New Roman" w:eastAsia="宋体" w:hAnsi="Times New Roman"/>
                  <w:sz w:val="20"/>
                  <w:szCs w:val="20"/>
                </w:rPr>
                <w:t>ley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B2FBDF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DF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0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0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0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0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04"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05"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E0E" w14:textId="77777777">
        <w:trPr>
          <w:trHeight w:val="60"/>
        </w:trPr>
        <w:tc>
          <w:tcPr>
            <w:tcW w:w="0" w:type="auto"/>
            <w:gridSpan w:val="3"/>
            <w:shd w:val="clear" w:color="auto" w:fill="auto"/>
            <w:tcMar>
              <w:top w:w="0" w:type="dxa"/>
              <w:left w:w="20" w:type="dxa"/>
              <w:bottom w:w="0" w:type="dxa"/>
              <w:right w:w="20" w:type="dxa"/>
            </w:tcMar>
            <w:vAlign w:val="bottom"/>
          </w:tcPr>
          <w:p w14:paraId="0B2FBE07"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08"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09"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0A"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0B"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0C"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0D" w14:textId="77777777" w:rsidR="007F1775" w:rsidRDefault="007F1775">
            <w:pPr>
              <w:rPr>
                <w:rFonts w:ascii="宋体"/>
              </w:rPr>
            </w:pPr>
          </w:p>
        </w:tc>
      </w:tr>
      <w:tr w:rsidR="007F1775" w14:paraId="0B2FBE1C" w14:textId="77777777">
        <w:tc>
          <w:tcPr>
            <w:tcW w:w="0" w:type="auto"/>
            <w:gridSpan w:val="3"/>
            <w:shd w:val="clear" w:color="auto" w:fill="auto"/>
            <w:tcMar>
              <w:top w:w="40" w:type="dxa"/>
              <w:left w:w="20" w:type="dxa"/>
              <w:bottom w:w="40" w:type="dxa"/>
              <w:right w:w="20" w:type="dxa"/>
            </w:tcMar>
          </w:tcPr>
          <w:p w14:paraId="0B2FBE0F" w14:textId="77777777" w:rsidR="007F1775" w:rsidRDefault="000F083E">
            <w:pPr>
              <w:textAlignment w:val="top"/>
            </w:pPr>
            <w:r>
              <w:rPr>
                <w:rFonts w:ascii="Times New Roman" w:eastAsia="宋体" w:hAnsi="Times New Roman"/>
                <w:color w:val="000000"/>
                <w:sz w:val="20"/>
                <w:szCs w:val="20"/>
              </w:rPr>
              <w:t>31.2</w:t>
            </w:r>
          </w:p>
        </w:tc>
        <w:tc>
          <w:tcPr>
            <w:tcW w:w="0" w:type="auto"/>
            <w:gridSpan w:val="3"/>
            <w:shd w:val="clear" w:color="auto" w:fill="auto"/>
            <w:tcMar>
              <w:top w:w="0" w:type="dxa"/>
              <w:left w:w="20" w:type="dxa"/>
              <w:bottom w:w="0" w:type="dxa"/>
              <w:right w:w="20" w:type="dxa"/>
            </w:tcMar>
            <w:vAlign w:val="bottom"/>
          </w:tcPr>
          <w:p w14:paraId="0B2FBE10"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11" w14:textId="77777777" w:rsidR="007F1775" w:rsidRDefault="000F083E">
            <w:pPr>
              <w:pBdr>
                <w:top w:val="none" w:sz="0" w:space="0" w:color="auto"/>
                <w:left w:val="none" w:sz="0" w:space="0" w:color="auto"/>
                <w:bottom w:val="none" w:sz="0" w:space="0" w:color="auto"/>
                <w:right w:val="none" w:sz="0" w:space="0" w:color="auto"/>
              </w:pBdr>
              <w:textAlignment w:val="top"/>
            </w:pPr>
            <w:hyperlink r:id="rId170" w:history="1">
              <w:r>
                <w:rPr>
                  <w:rStyle w:val="a5"/>
                  <w:rFonts w:ascii="Times New Roman" w:eastAsia="宋体" w:hAnsi="Times New Roman"/>
                  <w:sz w:val="20"/>
                  <w:szCs w:val="20"/>
                </w:rPr>
                <w:t>Certification of David M. Wehner, Chief Financial Officer, pursuant to Rule 13a-14(a)/15d-14(a), as adopted pursuant to Section 302 of the Sarbanes-Ox</w:t>
              </w:r>
              <w:r>
                <w:rPr>
                  <w:rStyle w:val="a5"/>
                  <w:rFonts w:ascii="Times New Roman" w:eastAsia="宋体" w:hAnsi="Times New Roman"/>
                  <w:sz w:val="20"/>
                  <w:szCs w:val="20"/>
                </w:rPr>
                <w:t>ley Act of 2002.</w:t>
              </w:r>
            </w:hyperlink>
          </w:p>
        </w:tc>
        <w:tc>
          <w:tcPr>
            <w:tcW w:w="0" w:type="auto"/>
            <w:gridSpan w:val="3"/>
            <w:shd w:val="clear" w:color="auto" w:fill="auto"/>
            <w:tcMar>
              <w:top w:w="0" w:type="dxa"/>
              <w:left w:w="20" w:type="dxa"/>
              <w:bottom w:w="0" w:type="dxa"/>
              <w:right w:w="20" w:type="dxa"/>
            </w:tcMar>
            <w:vAlign w:val="bottom"/>
          </w:tcPr>
          <w:p w14:paraId="0B2FBE1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1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1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1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1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1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1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1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1A"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1B"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E24" w14:textId="77777777">
        <w:trPr>
          <w:trHeight w:val="60"/>
        </w:trPr>
        <w:tc>
          <w:tcPr>
            <w:tcW w:w="0" w:type="auto"/>
            <w:gridSpan w:val="3"/>
            <w:shd w:val="clear" w:color="auto" w:fill="auto"/>
            <w:tcMar>
              <w:top w:w="0" w:type="dxa"/>
              <w:left w:w="20" w:type="dxa"/>
              <w:bottom w:w="0" w:type="dxa"/>
              <w:right w:w="20" w:type="dxa"/>
            </w:tcMar>
            <w:vAlign w:val="bottom"/>
          </w:tcPr>
          <w:p w14:paraId="0B2FBE1D"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1E"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1F"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20"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21"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22"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23" w14:textId="77777777" w:rsidR="007F1775" w:rsidRDefault="007F1775">
            <w:pPr>
              <w:rPr>
                <w:rFonts w:ascii="宋体"/>
              </w:rPr>
            </w:pPr>
          </w:p>
        </w:tc>
      </w:tr>
      <w:tr w:rsidR="007F1775" w14:paraId="0B2FBE32" w14:textId="77777777">
        <w:tc>
          <w:tcPr>
            <w:tcW w:w="0" w:type="auto"/>
            <w:gridSpan w:val="3"/>
            <w:shd w:val="clear" w:color="auto" w:fill="auto"/>
            <w:tcMar>
              <w:top w:w="40" w:type="dxa"/>
              <w:left w:w="20" w:type="dxa"/>
              <w:bottom w:w="40" w:type="dxa"/>
              <w:right w:w="20" w:type="dxa"/>
            </w:tcMar>
          </w:tcPr>
          <w:p w14:paraId="0B2FBE25" w14:textId="77777777" w:rsidR="007F1775" w:rsidRDefault="000F083E">
            <w:pPr>
              <w:textAlignment w:val="top"/>
            </w:pPr>
            <w:r>
              <w:rPr>
                <w:rFonts w:ascii="Times New Roman" w:eastAsia="宋体" w:hAnsi="Times New Roman"/>
                <w:color w:val="000000"/>
                <w:sz w:val="20"/>
                <w:szCs w:val="20"/>
              </w:rPr>
              <w:t>32.1#</w:t>
            </w:r>
          </w:p>
        </w:tc>
        <w:tc>
          <w:tcPr>
            <w:tcW w:w="0" w:type="auto"/>
            <w:gridSpan w:val="3"/>
            <w:shd w:val="clear" w:color="auto" w:fill="auto"/>
            <w:tcMar>
              <w:top w:w="0" w:type="dxa"/>
              <w:left w:w="20" w:type="dxa"/>
              <w:bottom w:w="0" w:type="dxa"/>
              <w:right w:w="20" w:type="dxa"/>
            </w:tcMar>
            <w:vAlign w:val="bottom"/>
          </w:tcPr>
          <w:p w14:paraId="0B2FBE26"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27" w14:textId="77777777" w:rsidR="007F1775" w:rsidRDefault="000F083E">
            <w:pPr>
              <w:pBdr>
                <w:top w:val="none" w:sz="0" w:space="0" w:color="auto"/>
                <w:left w:val="none" w:sz="0" w:space="0" w:color="auto"/>
                <w:bottom w:val="none" w:sz="0" w:space="0" w:color="auto"/>
                <w:right w:val="none" w:sz="0" w:space="0" w:color="auto"/>
              </w:pBdr>
              <w:textAlignment w:val="top"/>
            </w:pPr>
            <w:hyperlink r:id="rId171" w:history="1">
              <w:r>
                <w:rPr>
                  <w:rStyle w:val="a5"/>
                  <w:rFonts w:ascii="Times New Roman" w:eastAsia="宋体" w:hAnsi="Times New Roman"/>
                  <w:sz w:val="20"/>
                  <w:szCs w:val="20"/>
                </w:rPr>
                <w:t>Certification of Mark Zuckerberg, Chief Executive Officer, pursuant to 18 U.S.C. Section 1350, as adopted pursuant to Section 906 of the Sarbanes-Oxle</w:t>
              </w:r>
              <w:r>
                <w:rPr>
                  <w:rStyle w:val="a5"/>
                  <w:rFonts w:ascii="Times New Roman" w:eastAsia="宋体" w:hAnsi="Times New Roman"/>
                  <w:sz w:val="20"/>
                  <w:szCs w:val="20"/>
                </w:rPr>
                <w:t>y Act of 2002</w:t>
              </w:r>
            </w:hyperlink>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B2FBE2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2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2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2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2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2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2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2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30"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31"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E3A" w14:textId="77777777">
        <w:trPr>
          <w:trHeight w:val="60"/>
        </w:trPr>
        <w:tc>
          <w:tcPr>
            <w:tcW w:w="0" w:type="auto"/>
            <w:gridSpan w:val="3"/>
            <w:shd w:val="clear" w:color="auto" w:fill="auto"/>
            <w:tcMar>
              <w:top w:w="0" w:type="dxa"/>
              <w:left w:w="20" w:type="dxa"/>
              <w:bottom w:w="0" w:type="dxa"/>
              <w:right w:w="20" w:type="dxa"/>
            </w:tcMar>
            <w:vAlign w:val="bottom"/>
          </w:tcPr>
          <w:p w14:paraId="0B2FBE33"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34"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35"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36"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37"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38"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39" w14:textId="77777777" w:rsidR="007F1775" w:rsidRDefault="007F1775">
            <w:pPr>
              <w:rPr>
                <w:rFonts w:ascii="宋体"/>
              </w:rPr>
            </w:pPr>
          </w:p>
        </w:tc>
      </w:tr>
      <w:tr w:rsidR="007F1775" w14:paraId="0B2FBE48" w14:textId="77777777">
        <w:tc>
          <w:tcPr>
            <w:tcW w:w="0" w:type="auto"/>
            <w:gridSpan w:val="3"/>
            <w:shd w:val="clear" w:color="auto" w:fill="auto"/>
            <w:tcMar>
              <w:top w:w="40" w:type="dxa"/>
              <w:left w:w="20" w:type="dxa"/>
              <w:bottom w:w="40" w:type="dxa"/>
              <w:right w:w="20" w:type="dxa"/>
            </w:tcMar>
          </w:tcPr>
          <w:p w14:paraId="0B2FBE3B" w14:textId="77777777" w:rsidR="007F1775" w:rsidRDefault="000F083E">
            <w:pPr>
              <w:textAlignment w:val="top"/>
            </w:pPr>
            <w:r>
              <w:rPr>
                <w:rFonts w:ascii="Times New Roman" w:eastAsia="宋体" w:hAnsi="Times New Roman"/>
                <w:color w:val="000000"/>
                <w:sz w:val="20"/>
                <w:szCs w:val="20"/>
              </w:rPr>
              <w:t>32.2#</w:t>
            </w:r>
          </w:p>
        </w:tc>
        <w:tc>
          <w:tcPr>
            <w:tcW w:w="0" w:type="auto"/>
            <w:gridSpan w:val="3"/>
            <w:shd w:val="clear" w:color="auto" w:fill="auto"/>
            <w:tcMar>
              <w:top w:w="0" w:type="dxa"/>
              <w:left w:w="20" w:type="dxa"/>
              <w:bottom w:w="0" w:type="dxa"/>
              <w:right w:w="20" w:type="dxa"/>
            </w:tcMar>
            <w:vAlign w:val="bottom"/>
          </w:tcPr>
          <w:p w14:paraId="0B2FBE3C"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3D" w14:textId="77777777" w:rsidR="007F1775" w:rsidRDefault="000F083E">
            <w:pPr>
              <w:pBdr>
                <w:top w:val="none" w:sz="0" w:space="0" w:color="auto"/>
                <w:left w:val="none" w:sz="0" w:space="0" w:color="auto"/>
                <w:bottom w:val="none" w:sz="0" w:space="0" w:color="auto"/>
                <w:right w:val="none" w:sz="0" w:space="0" w:color="auto"/>
              </w:pBdr>
              <w:textAlignment w:val="top"/>
            </w:pPr>
            <w:hyperlink r:id="rId172" w:history="1">
              <w:r>
                <w:rPr>
                  <w:rStyle w:val="a5"/>
                  <w:rFonts w:ascii="Times New Roman" w:eastAsia="宋体" w:hAnsi="Times New Roman"/>
                  <w:sz w:val="20"/>
                  <w:szCs w:val="20"/>
                </w:rPr>
                <w:t>Certification of David M. Wehner, Chief Financial Officer, pursuant to 18 U.S.C. Section 1350, as adopted pursuant to Section 906 of the Sarbanes-Oxle</w:t>
              </w:r>
              <w:r>
                <w:rPr>
                  <w:rStyle w:val="a5"/>
                  <w:rFonts w:ascii="Times New Roman" w:eastAsia="宋体" w:hAnsi="Times New Roman"/>
                  <w:sz w:val="20"/>
                  <w:szCs w:val="20"/>
                </w:rPr>
                <w:t>y Act of 2002.</w:t>
              </w:r>
            </w:hyperlink>
          </w:p>
        </w:tc>
        <w:tc>
          <w:tcPr>
            <w:tcW w:w="0" w:type="auto"/>
            <w:gridSpan w:val="3"/>
            <w:shd w:val="clear" w:color="auto" w:fill="auto"/>
            <w:tcMar>
              <w:top w:w="0" w:type="dxa"/>
              <w:left w:w="20" w:type="dxa"/>
              <w:bottom w:w="0" w:type="dxa"/>
              <w:right w:w="20" w:type="dxa"/>
            </w:tcMar>
            <w:vAlign w:val="bottom"/>
          </w:tcPr>
          <w:p w14:paraId="0B2FBE3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3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4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4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4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4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4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4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46"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47"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E50" w14:textId="77777777">
        <w:trPr>
          <w:trHeight w:val="60"/>
        </w:trPr>
        <w:tc>
          <w:tcPr>
            <w:tcW w:w="0" w:type="auto"/>
            <w:gridSpan w:val="3"/>
            <w:shd w:val="clear" w:color="auto" w:fill="auto"/>
            <w:tcMar>
              <w:top w:w="0" w:type="dxa"/>
              <w:left w:w="20" w:type="dxa"/>
              <w:bottom w:w="0" w:type="dxa"/>
              <w:right w:w="20" w:type="dxa"/>
            </w:tcMar>
            <w:vAlign w:val="bottom"/>
          </w:tcPr>
          <w:p w14:paraId="0B2FBE49"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4A"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4B"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4C"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4D"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4E"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4F" w14:textId="77777777" w:rsidR="007F1775" w:rsidRDefault="007F1775">
            <w:pPr>
              <w:rPr>
                <w:rFonts w:ascii="宋体"/>
              </w:rPr>
            </w:pPr>
          </w:p>
        </w:tc>
      </w:tr>
      <w:tr w:rsidR="007F1775" w14:paraId="0B2FBE5E" w14:textId="77777777">
        <w:tc>
          <w:tcPr>
            <w:tcW w:w="0" w:type="auto"/>
            <w:gridSpan w:val="3"/>
            <w:shd w:val="clear" w:color="auto" w:fill="auto"/>
            <w:tcMar>
              <w:top w:w="40" w:type="dxa"/>
              <w:left w:w="20" w:type="dxa"/>
              <w:bottom w:w="40" w:type="dxa"/>
              <w:right w:w="20" w:type="dxa"/>
            </w:tcMar>
          </w:tcPr>
          <w:p w14:paraId="0B2FBE51" w14:textId="77777777" w:rsidR="007F1775" w:rsidRDefault="000F083E">
            <w:pPr>
              <w:textAlignment w:val="top"/>
            </w:pPr>
            <w:r>
              <w:rPr>
                <w:rFonts w:ascii="Times New Roman" w:eastAsia="宋体" w:hAnsi="Times New Roman"/>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0B2FBE52"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53" w14:textId="77777777" w:rsidR="007F1775" w:rsidRDefault="000F083E">
            <w:pPr>
              <w:textAlignment w:val="top"/>
            </w:pPr>
            <w:r>
              <w:rPr>
                <w:rFonts w:ascii="Times New Roman" w:eastAsia="宋体" w:hAnsi="Times New Roman"/>
                <w:color w:val="000000"/>
                <w:sz w:val="20"/>
                <w:szCs w:val="20"/>
              </w:rPr>
              <w:t>Inline XBRL Instance Document (the instance document does not appear in the Interactive Data File because its XBRL tags are embedded within the Inline XBRL document).</w:t>
            </w:r>
          </w:p>
        </w:tc>
        <w:tc>
          <w:tcPr>
            <w:tcW w:w="0" w:type="auto"/>
            <w:gridSpan w:val="3"/>
            <w:shd w:val="clear" w:color="auto" w:fill="auto"/>
            <w:tcMar>
              <w:top w:w="0" w:type="dxa"/>
              <w:left w:w="20" w:type="dxa"/>
              <w:bottom w:w="0" w:type="dxa"/>
              <w:right w:w="20" w:type="dxa"/>
            </w:tcMar>
            <w:vAlign w:val="bottom"/>
          </w:tcPr>
          <w:p w14:paraId="0B2FBE5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5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5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5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5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5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5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5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5C"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5D"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E6C" w14:textId="77777777">
        <w:trPr>
          <w:trHeight w:val="60"/>
        </w:trPr>
        <w:tc>
          <w:tcPr>
            <w:tcW w:w="0" w:type="auto"/>
            <w:gridSpan w:val="3"/>
            <w:shd w:val="clear" w:color="auto" w:fill="auto"/>
            <w:tcMar>
              <w:top w:w="0" w:type="dxa"/>
              <w:left w:w="20" w:type="dxa"/>
              <w:bottom w:w="0" w:type="dxa"/>
              <w:right w:w="20" w:type="dxa"/>
            </w:tcMar>
            <w:vAlign w:val="bottom"/>
          </w:tcPr>
          <w:p w14:paraId="0B2FBE5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6B" w14:textId="77777777" w:rsidR="007F1775" w:rsidRDefault="007F1775">
            <w:pPr>
              <w:rPr>
                <w:rFonts w:ascii="宋体"/>
              </w:rPr>
            </w:pPr>
          </w:p>
        </w:tc>
      </w:tr>
      <w:tr w:rsidR="007F1775" w14:paraId="0B2FBE7A" w14:textId="77777777">
        <w:tc>
          <w:tcPr>
            <w:tcW w:w="0" w:type="auto"/>
            <w:gridSpan w:val="3"/>
            <w:shd w:val="clear" w:color="auto" w:fill="auto"/>
            <w:tcMar>
              <w:top w:w="40" w:type="dxa"/>
              <w:left w:w="20" w:type="dxa"/>
              <w:bottom w:w="40" w:type="dxa"/>
              <w:right w:w="20" w:type="dxa"/>
            </w:tcMar>
          </w:tcPr>
          <w:p w14:paraId="0B2FBE6D" w14:textId="77777777" w:rsidR="007F1775" w:rsidRDefault="000F083E">
            <w:pPr>
              <w:textAlignment w:val="top"/>
            </w:pPr>
            <w:r>
              <w:rPr>
                <w:rFonts w:ascii="Times New Roman" w:eastAsia="宋体" w:hAnsi="Times New Roman"/>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0B2FBE6E"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6F" w14:textId="77777777" w:rsidR="007F1775" w:rsidRDefault="000F083E">
            <w:pPr>
              <w:textAlignment w:val="top"/>
            </w:pPr>
            <w:r>
              <w:rPr>
                <w:rFonts w:ascii="Times New Roman" w:eastAsia="宋体" w:hAnsi="Times New Roman"/>
                <w:color w:val="000000"/>
                <w:sz w:val="20"/>
                <w:szCs w:val="20"/>
              </w:rPr>
              <w:t>Inline XBRL Taxonomy Extension Schema Document.</w:t>
            </w:r>
          </w:p>
        </w:tc>
        <w:tc>
          <w:tcPr>
            <w:tcW w:w="0" w:type="auto"/>
            <w:gridSpan w:val="3"/>
            <w:shd w:val="clear" w:color="auto" w:fill="auto"/>
            <w:tcMar>
              <w:top w:w="0" w:type="dxa"/>
              <w:left w:w="20" w:type="dxa"/>
              <w:bottom w:w="0" w:type="dxa"/>
              <w:right w:w="20" w:type="dxa"/>
            </w:tcMar>
            <w:vAlign w:val="bottom"/>
          </w:tcPr>
          <w:p w14:paraId="0B2FBE7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7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7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7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7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7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7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7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78"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79"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E82" w14:textId="77777777">
        <w:trPr>
          <w:trHeight w:val="60"/>
        </w:trPr>
        <w:tc>
          <w:tcPr>
            <w:tcW w:w="0" w:type="auto"/>
            <w:gridSpan w:val="3"/>
            <w:shd w:val="clear" w:color="auto" w:fill="auto"/>
            <w:tcMar>
              <w:top w:w="0" w:type="dxa"/>
              <w:left w:w="20" w:type="dxa"/>
              <w:bottom w:w="0" w:type="dxa"/>
              <w:right w:w="20" w:type="dxa"/>
            </w:tcMar>
            <w:vAlign w:val="bottom"/>
          </w:tcPr>
          <w:p w14:paraId="0B2FBE7B"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7C"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7D"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7E"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7F"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80"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81" w14:textId="77777777" w:rsidR="007F1775" w:rsidRDefault="007F1775">
            <w:pPr>
              <w:rPr>
                <w:rFonts w:ascii="宋体"/>
              </w:rPr>
            </w:pPr>
          </w:p>
        </w:tc>
      </w:tr>
      <w:tr w:rsidR="007F1775" w14:paraId="0B2FBE90" w14:textId="77777777">
        <w:tc>
          <w:tcPr>
            <w:tcW w:w="0" w:type="auto"/>
            <w:gridSpan w:val="3"/>
            <w:shd w:val="clear" w:color="auto" w:fill="auto"/>
            <w:tcMar>
              <w:top w:w="40" w:type="dxa"/>
              <w:left w:w="20" w:type="dxa"/>
              <w:bottom w:w="40" w:type="dxa"/>
              <w:right w:w="20" w:type="dxa"/>
            </w:tcMar>
          </w:tcPr>
          <w:p w14:paraId="0B2FBE83" w14:textId="77777777" w:rsidR="007F1775" w:rsidRDefault="000F083E">
            <w:pPr>
              <w:textAlignment w:val="top"/>
            </w:pPr>
            <w:r>
              <w:rPr>
                <w:rFonts w:ascii="Times New Roman" w:eastAsia="宋体" w:hAnsi="Times New Roman"/>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0B2FBE84"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85" w14:textId="77777777" w:rsidR="007F1775" w:rsidRDefault="000F083E">
            <w:pPr>
              <w:textAlignment w:val="top"/>
            </w:pPr>
            <w:r>
              <w:rPr>
                <w:rFonts w:ascii="Times New Roman" w:eastAsia="宋体" w:hAnsi="Times New Roman"/>
                <w:color w:val="000000"/>
                <w:sz w:val="20"/>
                <w:szCs w:val="20"/>
              </w:rPr>
              <w:t>Inline XBRL Taxonomy Extension Calculation Linkbase Document.</w:t>
            </w:r>
          </w:p>
        </w:tc>
        <w:tc>
          <w:tcPr>
            <w:tcW w:w="0" w:type="auto"/>
            <w:gridSpan w:val="3"/>
            <w:shd w:val="clear" w:color="auto" w:fill="auto"/>
            <w:tcMar>
              <w:top w:w="0" w:type="dxa"/>
              <w:left w:w="20" w:type="dxa"/>
              <w:bottom w:w="0" w:type="dxa"/>
              <w:right w:w="20" w:type="dxa"/>
            </w:tcMar>
            <w:vAlign w:val="bottom"/>
          </w:tcPr>
          <w:p w14:paraId="0B2FBE8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8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8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8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8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8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8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8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8E"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8F"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E98" w14:textId="77777777">
        <w:trPr>
          <w:trHeight w:val="60"/>
        </w:trPr>
        <w:tc>
          <w:tcPr>
            <w:tcW w:w="0" w:type="auto"/>
            <w:gridSpan w:val="3"/>
            <w:shd w:val="clear" w:color="auto" w:fill="auto"/>
            <w:tcMar>
              <w:top w:w="0" w:type="dxa"/>
              <w:left w:w="20" w:type="dxa"/>
              <w:bottom w:w="0" w:type="dxa"/>
              <w:right w:w="20" w:type="dxa"/>
            </w:tcMar>
            <w:vAlign w:val="bottom"/>
          </w:tcPr>
          <w:p w14:paraId="0B2FBE91"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92"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93"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94"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95"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96"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97" w14:textId="77777777" w:rsidR="007F1775" w:rsidRDefault="007F1775">
            <w:pPr>
              <w:rPr>
                <w:rFonts w:ascii="宋体"/>
              </w:rPr>
            </w:pPr>
          </w:p>
        </w:tc>
      </w:tr>
      <w:tr w:rsidR="007F1775" w14:paraId="0B2FBEA6" w14:textId="77777777">
        <w:tc>
          <w:tcPr>
            <w:tcW w:w="0" w:type="auto"/>
            <w:gridSpan w:val="3"/>
            <w:shd w:val="clear" w:color="auto" w:fill="auto"/>
            <w:tcMar>
              <w:top w:w="40" w:type="dxa"/>
              <w:left w:w="20" w:type="dxa"/>
              <w:bottom w:w="40" w:type="dxa"/>
              <w:right w:w="20" w:type="dxa"/>
            </w:tcMar>
          </w:tcPr>
          <w:p w14:paraId="0B2FBE99" w14:textId="77777777" w:rsidR="007F1775" w:rsidRDefault="000F083E">
            <w:pPr>
              <w:textAlignment w:val="top"/>
            </w:pPr>
            <w:r>
              <w:rPr>
                <w:rFonts w:ascii="Times New Roman" w:eastAsia="宋体" w:hAnsi="Times New Roman"/>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0B2FBE9A"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9B" w14:textId="77777777" w:rsidR="007F1775" w:rsidRDefault="000F083E">
            <w:pPr>
              <w:textAlignment w:val="top"/>
            </w:pPr>
            <w:r>
              <w:rPr>
                <w:rFonts w:ascii="Times New Roman" w:eastAsia="宋体" w:hAnsi="Times New Roman"/>
                <w:color w:val="000000"/>
                <w:sz w:val="20"/>
                <w:szCs w:val="20"/>
              </w:rPr>
              <w:t>Inline XBRL Taxonomy Extension Definition Linkbase Document.</w:t>
            </w:r>
          </w:p>
        </w:tc>
        <w:tc>
          <w:tcPr>
            <w:tcW w:w="0" w:type="auto"/>
            <w:gridSpan w:val="3"/>
            <w:shd w:val="clear" w:color="auto" w:fill="auto"/>
            <w:tcMar>
              <w:top w:w="0" w:type="dxa"/>
              <w:left w:w="20" w:type="dxa"/>
              <w:bottom w:w="0" w:type="dxa"/>
              <w:right w:w="20" w:type="dxa"/>
            </w:tcMar>
            <w:vAlign w:val="bottom"/>
          </w:tcPr>
          <w:p w14:paraId="0B2FBE9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9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9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9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A0"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A1"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A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A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A4"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A5"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EAE" w14:textId="77777777">
        <w:trPr>
          <w:trHeight w:val="60"/>
        </w:trPr>
        <w:tc>
          <w:tcPr>
            <w:tcW w:w="0" w:type="auto"/>
            <w:gridSpan w:val="3"/>
            <w:shd w:val="clear" w:color="auto" w:fill="auto"/>
            <w:tcMar>
              <w:top w:w="0" w:type="dxa"/>
              <w:left w:w="20" w:type="dxa"/>
              <w:bottom w:w="0" w:type="dxa"/>
              <w:right w:w="20" w:type="dxa"/>
            </w:tcMar>
            <w:vAlign w:val="bottom"/>
          </w:tcPr>
          <w:p w14:paraId="0B2FBEA7"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A8"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A9"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AA"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AB"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AC"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AD" w14:textId="77777777" w:rsidR="007F1775" w:rsidRDefault="007F1775">
            <w:pPr>
              <w:rPr>
                <w:rFonts w:ascii="宋体"/>
              </w:rPr>
            </w:pPr>
          </w:p>
        </w:tc>
      </w:tr>
      <w:tr w:rsidR="007F1775" w14:paraId="0B2FBEBC" w14:textId="77777777">
        <w:tc>
          <w:tcPr>
            <w:tcW w:w="0" w:type="auto"/>
            <w:gridSpan w:val="3"/>
            <w:shd w:val="clear" w:color="auto" w:fill="auto"/>
            <w:tcMar>
              <w:top w:w="40" w:type="dxa"/>
              <w:left w:w="20" w:type="dxa"/>
              <w:bottom w:w="40" w:type="dxa"/>
              <w:right w:w="20" w:type="dxa"/>
            </w:tcMar>
          </w:tcPr>
          <w:p w14:paraId="0B2FBEAF" w14:textId="77777777" w:rsidR="007F1775" w:rsidRDefault="000F083E">
            <w:pPr>
              <w:textAlignment w:val="top"/>
            </w:pPr>
            <w:r>
              <w:rPr>
                <w:rFonts w:ascii="Times New Roman" w:eastAsia="宋体" w:hAnsi="Times New Roman"/>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0B2FBEB0"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B1" w14:textId="77777777" w:rsidR="007F1775" w:rsidRDefault="000F083E">
            <w:pPr>
              <w:textAlignment w:val="top"/>
            </w:pPr>
            <w:r>
              <w:rPr>
                <w:rFonts w:ascii="Times New Roman" w:eastAsia="宋体" w:hAnsi="Times New Roman"/>
                <w:color w:val="000000"/>
                <w:sz w:val="20"/>
                <w:szCs w:val="20"/>
              </w:rPr>
              <w:t>Inline XBRL Taxonomy Extension Labels Linkbase Document.</w:t>
            </w:r>
          </w:p>
        </w:tc>
        <w:tc>
          <w:tcPr>
            <w:tcW w:w="0" w:type="auto"/>
            <w:gridSpan w:val="3"/>
            <w:shd w:val="clear" w:color="auto" w:fill="auto"/>
            <w:tcMar>
              <w:top w:w="0" w:type="dxa"/>
              <w:left w:w="20" w:type="dxa"/>
              <w:bottom w:w="0" w:type="dxa"/>
              <w:right w:w="20" w:type="dxa"/>
            </w:tcMar>
            <w:vAlign w:val="bottom"/>
          </w:tcPr>
          <w:p w14:paraId="0B2FBEB2"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B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B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B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B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B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B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B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BA"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BB"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EC4" w14:textId="77777777">
        <w:trPr>
          <w:trHeight w:val="60"/>
        </w:trPr>
        <w:tc>
          <w:tcPr>
            <w:tcW w:w="0" w:type="auto"/>
            <w:gridSpan w:val="3"/>
            <w:shd w:val="clear" w:color="auto" w:fill="auto"/>
            <w:tcMar>
              <w:top w:w="0" w:type="dxa"/>
              <w:left w:w="20" w:type="dxa"/>
              <w:bottom w:w="0" w:type="dxa"/>
              <w:right w:w="20" w:type="dxa"/>
            </w:tcMar>
            <w:vAlign w:val="bottom"/>
          </w:tcPr>
          <w:p w14:paraId="0B2FBEBD"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BE"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BF"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C0"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C1"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C2"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EC3" w14:textId="77777777" w:rsidR="007F1775" w:rsidRDefault="007F1775">
            <w:pPr>
              <w:rPr>
                <w:rFonts w:ascii="宋体"/>
              </w:rPr>
            </w:pPr>
          </w:p>
        </w:tc>
      </w:tr>
      <w:tr w:rsidR="007F1775" w14:paraId="0B2FBED2" w14:textId="77777777">
        <w:tc>
          <w:tcPr>
            <w:tcW w:w="0" w:type="auto"/>
            <w:gridSpan w:val="3"/>
            <w:shd w:val="clear" w:color="auto" w:fill="auto"/>
            <w:tcMar>
              <w:top w:w="40" w:type="dxa"/>
              <w:left w:w="20" w:type="dxa"/>
              <w:bottom w:w="40" w:type="dxa"/>
              <w:right w:w="20" w:type="dxa"/>
            </w:tcMar>
          </w:tcPr>
          <w:p w14:paraId="0B2FBEC5" w14:textId="77777777" w:rsidR="007F1775" w:rsidRDefault="000F083E">
            <w:pPr>
              <w:textAlignment w:val="top"/>
            </w:pPr>
            <w:r>
              <w:rPr>
                <w:rFonts w:ascii="Times New Roman" w:eastAsia="宋体" w:hAnsi="Times New Roman"/>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0B2FBEC6"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C7" w14:textId="77777777" w:rsidR="007F1775" w:rsidRDefault="000F083E">
            <w:pPr>
              <w:textAlignment w:val="top"/>
            </w:pPr>
            <w:r>
              <w:rPr>
                <w:rFonts w:ascii="Times New Roman" w:eastAsia="宋体" w:hAnsi="Times New Roman"/>
                <w:color w:val="000000"/>
                <w:sz w:val="20"/>
                <w:szCs w:val="20"/>
              </w:rPr>
              <w:t>Inline XBRL Taxonomy Extension Presentation Linkbase Document.</w:t>
            </w:r>
          </w:p>
        </w:tc>
        <w:tc>
          <w:tcPr>
            <w:tcW w:w="0" w:type="auto"/>
            <w:gridSpan w:val="3"/>
            <w:shd w:val="clear" w:color="auto" w:fill="auto"/>
            <w:tcMar>
              <w:top w:w="0" w:type="dxa"/>
              <w:left w:w="20" w:type="dxa"/>
              <w:bottom w:w="0" w:type="dxa"/>
              <w:right w:w="20" w:type="dxa"/>
            </w:tcMar>
            <w:vAlign w:val="bottom"/>
          </w:tcPr>
          <w:p w14:paraId="0B2FBEC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C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C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C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C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C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C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CF"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0"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D1" w14:textId="77777777" w:rsidR="007F1775" w:rsidRDefault="000F083E">
            <w:pPr>
              <w:jc w:val="center"/>
              <w:textAlignment w:val="top"/>
            </w:pPr>
            <w:r>
              <w:rPr>
                <w:rFonts w:ascii="Times New Roman" w:eastAsia="宋体" w:hAnsi="Times New Roman"/>
                <w:color w:val="000000"/>
                <w:sz w:val="20"/>
                <w:szCs w:val="20"/>
              </w:rPr>
              <w:t>X</w:t>
            </w:r>
          </w:p>
        </w:tc>
      </w:tr>
      <w:tr w:rsidR="007F1775" w14:paraId="0B2FBEE0" w14:textId="77777777">
        <w:trPr>
          <w:trHeight w:val="60"/>
        </w:trPr>
        <w:tc>
          <w:tcPr>
            <w:tcW w:w="0" w:type="auto"/>
            <w:gridSpan w:val="3"/>
            <w:shd w:val="clear" w:color="auto" w:fill="auto"/>
            <w:tcMar>
              <w:top w:w="0" w:type="dxa"/>
              <w:left w:w="20" w:type="dxa"/>
              <w:bottom w:w="0" w:type="dxa"/>
              <w:right w:w="20" w:type="dxa"/>
            </w:tcMar>
            <w:vAlign w:val="bottom"/>
          </w:tcPr>
          <w:p w14:paraId="0B2FBED3"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D"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E"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DF" w14:textId="77777777" w:rsidR="007F1775" w:rsidRDefault="007F1775">
            <w:pPr>
              <w:rPr>
                <w:rFonts w:ascii="宋体"/>
              </w:rPr>
            </w:pPr>
          </w:p>
        </w:tc>
      </w:tr>
      <w:tr w:rsidR="007F1775" w14:paraId="0B2FBEEE" w14:textId="77777777">
        <w:tc>
          <w:tcPr>
            <w:tcW w:w="0" w:type="auto"/>
            <w:gridSpan w:val="3"/>
            <w:shd w:val="clear" w:color="auto" w:fill="auto"/>
            <w:tcMar>
              <w:top w:w="40" w:type="dxa"/>
              <w:left w:w="20" w:type="dxa"/>
              <w:bottom w:w="40" w:type="dxa"/>
              <w:right w:w="20" w:type="dxa"/>
            </w:tcMar>
          </w:tcPr>
          <w:p w14:paraId="0B2FBEE1" w14:textId="77777777" w:rsidR="007F1775" w:rsidRDefault="000F083E">
            <w:pPr>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0B2FBEE2"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E3" w14:textId="77777777" w:rsidR="007F1775" w:rsidRDefault="000F083E">
            <w:pPr>
              <w:textAlignment w:val="top"/>
            </w:pPr>
            <w:r>
              <w:rPr>
                <w:rFonts w:ascii="Times New Roman" w:eastAsia="宋体" w:hAnsi="Times New Roman"/>
                <w:color w:val="000000"/>
                <w:sz w:val="20"/>
                <w:szCs w:val="20"/>
              </w:rPr>
              <w:t xml:space="preserve">Cover Page Interactive Data File (formatted as inline XBRL and contained in Exhibit 101). </w:t>
            </w:r>
          </w:p>
        </w:tc>
        <w:tc>
          <w:tcPr>
            <w:tcW w:w="0" w:type="auto"/>
            <w:gridSpan w:val="3"/>
            <w:shd w:val="clear" w:color="auto" w:fill="auto"/>
            <w:tcMar>
              <w:top w:w="0" w:type="dxa"/>
              <w:left w:w="20" w:type="dxa"/>
              <w:bottom w:w="0" w:type="dxa"/>
              <w:right w:w="20" w:type="dxa"/>
            </w:tcMar>
            <w:vAlign w:val="bottom"/>
          </w:tcPr>
          <w:p w14:paraId="0B2FBEE4"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E5"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E6"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E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E8"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E9"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EA"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EB"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EEC"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tcPr>
          <w:p w14:paraId="0B2FBEED" w14:textId="77777777" w:rsidR="007F1775" w:rsidRDefault="000F083E">
            <w:pPr>
              <w:jc w:val="center"/>
              <w:textAlignment w:val="top"/>
            </w:pPr>
            <w:r>
              <w:rPr>
                <w:rFonts w:ascii="Times New Roman" w:eastAsia="宋体" w:hAnsi="Times New Roman"/>
                <w:color w:val="000000"/>
                <w:sz w:val="20"/>
                <w:szCs w:val="20"/>
              </w:rPr>
              <w:t>X</w:t>
            </w:r>
          </w:p>
        </w:tc>
      </w:tr>
    </w:tbl>
    <w:p w14:paraId="0B2FBEEF" w14:textId="77777777" w:rsidR="007F1775" w:rsidRDefault="000F083E">
      <w:pPr>
        <w:spacing w:before="180"/>
        <w:jc w:val="both"/>
      </w:pPr>
      <w:r>
        <w:rPr>
          <w:rFonts w:ascii="Times New Roman" w:eastAsia="宋体" w:hAnsi="Times New Roman"/>
          <w:color w:val="000000"/>
          <w:sz w:val="20"/>
          <w:szCs w:val="20"/>
        </w:rPr>
        <w:t xml:space="preserve"># This certification is deemed not filed for purposes of Section 18 of the Securities Exchange Act of 1934, as amended (Exchange Act), or </w:t>
      </w:r>
      <w:r>
        <w:rPr>
          <w:rFonts w:ascii="Times New Roman" w:eastAsia="宋体" w:hAnsi="Times New Roman"/>
          <w:color w:val="000000"/>
          <w:sz w:val="20"/>
          <w:szCs w:val="20"/>
        </w:rPr>
        <w:t>otherwise subject to the liability of that section, nor shall it be deemed incorporated by reference into any filing under the Securities Act of 1933, as amended, or the Exchange Act.</w:t>
      </w:r>
    </w:p>
    <w:p w14:paraId="0B2FBEF0" w14:textId="77777777" w:rsidR="007F1775" w:rsidRDefault="000F083E">
      <w:pPr>
        <w:jc w:val="center"/>
      </w:pPr>
      <w:r>
        <w:rPr>
          <w:rFonts w:ascii="Times New Roman" w:eastAsia="宋体" w:hAnsi="Times New Roman"/>
          <w:color w:val="000000"/>
          <w:sz w:val="20"/>
          <w:szCs w:val="20"/>
        </w:rPr>
        <w:t>86</w:t>
      </w:r>
    </w:p>
    <w:p w14:paraId="0B2FBEF1" w14:textId="77777777" w:rsidR="007F1775" w:rsidRDefault="000F083E">
      <w:r>
        <w:pict w14:anchorId="0B2FBFE3">
          <v:rect id="_x0000_i1110" style="width:415.3pt;height:1.5pt" o:hralign="center" o:hrstd="t" o:hr="t" fillcolor="#a0a0a0" stroked="f"/>
        </w:pict>
      </w:r>
    </w:p>
    <w:p w14:paraId="0B2FBEF2" w14:textId="77777777" w:rsidR="007F1775" w:rsidRDefault="007F1775"/>
    <w:p w14:paraId="0B2FBEF3" w14:textId="77777777" w:rsidR="007F1775" w:rsidRDefault="007F1775"/>
    <w:p w14:paraId="0B2FBEF4" w14:textId="77777777" w:rsidR="007F1775" w:rsidRDefault="000F083E">
      <w:hyperlink r:id="rId173" w:anchor="iea70e328caa94cefb76a9db6ed6338fc_7" w:history="1">
        <w:r>
          <w:rPr>
            <w:rStyle w:val="a5"/>
            <w:rFonts w:ascii="Times New Roman" w:eastAsia="宋体" w:hAnsi="Times New Roman"/>
            <w:sz w:val="20"/>
            <w:szCs w:val="20"/>
          </w:rPr>
          <w:t>Table of Contents</w:t>
        </w:r>
      </w:hyperlink>
    </w:p>
    <w:p w14:paraId="0B2FBEF5" w14:textId="77777777" w:rsidR="007F1775" w:rsidRDefault="000F083E">
      <w:pPr>
        <w:spacing w:before="180"/>
        <w:jc w:val="center"/>
      </w:pPr>
      <w:r>
        <w:rPr>
          <w:rFonts w:ascii="Times New Roman" w:eastAsia="宋体" w:hAnsi="Times New Roman"/>
          <w:b/>
          <w:bCs/>
          <w:color w:val="000000"/>
          <w:sz w:val="20"/>
          <w:szCs w:val="20"/>
        </w:rPr>
        <w:t>SIGNATURES</w:t>
      </w:r>
    </w:p>
    <w:p w14:paraId="0B2FBEF6" w14:textId="77777777" w:rsidR="007F1775" w:rsidRDefault="000F083E">
      <w:pPr>
        <w:spacing w:before="180"/>
        <w:jc w:val="both"/>
      </w:pPr>
      <w:r>
        <w:rPr>
          <w:rFonts w:ascii="Times New Roman" w:eastAsia="宋体" w:hAnsi="Times New Roman"/>
          <w:color w:val="000000"/>
          <w:sz w:val="20"/>
          <w:szCs w:val="20"/>
        </w:rPr>
        <w:t xml:space="preserve">Pursuant to the requirements of the Securities Exchange Act of 1934, </w:t>
      </w:r>
      <w:r>
        <w:rPr>
          <w:rFonts w:ascii="Times New Roman" w:eastAsia="宋体" w:hAnsi="Times New Roman"/>
          <w:color w:val="000000"/>
          <w:sz w:val="20"/>
          <w:szCs w:val="20"/>
        </w:rPr>
        <w:t>the Registrant has duly caused this Quarterly Report on Form 10-Q to be signed on its behalf by the undersigned, thereunto duly authorized, in the City of Menlo Park, State of California, on this 27th day of April 2022.</w:t>
      </w:r>
      <w:r>
        <w:rPr>
          <w:rFonts w:ascii="Times New Roman" w:eastAsia="宋体" w:hAnsi="Times New Roman"/>
          <w:color w:val="000000"/>
          <w:sz w:val="18"/>
          <w:szCs w:val="18"/>
        </w:rPr>
        <w:t> </w:t>
      </w:r>
    </w:p>
    <w:tbl>
      <w:tblPr>
        <w:tblW w:w="4799" w:type="pct"/>
        <w:tblCellMar>
          <w:top w:w="15" w:type="dxa"/>
          <w:left w:w="15" w:type="dxa"/>
          <w:bottom w:w="15" w:type="dxa"/>
          <w:right w:w="15" w:type="dxa"/>
        </w:tblCellMar>
        <w:tblLook w:val="04A0" w:firstRow="1" w:lastRow="0" w:firstColumn="1" w:lastColumn="0" w:noHBand="0" w:noVBand="1"/>
      </w:tblPr>
      <w:tblGrid>
        <w:gridCol w:w="57"/>
        <w:gridCol w:w="3859"/>
        <w:gridCol w:w="36"/>
        <w:gridCol w:w="36"/>
        <w:gridCol w:w="36"/>
        <w:gridCol w:w="36"/>
        <w:gridCol w:w="45"/>
        <w:gridCol w:w="3860"/>
        <w:gridCol w:w="36"/>
      </w:tblGrid>
      <w:tr w:rsidR="007F1775" w14:paraId="0B2FBF00" w14:textId="77777777">
        <w:tc>
          <w:tcPr>
            <w:tcW w:w="50" w:type="pct"/>
            <w:shd w:val="clear" w:color="auto" w:fill="auto"/>
            <w:vAlign w:val="bottom"/>
          </w:tcPr>
          <w:p w14:paraId="0B2FBEF7" w14:textId="77777777" w:rsidR="007F1775" w:rsidRDefault="007F1775">
            <w:pPr>
              <w:rPr>
                <w:rFonts w:ascii="宋体"/>
              </w:rPr>
            </w:pPr>
          </w:p>
        </w:tc>
        <w:tc>
          <w:tcPr>
            <w:tcW w:w="2425" w:type="pct"/>
            <w:shd w:val="clear" w:color="auto" w:fill="auto"/>
            <w:vAlign w:val="bottom"/>
          </w:tcPr>
          <w:p w14:paraId="0B2FBEF8" w14:textId="77777777" w:rsidR="007F1775" w:rsidRDefault="007F1775">
            <w:pPr>
              <w:rPr>
                <w:rFonts w:ascii="宋体"/>
              </w:rPr>
            </w:pPr>
          </w:p>
        </w:tc>
        <w:tc>
          <w:tcPr>
            <w:tcW w:w="5" w:type="pct"/>
            <w:shd w:val="clear" w:color="auto" w:fill="auto"/>
            <w:vAlign w:val="bottom"/>
          </w:tcPr>
          <w:p w14:paraId="0B2FBEF9" w14:textId="77777777" w:rsidR="007F1775" w:rsidRDefault="007F1775">
            <w:pPr>
              <w:rPr>
                <w:rFonts w:ascii="宋体"/>
              </w:rPr>
            </w:pPr>
          </w:p>
        </w:tc>
        <w:tc>
          <w:tcPr>
            <w:tcW w:w="5" w:type="pct"/>
            <w:shd w:val="clear" w:color="auto" w:fill="auto"/>
            <w:vAlign w:val="bottom"/>
          </w:tcPr>
          <w:p w14:paraId="0B2FBEFA" w14:textId="77777777" w:rsidR="007F1775" w:rsidRDefault="007F1775">
            <w:pPr>
              <w:rPr>
                <w:rFonts w:ascii="宋体"/>
              </w:rPr>
            </w:pPr>
          </w:p>
        </w:tc>
        <w:tc>
          <w:tcPr>
            <w:tcW w:w="28" w:type="pct"/>
            <w:shd w:val="clear" w:color="auto" w:fill="auto"/>
            <w:vAlign w:val="bottom"/>
          </w:tcPr>
          <w:p w14:paraId="0B2FBEFB" w14:textId="77777777" w:rsidR="007F1775" w:rsidRDefault="007F1775">
            <w:pPr>
              <w:rPr>
                <w:rFonts w:ascii="宋体"/>
              </w:rPr>
            </w:pPr>
          </w:p>
        </w:tc>
        <w:tc>
          <w:tcPr>
            <w:tcW w:w="5" w:type="pct"/>
            <w:shd w:val="clear" w:color="auto" w:fill="auto"/>
            <w:vAlign w:val="bottom"/>
          </w:tcPr>
          <w:p w14:paraId="0B2FBEFC" w14:textId="77777777" w:rsidR="007F1775" w:rsidRDefault="007F1775">
            <w:pPr>
              <w:rPr>
                <w:rFonts w:ascii="宋体"/>
              </w:rPr>
            </w:pPr>
          </w:p>
        </w:tc>
        <w:tc>
          <w:tcPr>
            <w:tcW w:w="50" w:type="pct"/>
            <w:shd w:val="clear" w:color="auto" w:fill="auto"/>
            <w:vAlign w:val="bottom"/>
          </w:tcPr>
          <w:p w14:paraId="0B2FBEFD" w14:textId="77777777" w:rsidR="007F1775" w:rsidRDefault="007F1775">
            <w:pPr>
              <w:rPr>
                <w:rFonts w:ascii="宋体"/>
              </w:rPr>
            </w:pPr>
          </w:p>
        </w:tc>
        <w:tc>
          <w:tcPr>
            <w:tcW w:w="2425" w:type="pct"/>
            <w:shd w:val="clear" w:color="auto" w:fill="auto"/>
            <w:vAlign w:val="bottom"/>
          </w:tcPr>
          <w:p w14:paraId="0B2FBEFE" w14:textId="77777777" w:rsidR="007F1775" w:rsidRDefault="007F1775">
            <w:pPr>
              <w:rPr>
                <w:rFonts w:ascii="宋体"/>
              </w:rPr>
            </w:pPr>
          </w:p>
        </w:tc>
        <w:tc>
          <w:tcPr>
            <w:tcW w:w="5" w:type="pct"/>
            <w:shd w:val="clear" w:color="auto" w:fill="auto"/>
            <w:vAlign w:val="bottom"/>
          </w:tcPr>
          <w:p w14:paraId="0B2FBEFF" w14:textId="77777777" w:rsidR="007F1775" w:rsidRDefault="007F1775">
            <w:pPr>
              <w:rPr>
                <w:rFonts w:ascii="宋体"/>
              </w:rPr>
            </w:pPr>
          </w:p>
        </w:tc>
      </w:tr>
      <w:tr w:rsidR="007F1775" w14:paraId="0B2FBF04" w14:textId="77777777">
        <w:tc>
          <w:tcPr>
            <w:tcW w:w="0" w:type="auto"/>
            <w:gridSpan w:val="3"/>
            <w:shd w:val="clear" w:color="auto" w:fill="auto"/>
            <w:tcMar>
              <w:top w:w="40" w:type="dxa"/>
              <w:left w:w="20" w:type="dxa"/>
              <w:bottom w:w="40" w:type="dxa"/>
              <w:right w:w="20" w:type="dxa"/>
            </w:tcMar>
            <w:vAlign w:val="bottom"/>
          </w:tcPr>
          <w:p w14:paraId="0B2FBF01" w14:textId="77777777" w:rsidR="007F1775" w:rsidRDefault="000F083E">
            <w:pPr>
              <w:textAlignment w:val="bottom"/>
            </w:pPr>
            <w:r>
              <w:rPr>
                <w:rFonts w:ascii="Times New Roman" w:eastAsia="宋体" w:hAnsi="Times New Roman"/>
                <w:color w:val="000000"/>
                <w:sz w:val="16"/>
                <w:szCs w:val="16"/>
              </w:rPr>
              <w:t> </w:t>
            </w:r>
          </w:p>
        </w:tc>
        <w:tc>
          <w:tcPr>
            <w:tcW w:w="0" w:type="auto"/>
            <w:gridSpan w:val="3"/>
            <w:shd w:val="clear" w:color="auto" w:fill="auto"/>
            <w:tcMar>
              <w:top w:w="0" w:type="dxa"/>
              <w:left w:w="20" w:type="dxa"/>
              <w:bottom w:w="0" w:type="dxa"/>
              <w:right w:w="20" w:type="dxa"/>
            </w:tcMar>
            <w:vAlign w:val="bottom"/>
          </w:tcPr>
          <w:p w14:paraId="0B2FBF02"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F03" w14:textId="77777777" w:rsidR="007F1775" w:rsidRDefault="000F083E">
            <w:pPr>
              <w:textAlignment w:val="bottom"/>
            </w:pPr>
            <w:r>
              <w:rPr>
                <w:rFonts w:ascii="Times New Roman" w:eastAsia="宋体" w:hAnsi="Times New Roman"/>
                <w:b/>
                <w:bCs/>
                <w:color w:val="000000"/>
                <w:sz w:val="20"/>
                <w:szCs w:val="20"/>
              </w:rPr>
              <w:t xml:space="preserve">META </w:t>
            </w:r>
            <w:r>
              <w:rPr>
                <w:rFonts w:ascii="Times New Roman" w:eastAsia="宋体" w:hAnsi="Times New Roman"/>
                <w:b/>
                <w:bCs/>
                <w:color w:val="000000"/>
                <w:sz w:val="20"/>
                <w:szCs w:val="20"/>
              </w:rPr>
              <w:t>PLATFORMS, INC.</w:t>
            </w:r>
          </w:p>
        </w:tc>
      </w:tr>
      <w:tr w:rsidR="007F1775" w14:paraId="0B2FBF07" w14:textId="77777777">
        <w:trPr>
          <w:trHeight w:val="60"/>
        </w:trPr>
        <w:tc>
          <w:tcPr>
            <w:tcW w:w="0" w:type="auto"/>
            <w:gridSpan w:val="3"/>
            <w:shd w:val="clear" w:color="auto" w:fill="auto"/>
            <w:tcMar>
              <w:top w:w="0" w:type="dxa"/>
              <w:left w:w="20" w:type="dxa"/>
              <w:bottom w:w="0" w:type="dxa"/>
              <w:right w:w="20" w:type="dxa"/>
            </w:tcMar>
            <w:vAlign w:val="bottom"/>
          </w:tcPr>
          <w:p w14:paraId="0B2FBF05"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F06" w14:textId="77777777" w:rsidR="007F1775" w:rsidRDefault="007F1775">
            <w:pPr>
              <w:rPr>
                <w:rFonts w:ascii="宋体"/>
              </w:rPr>
            </w:pPr>
          </w:p>
        </w:tc>
      </w:tr>
      <w:tr w:rsidR="007F1775" w14:paraId="0B2FBF0B" w14:textId="77777777">
        <w:tc>
          <w:tcPr>
            <w:tcW w:w="0" w:type="auto"/>
            <w:gridSpan w:val="3"/>
            <w:shd w:val="clear" w:color="auto" w:fill="auto"/>
            <w:tcMar>
              <w:top w:w="40" w:type="dxa"/>
              <w:left w:w="20" w:type="dxa"/>
              <w:bottom w:w="40" w:type="dxa"/>
              <w:right w:w="20" w:type="dxa"/>
            </w:tcMar>
          </w:tcPr>
          <w:p w14:paraId="0B2FBF08" w14:textId="77777777" w:rsidR="007F1775" w:rsidRDefault="000F083E">
            <w:pPr>
              <w:textAlignment w:val="top"/>
            </w:pPr>
            <w:r>
              <w:rPr>
                <w:rFonts w:ascii="Times New Roman" w:eastAsia="宋体" w:hAnsi="Times New Roman"/>
                <w:color w:val="000000"/>
                <w:sz w:val="20"/>
                <w:szCs w:val="20"/>
              </w:rPr>
              <w:t>Date: April 27, 2022</w:t>
            </w:r>
          </w:p>
        </w:tc>
        <w:tc>
          <w:tcPr>
            <w:tcW w:w="0" w:type="auto"/>
            <w:gridSpan w:val="3"/>
            <w:shd w:val="clear" w:color="auto" w:fill="auto"/>
            <w:tcMar>
              <w:top w:w="0" w:type="dxa"/>
              <w:left w:w="20" w:type="dxa"/>
              <w:bottom w:w="0" w:type="dxa"/>
              <w:right w:w="20" w:type="dxa"/>
            </w:tcMar>
            <w:vAlign w:val="bottom"/>
          </w:tcPr>
          <w:p w14:paraId="0B2FBF09"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F0A" w14:textId="77777777" w:rsidR="007F1775" w:rsidRDefault="000F083E">
            <w:pPr>
              <w:jc w:val="both"/>
              <w:textAlignment w:val="bottom"/>
            </w:pPr>
            <w:r>
              <w:rPr>
                <w:rFonts w:ascii="Times New Roman" w:eastAsia="宋体" w:hAnsi="Times New Roman"/>
                <w:color w:val="000000"/>
                <w:sz w:val="20"/>
                <w:szCs w:val="20"/>
              </w:rPr>
              <w:t>/s/ DAVID M. WEHNER</w:t>
            </w:r>
          </w:p>
        </w:tc>
      </w:tr>
      <w:tr w:rsidR="007F1775" w14:paraId="0B2FBF0F" w14:textId="77777777">
        <w:tc>
          <w:tcPr>
            <w:tcW w:w="0" w:type="auto"/>
            <w:gridSpan w:val="3"/>
            <w:shd w:val="clear" w:color="auto" w:fill="auto"/>
            <w:tcMar>
              <w:top w:w="0" w:type="dxa"/>
              <w:left w:w="20" w:type="dxa"/>
              <w:bottom w:w="0" w:type="dxa"/>
              <w:right w:w="20" w:type="dxa"/>
            </w:tcMar>
            <w:vAlign w:val="bottom"/>
          </w:tcPr>
          <w:p w14:paraId="0B2FBF0C"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F0D"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F0E" w14:textId="77777777" w:rsidR="007F1775" w:rsidRDefault="000F083E">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David M. Wehner</w:t>
            </w:r>
            <w:r>
              <w:rPr>
                <w:rFonts w:ascii="Times New Roman" w:eastAsia="宋体" w:hAnsi="Times New Roman"/>
                <w:color w:val="000000"/>
                <w:sz w:val="20"/>
                <w:szCs w:val="20"/>
              </w:rPr>
              <w:br/>
              <w:t>Chief Financial Officer</w:t>
            </w:r>
            <w:r>
              <w:rPr>
                <w:rFonts w:ascii="Times New Roman" w:eastAsia="宋体" w:hAnsi="Times New Roman"/>
                <w:color w:val="000000"/>
                <w:sz w:val="20"/>
                <w:szCs w:val="20"/>
              </w:rPr>
              <w:br/>
            </w:r>
            <w:r>
              <w:rPr>
                <w:rFonts w:ascii="Times New Roman" w:eastAsia="宋体" w:hAnsi="Times New Roman"/>
                <w:i/>
                <w:iCs/>
                <w:color w:val="000000"/>
                <w:sz w:val="20"/>
                <w:szCs w:val="20"/>
              </w:rPr>
              <w:t>(Principal Financial Officer)</w:t>
            </w:r>
          </w:p>
        </w:tc>
      </w:tr>
      <w:tr w:rsidR="007F1775" w14:paraId="0B2FBF12" w14:textId="77777777">
        <w:trPr>
          <w:trHeight w:val="340"/>
        </w:trPr>
        <w:tc>
          <w:tcPr>
            <w:tcW w:w="0" w:type="auto"/>
            <w:gridSpan w:val="3"/>
            <w:shd w:val="clear" w:color="auto" w:fill="auto"/>
            <w:tcMar>
              <w:top w:w="0" w:type="dxa"/>
              <w:left w:w="20" w:type="dxa"/>
              <w:bottom w:w="0" w:type="dxa"/>
              <w:right w:w="20" w:type="dxa"/>
            </w:tcMar>
            <w:vAlign w:val="bottom"/>
          </w:tcPr>
          <w:p w14:paraId="0B2FBF10" w14:textId="77777777" w:rsidR="007F1775" w:rsidRDefault="007F1775">
            <w:pPr>
              <w:rPr>
                <w:rFonts w:ascii="宋体"/>
              </w:rPr>
            </w:pPr>
          </w:p>
        </w:tc>
        <w:tc>
          <w:tcPr>
            <w:tcW w:w="0" w:type="auto"/>
            <w:gridSpan w:val="6"/>
            <w:shd w:val="clear" w:color="auto" w:fill="auto"/>
            <w:tcMar>
              <w:top w:w="0" w:type="dxa"/>
              <w:left w:w="20" w:type="dxa"/>
              <w:bottom w:w="0" w:type="dxa"/>
              <w:right w:w="20" w:type="dxa"/>
            </w:tcMar>
            <w:vAlign w:val="bottom"/>
          </w:tcPr>
          <w:p w14:paraId="0B2FBF11" w14:textId="77777777" w:rsidR="007F1775" w:rsidRDefault="007F1775">
            <w:pPr>
              <w:rPr>
                <w:rFonts w:ascii="宋体"/>
              </w:rPr>
            </w:pPr>
          </w:p>
        </w:tc>
      </w:tr>
      <w:tr w:rsidR="007F1775" w14:paraId="0B2FBF16" w14:textId="77777777">
        <w:tc>
          <w:tcPr>
            <w:tcW w:w="0" w:type="auto"/>
            <w:gridSpan w:val="3"/>
            <w:shd w:val="clear" w:color="auto" w:fill="auto"/>
            <w:tcMar>
              <w:top w:w="40" w:type="dxa"/>
              <w:left w:w="20" w:type="dxa"/>
              <w:bottom w:w="40" w:type="dxa"/>
              <w:right w:w="20" w:type="dxa"/>
            </w:tcMar>
          </w:tcPr>
          <w:p w14:paraId="0B2FBF13" w14:textId="77777777" w:rsidR="007F1775" w:rsidRDefault="000F083E">
            <w:pPr>
              <w:textAlignment w:val="top"/>
            </w:pPr>
            <w:r>
              <w:rPr>
                <w:rFonts w:ascii="Times New Roman" w:eastAsia="宋体" w:hAnsi="Times New Roman"/>
                <w:color w:val="000000"/>
                <w:sz w:val="20"/>
                <w:szCs w:val="20"/>
              </w:rPr>
              <w:t>Date: April 27, 2022</w:t>
            </w:r>
          </w:p>
        </w:tc>
        <w:tc>
          <w:tcPr>
            <w:tcW w:w="0" w:type="auto"/>
            <w:gridSpan w:val="3"/>
            <w:shd w:val="clear" w:color="auto" w:fill="auto"/>
            <w:tcMar>
              <w:top w:w="0" w:type="dxa"/>
              <w:left w:w="20" w:type="dxa"/>
              <w:bottom w:w="0" w:type="dxa"/>
              <w:right w:w="20" w:type="dxa"/>
            </w:tcMar>
            <w:vAlign w:val="bottom"/>
          </w:tcPr>
          <w:p w14:paraId="0B2FBF14" w14:textId="77777777" w:rsidR="007F1775" w:rsidRDefault="007F1775">
            <w:pPr>
              <w:rPr>
                <w:rFonts w:ascii="宋体"/>
              </w:rPr>
            </w:pPr>
          </w:p>
        </w:tc>
        <w:tc>
          <w:tcPr>
            <w:tcW w:w="0" w:type="auto"/>
            <w:gridSpan w:val="3"/>
            <w:shd w:val="clear" w:color="auto" w:fill="auto"/>
            <w:tcMar>
              <w:top w:w="40" w:type="dxa"/>
              <w:left w:w="20" w:type="dxa"/>
              <w:bottom w:w="40" w:type="dxa"/>
              <w:right w:w="20" w:type="dxa"/>
            </w:tcMar>
            <w:vAlign w:val="bottom"/>
          </w:tcPr>
          <w:p w14:paraId="0B2FBF15" w14:textId="77777777" w:rsidR="007F1775" w:rsidRDefault="000F083E">
            <w:pPr>
              <w:textAlignment w:val="bottom"/>
            </w:pPr>
            <w:r>
              <w:rPr>
                <w:rFonts w:ascii="Times New Roman" w:eastAsia="宋体" w:hAnsi="Times New Roman"/>
                <w:color w:val="000000"/>
                <w:sz w:val="20"/>
                <w:szCs w:val="20"/>
              </w:rPr>
              <w:t>/s/ SUSAN J.S. TAYLOR</w:t>
            </w:r>
          </w:p>
        </w:tc>
      </w:tr>
      <w:tr w:rsidR="007F1775" w14:paraId="0B2FBF1A" w14:textId="77777777">
        <w:tc>
          <w:tcPr>
            <w:tcW w:w="0" w:type="auto"/>
            <w:gridSpan w:val="3"/>
            <w:shd w:val="clear" w:color="auto" w:fill="auto"/>
            <w:tcMar>
              <w:top w:w="0" w:type="dxa"/>
              <w:left w:w="20" w:type="dxa"/>
              <w:bottom w:w="0" w:type="dxa"/>
              <w:right w:w="20" w:type="dxa"/>
            </w:tcMar>
            <w:vAlign w:val="bottom"/>
          </w:tcPr>
          <w:p w14:paraId="0B2FBF17" w14:textId="77777777" w:rsidR="007F1775" w:rsidRDefault="007F1775">
            <w:pPr>
              <w:rPr>
                <w:rFonts w:ascii="宋体"/>
              </w:rPr>
            </w:pPr>
          </w:p>
        </w:tc>
        <w:tc>
          <w:tcPr>
            <w:tcW w:w="0" w:type="auto"/>
            <w:gridSpan w:val="3"/>
            <w:shd w:val="clear" w:color="auto" w:fill="auto"/>
            <w:tcMar>
              <w:top w:w="0" w:type="dxa"/>
              <w:left w:w="20" w:type="dxa"/>
              <w:bottom w:w="0" w:type="dxa"/>
              <w:right w:w="20" w:type="dxa"/>
            </w:tcMar>
            <w:vAlign w:val="bottom"/>
          </w:tcPr>
          <w:p w14:paraId="0B2FBF18" w14:textId="77777777" w:rsidR="007F1775" w:rsidRDefault="007F177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B2FBF19" w14:textId="77777777" w:rsidR="007F1775" w:rsidRDefault="000F083E">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Susan J.S. Taylor</w:t>
            </w:r>
            <w:r>
              <w:rPr>
                <w:rFonts w:ascii="Times New Roman" w:eastAsia="宋体" w:hAnsi="Times New Roman"/>
                <w:color w:val="000000"/>
                <w:sz w:val="20"/>
                <w:szCs w:val="20"/>
              </w:rPr>
              <w:br/>
              <w:t>Chief Accounting Officer</w:t>
            </w:r>
            <w:r>
              <w:rPr>
                <w:rFonts w:ascii="Times New Roman" w:eastAsia="宋体" w:hAnsi="Times New Roman"/>
                <w:color w:val="000000"/>
                <w:sz w:val="20"/>
                <w:szCs w:val="20"/>
              </w:rPr>
              <w:br/>
            </w:r>
            <w:r>
              <w:rPr>
                <w:rFonts w:ascii="Times New Roman" w:eastAsia="宋体" w:hAnsi="Times New Roman"/>
                <w:i/>
                <w:iCs/>
                <w:color w:val="000000"/>
                <w:sz w:val="20"/>
                <w:szCs w:val="20"/>
              </w:rPr>
              <w:t xml:space="preserve">(Principal </w:t>
            </w:r>
            <w:r>
              <w:rPr>
                <w:rFonts w:ascii="Times New Roman" w:eastAsia="宋体" w:hAnsi="Times New Roman"/>
                <w:i/>
                <w:iCs/>
                <w:color w:val="000000"/>
                <w:sz w:val="20"/>
                <w:szCs w:val="20"/>
              </w:rPr>
              <w:t>Accounting Officer)</w:t>
            </w:r>
          </w:p>
        </w:tc>
      </w:tr>
    </w:tbl>
    <w:p w14:paraId="0B2FBF1B" w14:textId="77777777" w:rsidR="007F1775" w:rsidRDefault="007F1775">
      <w:pPr>
        <w:spacing w:before="180"/>
      </w:pPr>
    </w:p>
    <w:p w14:paraId="0B2FBF1C" w14:textId="77777777" w:rsidR="007F1775" w:rsidRDefault="000F083E">
      <w:pPr>
        <w:jc w:val="center"/>
      </w:pPr>
      <w:r>
        <w:rPr>
          <w:rFonts w:ascii="Times New Roman" w:eastAsia="宋体" w:hAnsi="Times New Roman"/>
          <w:color w:val="000000"/>
          <w:sz w:val="20"/>
          <w:szCs w:val="20"/>
        </w:rPr>
        <w:t>87</w:t>
      </w:r>
    </w:p>
    <w:p w14:paraId="0B2FBF1D" w14:textId="77777777" w:rsidR="007F1775" w:rsidRDefault="000F083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B2FBFE4" wp14:editId="0B2FBFE5">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1F" w14:textId="77777777">
        <w:trPr>
          <w:tblCellSpacing w:w="15" w:type="dxa"/>
        </w:trPr>
        <w:tc>
          <w:tcPr>
            <w:tcW w:w="0" w:type="auto"/>
            <w:shd w:val="clear" w:color="auto" w:fill="auto"/>
            <w:vAlign w:val="center"/>
          </w:tcPr>
          <w:p w14:paraId="0B2FBF1E" w14:textId="77777777" w:rsidR="007F1775" w:rsidRDefault="007F1775">
            <w:pPr>
              <w:rPr>
                <w:rFonts w:ascii="宋体"/>
              </w:rPr>
            </w:pPr>
          </w:p>
        </w:tc>
      </w:tr>
    </w:tbl>
    <w:p w14:paraId="0B2FBF20" w14:textId="77777777" w:rsidR="007F1775" w:rsidRDefault="007F17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22" w14:textId="77777777">
        <w:trPr>
          <w:tblCellSpacing w:w="15" w:type="dxa"/>
        </w:trPr>
        <w:tc>
          <w:tcPr>
            <w:tcW w:w="0" w:type="auto"/>
            <w:shd w:val="clear" w:color="auto" w:fill="auto"/>
            <w:vAlign w:val="center"/>
          </w:tcPr>
          <w:p w14:paraId="0B2FBF21" w14:textId="77777777" w:rsidR="007F1775" w:rsidRDefault="007F1775">
            <w:pPr>
              <w:rPr>
                <w:rFonts w:ascii="宋体"/>
              </w:rPr>
            </w:pPr>
          </w:p>
        </w:tc>
      </w:tr>
    </w:tbl>
    <w:p w14:paraId="0B2FBF23" w14:textId="77777777" w:rsidR="007F1775" w:rsidRDefault="007F17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25" w14:textId="77777777">
        <w:trPr>
          <w:tblCellSpacing w:w="15" w:type="dxa"/>
        </w:trPr>
        <w:tc>
          <w:tcPr>
            <w:tcW w:w="0" w:type="auto"/>
            <w:shd w:val="clear" w:color="auto" w:fill="auto"/>
            <w:vAlign w:val="center"/>
          </w:tcPr>
          <w:p w14:paraId="0B2FBF24" w14:textId="77777777" w:rsidR="007F1775" w:rsidRDefault="007F1775">
            <w:pPr>
              <w:rPr>
                <w:rFonts w:ascii="宋体"/>
              </w:rPr>
            </w:pPr>
          </w:p>
        </w:tc>
      </w:tr>
    </w:tbl>
    <w:p w14:paraId="0B2FBF26" w14:textId="77777777" w:rsidR="007F1775" w:rsidRDefault="007F17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28" w14:textId="77777777">
        <w:trPr>
          <w:tblCellSpacing w:w="15" w:type="dxa"/>
        </w:trPr>
        <w:tc>
          <w:tcPr>
            <w:tcW w:w="0" w:type="auto"/>
            <w:shd w:val="clear" w:color="auto" w:fill="auto"/>
            <w:vAlign w:val="center"/>
          </w:tcPr>
          <w:p w14:paraId="0B2FBF27" w14:textId="77777777" w:rsidR="007F1775" w:rsidRDefault="007F1775">
            <w:pPr>
              <w:rPr>
                <w:rFonts w:ascii="宋体"/>
              </w:rPr>
            </w:pPr>
          </w:p>
        </w:tc>
      </w:tr>
    </w:tbl>
    <w:p w14:paraId="0B2FBF29" w14:textId="77777777" w:rsidR="007F1775" w:rsidRDefault="000F083E">
      <w:r>
        <w:rPr>
          <w:rFonts w:ascii="宋体" w:eastAsia="宋体" w:hAnsi="宋体" w:cs="宋体"/>
        </w:rPr>
        <w:t xml:space="preserve">Previous Next </w:t>
      </w:r>
    </w:p>
    <w:p w14:paraId="0B2FBF2A" w14:textId="77777777" w:rsidR="007F1775" w:rsidRDefault="000F083E">
      <w:pPr>
        <w:pStyle w:val="a3"/>
      </w:pPr>
      <w:r>
        <w:t>Settings</w:t>
      </w:r>
    </w:p>
    <w:p w14:paraId="0B2FBF2B" w14:textId="77777777" w:rsidR="007F1775" w:rsidRDefault="000F083E">
      <w:pPr>
        <w:pStyle w:val="Style4"/>
      </w:pPr>
      <w:r>
        <w:t>窗体顶端</w:t>
      </w:r>
    </w:p>
    <w:p w14:paraId="0B2FBF2C" w14:textId="77777777" w:rsidR="007F1775" w:rsidRDefault="000F083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B2FBFE6" wp14:editId="0B2FBFE7">
                <wp:extent cx="635" cy="0"/>
                <wp:effectExtent l="0" t="0" r="0" b="0"/>
                <wp:docPr id="53" name="矩形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PFWDgECAAAaBAAADgAAAGRycy9l&#10;Mm9Eb2MueG1srVPNbhMxEL4j8Q6W72TTVKl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r/kzIGlif/+9uPXz++MHKTOELCmoIdwHzM/DHdefEXm/E0PrlPvMZDGtEc5tnoWnA94SNu1&#10;0eZ0Isx2Rf39SX21S0yQ8+pyzpk4+iuoj0khYvqovGXZaHikgkVr2N5hymWhPobkGs7famPKYI1j&#10;Q8PfzW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TxVg4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0B2FBF2D" w14:textId="77777777" w:rsidR="007F1775" w:rsidRDefault="000F083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B2FBFE8" wp14:editId="0B2FBFE9">
                <wp:extent cx="635" cy="0"/>
                <wp:effectExtent l="0" t="0" r="0" b="0"/>
                <wp:docPr id="55" name="矩形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vIXS9A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0B2FBF2E" w14:textId="77777777" w:rsidR="007F1775" w:rsidRDefault="000F083E">
      <w:r>
        <w:pict w14:anchorId="0B2FBFEA">
          <v:rect id="_x0000_i1111" style="width:415.3pt;height:1.5pt" o:hralign="center" o:hrstd="t" o:hr="t" fillcolor="#a0a0a0" stroked="f"/>
        </w:pict>
      </w:r>
    </w:p>
    <w:p w14:paraId="0B2FBF2F" w14:textId="77777777" w:rsidR="007F1775" w:rsidRDefault="000F083E">
      <w:r>
        <w:rPr>
          <w:rFonts w:ascii="宋体" w:eastAsia="宋体" w:hAnsi="宋体" w:cs="宋体"/>
        </w:rPr>
        <w:t xml:space="preserve">Tagged Data </w:t>
      </w:r>
    </w:p>
    <w:p w14:paraId="0B2FBF30" w14:textId="77777777" w:rsidR="007F1775" w:rsidRDefault="000F083E">
      <w:r>
        <w:rPr>
          <w:rFonts w:ascii="monospace" w:eastAsia="monospace" w:hAnsi="monospace" w:cs="monospace"/>
          <w:noProof/>
        </w:rPr>
        <mc:AlternateContent>
          <mc:Choice Requires="wps">
            <w:drawing>
              <wp:inline distT="0" distB="0" distL="114300" distR="114300" wp14:anchorId="0B2FBFEB" wp14:editId="0B2FBFEC">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p2tMA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KdrTA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B2FBF31" w14:textId="77777777" w:rsidR="007F1775" w:rsidRDefault="000F083E">
      <w:r>
        <w:rPr>
          <w:rFonts w:ascii="宋体" w:eastAsia="宋体" w:hAnsi="宋体" w:cs="宋体"/>
        </w:rPr>
        <w:t>Save</w:t>
      </w:r>
    </w:p>
    <w:p w14:paraId="0B2FBF32" w14:textId="77777777" w:rsidR="007F1775" w:rsidRDefault="000F083E">
      <w:r>
        <w:rPr>
          <w:rFonts w:ascii="宋体" w:eastAsia="宋体" w:hAnsi="宋体" w:cs="宋体"/>
        </w:rPr>
        <w:t>Reset</w:t>
      </w:r>
    </w:p>
    <w:p w14:paraId="0B2FBF33" w14:textId="77777777" w:rsidR="007F1775" w:rsidRDefault="000F083E">
      <w:r>
        <w:pict w14:anchorId="0B2FBFED">
          <v:rect id="_x0000_i1112" style="width:415.3pt;height:1.5pt" o:hralign="center" o:hrstd="t" o:hr="t" fillcolor="#a0a0a0" stroked="f"/>
        </w:pict>
      </w:r>
    </w:p>
    <w:p w14:paraId="0B2FBF34" w14:textId="77777777" w:rsidR="007F1775" w:rsidRDefault="000F083E">
      <w:r>
        <w:rPr>
          <w:rFonts w:ascii="宋体" w:eastAsia="宋体" w:hAnsi="宋体" w:cs="宋体"/>
        </w:rPr>
        <w:t xml:space="preserve">Search Results </w:t>
      </w:r>
    </w:p>
    <w:p w14:paraId="0B2FBF35" w14:textId="77777777" w:rsidR="007F1775" w:rsidRDefault="000F083E">
      <w:r>
        <w:rPr>
          <w:rFonts w:ascii="monospace" w:eastAsia="monospace" w:hAnsi="monospace" w:cs="monospace"/>
          <w:noProof/>
        </w:rPr>
        <mc:AlternateContent>
          <mc:Choice Requires="wps">
            <w:drawing>
              <wp:inline distT="0" distB="0" distL="114300" distR="114300" wp14:anchorId="0B2FBFEE" wp14:editId="0B2FBFEF">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0B2FBF36" w14:textId="77777777" w:rsidR="007F1775" w:rsidRDefault="000F083E">
      <w:r>
        <w:rPr>
          <w:rFonts w:ascii="宋体" w:eastAsia="宋体" w:hAnsi="宋体" w:cs="宋体"/>
        </w:rPr>
        <w:t>Save</w:t>
      </w:r>
    </w:p>
    <w:p w14:paraId="0B2FBF37" w14:textId="77777777" w:rsidR="007F1775" w:rsidRDefault="000F083E">
      <w:r>
        <w:rPr>
          <w:rFonts w:ascii="宋体" w:eastAsia="宋体" w:hAnsi="宋体" w:cs="宋体"/>
        </w:rPr>
        <w:t>Reset</w:t>
      </w:r>
    </w:p>
    <w:p w14:paraId="0B2FBF38" w14:textId="77777777" w:rsidR="007F1775" w:rsidRDefault="000F083E">
      <w:r>
        <w:pict w14:anchorId="0B2FBFF0">
          <v:rect id="_x0000_i1113" style="width:415.3pt;height:1.5pt" o:hralign="center" o:hrstd="t" o:hr="t" fillcolor="#a0a0a0" stroked="f"/>
        </w:pict>
      </w:r>
    </w:p>
    <w:p w14:paraId="0B2FBF39" w14:textId="77777777" w:rsidR="007F1775" w:rsidRDefault="000F083E">
      <w:r>
        <w:rPr>
          <w:rFonts w:ascii="宋体" w:eastAsia="宋体" w:hAnsi="宋体" w:cs="宋体"/>
        </w:rPr>
        <w:t xml:space="preserve">Selected Fact </w:t>
      </w:r>
    </w:p>
    <w:p w14:paraId="0B2FBF3A" w14:textId="77777777" w:rsidR="007F1775" w:rsidRDefault="000F083E">
      <w:r>
        <w:rPr>
          <w:rFonts w:ascii="monospace" w:eastAsia="monospace" w:hAnsi="monospace" w:cs="monospace"/>
          <w:noProof/>
        </w:rPr>
        <mc:AlternateContent>
          <mc:Choice Requires="wps">
            <w:drawing>
              <wp:inline distT="0" distB="0" distL="114300" distR="114300" wp14:anchorId="0B2FBFF1" wp14:editId="0B2FBFF2">
                <wp:extent cx="635" cy="0"/>
                <wp:effectExtent l="0" t="0" r="0" b="0"/>
                <wp:docPr id="54" name="矩形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HduPGk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B2FBF3B" w14:textId="77777777" w:rsidR="007F1775" w:rsidRDefault="000F083E">
      <w:r>
        <w:rPr>
          <w:rFonts w:ascii="宋体" w:eastAsia="宋体" w:hAnsi="宋体" w:cs="宋体"/>
        </w:rPr>
        <w:t>Save</w:t>
      </w:r>
    </w:p>
    <w:p w14:paraId="0B2FBF3C" w14:textId="77777777" w:rsidR="007F1775" w:rsidRDefault="000F083E">
      <w:r>
        <w:rPr>
          <w:rFonts w:ascii="宋体" w:eastAsia="宋体" w:hAnsi="宋体" w:cs="宋体"/>
        </w:rPr>
        <w:t>Reset</w:t>
      </w:r>
    </w:p>
    <w:p w14:paraId="0B2FBF3D" w14:textId="77777777" w:rsidR="007F1775" w:rsidRDefault="000F083E">
      <w:r>
        <w:pict w14:anchorId="0B2FBFF3">
          <v:rect id="_x0000_i1114" style="width:415.3pt;height:1.5pt" o:hralign="center" o:hrstd="t" o:hr="t" fillcolor="#a0a0a0" stroked="f"/>
        </w:pict>
      </w:r>
    </w:p>
    <w:p w14:paraId="0B2FBF3E" w14:textId="77777777" w:rsidR="007F1775" w:rsidRDefault="000F083E">
      <w:r>
        <w:rPr>
          <w:rFonts w:ascii="宋体" w:eastAsia="宋体" w:hAnsi="宋体" w:cs="宋体"/>
        </w:rPr>
        <w:t xml:space="preserve">Tag Shading (hover) </w:t>
      </w:r>
    </w:p>
    <w:p w14:paraId="0B2FBF3F" w14:textId="77777777" w:rsidR="007F1775" w:rsidRDefault="000F083E">
      <w:r>
        <w:rPr>
          <w:rFonts w:ascii="monospace" w:eastAsia="monospace" w:hAnsi="monospace" w:cs="monospace"/>
          <w:noProof/>
        </w:rPr>
        <mc:AlternateContent>
          <mc:Choice Requires="wps">
            <w:drawing>
              <wp:inline distT="0" distB="0" distL="114300" distR="114300" wp14:anchorId="0B2FBFF4" wp14:editId="0B2FBFF5">
                <wp:extent cx="635" cy="0"/>
                <wp:effectExtent l="0" t="0" r="0" b="0"/>
                <wp:docPr id="61" name="矩形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j6G+g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0B2FBF40" w14:textId="77777777" w:rsidR="007F1775" w:rsidRDefault="000F083E">
      <w:r>
        <w:rPr>
          <w:rFonts w:ascii="宋体" w:eastAsia="宋体" w:hAnsi="宋体" w:cs="宋体"/>
        </w:rPr>
        <w:t>Save</w:t>
      </w:r>
    </w:p>
    <w:p w14:paraId="0B2FBF41" w14:textId="77777777" w:rsidR="007F1775" w:rsidRDefault="000F083E">
      <w:r>
        <w:rPr>
          <w:rFonts w:ascii="宋体" w:eastAsia="宋体" w:hAnsi="宋体" w:cs="宋体"/>
        </w:rPr>
        <w:t>Reset</w:t>
      </w:r>
    </w:p>
    <w:p w14:paraId="0B2FBF42" w14:textId="77777777" w:rsidR="007F1775" w:rsidRDefault="000F083E">
      <w:pPr>
        <w:pStyle w:val="Style5"/>
      </w:pPr>
      <w:r>
        <w:t>窗体底端</w:t>
      </w:r>
    </w:p>
    <w:p w14:paraId="0B2FBF43" w14:textId="77777777" w:rsidR="007F1775" w:rsidRDefault="000F083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B2FBFF6" wp14:editId="0B2FBFF7">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45" w14:textId="77777777">
        <w:trPr>
          <w:tblCellSpacing w:w="15" w:type="dxa"/>
        </w:trPr>
        <w:tc>
          <w:tcPr>
            <w:tcW w:w="0" w:type="auto"/>
            <w:shd w:val="clear" w:color="auto" w:fill="auto"/>
            <w:vAlign w:val="center"/>
          </w:tcPr>
          <w:p w14:paraId="0B2FBF44" w14:textId="77777777" w:rsidR="007F1775" w:rsidRDefault="007F1775">
            <w:pPr>
              <w:rPr>
                <w:rFonts w:ascii="宋体"/>
              </w:rPr>
            </w:pPr>
          </w:p>
        </w:tc>
      </w:tr>
    </w:tbl>
    <w:p w14:paraId="0B2FBF46" w14:textId="77777777" w:rsidR="007F1775" w:rsidRDefault="007F17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48" w14:textId="77777777">
        <w:trPr>
          <w:tblCellSpacing w:w="15" w:type="dxa"/>
        </w:trPr>
        <w:tc>
          <w:tcPr>
            <w:tcW w:w="0" w:type="auto"/>
            <w:shd w:val="clear" w:color="auto" w:fill="auto"/>
            <w:vAlign w:val="center"/>
          </w:tcPr>
          <w:p w14:paraId="0B2FBF47" w14:textId="77777777" w:rsidR="007F1775" w:rsidRDefault="007F1775">
            <w:pPr>
              <w:rPr>
                <w:rFonts w:ascii="宋体"/>
              </w:rPr>
            </w:pPr>
          </w:p>
        </w:tc>
      </w:tr>
    </w:tbl>
    <w:p w14:paraId="0B2FBF49" w14:textId="77777777" w:rsidR="007F1775" w:rsidRDefault="007F17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4B" w14:textId="77777777">
        <w:trPr>
          <w:tblCellSpacing w:w="15" w:type="dxa"/>
        </w:trPr>
        <w:tc>
          <w:tcPr>
            <w:tcW w:w="0" w:type="auto"/>
            <w:shd w:val="clear" w:color="auto" w:fill="auto"/>
            <w:vAlign w:val="center"/>
          </w:tcPr>
          <w:p w14:paraId="0B2FBF4A" w14:textId="77777777" w:rsidR="007F1775" w:rsidRDefault="007F1775">
            <w:pPr>
              <w:rPr>
                <w:rFonts w:ascii="宋体"/>
              </w:rPr>
            </w:pPr>
          </w:p>
        </w:tc>
      </w:tr>
    </w:tbl>
    <w:p w14:paraId="0B2FBF4C" w14:textId="77777777" w:rsidR="007F1775" w:rsidRDefault="007F17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4E" w14:textId="77777777">
        <w:trPr>
          <w:tblCellSpacing w:w="15" w:type="dxa"/>
        </w:trPr>
        <w:tc>
          <w:tcPr>
            <w:tcW w:w="0" w:type="auto"/>
            <w:shd w:val="clear" w:color="auto" w:fill="auto"/>
            <w:vAlign w:val="center"/>
          </w:tcPr>
          <w:p w14:paraId="0B2FBF4D" w14:textId="77777777" w:rsidR="007F1775" w:rsidRDefault="007F1775">
            <w:pPr>
              <w:rPr>
                <w:rFonts w:ascii="宋体"/>
              </w:rPr>
            </w:pPr>
          </w:p>
        </w:tc>
      </w:tr>
    </w:tbl>
    <w:p w14:paraId="0B2FBF4F" w14:textId="77777777" w:rsidR="007F1775" w:rsidRDefault="000F083E">
      <w:r>
        <w:rPr>
          <w:rFonts w:ascii="宋体" w:eastAsia="宋体" w:hAnsi="宋体" w:cs="宋体"/>
        </w:rPr>
        <w:t xml:space="preserve">Previous Next </w:t>
      </w:r>
    </w:p>
    <w:p w14:paraId="0B2FBF50" w14:textId="77777777" w:rsidR="007F1775" w:rsidRDefault="000F083E">
      <w:pPr>
        <w:pStyle w:val="a3"/>
      </w:pPr>
      <w:r>
        <w:t xml:space="preserve">Nested Facts / </w:t>
      </w:r>
    </w:p>
    <w:p w14:paraId="0B2FBF51" w14:textId="77777777" w:rsidR="007F1775" w:rsidRDefault="000F083E">
      <w:r>
        <w:rPr>
          <w:rFonts w:ascii="宋体" w:eastAsia="宋体" w:hAnsi="宋体" w:cs="宋体"/>
        </w:rPr>
        <w:t xml:space="preserve">Previous Next </w:t>
      </w:r>
    </w:p>
    <w:p w14:paraId="0B2FBF52" w14:textId="77777777" w:rsidR="007F1775" w:rsidRDefault="000F083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B2FBFF8" wp14:editId="0B2FBFF9">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54" w14:textId="77777777">
        <w:trPr>
          <w:tblCellSpacing w:w="15" w:type="dxa"/>
        </w:trPr>
        <w:tc>
          <w:tcPr>
            <w:tcW w:w="0" w:type="auto"/>
            <w:shd w:val="clear" w:color="auto" w:fill="auto"/>
            <w:vAlign w:val="center"/>
          </w:tcPr>
          <w:p w14:paraId="0B2FBF53" w14:textId="77777777" w:rsidR="007F1775" w:rsidRDefault="007F1775">
            <w:pPr>
              <w:rPr>
                <w:rFonts w:ascii="宋体"/>
              </w:rPr>
            </w:pPr>
          </w:p>
        </w:tc>
      </w:tr>
    </w:tbl>
    <w:p w14:paraId="0B2FBF55" w14:textId="77777777" w:rsidR="007F1775" w:rsidRDefault="007F17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57" w14:textId="77777777">
        <w:trPr>
          <w:tblCellSpacing w:w="15" w:type="dxa"/>
        </w:trPr>
        <w:tc>
          <w:tcPr>
            <w:tcW w:w="0" w:type="auto"/>
            <w:shd w:val="clear" w:color="auto" w:fill="auto"/>
            <w:vAlign w:val="center"/>
          </w:tcPr>
          <w:p w14:paraId="0B2FBF56" w14:textId="77777777" w:rsidR="007F1775" w:rsidRDefault="007F1775">
            <w:pPr>
              <w:rPr>
                <w:rFonts w:ascii="宋体"/>
              </w:rPr>
            </w:pPr>
          </w:p>
        </w:tc>
      </w:tr>
    </w:tbl>
    <w:p w14:paraId="0B2FBF58" w14:textId="77777777" w:rsidR="007F1775" w:rsidRDefault="007F17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5A" w14:textId="77777777">
        <w:trPr>
          <w:tblCellSpacing w:w="15" w:type="dxa"/>
        </w:trPr>
        <w:tc>
          <w:tcPr>
            <w:tcW w:w="0" w:type="auto"/>
            <w:shd w:val="clear" w:color="auto" w:fill="auto"/>
            <w:vAlign w:val="center"/>
          </w:tcPr>
          <w:p w14:paraId="0B2FBF59" w14:textId="77777777" w:rsidR="007F1775" w:rsidRDefault="007F1775">
            <w:pPr>
              <w:rPr>
                <w:rFonts w:ascii="宋体"/>
              </w:rPr>
            </w:pPr>
          </w:p>
        </w:tc>
      </w:tr>
    </w:tbl>
    <w:p w14:paraId="0B2FBF5B" w14:textId="77777777" w:rsidR="007F1775" w:rsidRDefault="007F177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F1775" w14:paraId="0B2FBF5D" w14:textId="77777777">
        <w:trPr>
          <w:tblCellSpacing w:w="15" w:type="dxa"/>
        </w:trPr>
        <w:tc>
          <w:tcPr>
            <w:tcW w:w="0" w:type="auto"/>
            <w:shd w:val="clear" w:color="auto" w:fill="auto"/>
            <w:vAlign w:val="center"/>
          </w:tcPr>
          <w:p w14:paraId="0B2FBF5C" w14:textId="77777777" w:rsidR="007F1775" w:rsidRDefault="007F1775">
            <w:pPr>
              <w:rPr>
                <w:rFonts w:ascii="宋体"/>
              </w:rPr>
            </w:pPr>
          </w:p>
        </w:tc>
      </w:tr>
    </w:tbl>
    <w:p w14:paraId="0B2FBF5E" w14:textId="77777777" w:rsidR="007F1775" w:rsidRDefault="000F083E">
      <w:r>
        <w:rPr>
          <w:rFonts w:ascii="宋体" w:eastAsia="宋体" w:hAnsi="宋体" w:cs="宋体"/>
        </w:rPr>
        <w:t xml:space="preserve">Previous Next </w:t>
      </w:r>
    </w:p>
    <w:p w14:paraId="0B2FBF5F" w14:textId="77777777" w:rsidR="007F1775" w:rsidRDefault="007F1775"/>
    <w:sectPr w:rsidR="007F177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4A5D2" w14:textId="77777777" w:rsidR="000F083E" w:rsidRDefault="000F083E" w:rsidP="000F083E">
      <w:r>
        <w:separator/>
      </w:r>
    </w:p>
  </w:endnote>
  <w:endnote w:type="continuationSeparator" w:id="0">
    <w:p w14:paraId="60A6B953" w14:textId="77777777" w:rsidR="000F083E" w:rsidRDefault="000F083E" w:rsidP="000F0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4BC51" w14:textId="77777777" w:rsidR="000F083E" w:rsidRDefault="000F083E" w:rsidP="000F083E">
      <w:r>
        <w:separator/>
      </w:r>
    </w:p>
  </w:footnote>
  <w:footnote w:type="continuationSeparator" w:id="0">
    <w:p w14:paraId="0CBB6088" w14:textId="77777777" w:rsidR="000F083E" w:rsidRDefault="000F083E" w:rsidP="000F08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EFBC8D"/>
    <w:rsid w:val="F7EFBC8D"/>
    <w:rsid w:val="000F083E"/>
    <w:rsid w:val="007F1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F9BFE"/>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0F083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F083E"/>
    <w:rPr>
      <w:rFonts w:asciiTheme="minorEastAsia" w:hAnsiTheme="minorEastAsia" w:cs="Times New Roman"/>
      <w:sz w:val="18"/>
      <w:szCs w:val="18"/>
    </w:rPr>
  </w:style>
  <w:style w:type="paragraph" w:styleId="a8">
    <w:name w:val="footer"/>
    <w:basedOn w:val="a"/>
    <w:link w:val="a9"/>
    <w:rsid w:val="000F083E"/>
    <w:pPr>
      <w:tabs>
        <w:tab w:val="center" w:pos="4153"/>
        <w:tab w:val="right" w:pos="8306"/>
      </w:tabs>
      <w:snapToGrid w:val="0"/>
    </w:pPr>
    <w:rPr>
      <w:sz w:val="18"/>
      <w:szCs w:val="18"/>
    </w:rPr>
  </w:style>
  <w:style w:type="character" w:customStyle="1" w:styleId="a9">
    <w:name w:val="页脚 字符"/>
    <w:basedOn w:val="a0"/>
    <w:link w:val="a8"/>
    <w:rsid w:val="000F083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326801/000132680122000057/meta-20220331.htm" TargetMode="External"/><Relationship Id="rId21" Type="http://schemas.openxmlformats.org/officeDocument/2006/relationships/hyperlink" Target="https://www.sec.gov/ix?doc=/Archives/edgar/data/0001326801/000132680122000057/meta-20220331.htm" TargetMode="External"/><Relationship Id="rId42" Type="http://schemas.openxmlformats.org/officeDocument/2006/relationships/hyperlink" Target="https://www.sec.gov/ix?doc=/Archives/edgar/data/0001326801/000132680122000057/meta-20220331.htm" TargetMode="External"/><Relationship Id="rId63" Type="http://schemas.openxmlformats.org/officeDocument/2006/relationships/hyperlink" Target="https://www.sec.gov/ix?doc=/Archives/edgar/data/0001326801/000132680122000057/meta-20220331.htm" TargetMode="External"/><Relationship Id="rId84" Type="http://schemas.openxmlformats.org/officeDocument/2006/relationships/hyperlink" Target="https://www.sec.gov/ix?doc=/Archives/edgar/data/0001326801/000132680122000057/meta-20220331.htm" TargetMode="External"/><Relationship Id="rId138" Type="http://schemas.openxmlformats.org/officeDocument/2006/relationships/hyperlink" Target="https://www.sec.gov/ix?doc=/Archives/edgar/data/0001326801/000132680122000057/meta-20220331.htm" TargetMode="External"/><Relationship Id="rId159" Type="http://schemas.openxmlformats.org/officeDocument/2006/relationships/hyperlink" Target="https://www.sec.gov/ix?doc=/Archives/edgar/data/0001326801/000132680122000057/meta-20220331.htm" TargetMode="External"/><Relationship Id="rId170" Type="http://schemas.openxmlformats.org/officeDocument/2006/relationships/hyperlink" Target="https://www.sec.gov/Archives/edgar/data/0001326801/000132680122000057/meta03312022-ex312.htm" TargetMode="External"/><Relationship Id="rId107" Type="http://schemas.openxmlformats.org/officeDocument/2006/relationships/hyperlink" Target="https://www.sec.gov/ix?doc=/Archives/edgar/data/0001326801/000132680122000057/meta-20220331.htm" TargetMode="External"/><Relationship Id="rId11" Type="http://schemas.openxmlformats.org/officeDocument/2006/relationships/hyperlink" Target="https://www.sec.gov/ix?doc=/Archives/edgar/data/0001326801/000132680122000057/meta-20220331.htm" TargetMode="External"/><Relationship Id="rId32" Type="http://schemas.openxmlformats.org/officeDocument/2006/relationships/hyperlink" Target="https://www.sec.gov/ix?doc=/Archives/edgar/data/0001326801/000132680122000057/meta-20220331.htm" TargetMode="External"/><Relationship Id="rId53" Type="http://schemas.openxmlformats.org/officeDocument/2006/relationships/hyperlink" Target="https://www.sec.gov/ix?doc=/Archives/edgar/data/0001326801/000132680122000057/meta-20220331.htm" TargetMode="External"/><Relationship Id="rId74" Type="http://schemas.openxmlformats.org/officeDocument/2006/relationships/hyperlink" Target="https://www.sec.gov/ix?doc=/Archives/edgar/data/0001326801/000132680122000057/meta-20220331.htm" TargetMode="External"/><Relationship Id="rId128" Type="http://schemas.openxmlformats.org/officeDocument/2006/relationships/hyperlink" Target="https://www.sec.gov/ix?doc=/Archives/edgar/data/0001326801/000132680122000057/meta-20220331.htm" TargetMode="External"/><Relationship Id="rId149" Type="http://schemas.openxmlformats.org/officeDocument/2006/relationships/hyperlink" Target="https://www.sec.gov/ix?doc=/Archives/edgar/data/0001326801/000132680122000057/meta-20220331.htm" TargetMode="External"/><Relationship Id="rId5" Type="http://schemas.openxmlformats.org/officeDocument/2006/relationships/endnotes" Target="endnotes.xml"/><Relationship Id="rId95" Type="http://schemas.openxmlformats.org/officeDocument/2006/relationships/hyperlink" Target="https://www.sec.gov/ix?doc=/Archives/edgar/data/0001326801/000132680122000057/meta-20220331.htm" TargetMode="External"/><Relationship Id="rId160" Type="http://schemas.openxmlformats.org/officeDocument/2006/relationships/hyperlink" Target="https://www.sec.gov/ix?doc=/Archives/edgar/data/0001326801/000132680122000057/meta-20220331.htm" TargetMode="External"/><Relationship Id="rId22" Type="http://schemas.openxmlformats.org/officeDocument/2006/relationships/hyperlink" Target="https://www.sec.gov/ix?doc=/Archives/edgar/data/0001326801/000132680122000057/meta-20220331.htm" TargetMode="External"/><Relationship Id="rId43" Type="http://schemas.openxmlformats.org/officeDocument/2006/relationships/hyperlink" Target="https://www.sec.gov/ix?doc=/Archives/edgar/data/0001326801/000132680122000057/meta-20220331.htm" TargetMode="External"/><Relationship Id="rId64" Type="http://schemas.openxmlformats.org/officeDocument/2006/relationships/hyperlink" Target="https://www.sec.gov/ix?doc=/Archives/edgar/data/0001326801/000132680122000057/meta-20220331.htm" TargetMode="External"/><Relationship Id="rId118" Type="http://schemas.openxmlformats.org/officeDocument/2006/relationships/hyperlink" Target="https://www.sec.gov/ix?doc=/Archives/edgar/data/0001326801/000132680122000057/meta-20220331.htm" TargetMode="External"/><Relationship Id="rId139" Type="http://schemas.openxmlformats.org/officeDocument/2006/relationships/hyperlink" Target="https://www.sec.gov/ix?doc=/Archives/edgar/data/0001326801/000132680122000057/meta-20220331.htm" TargetMode="External"/><Relationship Id="rId85" Type="http://schemas.openxmlformats.org/officeDocument/2006/relationships/hyperlink" Target="https://www.sec.gov/ix?doc=/Archives/edgar/data/0001326801/000132680122000057/meta-20220331.htm" TargetMode="External"/><Relationship Id="rId150" Type="http://schemas.openxmlformats.org/officeDocument/2006/relationships/hyperlink" Target="https://www.sec.gov/ix?doc=/Archives/edgar/data/0001326801/000132680122000057/meta-20220331.htm" TargetMode="External"/><Relationship Id="rId171" Type="http://schemas.openxmlformats.org/officeDocument/2006/relationships/hyperlink" Target="https://www.sec.gov/Archives/edgar/data/0001326801/000132680122000057/meta03312022-ex321.htm" TargetMode="External"/><Relationship Id="rId12" Type="http://schemas.openxmlformats.org/officeDocument/2006/relationships/hyperlink" Target="https://www.sec.gov/ix?doc=/Archives/edgar/data/0001326801/000132680122000057/meta-20220331.htm" TargetMode="External"/><Relationship Id="rId33" Type="http://schemas.openxmlformats.org/officeDocument/2006/relationships/hyperlink" Target="https://www.sec.gov/ix?doc=/Archives/edgar/data/0001326801/000132680122000057/meta-20220331.htm" TargetMode="External"/><Relationship Id="rId108" Type="http://schemas.openxmlformats.org/officeDocument/2006/relationships/hyperlink" Target="https://www.sec.gov/ix?doc=/Archives/edgar/data/0001326801/000132680122000057/meta-20220331.htm" TargetMode="External"/><Relationship Id="rId129" Type="http://schemas.openxmlformats.org/officeDocument/2006/relationships/hyperlink" Target="https://www.sec.gov/ix?doc=/Archives/edgar/data/0001326801/000132680122000057/meta-20220331.htm" TargetMode="External"/><Relationship Id="rId54" Type="http://schemas.openxmlformats.org/officeDocument/2006/relationships/hyperlink" Target="https://www.sec.gov/ix?doc=/Archives/edgar/data/0001326801/000132680122000057/meta-20220331.htm" TargetMode="External"/><Relationship Id="rId75" Type="http://schemas.openxmlformats.org/officeDocument/2006/relationships/hyperlink" Target="https://www.sec.gov/ix?doc=/Archives/edgar/data/0001326801/000132680122000057/meta-20220331.htm" TargetMode="External"/><Relationship Id="rId96" Type="http://schemas.openxmlformats.org/officeDocument/2006/relationships/hyperlink" Target="https://www.sec.gov/ix?doc=/Archives/edgar/data/0001326801/000132680122000057/meta-20220331.htm" TargetMode="External"/><Relationship Id="rId140" Type="http://schemas.openxmlformats.org/officeDocument/2006/relationships/hyperlink" Target="https://www.sec.gov/ix?doc=/Archives/edgar/data/0001326801/000132680122000057/meta-20220331.htm" TargetMode="External"/><Relationship Id="rId161" Type="http://schemas.openxmlformats.org/officeDocument/2006/relationships/hyperlink" Target="https://www.sec.gov/ix?doc=/Archives/edgar/data/0001326801/000132680122000057/meta-20220331.htm" TargetMode="External"/><Relationship Id="rId1" Type="http://schemas.openxmlformats.org/officeDocument/2006/relationships/styles" Target="styles.xml"/><Relationship Id="rId23" Type="http://schemas.openxmlformats.org/officeDocument/2006/relationships/hyperlink" Target="https://www.sec.gov/ix?doc=/Archives/edgar/data/0001326801/000132680122000057/meta-20220331.htm" TargetMode="External"/><Relationship Id="rId28" Type="http://schemas.openxmlformats.org/officeDocument/2006/relationships/hyperlink" Target="https://www.sec.gov/ix?doc=/Archives/edgar/data/0001326801/000132680122000057/meta-20220331.htm" TargetMode="External"/><Relationship Id="rId49" Type="http://schemas.openxmlformats.org/officeDocument/2006/relationships/hyperlink" Target="https://www.sec.gov/ix?doc=/Archives/edgar/data/0001326801/000132680122000057/meta-20220331.htm" TargetMode="External"/><Relationship Id="rId114" Type="http://schemas.openxmlformats.org/officeDocument/2006/relationships/hyperlink" Target="https://www.sec.gov/ix?doc=/Archives/edgar/data/0001326801/000132680122000057/meta-20220331.htm" TargetMode="External"/><Relationship Id="rId119" Type="http://schemas.openxmlformats.org/officeDocument/2006/relationships/hyperlink" Target="https://www.sec.gov/ix?doc=/Archives/edgar/data/0001326801/000132680122000057/meta-20220331.htm" TargetMode="External"/><Relationship Id="rId44" Type="http://schemas.openxmlformats.org/officeDocument/2006/relationships/hyperlink" Target="https://www.sec.gov/ix?doc=/Archives/edgar/data/0001326801/000132680122000057/meta-20220331.htm" TargetMode="External"/><Relationship Id="rId60" Type="http://schemas.openxmlformats.org/officeDocument/2006/relationships/hyperlink" Target="https://www.sec.gov/ix?doc=/Archives/edgar/data/0001326801/000132680122000057/meta-20220331.htm" TargetMode="External"/><Relationship Id="rId65" Type="http://schemas.openxmlformats.org/officeDocument/2006/relationships/hyperlink" Target="https://www.sec.gov/ix?doc=/Archives/edgar/data/0001326801/000132680122000057/meta-20220331.htm" TargetMode="External"/><Relationship Id="rId81" Type="http://schemas.openxmlformats.org/officeDocument/2006/relationships/hyperlink" Target="https://www.sec.gov/ix?doc=/Archives/edgar/data/0001326801/000132680122000057/meta-20220331.htm" TargetMode="External"/><Relationship Id="rId86" Type="http://schemas.openxmlformats.org/officeDocument/2006/relationships/hyperlink" Target="https://www.sec.gov/ix?doc=/Archives/edgar/data/0001326801/000132680122000057/meta-20220331.htm" TargetMode="External"/><Relationship Id="rId130" Type="http://schemas.openxmlformats.org/officeDocument/2006/relationships/hyperlink" Target="https://www.sec.gov/ix?doc=/Archives/edgar/data/0001326801/000132680122000057/meta-20220331.htm" TargetMode="External"/><Relationship Id="rId135" Type="http://schemas.openxmlformats.org/officeDocument/2006/relationships/hyperlink" Target="https://www.sec.gov/ix?doc=/Archives/edgar/data/0001326801/000132680122000057/meta-20220331.htm" TargetMode="External"/><Relationship Id="rId151" Type="http://schemas.openxmlformats.org/officeDocument/2006/relationships/hyperlink" Target="https://www.sec.gov/ix?doc=/Archives/edgar/data/0001326801/000132680122000057/meta-20220331.htm" TargetMode="External"/><Relationship Id="rId156" Type="http://schemas.openxmlformats.org/officeDocument/2006/relationships/hyperlink" Target="https://www.sec.gov/ix?doc=/Archives/edgar/data/0001326801/000132680122000057/meta-20220331.htm" TargetMode="External"/><Relationship Id="rId172" Type="http://schemas.openxmlformats.org/officeDocument/2006/relationships/hyperlink" Target="https://www.sec.gov/Archives/edgar/data/0001326801/000132680122000057/meta03312022-ex322.htm" TargetMode="External"/><Relationship Id="rId13" Type="http://schemas.openxmlformats.org/officeDocument/2006/relationships/hyperlink" Target="https://www.sec.gov/ix?doc=/Archives/edgar/data/0001326801/000132680122000057/meta-20220331.htm" TargetMode="External"/><Relationship Id="rId18" Type="http://schemas.openxmlformats.org/officeDocument/2006/relationships/hyperlink" Target="https://www.sec.gov/ix?doc=/Archives/edgar/data/0001326801/000132680122000057/meta-20220331.htm" TargetMode="External"/><Relationship Id="rId39" Type="http://schemas.openxmlformats.org/officeDocument/2006/relationships/hyperlink" Target="https://www.sec.gov/ix?doc=/Archives/edgar/data/0001326801/000132680122000057/meta-20220331.htm" TargetMode="External"/><Relationship Id="rId109" Type="http://schemas.openxmlformats.org/officeDocument/2006/relationships/hyperlink" Target="https://www.sec.gov/ix?doc=/Archives/edgar/data/0001326801/000132680122000057/meta-20220331.htm" TargetMode="External"/><Relationship Id="rId34" Type="http://schemas.openxmlformats.org/officeDocument/2006/relationships/hyperlink" Target="https://www.sec.gov/ix?doc=/Archives/edgar/data/0001326801/000132680122000057/meta-20220331.htm" TargetMode="External"/><Relationship Id="rId50" Type="http://schemas.openxmlformats.org/officeDocument/2006/relationships/hyperlink" Target="https://www.sec.gov/ix?doc=/Archives/edgar/data/0001326801/000132680122000057/meta-20220331.htm" TargetMode="External"/><Relationship Id="rId55" Type="http://schemas.openxmlformats.org/officeDocument/2006/relationships/hyperlink" Target="https://www.sec.gov/ix?doc=/Archives/edgar/data/0001326801/000132680122000057/meta-20220331.htm" TargetMode="External"/><Relationship Id="rId76" Type="http://schemas.openxmlformats.org/officeDocument/2006/relationships/hyperlink" Target="https://www.sec.gov/ix?doc=/Archives/edgar/data/0001326801/000132680122000057/meta-20220331.htm" TargetMode="External"/><Relationship Id="rId97" Type="http://schemas.openxmlformats.org/officeDocument/2006/relationships/hyperlink" Target="https://www.sec.gov/ix?doc=/Archives/edgar/data/0001326801/000132680122000057/meta-20220331.htm" TargetMode="External"/><Relationship Id="rId104" Type="http://schemas.openxmlformats.org/officeDocument/2006/relationships/hyperlink" Target="https://www.sec.gov/ix?doc=/Archives/edgar/data/0001326801/000132680122000057/meta-20220331.htm" TargetMode="External"/><Relationship Id="rId120" Type="http://schemas.openxmlformats.org/officeDocument/2006/relationships/hyperlink" Target="https://www.sec.gov/ix?doc=/Archives/edgar/data/0001326801/000132680122000057/meta-20220331.htm" TargetMode="External"/><Relationship Id="rId125" Type="http://schemas.openxmlformats.org/officeDocument/2006/relationships/hyperlink" Target="https://www.sec.gov/ix?doc=/Archives/edgar/data/0001326801/000132680122000057/meta-20220331.htm" TargetMode="External"/><Relationship Id="rId141" Type="http://schemas.openxmlformats.org/officeDocument/2006/relationships/hyperlink" Target="https://www.sec.gov/ix?doc=/Archives/edgar/data/0001326801/000132680122000057/meta-20220331.htm" TargetMode="External"/><Relationship Id="rId146" Type="http://schemas.openxmlformats.org/officeDocument/2006/relationships/hyperlink" Target="https://www.sec.gov/ix?doc=/Archives/edgar/data/0001326801/000132680122000057/meta-20220331.htm" TargetMode="External"/><Relationship Id="rId167" Type="http://schemas.openxmlformats.org/officeDocument/2006/relationships/hyperlink" Target="https://www.sec.gov/Archives/edgar/data/0001326801/000132680122000057/meta03312022-ex102.htm" TargetMode="External"/><Relationship Id="rId7" Type="http://schemas.openxmlformats.org/officeDocument/2006/relationships/hyperlink" Target="https://www.sec.gov/ix?doc=/Archives/edgar/data/0001326801/000132680122000057/meta-20220331.htm" TargetMode="External"/><Relationship Id="rId71" Type="http://schemas.openxmlformats.org/officeDocument/2006/relationships/hyperlink" Target="https://www.sec.gov/ix?doc=/Archives/edgar/data/0001326801/000132680122000057/meta-20220331.htm" TargetMode="External"/><Relationship Id="rId92" Type="http://schemas.openxmlformats.org/officeDocument/2006/relationships/hyperlink" Target="https://www.sec.gov/ix?doc=/Archives/edgar/data/0001326801/000132680122000057/meta-20220331.htm" TargetMode="External"/><Relationship Id="rId162" Type="http://schemas.openxmlformats.org/officeDocument/2006/relationships/hyperlink" Target="https://www.sec.gov/ix?doc=/Archives/edgar/data/0001326801/000132680122000057/meta-20220331.htm" TargetMode="External"/><Relationship Id="rId2" Type="http://schemas.openxmlformats.org/officeDocument/2006/relationships/settings" Target="settings.xml"/><Relationship Id="rId29" Type="http://schemas.openxmlformats.org/officeDocument/2006/relationships/hyperlink" Target="https://www.sec.gov/ix?doc=/Archives/edgar/data/0001326801/000132680122000057/meta-20220331.htm" TargetMode="External"/><Relationship Id="rId24" Type="http://schemas.openxmlformats.org/officeDocument/2006/relationships/hyperlink" Target="https://www.sec.gov/ix?doc=/Archives/edgar/data/0001326801/000132680122000057/meta-20220331.htm" TargetMode="External"/><Relationship Id="rId40" Type="http://schemas.openxmlformats.org/officeDocument/2006/relationships/hyperlink" Target="https://www.sec.gov/ix?doc=/Archives/edgar/data/0001326801/000132680122000057/meta-20220331.htm" TargetMode="External"/><Relationship Id="rId45" Type="http://schemas.openxmlformats.org/officeDocument/2006/relationships/hyperlink" Target="https://www.sec.gov/ix?doc=/Archives/edgar/data/0001326801/000132680122000057/meta-20220331.htm" TargetMode="External"/><Relationship Id="rId66" Type="http://schemas.openxmlformats.org/officeDocument/2006/relationships/hyperlink" Target="https://www.sec.gov/ix?doc=/Archives/edgar/data/0001326801/000132680122000057/meta-20220331.htm" TargetMode="External"/><Relationship Id="rId87" Type="http://schemas.openxmlformats.org/officeDocument/2006/relationships/hyperlink" Target="https://www.sec.gov/ix?doc=/Archives/edgar/data/0001326801/000132680122000057/meta-20220331.htm" TargetMode="External"/><Relationship Id="rId110" Type="http://schemas.openxmlformats.org/officeDocument/2006/relationships/hyperlink" Target="https://www.sec.gov/ix?doc=/Archives/edgar/data/0001326801/000132680122000057/meta-20220331.htm" TargetMode="External"/><Relationship Id="rId115" Type="http://schemas.openxmlformats.org/officeDocument/2006/relationships/hyperlink" Target="https://www.sec.gov/ix?doc=/Archives/edgar/data/0001326801/000132680122000057/meta-20220331.htm" TargetMode="External"/><Relationship Id="rId131" Type="http://schemas.openxmlformats.org/officeDocument/2006/relationships/hyperlink" Target="https://www.sec.gov/ix?doc=/Archives/edgar/data/0001326801/000132680122000057/meta-20220331.htm" TargetMode="External"/><Relationship Id="rId136" Type="http://schemas.openxmlformats.org/officeDocument/2006/relationships/hyperlink" Target="https://www.sec.gov/ix?doc=/Archives/edgar/data/0001326801/000132680122000057/meta-20220331.htm" TargetMode="External"/><Relationship Id="rId157" Type="http://schemas.openxmlformats.org/officeDocument/2006/relationships/hyperlink" Target="https://www.sec.gov/ix?doc=/Archives/edgar/data/0001326801/000132680122000057/meta-20220331.htm" TargetMode="External"/><Relationship Id="rId61" Type="http://schemas.openxmlformats.org/officeDocument/2006/relationships/hyperlink" Target="https://www.sec.gov/ix?doc=/Archives/edgar/data/0001326801/000132680122000057/meta-20220331.htm" TargetMode="External"/><Relationship Id="rId82" Type="http://schemas.openxmlformats.org/officeDocument/2006/relationships/hyperlink" Target="https://www.sec.gov/ix?doc=/Archives/edgar/data/0001326801/000132680122000057/meta-20220331.htm" TargetMode="External"/><Relationship Id="rId152" Type="http://schemas.openxmlformats.org/officeDocument/2006/relationships/hyperlink" Target="https://www.sec.gov/ix?doc=/Archives/edgar/data/0001326801/000132680122000057/meta-20220331.htm" TargetMode="External"/><Relationship Id="rId173" Type="http://schemas.openxmlformats.org/officeDocument/2006/relationships/hyperlink" Target="https://www.sec.gov/ix?doc=/Archives/edgar/data/0001326801/000132680122000057/meta-20220331.htm" TargetMode="External"/><Relationship Id="rId19" Type="http://schemas.openxmlformats.org/officeDocument/2006/relationships/hyperlink" Target="https://www.sec.gov/ix?doc=/Archives/edgar/data/0001326801/000132680122000057/meta-20220331.htm" TargetMode="External"/><Relationship Id="rId14" Type="http://schemas.openxmlformats.org/officeDocument/2006/relationships/hyperlink" Target="https://www.sec.gov/ix?doc=/Archives/edgar/data/0001326801/000132680122000057/meta-20220331.htm" TargetMode="External"/><Relationship Id="rId30" Type="http://schemas.openxmlformats.org/officeDocument/2006/relationships/hyperlink" Target="https://www.sec.gov/ix?doc=/Archives/edgar/data/0001326801/000132680122000057/meta-20220331.htm" TargetMode="External"/><Relationship Id="rId35" Type="http://schemas.openxmlformats.org/officeDocument/2006/relationships/hyperlink" Target="https://www.sec.gov/ix?doc=/Archives/edgar/data/0001326801/000132680122000057/meta-20220331.htm" TargetMode="External"/><Relationship Id="rId56" Type="http://schemas.openxmlformats.org/officeDocument/2006/relationships/hyperlink" Target="https://www.sec.gov/ix?doc=/Archives/edgar/data/0001326801/000132680122000057/meta-20220331.htm" TargetMode="External"/><Relationship Id="rId77" Type="http://schemas.openxmlformats.org/officeDocument/2006/relationships/hyperlink" Target="https://www.sec.gov/ix?doc=/Archives/edgar/data/0001326801/000132680122000057/meta-20220331.htm" TargetMode="External"/><Relationship Id="rId100" Type="http://schemas.openxmlformats.org/officeDocument/2006/relationships/hyperlink" Target="https://www.sec.gov/ix?doc=/Archives/edgar/data/0001326801/000132680122000057/meta-20220331.htm" TargetMode="External"/><Relationship Id="rId105" Type="http://schemas.openxmlformats.org/officeDocument/2006/relationships/hyperlink" Target="https://www.sec.gov/ix?doc=/Archives/edgar/data/0001326801/000132680122000057/meta-20220331.htm" TargetMode="External"/><Relationship Id="rId126" Type="http://schemas.openxmlformats.org/officeDocument/2006/relationships/hyperlink" Target="https://www.sec.gov/ix?doc=/Archives/edgar/data/0001326801/000132680122000057/meta-20220331.htm" TargetMode="External"/><Relationship Id="rId147" Type="http://schemas.openxmlformats.org/officeDocument/2006/relationships/hyperlink" Target="https://www.sec.gov/ix?doc=/Archives/edgar/data/0001326801/000132680122000057/meta-20220331.htm" TargetMode="External"/><Relationship Id="rId168" Type="http://schemas.openxmlformats.org/officeDocument/2006/relationships/hyperlink" Target="https://www.sec.gov/Archives/edgar/data/0001326801/000132680122000057/meta03312022-ex103.htm" TargetMode="External"/><Relationship Id="rId8" Type="http://schemas.openxmlformats.org/officeDocument/2006/relationships/hyperlink" Target="https://www.sec.gov/ix?doc=/Archives/edgar/data/0001326801/000132680122000057/meta-20220331.htm" TargetMode="External"/><Relationship Id="rId51" Type="http://schemas.openxmlformats.org/officeDocument/2006/relationships/hyperlink" Target="https://www.sec.gov/ix?doc=/Archives/edgar/data/0001326801/000132680122000057/meta-20220331.htm" TargetMode="External"/><Relationship Id="rId72" Type="http://schemas.openxmlformats.org/officeDocument/2006/relationships/hyperlink" Target="https://www.sec.gov/ix?doc=/Archives/edgar/data/0001326801/000132680122000057/meta-20220331.htm" TargetMode="External"/><Relationship Id="rId93" Type="http://schemas.openxmlformats.org/officeDocument/2006/relationships/hyperlink" Target="https://www.sec.gov/ix?doc=/Archives/edgar/data/0001326801/000132680122000057/meta-20220331.htm" TargetMode="External"/><Relationship Id="rId98" Type="http://schemas.openxmlformats.org/officeDocument/2006/relationships/hyperlink" Target="https://www.sec.gov/ix?doc=/Archives/edgar/data/0001326801/000132680122000057/meta-20220331.htm" TargetMode="External"/><Relationship Id="rId121" Type="http://schemas.openxmlformats.org/officeDocument/2006/relationships/hyperlink" Target="https://www.sec.gov/ix?doc=/Archives/edgar/data/0001326801/000132680122000057/meta-20220331.htm" TargetMode="External"/><Relationship Id="rId142" Type="http://schemas.openxmlformats.org/officeDocument/2006/relationships/hyperlink" Target="https://www.sec.gov/ix?doc=/Archives/edgar/data/0001326801/000132680122000057/meta-20220331.htm" TargetMode="External"/><Relationship Id="rId163" Type="http://schemas.openxmlformats.org/officeDocument/2006/relationships/hyperlink" Target="https://www.sec.gov/ix?doc=/Archives/edgar/data/0001326801/000132680122000057/meta-20220331.htm" TargetMode="External"/><Relationship Id="rId3" Type="http://schemas.openxmlformats.org/officeDocument/2006/relationships/webSettings" Target="webSettings.xml"/><Relationship Id="rId25" Type="http://schemas.openxmlformats.org/officeDocument/2006/relationships/hyperlink" Target="https://www.sec.gov/ix?doc=/Archives/edgar/data/0001326801/000132680122000057/meta-20220331.htm" TargetMode="External"/><Relationship Id="rId46" Type="http://schemas.openxmlformats.org/officeDocument/2006/relationships/hyperlink" Target="https://www.sec.gov/ix?doc=/Archives/edgar/data/0001326801/000132680122000057/meta-20220331.htm" TargetMode="External"/><Relationship Id="rId67" Type="http://schemas.openxmlformats.org/officeDocument/2006/relationships/hyperlink" Target="https://www.sec.gov/ix?doc=/Archives/edgar/data/0001326801/000132680122000057/meta-20220331.htm" TargetMode="External"/><Relationship Id="rId116" Type="http://schemas.openxmlformats.org/officeDocument/2006/relationships/hyperlink" Target="https://www.sec.gov/ix?doc=/Archives/edgar/data/0001326801/000132680122000057/meta-20220331.htm" TargetMode="External"/><Relationship Id="rId137" Type="http://schemas.openxmlformats.org/officeDocument/2006/relationships/hyperlink" Target="https://www.sec.gov/ix?doc=/Archives/edgar/data/0001326801/000132680122000057/meta-20220331.htm" TargetMode="External"/><Relationship Id="rId158" Type="http://schemas.openxmlformats.org/officeDocument/2006/relationships/hyperlink" Target="https://www.sec.gov/ix?doc=/Archives/edgar/data/0001326801/000132680122000057/meta-20220331.htm" TargetMode="External"/><Relationship Id="rId20" Type="http://schemas.openxmlformats.org/officeDocument/2006/relationships/hyperlink" Target="https://www.sec.gov/ix?doc=/Archives/edgar/data/0001326801/000132680122000057/meta-20220331.htm" TargetMode="External"/><Relationship Id="rId41" Type="http://schemas.openxmlformats.org/officeDocument/2006/relationships/hyperlink" Target="https://www.sec.gov/ix?doc=/Archives/edgar/data/0001326801/000132680122000057/meta-20220331.htm" TargetMode="External"/><Relationship Id="rId62" Type="http://schemas.openxmlformats.org/officeDocument/2006/relationships/hyperlink" Target="https://www.sec.gov/ix?doc=/Archives/edgar/data/0001326801/000132680122000057/meta-20220331.htm" TargetMode="External"/><Relationship Id="rId83" Type="http://schemas.openxmlformats.org/officeDocument/2006/relationships/hyperlink" Target="https://www.sec.gov/ix?doc=/Archives/edgar/data/0001326801/000132680122000057/meta-20220331.htm" TargetMode="External"/><Relationship Id="rId88" Type="http://schemas.openxmlformats.org/officeDocument/2006/relationships/hyperlink" Target="https://www.sec.gov/ix?doc=/Archives/edgar/data/0001326801/000132680122000057/meta-20220331.htm" TargetMode="External"/><Relationship Id="rId111" Type="http://schemas.openxmlformats.org/officeDocument/2006/relationships/hyperlink" Target="https://www.sec.gov/ix?doc=/Archives/edgar/data/0001326801/000132680122000057/meta-20220331.htm" TargetMode="External"/><Relationship Id="rId132" Type="http://schemas.openxmlformats.org/officeDocument/2006/relationships/hyperlink" Target="https://www.sec.gov/ix?doc=/Archives/edgar/data/0001326801/000132680122000057/meta-20220331.htm" TargetMode="External"/><Relationship Id="rId153" Type="http://schemas.openxmlformats.org/officeDocument/2006/relationships/hyperlink" Target="https://www.sec.gov/ix?doc=/Archives/edgar/data/0001326801/000132680122000057/meta-20220331.htm" TargetMode="External"/><Relationship Id="rId174" Type="http://schemas.openxmlformats.org/officeDocument/2006/relationships/fontTable" Target="fontTable.xml"/><Relationship Id="rId15" Type="http://schemas.openxmlformats.org/officeDocument/2006/relationships/hyperlink" Target="https://www.sec.gov/ix?doc=/Archives/edgar/data/0001326801/000132680122000057/meta-20220331.htm" TargetMode="External"/><Relationship Id="rId36" Type="http://schemas.openxmlformats.org/officeDocument/2006/relationships/hyperlink" Target="https://www.sec.gov/ix?doc=/Archives/edgar/data/0001326801/000132680122000057/meta-20220331.htm" TargetMode="External"/><Relationship Id="rId57" Type="http://schemas.openxmlformats.org/officeDocument/2006/relationships/hyperlink" Target="https://www.sec.gov/ix?doc=/Archives/edgar/data/0001326801/000132680122000057/meta-20220331.htm" TargetMode="External"/><Relationship Id="rId106" Type="http://schemas.openxmlformats.org/officeDocument/2006/relationships/hyperlink" Target="https://www.sec.gov/ix?doc=/Archives/edgar/data/0001326801/000132680122000057/meta-20220331.htm" TargetMode="External"/><Relationship Id="rId127" Type="http://schemas.openxmlformats.org/officeDocument/2006/relationships/hyperlink" Target="https://www.sec.gov/ix?doc=/Archives/edgar/data/0001326801/000132680122000057/meta-20220331.htm" TargetMode="External"/><Relationship Id="rId10" Type="http://schemas.openxmlformats.org/officeDocument/2006/relationships/hyperlink" Target="https://www.sec.gov/ix?doc=/Archives/edgar/data/0001326801/000132680122000057/meta-20220331.htm" TargetMode="External"/><Relationship Id="rId31" Type="http://schemas.openxmlformats.org/officeDocument/2006/relationships/hyperlink" Target="https://www.sec.gov/ix?doc=/Archives/edgar/data/0001326801/000132680122000057/meta-20220331.htm" TargetMode="External"/><Relationship Id="rId52" Type="http://schemas.openxmlformats.org/officeDocument/2006/relationships/hyperlink" Target="https://www.sec.gov/ix?doc=/Archives/edgar/data/0001326801/000132680122000057/meta-20220331.htm" TargetMode="External"/><Relationship Id="rId73" Type="http://schemas.openxmlformats.org/officeDocument/2006/relationships/hyperlink" Target="https://www.sec.gov/ix?doc=/Archives/edgar/data/0001326801/000132680122000057/meta-20220331.htm" TargetMode="External"/><Relationship Id="rId78" Type="http://schemas.openxmlformats.org/officeDocument/2006/relationships/hyperlink" Target="https://www.sec.gov/ix?doc=/Archives/edgar/data/0001326801/000132680122000057/meta-20220331.htm" TargetMode="External"/><Relationship Id="rId94" Type="http://schemas.openxmlformats.org/officeDocument/2006/relationships/hyperlink" Target="https://www.sec.gov/ix?doc=/Archives/edgar/data/0001326801/000132680122000057/meta-20220331.htm" TargetMode="External"/><Relationship Id="rId99" Type="http://schemas.openxmlformats.org/officeDocument/2006/relationships/hyperlink" Target="https://www.sec.gov/ix?doc=/Archives/edgar/data/0001326801/000132680122000057/meta-20220331.htm" TargetMode="External"/><Relationship Id="rId101" Type="http://schemas.openxmlformats.org/officeDocument/2006/relationships/hyperlink" Target="https://www.sec.gov/ix?doc=/Archives/edgar/data/0001326801/000132680122000057/meta-20220331.htm" TargetMode="External"/><Relationship Id="rId122" Type="http://schemas.openxmlformats.org/officeDocument/2006/relationships/hyperlink" Target="https://www.sec.gov/ix?doc=/Archives/edgar/data/0001326801/000132680122000057/meta-20220331.htm" TargetMode="External"/><Relationship Id="rId143" Type="http://schemas.openxmlformats.org/officeDocument/2006/relationships/hyperlink" Target="https://www.sec.gov/ix?doc=/Archives/edgar/data/0001326801/000132680122000057/meta-20220331.htm" TargetMode="External"/><Relationship Id="rId148" Type="http://schemas.openxmlformats.org/officeDocument/2006/relationships/hyperlink" Target="https://www.sec.gov/ix?doc=/Archives/edgar/data/0001326801/000132680122000057/meta-20220331.htm" TargetMode="External"/><Relationship Id="rId164" Type="http://schemas.openxmlformats.org/officeDocument/2006/relationships/hyperlink" Target="https://www.sec.gov/Archives/edgar/data/1326801/000132680119000055/exhibit103-formofexeco.htm" TargetMode="External"/><Relationship Id="rId169" Type="http://schemas.openxmlformats.org/officeDocument/2006/relationships/hyperlink" Target="https://www.sec.gov/Archives/edgar/data/0001326801/000132680122000057/meta03312022-ex311.htm" TargetMode="External"/><Relationship Id="rId4" Type="http://schemas.openxmlformats.org/officeDocument/2006/relationships/footnotes" Target="footnotes.xml"/><Relationship Id="rId9" Type="http://schemas.openxmlformats.org/officeDocument/2006/relationships/hyperlink" Target="https://www.sec.gov/ix?doc=/Archives/edgar/data/0001326801/000132680122000057/meta-20220331.htm" TargetMode="External"/><Relationship Id="rId26" Type="http://schemas.openxmlformats.org/officeDocument/2006/relationships/hyperlink" Target="https://www.sec.gov/ix?doc=/Archives/edgar/data/0001326801/000132680122000057/meta-20220331.htm" TargetMode="External"/><Relationship Id="rId47" Type="http://schemas.openxmlformats.org/officeDocument/2006/relationships/hyperlink" Target="https://www.sec.gov/ix?doc=/Archives/edgar/data/0001326801/000132680122000057/meta-20220331.htm" TargetMode="External"/><Relationship Id="rId68" Type="http://schemas.openxmlformats.org/officeDocument/2006/relationships/hyperlink" Target="https://www.sec.gov/ix?doc=/Archives/edgar/data/0001326801/000132680122000057/meta-20220331.htm" TargetMode="External"/><Relationship Id="rId89" Type="http://schemas.openxmlformats.org/officeDocument/2006/relationships/hyperlink" Target="https://www.sec.gov/ix?doc=/Archives/edgar/data/0001326801/000132680122000057/meta-20220331.htm" TargetMode="External"/><Relationship Id="rId112" Type="http://schemas.openxmlformats.org/officeDocument/2006/relationships/hyperlink" Target="https://www.sec.gov/ix?doc=/Archives/edgar/data/0001326801/000132680122000057/meta-20220331.htm" TargetMode="External"/><Relationship Id="rId133" Type="http://schemas.openxmlformats.org/officeDocument/2006/relationships/hyperlink" Target="https://www.sec.gov/ix?doc=/Archives/edgar/data/0001326801/000132680122000057/meta-20220331.htm" TargetMode="External"/><Relationship Id="rId154" Type="http://schemas.openxmlformats.org/officeDocument/2006/relationships/hyperlink" Target="https://www.sec.gov/ix?doc=/Archives/edgar/data/0001326801/000132680122000057/meta-20220331.htm" TargetMode="External"/><Relationship Id="rId175" Type="http://schemas.openxmlformats.org/officeDocument/2006/relationships/theme" Target="theme/theme1.xml"/><Relationship Id="rId16" Type="http://schemas.openxmlformats.org/officeDocument/2006/relationships/hyperlink" Target="https://www.sec.gov/ix?doc=/Archives/edgar/data/0001326801/000132680122000057/meta-20220331.htm" TargetMode="External"/><Relationship Id="rId37" Type="http://schemas.openxmlformats.org/officeDocument/2006/relationships/hyperlink" Target="https://www.sec.gov/ix?doc=/Archives/edgar/data/0001326801/000132680122000057/meta-20220331.htm" TargetMode="External"/><Relationship Id="rId58" Type="http://schemas.openxmlformats.org/officeDocument/2006/relationships/hyperlink" Target="https://www.sec.gov/ix?doc=/Archives/edgar/data/0001326801/000132680122000057/meta-20220331.htm" TargetMode="External"/><Relationship Id="rId79" Type="http://schemas.openxmlformats.org/officeDocument/2006/relationships/hyperlink" Target="https://www.sec.gov/ix?doc=/Archives/edgar/data/0001326801/000132680122000057/meta-20220331.htm" TargetMode="External"/><Relationship Id="rId102" Type="http://schemas.openxmlformats.org/officeDocument/2006/relationships/hyperlink" Target="https://www.sec.gov/ix?doc=/Archives/edgar/data/0001326801/000132680122000057/meta-20220331.htm" TargetMode="External"/><Relationship Id="rId123" Type="http://schemas.openxmlformats.org/officeDocument/2006/relationships/hyperlink" Target="https://www.sec.gov/ix?doc=/Archives/edgar/data/0001326801/000132680122000057/meta-20220331.htm" TargetMode="External"/><Relationship Id="rId144" Type="http://schemas.openxmlformats.org/officeDocument/2006/relationships/hyperlink" Target="https://www.sec.gov/ix?doc=/Archives/edgar/data/0001326801/000132680122000057/meta-20220331.htm" TargetMode="External"/><Relationship Id="rId90" Type="http://schemas.openxmlformats.org/officeDocument/2006/relationships/hyperlink" Target="https://www.sec.gov/ix?doc=/Archives/edgar/data/0001326801/000132680122000057/meta-20220331.htm" TargetMode="External"/><Relationship Id="rId165" Type="http://schemas.openxmlformats.org/officeDocument/2006/relationships/hyperlink" Target="https://www.sec.gov/Archives/edgar/data/1326801/000132680119000055/exhibit103-formofexeco.htm" TargetMode="External"/><Relationship Id="rId27" Type="http://schemas.openxmlformats.org/officeDocument/2006/relationships/hyperlink" Target="https://www.sec.gov/ix?doc=/Archives/edgar/data/0001326801/000132680122000057/meta-20220331.htm" TargetMode="External"/><Relationship Id="rId48" Type="http://schemas.openxmlformats.org/officeDocument/2006/relationships/hyperlink" Target="https://www.sec.gov/ix?doc=/Archives/edgar/data/0001326801/000132680122000057/meta-20220331.htm" TargetMode="External"/><Relationship Id="rId69" Type="http://schemas.openxmlformats.org/officeDocument/2006/relationships/hyperlink" Target="https://www.sec.gov/ix?doc=/Archives/edgar/data/0001326801/000132680122000057/meta-20220331.htm" TargetMode="External"/><Relationship Id="rId113" Type="http://schemas.openxmlformats.org/officeDocument/2006/relationships/hyperlink" Target="https://www.sec.gov/ix?doc=/Archives/edgar/data/0001326801/000132680122000057/meta-20220331.htm" TargetMode="External"/><Relationship Id="rId134" Type="http://schemas.openxmlformats.org/officeDocument/2006/relationships/hyperlink" Target="https://www.sec.gov/ix?doc=/Archives/edgar/data/0001326801/000132680122000057/meta-20220331.htm" TargetMode="External"/><Relationship Id="rId80" Type="http://schemas.openxmlformats.org/officeDocument/2006/relationships/hyperlink" Target="https://www.sec.gov/ix?doc=/Archives/edgar/data/0001326801/000132680122000057/meta-20220331.htm" TargetMode="External"/><Relationship Id="rId155" Type="http://schemas.openxmlformats.org/officeDocument/2006/relationships/hyperlink" Target="https://www.sec.gov/ix?doc=/Archives/edgar/data/0001326801/000132680122000057/meta-20220331.htm" TargetMode="External"/><Relationship Id="rId17" Type="http://schemas.openxmlformats.org/officeDocument/2006/relationships/hyperlink" Target="https://www.sec.gov/ix?doc=/Archives/edgar/data/0001326801/000132680122000057/meta-20220331.htm" TargetMode="External"/><Relationship Id="rId38" Type="http://schemas.openxmlformats.org/officeDocument/2006/relationships/hyperlink" Target="https://www.sec.gov/ix?doc=/Archives/edgar/data/0001326801/000132680122000057/meta-20220331.htm" TargetMode="External"/><Relationship Id="rId59" Type="http://schemas.openxmlformats.org/officeDocument/2006/relationships/hyperlink" Target="https://www.sec.gov/ix?doc=/Archives/edgar/data/0001326801/000132680122000057/meta-20220331.htm" TargetMode="External"/><Relationship Id="rId103" Type="http://schemas.openxmlformats.org/officeDocument/2006/relationships/hyperlink" Target="https://www.sec.gov/ix?doc=/Archives/edgar/data/0001326801/000132680122000057/meta-20220331.htm" TargetMode="External"/><Relationship Id="rId124" Type="http://schemas.openxmlformats.org/officeDocument/2006/relationships/hyperlink" Target="https://www.sec.gov/ix?doc=/Archives/edgar/data/0001326801/000132680122000057/meta-20220331.htm" TargetMode="External"/><Relationship Id="rId70" Type="http://schemas.openxmlformats.org/officeDocument/2006/relationships/hyperlink" Target="https://www.sec.gov/ix?doc=/Archives/edgar/data/0001326801/000132680122000057/meta-20220331.htm" TargetMode="External"/><Relationship Id="rId91" Type="http://schemas.openxmlformats.org/officeDocument/2006/relationships/hyperlink" Target="https://www.sec.gov/ix?doc=/Archives/edgar/data/0001326801/000132680122000057/meta-20220331.htm" TargetMode="External"/><Relationship Id="rId145" Type="http://schemas.openxmlformats.org/officeDocument/2006/relationships/hyperlink" Target="https://www.sec.gov/ix?doc=/Archives/edgar/data/0001326801/000132680122000057/meta-20220331.htm" TargetMode="External"/><Relationship Id="rId166" Type="http://schemas.openxmlformats.org/officeDocument/2006/relationships/hyperlink" Target="https://www.sec.gov/Archives/edgar/data/1326801/000132680119000055/exhibit103-formofexeco.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54343</Words>
  <Characters>309760</Characters>
  <Application>Microsoft Office Word</Application>
  <DocSecurity>0</DocSecurity>
  <Lines>2581</Lines>
  <Paragraphs>726</Paragraphs>
  <ScaleCrop>false</ScaleCrop>
  <Company/>
  <LinksUpToDate>false</LinksUpToDate>
  <CharactersWithSpaces>363377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2023-02-11T20:00:00Z</dcterms:created>
  <dcterms:modified xsi:type="dcterms:W3CDTF">2023-02-13T11:19:00Z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84B9224E3ACBE4986983E7635F80AC75</vt:lpwstr>
  </property>
</Properties>
</file>