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BA49F5" w14:paraId="5CD8DDA1" w14:textId="77777777">
        <w:trPr>
          <w:jc w:val="center"/>
        </w:trPr>
        <w:tc>
          <w:tcPr>
            <w:tcW w:w="50" w:type="pct"/>
            <w:shd w:val="clear" w:color="auto" w:fill="auto"/>
            <w:vAlign w:val="bottom"/>
          </w:tcPr>
          <w:p w14:paraId="5CD8DD9E" w14:textId="18C2AF7E" w:rsidR="00BA49F5" w:rsidRDefault="007E5E49">
            <w:pPr>
              <w:rPr>
                <w:rFonts w:ascii="宋体"/>
              </w:rPr>
            </w:pPr>
            <w:r>
              <w:rPr>
                <w:rFonts w:ascii="宋体"/>
              </w:rPr>
              <w:t xml:space="preserve"> </w:t>
            </w:r>
          </w:p>
        </w:tc>
        <w:tc>
          <w:tcPr>
            <w:tcW w:w="4945" w:type="pct"/>
            <w:shd w:val="clear" w:color="auto" w:fill="auto"/>
            <w:vAlign w:val="bottom"/>
          </w:tcPr>
          <w:p w14:paraId="5CD8DD9F" w14:textId="77777777" w:rsidR="00BA49F5" w:rsidRDefault="00BA49F5">
            <w:pPr>
              <w:rPr>
                <w:rFonts w:ascii="宋体"/>
              </w:rPr>
            </w:pPr>
          </w:p>
        </w:tc>
        <w:tc>
          <w:tcPr>
            <w:tcW w:w="5" w:type="pct"/>
            <w:shd w:val="clear" w:color="auto" w:fill="auto"/>
            <w:vAlign w:val="bottom"/>
          </w:tcPr>
          <w:p w14:paraId="5CD8DDA0" w14:textId="77777777" w:rsidR="00BA49F5" w:rsidRDefault="00BA49F5">
            <w:pPr>
              <w:rPr>
                <w:rFonts w:ascii="宋体"/>
              </w:rPr>
            </w:pPr>
          </w:p>
        </w:tc>
      </w:tr>
      <w:tr w:rsidR="00BA49F5" w14:paraId="5CD8DDA3" w14:textId="77777777">
        <w:trPr>
          <w:trHeight w:val="60"/>
          <w:jc w:val="center"/>
        </w:trPr>
        <w:tc>
          <w:tcPr>
            <w:tcW w:w="0" w:type="auto"/>
            <w:gridSpan w:val="3"/>
            <w:tcBorders>
              <w:bottom w:val="double" w:sz="6" w:space="0" w:color="000000"/>
            </w:tcBorders>
            <w:shd w:val="clear" w:color="auto" w:fill="auto"/>
            <w:tcMar>
              <w:top w:w="0" w:type="dxa"/>
              <w:left w:w="20" w:type="dxa"/>
              <w:bottom w:w="0" w:type="dxa"/>
              <w:right w:w="20" w:type="dxa"/>
            </w:tcMar>
            <w:vAlign w:val="bottom"/>
          </w:tcPr>
          <w:p w14:paraId="5CD8DDA2" w14:textId="77777777" w:rsidR="00BA49F5" w:rsidRDefault="00BA49F5">
            <w:pPr>
              <w:rPr>
                <w:rFonts w:ascii="宋体"/>
              </w:rPr>
            </w:pPr>
          </w:p>
        </w:tc>
      </w:tr>
    </w:tbl>
    <w:p w14:paraId="5CD8DDA4" w14:textId="77777777" w:rsidR="00BA49F5" w:rsidRDefault="007E5E49">
      <w:pPr>
        <w:jc w:val="center"/>
      </w:pPr>
      <w:r>
        <w:rPr>
          <w:rFonts w:ascii="Times New Roman" w:eastAsia="宋体" w:hAnsi="Times New Roman"/>
          <w:b/>
          <w:bCs/>
          <w:color w:val="000000"/>
        </w:rPr>
        <w:t xml:space="preserve">UNITED STATES </w:t>
      </w:r>
    </w:p>
    <w:p w14:paraId="5CD8DDA5" w14:textId="77777777" w:rsidR="00BA49F5" w:rsidRDefault="007E5E49">
      <w:pPr>
        <w:jc w:val="center"/>
      </w:pPr>
      <w:r>
        <w:rPr>
          <w:rFonts w:ascii="Times New Roman" w:eastAsia="宋体" w:hAnsi="Times New Roman"/>
          <w:b/>
          <w:bCs/>
          <w:color w:val="000000"/>
        </w:rPr>
        <w:t xml:space="preserve">SECURITIES AND EXCHANGE COMMISSION </w:t>
      </w:r>
    </w:p>
    <w:p w14:paraId="5CD8DDA6" w14:textId="77777777" w:rsidR="00BA49F5" w:rsidRDefault="007E5E49">
      <w:pPr>
        <w:jc w:val="center"/>
      </w:pPr>
      <w:r>
        <w:rPr>
          <w:rFonts w:ascii="Times New Roman" w:eastAsia="宋体" w:hAnsi="Times New Roman"/>
          <w:b/>
          <w:bCs/>
          <w:color w:val="000000"/>
        </w:rPr>
        <w:t xml:space="preserve">Washington, D.C. 20549 </w:t>
      </w:r>
    </w:p>
    <w:p w14:paraId="5CD8DDA7" w14:textId="77777777" w:rsidR="00BA49F5" w:rsidRDefault="007E5E49">
      <w:pPr>
        <w:jc w:val="center"/>
      </w:pPr>
      <w:r>
        <w:rPr>
          <w:rFonts w:ascii="Times New Roman" w:eastAsia="宋体" w:hAnsi="Times New Roman"/>
          <w:color w:val="000000"/>
          <w:sz w:val="16"/>
          <w:szCs w:val="16"/>
        </w:rPr>
        <w:t>__________________________</w:t>
      </w:r>
    </w:p>
    <w:p w14:paraId="5CD8DDA8" w14:textId="77777777" w:rsidR="00BA49F5" w:rsidRDefault="00BA49F5">
      <w:pPr>
        <w:jc w:val="center"/>
      </w:pPr>
    </w:p>
    <w:p w14:paraId="5CD8DDA9" w14:textId="77777777" w:rsidR="00BA49F5" w:rsidRDefault="007E5E49">
      <w:pPr>
        <w:jc w:val="center"/>
      </w:pPr>
      <w:r>
        <w:rPr>
          <w:rFonts w:ascii="Times New Roman" w:eastAsia="宋体" w:hAnsi="Times New Roman"/>
          <w:b/>
          <w:bCs/>
          <w:color w:val="000000"/>
          <w:sz w:val="36"/>
          <w:szCs w:val="36"/>
        </w:rPr>
        <w:t xml:space="preserve">FORM 10-K </w:t>
      </w:r>
    </w:p>
    <w:p w14:paraId="5CD8DDAA" w14:textId="77777777" w:rsidR="00BA49F5" w:rsidRDefault="007E5E49">
      <w:pPr>
        <w:jc w:val="center"/>
      </w:pPr>
      <w:r>
        <w:rPr>
          <w:rFonts w:ascii="Times New Roman" w:eastAsia="宋体" w:hAnsi="Times New Roman"/>
          <w:color w:val="000000"/>
          <w:sz w:val="16"/>
          <w:szCs w:val="16"/>
        </w:rPr>
        <w:t>__________________________</w:t>
      </w:r>
    </w:p>
    <w:p w14:paraId="5CD8DDAB" w14:textId="77777777" w:rsidR="00BA49F5" w:rsidRDefault="007E5E49">
      <w:pPr>
        <w:ind w:firstLine="450"/>
        <w:jc w:val="both"/>
      </w:pPr>
      <w:r>
        <w:rPr>
          <w:rFonts w:ascii="Times New Roman" w:eastAsia="宋体" w:hAnsi="Times New Roman"/>
          <w:color w:val="000000"/>
          <w:sz w:val="14"/>
          <w:szCs w:val="14"/>
        </w:rPr>
        <w:t xml:space="preserve">(Mark One) </w:t>
      </w:r>
    </w:p>
    <w:p w14:paraId="5CD8DDAC" w14:textId="77777777" w:rsidR="00BA49F5" w:rsidRDefault="007E5E49">
      <w:r>
        <w:rPr>
          <w:rFonts w:ascii="Arial Unicode MS" w:eastAsia="Arial Unicode MS" w:hAnsi="Arial Unicode MS" w:cs="Arial Unicode MS"/>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ANNUAL REPORT PURSUANT TO SECTION 13 OR 15(d) OF THE SECURITIES EXCHANGE ACT OF 1934 </w:t>
      </w:r>
    </w:p>
    <w:p w14:paraId="5CD8DDAD" w14:textId="77777777" w:rsidR="00BA49F5" w:rsidRDefault="007E5E49">
      <w:pPr>
        <w:jc w:val="center"/>
      </w:pPr>
      <w:r>
        <w:rPr>
          <w:rFonts w:ascii="Times New Roman" w:eastAsia="宋体" w:hAnsi="Times New Roman"/>
          <w:b/>
          <w:bCs/>
          <w:color w:val="000000"/>
          <w:sz w:val="18"/>
          <w:szCs w:val="18"/>
        </w:rPr>
        <w:t xml:space="preserve">For the fiscal year ended December 31, 2022 </w:t>
      </w:r>
    </w:p>
    <w:p w14:paraId="5CD8DDAE" w14:textId="77777777" w:rsidR="00BA49F5" w:rsidRDefault="007E5E49">
      <w:pPr>
        <w:jc w:val="center"/>
      </w:pPr>
      <w:r>
        <w:rPr>
          <w:rFonts w:ascii="Times New Roman" w:eastAsia="宋体" w:hAnsi="Times New Roman"/>
          <w:b/>
          <w:bCs/>
          <w:color w:val="000000"/>
          <w:sz w:val="18"/>
          <w:szCs w:val="18"/>
        </w:rPr>
        <w:t xml:space="preserve">or </w:t>
      </w:r>
    </w:p>
    <w:p w14:paraId="5CD8DDAF" w14:textId="77777777" w:rsidR="00BA49F5" w:rsidRDefault="007E5E49">
      <w:r>
        <w:rPr>
          <w:rFonts w:ascii="Arial Unicode MS" w:eastAsia="Arial Unicode MS" w:hAnsi="Arial Unicode MS" w:cs="Arial Unicode MS" w:hint="eastAsia"/>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TRANSITION REPORT PURSUANT TO SECTION 13 OR 15(d) OF THE SECURITIES EXCHANGE ACT OF 1934 </w:t>
      </w:r>
    </w:p>
    <w:p w14:paraId="5CD8DDB0" w14:textId="77777777" w:rsidR="00BA49F5" w:rsidRDefault="007E5E49">
      <w:pPr>
        <w:jc w:val="center"/>
      </w:pPr>
      <w:r>
        <w:rPr>
          <w:rFonts w:ascii="Times New Roman" w:eastAsia="宋体" w:hAnsi="Times New Roman"/>
          <w:b/>
          <w:bCs/>
          <w:color w:val="000000"/>
          <w:sz w:val="18"/>
          <w:szCs w:val="18"/>
        </w:rPr>
        <w:t xml:space="preserve">For the transition period </w:t>
      </w:r>
      <w:r>
        <w:rPr>
          <w:rFonts w:ascii="Times New Roman" w:eastAsia="宋体" w:hAnsi="Times New Roman"/>
          <w:b/>
          <w:bCs/>
          <w:color w:val="000000"/>
          <w:sz w:val="18"/>
          <w:szCs w:val="18"/>
        </w:rPr>
        <w:t xml:space="preserve">from            to             </w:t>
      </w:r>
    </w:p>
    <w:p w14:paraId="5CD8DDB1" w14:textId="77777777" w:rsidR="00BA49F5" w:rsidRDefault="007E5E49">
      <w:pPr>
        <w:jc w:val="center"/>
      </w:pPr>
      <w:r>
        <w:rPr>
          <w:rFonts w:ascii="Times New Roman" w:eastAsia="宋体" w:hAnsi="Times New Roman"/>
          <w:b/>
          <w:bCs/>
          <w:color w:val="000000"/>
          <w:sz w:val="18"/>
          <w:szCs w:val="18"/>
        </w:rPr>
        <w:t xml:space="preserve">Commission File Number: 001-35551 </w:t>
      </w:r>
    </w:p>
    <w:p w14:paraId="5CD8DDB2" w14:textId="77777777" w:rsidR="00BA49F5" w:rsidRDefault="007E5E49">
      <w:pPr>
        <w:jc w:val="center"/>
      </w:pPr>
      <w:r>
        <w:rPr>
          <w:rFonts w:ascii="Times New Roman" w:eastAsia="宋体" w:hAnsi="Times New Roman"/>
          <w:color w:val="000000"/>
          <w:sz w:val="16"/>
          <w:szCs w:val="16"/>
        </w:rPr>
        <w:t>__________________________</w:t>
      </w:r>
    </w:p>
    <w:p w14:paraId="5CD8DDB3"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CCA" wp14:editId="5CD90CCB">
            <wp:extent cx="304800" cy="304800"/>
            <wp:effectExtent l="0" t="0" r="0" b="0"/>
            <wp:docPr id="1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DDB4" w14:textId="77777777" w:rsidR="00BA49F5" w:rsidRDefault="007E5E49">
      <w:pPr>
        <w:jc w:val="center"/>
      </w:pPr>
      <w:r>
        <w:rPr>
          <w:rFonts w:ascii="Times New Roman" w:eastAsia="宋体" w:hAnsi="Times New Roman"/>
          <w:b/>
          <w:bCs/>
          <w:color w:val="000000"/>
          <w:sz w:val="40"/>
          <w:szCs w:val="40"/>
        </w:rPr>
        <w:t xml:space="preserve">Meta Platforms, Inc. </w:t>
      </w:r>
    </w:p>
    <w:p w14:paraId="5CD8DDB5" w14:textId="77777777" w:rsidR="00BA49F5" w:rsidRDefault="007E5E49">
      <w:pPr>
        <w:jc w:val="center"/>
      </w:pPr>
      <w:r>
        <w:rPr>
          <w:rFonts w:ascii="Times New Roman" w:eastAsia="宋体" w:hAnsi="Times New Roman"/>
          <w:b/>
          <w:bCs/>
          <w:color w:val="000000"/>
          <w:sz w:val="18"/>
          <w:szCs w:val="18"/>
        </w:rPr>
        <w:t xml:space="preserve">(Exact name of registrant as specified in its charter) </w:t>
      </w:r>
    </w:p>
    <w:p w14:paraId="5CD8DDB6" w14:textId="77777777" w:rsidR="00BA49F5" w:rsidRDefault="007E5E49">
      <w:pPr>
        <w:jc w:val="center"/>
      </w:pPr>
      <w:r>
        <w:rPr>
          <w:rFonts w:ascii="Times New Roman" w:eastAsia="宋体" w:hAnsi="Times New Roman"/>
          <w:color w:val="000000"/>
          <w:sz w:val="16"/>
          <w:szCs w:val="16"/>
        </w:rPr>
        <w:t>________________________</w:t>
      </w:r>
      <w:r>
        <w:rPr>
          <w:rFonts w:ascii="Times New Roman" w:eastAsia="宋体" w:hAnsi="Times New Roman"/>
          <w:color w:val="000000"/>
          <w:sz w:val="16"/>
          <w:szCs w:val="16"/>
        </w:rPr>
        <w:t>__</w:t>
      </w:r>
    </w:p>
    <w:tbl>
      <w:tblPr>
        <w:tblW w:w="4919" w:type="pct"/>
        <w:jc w:val="center"/>
        <w:tblCellMar>
          <w:top w:w="15" w:type="dxa"/>
          <w:left w:w="15" w:type="dxa"/>
          <w:bottom w:w="15" w:type="dxa"/>
          <w:right w:w="15" w:type="dxa"/>
        </w:tblCellMar>
        <w:tblLook w:val="04A0" w:firstRow="1" w:lastRow="0" w:firstColumn="1" w:lastColumn="0" w:noHBand="0" w:noVBand="1"/>
      </w:tblPr>
      <w:tblGrid>
        <w:gridCol w:w="68"/>
        <w:gridCol w:w="3996"/>
        <w:gridCol w:w="36"/>
        <w:gridCol w:w="68"/>
        <w:gridCol w:w="3997"/>
        <w:gridCol w:w="36"/>
      </w:tblGrid>
      <w:tr w:rsidR="00BA49F5" w14:paraId="5CD8DDBD" w14:textId="77777777">
        <w:trPr>
          <w:jc w:val="center"/>
        </w:trPr>
        <w:tc>
          <w:tcPr>
            <w:tcW w:w="50" w:type="pct"/>
            <w:shd w:val="clear" w:color="auto" w:fill="auto"/>
            <w:vAlign w:val="bottom"/>
          </w:tcPr>
          <w:p w14:paraId="5CD8DDB7" w14:textId="77777777" w:rsidR="00BA49F5" w:rsidRDefault="00BA49F5">
            <w:pPr>
              <w:rPr>
                <w:rFonts w:ascii="宋体"/>
              </w:rPr>
            </w:pPr>
          </w:p>
        </w:tc>
        <w:tc>
          <w:tcPr>
            <w:tcW w:w="2445" w:type="pct"/>
            <w:shd w:val="clear" w:color="auto" w:fill="auto"/>
            <w:vAlign w:val="bottom"/>
          </w:tcPr>
          <w:p w14:paraId="5CD8DDB8" w14:textId="77777777" w:rsidR="00BA49F5" w:rsidRDefault="00BA49F5">
            <w:pPr>
              <w:rPr>
                <w:rFonts w:ascii="宋体"/>
              </w:rPr>
            </w:pPr>
          </w:p>
        </w:tc>
        <w:tc>
          <w:tcPr>
            <w:tcW w:w="5" w:type="pct"/>
            <w:shd w:val="clear" w:color="auto" w:fill="auto"/>
            <w:vAlign w:val="bottom"/>
          </w:tcPr>
          <w:p w14:paraId="5CD8DDB9" w14:textId="77777777" w:rsidR="00BA49F5" w:rsidRDefault="00BA49F5">
            <w:pPr>
              <w:rPr>
                <w:rFonts w:ascii="宋体"/>
              </w:rPr>
            </w:pPr>
          </w:p>
        </w:tc>
        <w:tc>
          <w:tcPr>
            <w:tcW w:w="50" w:type="pct"/>
            <w:shd w:val="clear" w:color="auto" w:fill="auto"/>
            <w:vAlign w:val="bottom"/>
          </w:tcPr>
          <w:p w14:paraId="5CD8DDBA" w14:textId="77777777" w:rsidR="00BA49F5" w:rsidRDefault="00BA49F5">
            <w:pPr>
              <w:rPr>
                <w:rFonts w:ascii="宋体"/>
              </w:rPr>
            </w:pPr>
          </w:p>
        </w:tc>
        <w:tc>
          <w:tcPr>
            <w:tcW w:w="2445" w:type="pct"/>
            <w:shd w:val="clear" w:color="auto" w:fill="auto"/>
            <w:vAlign w:val="bottom"/>
          </w:tcPr>
          <w:p w14:paraId="5CD8DDBB" w14:textId="77777777" w:rsidR="00BA49F5" w:rsidRDefault="00BA49F5">
            <w:pPr>
              <w:rPr>
                <w:rFonts w:ascii="宋体"/>
              </w:rPr>
            </w:pPr>
          </w:p>
        </w:tc>
        <w:tc>
          <w:tcPr>
            <w:tcW w:w="5" w:type="pct"/>
            <w:shd w:val="clear" w:color="auto" w:fill="auto"/>
            <w:vAlign w:val="bottom"/>
          </w:tcPr>
          <w:p w14:paraId="5CD8DDBC" w14:textId="77777777" w:rsidR="00BA49F5" w:rsidRDefault="00BA49F5">
            <w:pPr>
              <w:rPr>
                <w:rFonts w:ascii="宋体"/>
              </w:rPr>
            </w:pPr>
          </w:p>
        </w:tc>
      </w:tr>
      <w:tr w:rsidR="00BA49F5" w14:paraId="5CD8DDC0" w14:textId="77777777">
        <w:trPr>
          <w:jc w:val="center"/>
        </w:trPr>
        <w:tc>
          <w:tcPr>
            <w:tcW w:w="0" w:type="auto"/>
            <w:gridSpan w:val="3"/>
            <w:shd w:val="clear" w:color="auto" w:fill="auto"/>
            <w:tcMar>
              <w:top w:w="40" w:type="dxa"/>
              <w:left w:w="20" w:type="dxa"/>
              <w:bottom w:w="40" w:type="dxa"/>
              <w:right w:w="20" w:type="dxa"/>
            </w:tcMar>
          </w:tcPr>
          <w:p w14:paraId="5CD8DDBE" w14:textId="77777777" w:rsidR="00BA49F5" w:rsidRDefault="007E5E49">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tcPr>
          <w:p w14:paraId="5CD8DDBF" w14:textId="77777777" w:rsidR="00BA49F5" w:rsidRDefault="007E5E49">
            <w:pPr>
              <w:jc w:val="center"/>
              <w:textAlignment w:val="top"/>
            </w:pPr>
            <w:r>
              <w:rPr>
                <w:rFonts w:ascii="Times New Roman" w:eastAsia="宋体" w:hAnsi="Times New Roman"/>
                <w:b/>
                <w:bCs/>
                <w:color w:val="000000"/>
                <w:sz w:val="18"/>
                <w:szCs w:val="18"/>
              </w:rPr>
              <w:t>20-1665019</w:t>
            </w:r>
          </w:p>
        </w:tc>
      </w:tr>
      <w:tr w:rsidR="00BA49F5" w14:paraId="5CD8DDC3" w14:textId="77777777">
        <w:trPr>
          <w:jc w:val="center"/>
        </w:trPr>
        <w:tc>
          <w:tcPr>
            <w:tcW w:w="0" w:type="auto"/>
            <w:gridSpan w:val="3"/>
            <w:shd w:val="clear" w:color="auto" w:fill="auto"/>
            <w:tcMar>
              <w:top w:w="40" w:type="dxa"/>
              <w:left w:w="20" w:type="dxa"/>
              <w:bottom w:w="40" w:type="dxa"/>
              <w:right w:w="20" w:type="dxa"/>
            </w:tcMar>
          </w:tcPr>
          <w:p w14:paraId="5CD8DDC1" w14:textId="77777777" w:rsidR="00BA49F5" w:rsidRDefault="007E5E49">
            <w:pPr>
              <w:jc w:val="center"/>
              <w:textAlignment w:val="top"/>
            </w:pPr>
            <w:r>
              <w:rPr>
                <w:rFonts w:ascii="Times New Roman" w:eastAsia="宋体" w:hAnsi="Times New Roman"/>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5CD8DDC2" w14:textId="77777777" w:rsidR="00BA49F5" w:rsidRDefault="007E5E49">
            <w:pPr>
              <w:jc w:val="center"/>
              <w:textAlignment w:val="top"/>
            </w:pPr>
            <w:r>
              <w:rPr>
                <w:rFonts w:ascii="Times New Roman" w:eastAsia="宋体" w:hAnsi="Times New Roman"/>
                <w:color w:val="000000"/>
                <w:sz w:val="16"/>
                <w:szCs w:val="16"/>
              </w:rPr>
              <w:t>(I.R.S. Employer Identification Number)</w:t>
            </w:r>
          </w:p>
        </w:tc>
      </w:tr>
    </w:tbl>
    <w:p w14:paraId="5CD8DDC4" w14:textId="77777777" w:rsidR="00BA49F5" w:rsidRDefault="007E5E49">
      <w:pPr>
        <w:jc w:val="center"/>
      </w:pPr>
      <w:r>
        <w:rPr>
          <w:rFonts w:ascii="Times New Roman" w:eastAsia="宋体" w:hAnsi="Times New Roman"/>
          <w:b/>
          <w:bCs/>
          <w:color w:val="000000"/>
          <w:sz w:val="18"/>
          <w:szCs w:val="18"/>
        </w:rPr>
        <w:t xml:space="preserve">1601 Willow Road, Menlo Park, California 94025 </w:t>
      </w:r>
    </w:p>
    <w:p w14:paraId="5CD8DDC5" w14:textId="77777777" w:rsidR="00BA49F5" w:rsidRDefault="007E5E49">
      <w:pPr>
        <w:jc w:val="center"/>
      </w:pPr>
      <w:r>
        <w:rPr>
          <w:rFonts w:ascii="Times New Roman" w:eastAsia="宋体" w:hAnsi="Times New Roman"/>
          <w:color w:val="000000"/>
          <w:sz w:val="16"/>
          <w:szCs w:val="16"/>
        </w:rPr>
        <w:t xml:space="preserve">(Address of principal executive offices and Zip Code) </w:t>
      </w:r>
    </w:p>
    <w:p w14:paraId="5CD8DDC6" w14:textId="77777777" w:rsidR="00BA49F5" w:rsidRDefault="007E5E49">
      <w:pPr>
        <w:jc w:val="center"/>
      </w:pPr>
      <w:r>
        <w:rPr>
          <w:rFonts w:ascii="Times New Roman" w:eastAsia="宋体" w:hAnsi="Times New Roman"/>
          <w:b/>
          <w:bCs/>
          <w:color w:val="000000"/>
          <w:sz w:val="18"/>
          <w:szCs w:val="18"/>
        </w:rPr>
        <w:t xml:space="preserve">(650) 543-4800 </w:t>
      </w:r>
    </w:p>
    <w:p w14:paraId="5CD8DDC7" w14:textId="77777777" w:rsidR="00BA49F5" w:rsidRDefault="007E5E49">
      <w:pPr>
        <w:jc w:val="center"/>
      </w:pPr>
      <w:r>
        <w:rPr>
          <w:rFonts w:ascii="Times New Roman" w:eastAsia="宋体" w:hAnsi="Times New Roman"/>
          <w:color w:val="000000"/>
          <w:sz w:val="16"/>
          <w:szCs w:val="16"/>
        </w:rPr>
        <w:t xml:space="preserve">(Registrant's telephone number, including area code) </w:t>
      </w:r>
    </w:p>
    <w:p w14:paraId="5CD8DDC8" w14:textId="77777777" w:rsidR="00BA49F5" w:rsidRDefault="007E5E49">
      <w:pPr>
        <w:jc w:val="center"/>
      </w:pPr>
      <w:r>
        <w:rPr>
          <w:rFonts w:ascii="Times New Roman" w:eastAsia="宋体" w:hAnsi="Times New Roman"/>
          <w:color w:val="000000"/>
          <w:sz w:val="16"/>
          <w:szCs w:val="16"/>
        </w:rPr>
        <w:t>__________________________</w:t>
      </w:r>
    </w:p>
    <w:p w14:paraId="5CD8DDC9" w14:textId="77777777" w:rsidR="00BA49F5" w:rsidRDefault="007E5E49">
      <w:pPr>
        <w:jc w:val="center"/>
      </w:pPr>
      <w:r>
        <w:rPr>
          <w:rFonts w:ascii="Times New Roman" w:eastAsia="宋体" w:hAnsi="Times New Roman"/>
          <w:b/>
          <w:bCs/>
          <w:color w:val="000000"/>
          <w:sz w:val="18"/>
          <w:szCs w:val="18"/>
        </w:rPr>
        <w:t>Securities registered pursuant to Section 12(b) of the Act:</w:t>
      </w:r>
    </w:p>
    <w:tbl>
      <w:tblPr>
        <w:tblW w:w="4912" w:type="pct"/>
        <w:jc w:val="center"/>
        <w:tblCellMar>
          <w:top w:w="15" w:type="dxa"/>
          <w:left w:w="15" w:type="dxa"/>
          <w:bottom w:w="15" w:type="dxa"/>
          <w:right w:w="15" w:type="dxa"/>
        </w:tblCellMar>
        <w:tblLook w:val="04A0" w:firstRow="1" w:lastRow="0" w:firstColumn="1" w:lastColumn="0" w:noHBand="0" w:noVBand="1"/>
      </w:tblPr>
      <w:tblGrid>
        <w:gridCol w:w="68"/>
        <w:gridCol w:w="3188"/>
        <w:gridCol w:w="37"/>
        <w:gridCol w:w="68"/>
        <w:gridCol w:w="1499"/>
        <w:gridCol w:w="36"/>
        <w:gridCol w:w="68"/>
        <w:gridCol w:w="3189"/>
        <w:gridCol w:w="36"/>
      </w:tblGrid>
      <w:tr w:rsidR="00BA49F5" w14:paraId="5CD8DDD3" w14:textId="77777777">
        <w:trPr>
          <w:jc w:val="center"/>
        </w:trPr>
        <w:tc>
          <w:tcPr>
            <w:tcW w:w="50" w:type="pct"/>
            <w:shd w:val="clear" w:color="auto" w:fill="auto"/>
            <w:vAlign w:val="bottom"/>
          </w:tcPr>
          <w:p w14:paraId="5CD8DDCA" w14:textId="77777777" w:rsidR="00BA49F5" w:rsidRDefault="00BA49F5">
            <w:pPr>
              <w:rPr>
                <w:rFonts w:ascii="宋体"/>
              </w:rPr>
            </w:pPr>
          </w:p>
        </w:tc>
        <w:tc>
          <w:tcPr>
            <w:tcW w:w="1955" w:type="pct"/>
            <w:shd w:val="clear" w:color="auto" w:fill="auto"/>
            <w:vAlign w:val="bottom"/>
          </w:tcPr>
          <w:p w14:paraId="5CD8DDCB" w14:textId="77777777" w:rsidR="00BA49F5" w:rsidRDefault="00BA49F5">
            <w:pPr>
              <w:rPr>
                <w:rFonts w:ascii="宋体"/>
              </w:rPr>
            </w:pPr>
          </w:p>
        </w:tc>
        <w:tc>
          <w:tcPr>
            <w:tcW w:w="5" w:type="pct"/>
            <w:shd w:val="clear" w:color="auto" w:fill="auto"/>
            <w:vAlign w:val="bottom"/>
          </w:tcPr>
          <w:p w14:paraId="5CD8DDCC" w14:textId="77777777" w:rsidR="00BA49F5" w:rsidRDefault="00BA49F5">
            <w:pPr>
              <w:rPr>
                <w:rFonts w:ascii="宋体"/>
              </w:rPr>
            </w:pPr>
          </w:p>
        </w:tc>
        <w:tc>
          <w:tcPr>
            <w:tcW w:w="50" w:type="pct"/>
            <w:shd w:val="clear" w:color="auto" w:fill="auto"/>
            <w:vAlign w:val="bottom"/>
          </w:tcPr>
          <w:p w14:paraId="5CD8DDCD" w14:textId="77777777" w:rsidR="00BA49F5" w:rsidRDefault="00BA49F5">
            <w:pPr>
              <w:rPr>
                <w:rFonts w:ascii="宋体"/>
              </w:rPr>
            </w:pPr>
          </w:p>
        </w:tc>
        <w:tc>
          <w:tcPr>
            <w:tcW w:w="924" w:type="pct"/>
            <w:shd w:val="clear" w:color="auto" w:fill="auto"/>
            <w:vAlign w:val="bottom"/>
          </w:tcPr>
          <w:p w14:paraId="5CD8DDCE" w14:textId="77777777" w:rsidR="00BA49F5" w:rsidRDefault="00BA49F5">
            <w:pPr>
              <w:rPr>
                <w:rFonts w:ascii="宋体"/>
              </w:rPr>
            </w:pPr>
          </w:p>
        </w:tc>
        <w:tc>
          <w:tcPr>
            <w:tcW w:w="5" w:type="pct"/>
            <w:shd w:val="clear" w:color="auto" w:fill="auto"/>
            <w:vAlign w:val="bottom"/>
          </w:tcPr>
          <w:p w14:paraId="5CD8DDCF" w14:textId="77777777" w:rsidR="00BA49F5" w:rsidRDefault="00BA49F5">
            <w:pPr>
              <w:rPr>
                <w:rFonts w:ascii="宋体"/>
              </w:rPr>
            </w:pPr>
          </w:p>
        </w:tc>
        <w:tc>
          <w:tcPr>
            <w:tcW w:w="50" w:type="pct"/>
            <w:shd w:val="clear" w:color="auto" w:fill="auto"/>
            <w:vAlign w:val="bottom"/>
          </w:tcPr>
          <w:p w14:paraId="5CD8DDD0" w14:textId="77777777" w:rsidR="00BA49F5" w:rsidRDefault="00BA49F5">
            <w:pPr>
              <w:rPr>
                <w:rFonts w:ascii="宋体"/>
              </w:rPr>
            </w:pPr>
          </w:p>
        </w:tc>
        <w:tc>
          <w:tcPr>
            <w:tcW w:w="1955" w:type="pct"/>
            <w:shd w:val="clear" w:color="auto" w:fill="auto"/>
            <w:vAlign w:val="bottom"/>
          </w:tcPr>
          <w:p w14:paraId="5CD8DDD1" w14:textId="77777777" w:rsidR="00BA49F5" w:rsidRDefault="00BA49F5">
            <w:pPr>
              <w:rPr>
                <w:rFonts w:ascii="宋体"/>
              </w:rPr>
            </w:pPr>
          </w:p>
        </w:tc>
        <w:tc>
          <w:tcPr>
            <w:tcW w:w="5" w:type="pct"/>
            <w:shd w:val="clear" w:color="auto" w:fill="auto"/>
            <w:vAlign w:val="bottom"/>
          </w:tcPr>
          <w:p w14:paraId="5CD8DDD2" w14:textId="77777777" w:rsidR="00BA49F5" w:rsidRDefault="00BA49F5">
            <w:pPr>
              <w:rPr>
                <w:rFonts w:ascii="宋体"/>
              </w:rPr>
            </w:pPr>
          </w:p>
        </w:tc>
      </w:tr>
      <w:tr w:rsidR="00BA49F5" w14:paraId="5CD8DDD7" w14:textId="77777777">
        <w:trPr>
          <w:jc w:val="center"/>
        </w:trPr>
        <w:tc>
          <w:tcPr>
            <w:tcW w:w="0" w:type="auto"/>
            <w:gridSpan w:val="3"/>
            <w:shd w:val="clear" w:color="auto" w:fill="auto"/>
            <w:tcMar>
              <w:top w:w="40" w:type="dxa"/>
              <w:left w:w="20" w:type="dxa"/>
              <w:bottom w:w="40" w:type="dxa"/>
              <w:right w:w="20" w:type="dxa"/>
            </w:tcMar>
          </w:tcPr>
          <w:p w14:paraId="5CD8DDD4" w14:textId="77777777" w:rsidR="00BA49F5" w:rsidRDefault="007E5E49">
            <w:pPr>
              <w:jc w:val="center"/>
              <w:textAlignment w:val="top"/>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tcPr>
          <w:p w14:paraId="5CD8DDD5" w14:textId="77777777" w:rsidR="00BA49F5" w:rsidRDefault="007E5E49">
            <w:pPr>
              <w:jc w:val="center"/>
              <w:textAlignment w:val="top"/>
            </w:pPr>
            <w:r>
              <w:rPr>
                <w:rFonts w:ascii="Times New Roman" w:eastAsia="宋体" w:hAnsi="Times New Roman"/>
                <w:color w:val="000000"/>
                <w:sz w:val="18"/>
                <w:szCs w:val="18"/>
              </w:rPr>
              <w:t xml:space="preserve">Trading </w:t>
            </w:r>
            <w:r>
              <w:rPr>
                <w:rFonts w:ascii="Times New Roman" w:eastAsia="宋体" w:hAnsi="Times New Roman"/>
                <w:color w:val="000000"/>
                <w:sz w:val="18"/>
                <w:szCs w:val="18"/>
              </w:rPr>
              <w:t>symbol(s)</w:t>
            </w:r>
          </w:p>
        </w:tc>
        <w:tc>
          <w:tcPr>
            <w:tcW w:w="0" w:type="auto"/>
            <w:gridSpan w:val="3"/>
            <w:shd w:val="clear" w:color="auto" w:fill="auto"/>
            <w:tcMar>
              <w:top w:w="40" w:type="dxa"/>
              <w:left w:w="20" w:type="dxa"/>
              <w:bottom w:w="40" w:type="dxa"/>
              <w:right w:w="20" w:type="dxa"/>
            </w:tcMar>
          </w:tcPr>
          <w:p w14:paraId="5CD8DDD6" w14:textId="77777777" w:rsidR="00BA49F5" w:rsidRDefault="007E5E49">
            <w:pPr>
              <w:jc w:val="center"/>
              <w:textAlignment w:val="top"/>
            </w:pPr>
            <w:r>
              <w:rPr>
                <w:rFonts w:ascii="Times New Roman" w:eastAsia="宋体" w:hAnsi="Times New Roman"/>
                <w:color w:val="000000"/>
                <w:sz w:val="18"/>
                <w:szCs w:val="18"/>
              </w:rPr>
              <w:t>Name of each exchange on which registered</w:t>
            </w:r>
          </w:p>
        </w:tc>
      </w:tr>
      <w:tr w:rsidR="00BA49F5" w14:paraId="5CD8DDDB" w14:textId="77777777">
        <w:trPr>
          <w:jc w:val="center"/>
        </w:trPr>
        <w:tc>
          <w:tcPr>
            <w:tcW w:w="0" w:type="auto"/>
            <w:gridSpan w:val="3"/>
            <w:shd w:val="clear" w:color="auto" w:fill="auto"/>
            <w:tcMar>
              <w:top w:w="40" w:type="dxa"/>
              <w:left w:w="20" w:type="dxa"/>
              <w:bottom w:w="40" w:type="dxa"/>
              <w:right w:w="20" w:type="dxa"/>
            </w:tcMar>
          </w:tcPr>
          <w:p w14:paraId="5CD8DDD8" w14:textId="77777777" w:rsidR="00BA49F5" w:rsidRDefault="007E5E49">
            <w:pPr>
              <w:jc w:val="center"/>
              <w:textAlignment w:val="top"/>
            </w:pPr>
            <w:r>
              <w:rPr>
                <w:rFonts w:ascii="Times New Roman" w:eastAsia="宋体" w:hAnsi="Times New Roman"/>
                <w:color w:val="000000"/>
                <w:sz w:val="18"/>
                <w:szCs w:val="18"/>
              </w:rPr>
              <w:t>Class A Common Stock, $0.000006 par value</w:t>
            </w:r>
          </w:p>
        </w:tc>
        <w:tc>
          <w:tcPr>
            <w:tcW w:w="0" w:type="auto"/>
            <w:gridSpan w:val="3"/>
            <w:shd w:val="clear" w:color="auto" w:fill="auto"/>
            <w:tcMar>
              <w:top w:w="40" w:type="dxa"/>
              <w:left w:w="20" w:type="dxa"/>
              <w:bottom w:w="40" w:type="dxa"/>
              <w:right w:w="20" w:type="dxa"/>
            </w:tcMar>
          </w:tcPr>
          <w:p w14:paraId="5CD8DDD9" w14:textId="77777777" w:rsidR="00BA49F5" w:rsidRDefault="007E5E49">
            <w:pPr>
              <w:jc w:val="center"/>
              <w:textAlignment w:val="top"/>
            </w:pPr>
            <w:r>
              <w:rPr>
                <w:rFonts w:ascii="Times New Roman" w:eastAsia="宋体" w:hAnsi="Times New Roman"/>
                <w:color w:val="000000"/>
                <w:sz w:val="18"/>
                <w:szCs w:val="18"/>
              </w:rPr>
              <w:t>META</w:t>
            </w:r>
          </w:p>
        </w:tc>
        <w:tc>
          <w:tcPr>
            <w:tcW w:w="0" w:type="auto"/>
            <w:gridSpan w:val="3"/>
            <w:shd w:val="clear" w:color="auto" w:fill="auto"/>
            <w:tcMar>
              <w:top w:w="40" w:type="dxa"/>
              <w:left w:w="20" w:type="dxa"/>
              <w:bottom w:w="40" w:type="dxa"/>
              <w:right w:w="20" w:type="dxa"/>
            </w:tcMar>
          </w:tcPr>
          <w:p w14:paraId="5CD8DDDA" w14:textId="77777777" w:rsidR="00BA49F5" w:rsidRDefault="007E5E49">
            <w:pPr>
              <w:jc w:val="center"/>
              <w:textAlignment w:val="top"/>
            </w:pPr>
            <w:r>
              <w:rPr>
                <w:rFonts w:ascii="Times New Roman" w:eastAsia="宋体" w:hAnsi="Times New Roman"/>
                <w:color w:val="000000"/>
                <w:sz w:val="18"/>
                <w:szCs w:val="18"/>
              </w:rPr>
              <w:t>The Nasdaq Stock Market LLC</w:t>
            </w:r>
          </w:p>
        </w:tc>
      </w:tr>
    </w:tbl>
    <w:p w14:paraId="5CD8DDDC" w14:textId="77777777" w:rsidR="00BA49F5" w:rsidRDefault="007E5E49">
      <w:pPr>
        <w:jc w:val="center"/>
      </w:pPr>
      <w:r>
        <w:rPr>
          <w:rFonts w:ascii="Times New Roman" w:eastAsia="宋体" w:hAnsi="Times New Roman"/>
          <w:b/>
          <w:bCs/>
          <w:color w:val="000000"/>
          <w:sz w:val="18"/>
          <w:szCs w:val="18"/>
        </w:rPr>
        <w:t>Securities registered pursuant to Section 12(g) of the Act: None</w:t>
      </w:r>
    </w:p>
    <w:p w14:paraId="5CD8DDDD" w14:textId="77777777" w:rsidR="00BA49F5" w:rsidRDefault="00BA49F5">
      <w:pPr>
        <w:jc w:val="center"/>
      </w:pPr>
    </w:p>
    <w:p w14:paraId="5CD8DDDE" w14:textId="77777777" w:rsidR="00BA49F5" w:rsidRDefault="007E5E49">
      <w:r>
        <w:rPr>
          <w:rFonts w:ascii="Times New Roman" w:eastAsia="宋体" w:hAnsi="Times New Roman"/>
          <w:color w:val="000000"/>
          <w:sz w:val="16"/>
          <w:szCs w:val="16"/>
        </w:rPr>
        <w:t xml:space="preserve">Indicate by check mark if the registrant is a well-known seasoned issuer, as defined in Rule 405 of the Securities Act.    Yes  ☒  No   ☐ </w:t>
      </w:r>
    </w:p>
    <w:p w14:paraId="5CD8DDDF" w14:textId="77777777" w:rsidR="00BA49F5" w:rsidRDefault="00BA49F5"/>
    <w:p w14:paraId="5CD8DDE0" w14:textId="77777777" w:rsidR="00BA49F5" w:rsidRDefault="007E5E49">
      <w:r>
        <w:rPr>
          <w:rFonts w:ascii="Times New Roman" w:eastAsia="宋体" w:hAnsi="Times New Roman"/>
          <w:color w:val="000000"/>
          <w:sz w:val="16"/>
          <w:szCs w:val="16"/>
        </w:rPr>
        <w:t xml:space="preserve">Indicate by check mark if the registrant is not required to file reports pursuant to Section 13 or Section 15(d) of </w:t>
      </w:r>
      <w:r>
        <w:rPr>
          <w:rFonts w:ascii="Times New Roman" w:eastAsia="宋体" w:hAnsi="Times New Roman"/>
          <w:color w:val="000000"/>
          <w:sz w:val="16"/>
          <w:szCs w:val="16"/>
        </w:rPr>
        <w:t>the Act.    Yes  ☐ No  ☒</w:t>
      </w:r>
    </w:p>
    <w:p w14:paraId="5CD8DDE1" w14:textId="77777777" w:rsidR="00BA49F5" w:rsidRDefault="00BA49F5"/>
    <w:p w14:paraId="5CD8DDE2" w14:textId="77777777" w:rsidR="00BA49F5" w:rsidRDefault="007E5E49">
      <w:r>
        <w:rPr>
          <w:rFonts w:ascii="Times New Roman" w:eastAsia="宋体" w:hAnsi="Times New Roman"/>
          <w:color w:val="000000"/>
          <w:sz w:val="16"/>
          <w:szCs w:val="16"/>
        </w:rPr>
        <w:t>Indicate by check mark whether the registrant (1) has filed all reports required to be filed by Section 13 or 15(d) of the Securities Exchange Act of 1934 (Exchange Act) during the preceding 12 months (or for such shorter period t</w:t>
      </w:r>
      <w:r>
        <w:rPr>
          <w:rFonts w:ascii="Times New Roman" w:eastAsia="宋体" w:hAnsi="Times New Roman"/>
          <w:color w:val="000000"/>
          <w:sz w:val="16"/>
          <w:szCs w:val="16"/>
        </w:rPr>
        <w:t xml:space="preserve">hat the registrant was required to file such reports), and (2) has been subject to such filing requirements for the past 90 days.    Yes  ☒    No  ☐ </w:t>
      </w:r>
    </w:p>
    <w:p w14:paraId="5CD8DDE3" w14:textId="77777777" w:rsidR="00BA49F5" w:rsidRDefault="00BA49F5"/>
    <w:p w14:paraId="5CD8DDE4" w14:textId="77777777" w:rsidR="00BA49F5" w:rsidRDefault="007E5E49">
      <w:r>
        <w:rPr>
          <w:rFonts w:ascii="Times New Roman" w:eastAsia="宋体" w:hAnsi="Times New Roman"/>
          <w:color w:val="000000"/>
          <w:sz w:val="16"/>
          <w:szCs w:val="16"/>
        </w:rPr>
        <w:t>Indicate by check mark whether the registrant has submitted electronically every Interactive Data File re</w:t>
      </w:r>
      <w:r>
        <w:rPr>
          <w:rFonts w:ascii="Times New Roman" w:eastAsia="宋体" w:hAnsi="Times New Roman"/>
          <w:color w:val="000000"/>
          <w:sz w:val="16"/>
          <w:szCs w:val="16"/>
        </w:rPr>
        <w:t xml:space="preserve">quired to be submitted pursuant to Rule 405 of Regulation S-T (§ 232.405 of this chapter) during the preceding 12 months (or for such shorter period that the registrant was required to submit such files).    Yes  ☒    No  ☐ </w:t>
      </w:r>
    </w:p>
    <w:p w14:paraId="5CD8DDE5" w14:textId="77777777" w:rsidR="00BA49F5" w:rsidRDefault="00BA49F5"/>
    <w:p w14:paraId="5CD8DDE6" w14:textId="77777777" w:rsidR="00BA49F5" w:rsidRDefault="007E5E49">
      <w:r>
        <w:rPr>
          <w:rFonts w:ascii="Times New Roman" w:eastAsia="宋体" w:hAnsi="Times New Roman"/>
          <w:color w:val="000000"/>
          <w:sz w:val="16"/>
          <w:szCs w:val="16"/>
        </w:rPr>
        <w:t>Indicate by check mark whether</w:t>
      </w:r>
      <w:r>
        <w:rPr>
          <w:rFonts w:ascii="Times New Roman" w:eastAsia="宋体" w:hAnsi="Times New Roman"/>
          <w:color w:val="000000"/>
          <w:sz w:val="16"/>
          <w:szCs w:val="16"/>
        </w:rPr>
        <w:t xml:space="preserve"> the registrant is a large accelerated filer, an accelerated filer, a non-accelerated filer, a smaller reporting company, or an emerging growth company. See the definitions of "large accelerated filer," "accelerated filer," "smaller reporting company," and</w:t>
      </w:r>
      <w:r>
        <w:rPr>
          <w:rFonts w:ascii="Times New Roman" w:eastAsia="宋体" w:hAnsi="Times New Roman"/>
          <w:color w:val="000000"/>
          <w:sz w:val="16"/>
          <w:szCs w:val="16"/>
        </w:rPr>
        <w:t xml:space="preserve"> "emerging growth company" in Rule 12b-2 of the Exchange Act. </w:t>
      </w:r>
    </w:p>
    <w:tbl>
      <w:tblPr>
        <w:tblW w:w="4999" w:type="pct"/>
        <w:tblCellMar>
          <w:top w:w="15" w:type="dxa"/>
          <w:left w:w="15" w:type="dxa"/>
          <w:bottom w:w="15" w:type="dxa"/>
          <w:right w:w="15" w:type="dxa"/>
        </w:tblCellMar>
        <w:tblLook w:val="04A0" w:firstRow="1" w:lastRow="0" w:firstColumn="1" w:lastColumn="0" w:noHBand="0" w:noVBand="1"/>
      </w:tblPr>
      <w:tblGrid>
        <w:gridCol w:w="63"/>
        <w:gridCol w:w="1540"/>
        <w:gridCol w:w="37"/>
        <w:gridCol w:w="63"/>
        <w:gridCol w:w="4460"/>
        <w:gridCol w:w="36"/>
        <w:gridCol w:w="80"/>
        <w:gridCol w:w="1742"/>
        <w:gridCol w:w="36"/>
        <w:gridCol w:w="37"/>
        <w:gridCol w:w="204"/>
        <w:gridCol w:w="36"/>
      </w:tblGrid>
      <w:tr w:rsidR="00BA49F5" w14:paraId="5CD8DDF3" w14:textId="77777777">
        <w:tc>
          <w:tcPr>
            <w:tcW w:w="50" w:type="pct"/>
            <w:shd w:val="clear" w:color="auto" w:fill="auto"/>
            <w:vAlign w:val="bottom"/>
          </w:tcPr>
          <w:p w14:paraId="5CD8DDE7" w14:textId="77777777" w:rsidR="00BA49F5" w:rsidRDefault="00BA49F5">
            <w:pPr>
              <w:rPr>
                <w:rFonts w:ascii="宋体"/>
              </w:rPr>
            </w:pPr>
          </w:p>
        </w:tc>
        <w:tc>
          <w:tcPr>
            <w:tcW w:w="936" w:type="pct"/>
            <w:shd w:val="clear" w:color="auto" w:fill="auto"/>
            <w:vAlign w:val="bottom"/>
          </w:tcPr>
          <w:p w14:paraId="5CD8DDE8" w14:textId="77777777" w:rsidR="00BA49F5" w:rsidRDefault="00BA49F5">
            <w:pPr>
              <w:rPr>
                <w:rFonts w:ascii="宋体"/>
              </w:rPr>
            </w:pPr>
          </w:p>
        </w:tc>
        <w:tc>
          <w:tcPr>
            <w:tcW w:w="5" w:type="pct"/>
            <w:shd w:val="clear" w:color="auto" w:fill="auto"/>
            <w:vAlign w:val="bottom"/>
          </w:tcPr>
          <w:p w14:paraId="5CD8DDE9" w14:textId="77777777" w:rsidR="00BA49F5" w:rsidRDefault="00BA49F5">
            <w:pPr>
              <w:rPr>
                <w:rFonts w:ascii="宋体"/>
              </w:rPr>
            </w:pPr>
          </w:p>
        </w:tc>
        <w:tc>
          <w:tcPr>
            <w:tcW w:w="50" w:type="pct"/>
            <w:shd w:val="clear" w:color="auto" w:fill="auto"/>
            <w:vAlign w:val="bottom"/>
          </w:tcPr>
          <w:p w14:paraId="5CD8DDEA" w14:textId="77777777" w:rsidR="00BA49F5" w:rsidRDefault="00BA49F5">
            <w:pPr>
              <w:rPr>
                <w:rFonts w:ascii="宋体"/>
              </w:rPr>
            </w:pPr>
          </w:p>
        </w:tc>
        <w:tc>
          <w:tcPr>
            <w:tcW w:w="2687" w:type="pct"/>
            <w:shd w:val="clear" w:color="auto" w:fill="auto"/>
            <w:vAlign w:val="bottom"/>
          </w:tcPr>
          <w:p w14:paraId="5CD8DDEB" w14:textId="77777777" w:rsidR="00BA49F5" w:rsidRDefault="00BA49F5">
            <w:pPr>
              <w:rPr>
                <w:rFonts w:ascii="宋体"/>
              </w:rPr>
            </w:pPr>
          </w:p>
        </w:tc>
        <w:tc>
          <w:tcPr>
            <w:tcW w:w="5" w:type="pct"/>
            <w:shd w:val="clear" w:color="auto" w:fill="auto"/>
            <w:vAlign w:val="bottom"/>
          </w:tcPr>
          <w:p w14:paraId="5CD8DDEC" w14:textId="77777777" w:rsidR="00BA49F5" w:rsidRDefault="00BA49F5">
            <w:pPr>
              <w:rPr>
                <w:rFonts w:ascii="宋体"/>
              </w:rPr>
            </w:pPr>
          </w:p>
        </w:tc>
        <w:tc>
          <w:tcPr>
            <w:tcW w:w="50" w:type="pct"/>
            <w:shd w:val="clear" w:color="auto" w:fill="auto"/>
            <w:vAlign w:val="bottom"/>
          </w:tcPr>
          <w:p w14:paraId="5CD8DDED" w14:textId="77777777" w:rsidR="00BA49F5" w:rsidRDefault="00BA49F5">
            <w:pPr>
              <w:rPr>
                <w:rFonts w:ascii="宋体"/>
              </w:rPr>
            </w:pPr>
          </w:p>
        </w:tc>
        <w:tc>
          <w:tcPr>
            <w:tcW w:w="1066" w:type="pct"/>
            <w:shd w:val="clear" w:color="auto" w:fill="auto"/>
            <w:vAlign w:val="bottom"/>
          </w:tcPr>
          <w:p w14:paraId="5CD8DDEE" w14:textId="77777777" w:rsidR="00BA49F5" w:rsidRDefault="00BA49F5">
            <w:pPr>
              <w:rPr>
                <w:rFonts w:ascii="宋体"/>
              </w:rPr>
            </w:pPr>
          </w:p>
        </w:tc>
        <w:tc>
          <w:tcPr>
            <w:tcW w:w="5" w:type="pct"/>
            <w:shd w:val="clear" w:color="auto" w:fill="auto"/>
            <w:vAlign w:val="bottom"/>
          </w:tcPr>
          <w:p w14:paraId="5CD8DDEF" w14:textId="77777777" w:rsidR="00BA49F5" w:rsidRDefault="00BA49F5">
            <w:pPr>
              <w:rPr>
                <w:rFonts w:ascii="宋体"/>
              </w:rPr>
            </w:pPr>
          </w:p>
        </w:tc>
        <w:tc>
          <w:tcPr>
            <w:tcW w:w="5" w:type="pct"/>
            <w:shd w:val="clear" w:color="auto" w:fill="auto"/>
            <w:vAlign w:val="bottom"/>
          </w:tcPr>
          <w:p w14:paraId="5CD8DDF0" w14:textId="77777777" w:rsidR="00BA49F5" w:rsidRDefault="00BA49F5">
            <w:pPr>
              <w:rPr>
                <w:rFonts w:ascii="宋体"/>
              </w:rPr>
            </w:pPr>
          </w:p>
        </w:tc>
        <w:tc>
          <w:tcPr>
            <w:tcW w:w="134" w:type="pct"/>
            <w:shd w:val="clear" w:color="auto" w:fill="auto"/>
            <w:vAlign w:val="bottom"/>
          </w:tcPr>
          <w:p w14:paraId="5CD8DDF1" w14:textId="77777777" w:rsidR="00BA49F5" w:rsidRDefault="00BA49F5">
            <w:pPr>
              <w:rPr>
                <w:rFonts w:ascii="宋体"/>
              </w:rPr>
            </w:pPr>
          </w:p>
        </w:tc>
        <w:tc>
          <w:tcPr>
            <w:tcW w:w="5" w:type="pct"/>
            <w:shd w:val="clear" w:color="auto" w:fill="auto"/>
            <w:vAlign w:val="bottom"/>
          </w:tcPr>
          <w:p w14:paraId="5CD8DDF2" w14:textId="77777777" w:rsidR="00BA49F5" w:rsidRDefault="00BA49F5">
            <w:pPr>
              <w:rPr>
                <w:rFonts w:ascii="宋体"/>
              </w:rPr>
            </w:pPr>
          </w:p>
        </w:tc>
      </w:tr>
      <w:tr w:rsidR="00BA49F5" w14:paraId="5CD8DDF8" w14:textId="77777777">
        <w:tc>
          <w:tcPr>
            <w:tcW w:w="0" w:type="auto"/>
            <w:gridSpan w:val="3"/>
            <w:shd w:val="clear" w:color="auto" w:fill="auto"/>
            <w:tcMar>
              <w:top w:w="40" w:type="dxa"/>
              <w:left w:w="20" w:type="dxa"/>
              <w:bottom w:w="40" w:type="dxa"/>
              <w:right w:w="20" w:type="dxa"/>
            </w:tcMar>
          </w:tcPr>
          <w:p w14:paraId="5CD8DDF4" w14:textId="77777777" w:rsidR="00BA49F5" w:rsidRDefault="007E5E49">
            <w:pPr>
              <w:spacing w:after="100"/>
              <w:textAlignment w:val="top"/>
            </w:pPr>
            <w:r>
              <w:rPr>
                <w:rFonts w:ascii="Times New Roman" w:eastAsia="宋体" w:hAnsi="Times New Roman"/>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tcPr>
          <w:p w14:paraId="5CD8DDF5" w14:textId="77777777" w:rsidR="00BA49F5" w:rsidRDefault="007E5E49">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5CD8DDF6" w14:textId="77777777" w:rsidR="00BA49F5" w:rsidRDefault="007E5E49">
            <w:pPr>
              <w:spacing w:after="100"/>
              <w:textAlignment w:val="top"/>
            </w:pPr>
            <w:r>
              <w:rPr>
                <w:rFonts w:ascii="Times New Roman" w:eastAsia="宋体" w:hAnsi="Times New Roman"/>
                <w:color w:val="000000"/>
                <w:sz w:val="16"/>
                <w:szCs w:val="16"/>
              </w:rPr>
              <w:t>Accelerated filer</w:t>
            </w:r>
          </w:p>
        </w:tc>
        <w:tc>
          <w:tcPr>
            <w:tcW w:w="0" w:type="auto"/>
            <w:gridSpan w:val="3"/>
            <w:shd w:val="clear" w:color="auto" w:fill="auto"/>
            <w:tcMar>
              <w:top w:w="40" w:type="dxa"/>
              <w:left w:w="20" w:type="dxa"/>
              <w:bottom w:w="40" w:type="dxa"/>
              <w:right w:w="20" w:type="dxa"/>
            </w:tcMar>
          </w:tcPr>
          <w:p w14:paraId="5CD8DDF7" w14:textId="77777777" w:rsidR="00BA49F5" w:rsidRDefault="007E5E49">
            <w:pPr>
              <w:spacing w:after="100"/>
              <w:textAlignment w:val="top"/>
            </w:pPr>
            <w:r>
              <w:rPr>
                <w:rFonts w:ascii="Arial Unicode MS" w:eastAsia="Arial Unicode MS" w:hAnsi="Arial Unicode MS" w:cs="Arial Unicode MS" w:hint="eastAsia"/>
                <w:color w:val="000000"/>
                <w:sz w:val="18"/>
                <w:szCs w:val="18"/>
              </w:rPr>
              <w:t>☐</w:t>
            </w:r>
          </w:p>
        </w:tc>
      </w:tr>
      <w:tr w:rsidR="00BA49F5" w14:paraId="5CD8DDFD" w14:textId="77777777">
        <w:tc>
          <w:tcPr>
            <w:tcW w:w="0" w:type="auto"/>
            <w:gridSpan w:val="3"/>
            <w:shd w:val="clear" w:color="auto" w:fill="auto"/>
            <w:tcMar>
              <w:top w:w="40" w:type="dxa"/>
              <w:left w:w="20" w:type="dxa"/>
              <w:bottom w:w="40" w:type="dxa"/>
              <w:right w:w="20" w:type="dxa"/>
            </w:tcMar>
          </w:tcPr>
          <w:p w14:paraId="5CD8DDF9" w14:textId="77777777" w:rsidR="00BA49F5" w:rsidRDefault="007E5E49">
            <w:pPr>
              <w:spacing w:after="100"/>
              <w:textAlignment w:val="top"/>
            </w:pPr>
            <w:r>
              <w:rPr>
                <w:rFonts w:ascii="Times New Roman" w:eastAsia="宋体" w:hAnsi="Times New Roman"/>
                <w:color w:val="000000"/>
                <w:sz w:val="16"/>
                <w:szCs w:val="16"/>
              </w:rPr>
              <w:t>Non-accelerated filer</w:t>
            </w:r>
          </w:p>
        </w:tc>
        <w:tc>
          <w:tcPr>
            <w:tcW w:w="0" w:type="auto"/>
            <w:gridSpan w:val="3"/>
            <w:shd w:val="clear" w:color="auto" w:fill="auto"/>
            <w:tcMar>
              <w:top w:w="40" w:type="dxa"/>
              <w:left w:w="20" w:type="dxa"/>
              <w:bottom w:w="40" w:type="dxa"/>
              <w:right w:w="20" w:type="dxa"/>
            </w:tcMar>
          </w:tcPr>
          <w:p w14:paraId="5CD8DDFA" w14:textId="77777777" w:rsidR="00BA49F5" w:rsidRDefault="007E5E49">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5CD8DDFB" w14:textId="77777777" w:rsidR="00BA49F5" w:rsidRDefault="007E5E49">
            <w:pPr>
              <w:spacing w:after="100"/>
              <w:textAlignment w:val="top"/>
            </w:pPr>
            <w:r>
              <w:rPr>
                <w:rFonts w:ascii="Times New Roman" w:eastAsia="宋体" w:hAnsi="Times New Roman"/>
                <w:color w:val="000000"/>
                <w:sz w:val="16"/>
                <w:szCs w:val="16"/>
              </w:rPr>
              <w:t>Smaller reporting company</w:t>
            </w:r>
          </w:p>
        </w:tc>
        <w:tc>
          <w:tcPr>
            <w:tcW w:w="0" w:type="auto"/>
            <w:gridSpan w:val="3"/>
            <w:shd w:val="clear" w:color="auto" w:fill="auto"/>
            <w:tcMar>
              <w:top w:w="40" w:type="dxa"/>
              <w:left w:w="20" w:type="dxa"/>
              <w:bottom w:w="40" w:type="dxa"/>
              <w:right w:w="20" w:type="dxa"/>
            </w:tcMar>
          </w:tcPr>
          <w:p w14:paraId="5CD8DDFC" w14:textId="77777777" w:rsidR="00BA49F5" w:rsidRDefault="007E5E49">
            <w:pPr>
              <w:spacing w:after="100"/>
              <w:textAlignment w:val="top"/>
            </w:pPr>
            <w:r>
              <w:rPr>
                <w:rFonts w:ascii="Arial Unicode MS" w:eastAsia="Arial Unicode MS" w:hAnsi="Arial Unicode MS" w:cs="Arial Unicode MS" w:hint="eastAsia"/>
                <w:color w:val="000000"/>
                <w:sz w:val="18"/>
                <w:szCs w:val="18"/>
              </w:rPr>
              <w:t>☐</w:t>
            </w:r>
          </w:p>
        </w:tc>
      </w:tr>
      <w:tr w:rsidR="00BA49F5" w14:paraId="5CD8DE02" w14:textId="77777777">
        <w:tc>
          <w:tcPr>
            <w:tcW w:w="0" w:type="auto"/>
            <w:gridSpan w:val="3"/>
            <w:shd w:val="clear" w:color="auto" w:fill="auto"/>
            <w:tcMar>
              <w:top w:w="0" w:type="dxa"/>
              <w:left w:w="20" w:type="dxa"/>
              <w:bottom w:w="0" w:type="dxa"/>
              <w:right w:w="20" w:type="dxa"/>
            </w:tcMar>
            <w:vAlign w:val="bottom"/>
          </w:tcPr>
          <w:p w14:paraId="5CD8DDF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DF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DE00" w14:textId="77777777" w:rsidR="00BA49F5" w:rsidRDefault="007E5E49">
            <w:pPr>
              <w:spacing w:after="100"/>
              <w:textAlignment w:val="bottom"/>
            </w:pPr>
            <w:r>
              <w:rPr>
                <w:rFonts w:ascii="Times New Roman" w:eastAsia="宋体" w:hAnsi="Times New Roman"/>
                <w:color w:val="000000"/>
                <w:sz w:val="16"/>
                <w:szCs w:val="16"/>
              </w:rPr>
              <w:t>Emerging growth company</w:t>
            </w:r>
          </w:p>
        </w:tc>
        <w:tc>
          <w:tcPr>
            <w:tcW w:w="0" w:type="auto"/>
            <w:gridSpan w:val="3"/>
            <w:shd w:val="clear" w:color="auto" w:fill="auto"/>
            <w:tcMar>
              <w:top w:w="40" w:type="dxa"/>
              <w:left w:w="20" w:type="dxa"/>
              <w:bottom w:w="40" w:type="dxa"/>
              <w:right w:w="20" w:type="dxa"/>
            </w:tcMar>
          </w:tcPr>
          <w:p w14:paraId="5CD8DE01" w14:textId="77777777" w:rsidR="00BA49F5" w:rsidRDefault="007E5E49">
            <w:pPr>
              <w:spacing w:after="100"/>
              <w:textAlignment w:val="top"/>
            </w:pPr>
            <w:r>
              <w:rPr>
                <w:rFonts w:ascii="Arial Unicode MS" w:eastAsia="Arial Unicode MS" w:hAnsi="Arial Unicode MS" w:cs="Arial Unicode MS" w:hint="eastAsia"/>
                <w:color w:val="000000"/>
                <w:sz w:val="18"/>
                <w:szCs w:val="18"/>
              </w:rPr>
              <w:t>☐</w:t>
            </w:r>
          </w:p>
        </w:tc>
      </w:tr>
    </w:tbl>
    <w:p w14:paraId="5CD8DE03" w14:textId="77777777" w:rsidR="00BA49F5" w:rsidRDefault="007E5E49">
      <w:r>
        <w:rPr>
          <w:rFonts w:ascii="Times New Roman" w:eastAsia="宋体" w:hAnsi="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5CD8DE04" w14:textId="77777777" w:rsidR="00BA49F5" w:rsidRDefault="00BA49F5"/>
    <w:p w14:paraId="5CD8DE05" w14:textId="77777777" w:rsidR="00BA49F5" w:rsidRDefault="007E5E49">
      <w:r>
        <w:rPr>
          <w:rFonts w:ascii="Times New Roman" w:eastAsia="宋体" w:hAnsi="Times New Roman"/>
          <w:color w:val="000000"/>
          <w:sz w:val="16"/>
          <w:szCs w:val="16"/>
        </w:rPr>
        <w:t>I</w:t>
      </w:r>
      <w:r>
        <w:rPr>
          <w:rFonts w:ascii="Times New Roman" w:eastAsia="宋体" w:hAnsi="Times New Roman"/>
          <w:color w:val="000000"/>
          <w:sz w:val="16"/>
          <w:szCs w:val="16"/>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Times New Roman" w:eastAsia="宋体" w:hAnsi="Times New Roman"/>
          <w:color w:val="000000"/>
          <w:sz w:val="16"/>
          <w:szCs w:val="16"/>
        </w:rPr>
        <w:t xml:space="preserve">e registered public accounting firm that prepared or issued its audit report. ☒ </w:t>
      </w:r>
    </w:p>
    <w:p w14:paraId="5CD8DE06" w14:textId="77777777" w:rsidR="00BA49F5" w:rsidRDefault="00BA49F5"/>
    <w:p w14:paraId="5CD8DE07" w14:textId="77777777" w:rsidR="00BA49F5" w:rsidRDefault="007E5E49">
      <w:r>
        <w:rPr>
          <w:rFonts w:ascii="Times New Roman" w:eastAsia="宋体" w:hAnsi="Times New Roman"/>
          <w:color w:val="000000"/>
          <w:sz w:val="16"/>
          <w:szCs w:val="16"/>
        </w:rPr>
        <w:t>If securities are registered pursuant to Section 12(b) of the Act, indicate by check mark whether the financial statements of the registrant included in the filing reflect th</w:t>
      </w:r>
      <w:r>
        <w:rPr>
          <w:rFonts w:ascii="Times New Roman" w:eastAsia="宋体" w:hAnsi="Times New Roman"/>
          <w:color w:val="000000"/>
          <w:sz w:val="16"/>
          <w:szCs w:val="16"/>
        </w:rPr>
        <w:t xml:space="preserve">e correction of an error to previously issued financial statements. ☐ </w:t>
      </w:r>
    </w:p>
    <w:p w14:paraId="5CD8DE08" w14:textId="77777777" w:rsidR="00BA49F5" w:rsidRDefault="00BA49F5"/>
    <w:p w14:paraId="5CD8DE09" w14:textId="77777777" w:rsidR="00BA49F5" w:rsidRDefault="007E5E49">
      <w:r>
        <w:rPr>
          <w:rFonts w:ascii="Times New Roman" w:eastAsia="宋体" w:hAnsi="Times New Roman"/>
          <w:color w:val="000000"/>
          <w:sz w:val="16"/>
          <w:szCs w:val="16"/>
        </w:rPr>
        <w:t>Indicate by check mark whether any of those error corrections are restatements that required a recovery analysis of incentive-based compensation received by any of the registrant’s exe</w:t>
      </w:r>
      <w:r>
        <w:rPr>
          <w:rFonts w:ascii="Times New Roman" w:eastAsia="宋体" w:hAnsi="Times New Roman"/>
          <w:color w:val="000000"/>
          <w:sz w:val="16"/>
          <w:szCs w:val="16"/>
        </w:rPr>
        <w:t xml:space="preserve">cutive officers during the relevant recovery period pursuant to §240.10D-1(b). ☐ </w:t>
      </w:r>
    </w:p>
    <w:p w14:paraId="5CD8DE0A" w14:textId="77777777" w:rsidR="00BA49F5" w:rsidRDefault="00BA49F5"/>
    <w:p w14:paraId="5CD8DE0B" w14:textId="77777777" w:rsidR="00BA49F5" w:rsidRDefault="007E5E49">
      <w:r>
        <w:rPr>
          <w:rFonts w:ascii="Times New Roman" w:eastAsia="宋体" w:hAnsi="Times New Roman"/>
          <w:color w:val="000000"/>
          <w:sz w:val="16"/>
          <w:szCs w:val="16"/>
        </w:rPr>
        <w:t xml:space="preserve">Indicate by check mark whether the registrant is a shell company (as defined in Rule 12b-2 of the Exchange Act).    Yes  ☐    No   ☒ </w:t>
      </w:r>
    </w:p>
    <w:p w14:paraId="5CD8DE0C" w14:textId="77777777" w:rsidR="00BA49F5" w:rsidRDefault="00BA49F5"/>
    <w:p w14:paraId="5CD8DE0D" w14:textId="77777777" w:rsidR="00BA49F5" w:rsidRDefault="007E5E49">
      <w:pPr>
        <w:jc w:val="both"/>
      </w:pPr>
      <w:r>
        <w:rPr>
          <w:rFonts w:ascii="Times New Roman" w:eastAsia="宋体" w:hAnsi="Times New Roman"/>
          <w:color w:val="000000"/>
          <w:sz w:val="16"/>
          <w:szCs w:val="16"/>
        </w:rPr>
        <w:t>The aggregate market value of the voti</w:t>
      </w:r>
      <w:r>
        <w:rPr>
          <w:rFonts w:ascii="Times New Roman" w:eastAsia="宋体" w:hAnsi="Times New Roman"/>
          <w:color w:val="000000"/>
          <w:sz w:val="16"/>
          <w:szCs w:val="16"/>
        </w:rPr>
        <w:t>ng and non-voting stock held by non-affiliates of the registrant as of June 30, 2022, the last business day of the registrant's most recently completed second fiscal quarter, was $378 billion based upon the closing price reported for such date on the Nasda</w:t>
      </w:r>
      <w:r>
        <w:rPr>
          <w:rFonts w:ascii="Times New Roman" w:eastAsia="宋体" w:hAnsi="Times New Roman"/>
          <w:color w:val="000000"/>
          <w:sz w:val="16"/>
          <w:szCs w:val="16"/>
        </w:rPr>
        <w:t>q Global Select Market. On January 27, 2023, the registrant had 2,225,763,078 shares of Class A common stock and 366,876,470 shares of Class B common stock outstanding.</w:t>
      </w:r>
    </w:p>
    <w:p w14:paraId="5CD8DE0E" w14:textId="77777777" w:rsidR="00BA49F5" w:rsidRDefault="00BA49F5">
      <w:pPr>
        <w:jc w:val="center"/>
      </w:pPr>
    </w:p>
    <w:p w14:paraId="5CD8DE0F" w14:textId="77777777" w:rsidR="00BA49F5" w:rsidRDefault="007E5E49">
      <w:pPr>
        <w:jc w:val="center"/>
      </w:pPr>
      <w:r>
        <w:rPr>
          <w:rFonts w:ascii="Times New Roman" w:eastAsia="宋体" w:hAnsi="Times New Roman"/>
          <w:b/>
          <w:bCs/>
          <w:color w:val="000000"/>
          <w:sz w:val="16"/>
          <w:szCs w:val="16"/>
        </w:rPr>
        <w:t>DOCUMENTS INCORPORATED BY REFERENCE</w:t>
      </w:r>
    </w:p>
    <w:p w14:paraId="5CD8DE10" w14:textId="77777777" w:rsidR="00BA49F5" w:rsidRDefault="00BA49F5">
      <w:pPr>
        <w:jc w:val="center"/>
      </w:pPr>
    </w:p>
    <w:p w14:paraId="5CD8DE11" w14:textId="77777777" w:rsidR="00BA49F5" w:rsidRDefault="007E5E49">
      <w:r>
        <w:rPr>
          <w:rFonts w:ascii="Times New Roman" w:eastAsia="宋体" w:hAnsi="Times New Roman"/>
          <w:color w:val="000000"/>
          <w:sz w:val="16"/>
          <w:szCs w:val="16"/>
        </w:rPr>
        <w:t xml:space="preserve">Portions of the registrant's Proxy Statement for </w:t>
      </w:r>
      <w:r>
        <w:rPr>
          <w:rFonts w:ascii="Times New Roman" w:eastAsia="宋体" w:hAnsi="Times New Roman"/>
          <w:color w:val="000000"/>
          <w:sz w:val="16"/>
          <w:szCs w:val="16"/>
        </w:rPr>
        <w:t>the 2023 Annual Meeting of Stockholders are incorporated herein by reference in Part III of this Annual Report on Form 10-K to the extent stated herein. Such proxy statement will be filed with the Securities and Exchange Commission within 120 days of the r</w:t>
      </w:r>
      <w:r>
        <w:rPr>
          <w:rFonts w:ascii="Times New Roman" w:eastAsia="宋体" w:hAnsi="Times New Roman"/>
          <w:color w:val="000000"/>
          <w:sz w:val="16"/>
          <w:szCs w:val="16"/>
        </w:rPr>
        <w:t xml:space="preserve">egistrant's fiscal year ended December 31,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BA49F5" w14:paraId="5CD8DE15" w14:textId="77777777">
        <w:tc>
          <w:tcPr>
            <w:tcW w:w="50" w:type="pct"/>
            <w:shd w:val="clear" w:color="auto" w:fill="auto"/>
            <w:vAlign w:val="bottom"/>
          </w:tcPr>
          <w:p w14:paraId="5CD8DE12" w14:textId="77777777" w:rsidR="00BA49F5" w:rsidRDefault="00BA49F5">
            <w:pPr>
              <w:rPr>
                <w:rFonts w:ascii="宋体"/>
              </w:rPr>
            </w:pPr>
          </w:p>
        </w:tc>
        <w:tc>
          <w:tcPr>
            <w:tcW w:w="4945" w:type="pct"/>
            <w:shd w:val="clear" w:color="auto" w:fill="auto"/>
            <w:vAlign w:val="bottom"/>
          </w:tcPr>
          <w:p w14:paraId="5CD8DE13" w14:textId="77777777" w:rsidR="00BA49F5" w:rsidRDefault="00BA49F5">
            <w:pPr>
              <w:rPr>
                <w:rFonts w:ascii="宋体"/>
              </w:rPr>
            </w:pPr>
          </w:p>
        </w:tc>
        <w:tc>
          <w:tcPr>
            <w:tcW w:w="5" w:type="pct"/>
            <w:shd w:val="clear" w:color="auto" w:fill="auto"/>
            <w:vAlign w:val="bottom"/>
          </w:tcPr>
          <w:p w14:paraId="5CD8DE14" w14:textId="77777777" w:rsidR="00BA49F5" w:rsidRDefault="00BA49F5">
            <w:pPr>
              <w:rPr>
                <w:rFonts w:ascii="宋体"/>
              </w:rPr>
            </w:pPr>
          </w:p>
        </w:tc>
      </w:tr>
      <w:tr w:rsidR="00BA49F5" w14:paraId="5CD8DE17" w14:textId="77777777">
        <w:trPr>
          <w:trHeight w:val="60"/>
        </w:trPr>
        <w:tc>
          <w:tcPr>
            <w:tcW w:w="0" w:type="auto"/>
            <w:gridSpan w:val="3"/>
            <w:tcBorders>
              <w:bottom w:val="double" w:sz="6" w:space="0" w:color="000000"/>
            </w:tcBorders>
            <w:shd w:val="clear" w:color="auto" w:fill="auto"/>
            <w:tcMar>
              <w:top w:w="0" w:type="dxa"/>
              <w:left w:w="20" w:type="dxa"/>
              <w:bottom w:w="0" w:type="dxa"/>
              <w:right w:w="20" w:type="dxa"/>
            </w:tcMar>
            <w:vAlign w:val="bottom"/>
          </w:tcPr>
          <w:p w14:paraId="5CD8DE16" w14:textId="77777777" w:rsidR="00BA49F5" w:rsidRDefault="00BA49F5">
            <w:pPr>
              <w:rPr>
                <w:rFonts w:ascii="宋体"/>
              </w:rPr>
            </w:pPr>
          </w:p>
        </w:tc>
      </w:tr>
    </w:tbl>
    <w:p w14:paraId="5CD8DE18" w14:textId="77777777" w:rsidR="00BA49F5" w:rsidRDefault="00BA49F5"/>
    <w:p w14:paraId="5CD8DE19" w14:textId="77777777" w:rsidR="00BA49F5" w:rsidRDefault="007E5E49">
      <w:r>
        <w:pict w14:anchorId="5CD90CCC">
          <v:rect id="_x0000_i1025" style="width:415.3pt;height:1.5pt" o:hralign="center" o:hrstd="t" o:hr="t" fillcolor="#a0a0a0" stroked="f"/>
        </w:pict>
      </w:r>
    </w:p>
    <w:p w14:paraId="5CD8DE1A" w14:textId="77777777" w:rsidR="00BA49F5" w:rsidRDefault="00BA49F5"/>
    <w:p w14:paraId="5CD8DE1B" w14:textId="77777777" w:rsidR="00BA49F5" w:rsidRDefault="007E5E49">
      <w:pPr>
        <w:jc w:val="center"/>
      </w:pPr>
      <w:r>
        <w:rPr>
          <w:rFonts w:ascii="Times New Roman" w:eastAsia="宋体" w:hAnsi="Times New Roman"/>
          <w:b/>
          <w:bCs/>
          <w:color w:val="000000"/>
          <w:sz w:val="22"/>
          <w:szCs w:val="22"/>
        </w:rPr>
        <w:t xml:space="preserve">Meta Platforms, Inc. </w:t>
      </w:r>
    </w:p>
    <w:p w14:paraId="5CD8DE1C" w14:textId="77777777" w:rsidR="00BA49F5" w:rsidRDefault="007E5E49">
      <w:pPr>
        <w:jc w:val="center"/>
      </w:pPr>
      <w:r>
        <w:rPr>
          <w:rFonts w:ascii="Times New Roman" w:eastAsia="宋体" w:hAnsi="Times New Roman"/>
          <w:b/>
          <w:bCs/>
          <w:color w:val="000000"/>
          <w:sz w:val="22"/>
          <w:szCs w:val="22"/>
        </w:rPr>
        <w:t xml:space="preserve">Form 10-K </w:t>
      </w:r>
    </w:p>
    <w:p w14:paraId="5CD8DE1D" w14:textId="77777777" w:rsidR="00BA49F5" w:rsidRDefault="00BA49F5">
      <w:pPr>
        <w:jc w:val="center"/>
      </w:pPr>
    </w:p>
    <w:p w14:paraId="5CD8DE1E" w14:textId="77777777" w:rsidR="00BA49F5" w:rsidRDefault="007E5E49">
      <w:pPr>
        <w:jc w:val="center"/>
      </w:pPr>
      <w:r>
        <w:rPr>
          <w:rFonts w:ascii="Times New Roman" w:eastAsia="宋体" w:hAnsi="Times New Roman"/>
          <w:b/>
          <w:bCs/>
          <w:color w:val="000000"/>
          <w:sz w:val="22"/>
          <w:szCs w:val="22"/>
        </w:rPr>
        <w:t xml:space="preserve">TABLE OF CONTENTS </w:t>
      </w:r>
    </w:p>
    <w:p w14:paraId="5CD8DE1F" w14:textId="77777777" w:rsidR="00BA49F5" w:rsidRDefault="00BA49F5"/>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48"/>
        <w:gridCol w:w="37"/>
        <w:gridCol w:w="69"/>
        <w:gridCol w:w="6509"/>
        <w:gridCol w:w="36"/>
        <w:gridCol w:w="69"/>
        <w:gridCol w:w="651"/>
        <w:gridCol w:w="36"/>
      </w:tblGrid>
      <w:tr w:rsidR="00BA49F5" w14:paraId="5CD8DE29" w14:textId="77777777">
        <w:trPr>
          <w:jc w:val="center"/>
        </w:trPr>
        <w:tc>
          <w:tcPr>
            <w:tcW w:w="50" w:type="pct"/>
            <w:shd w:val="clear" w:color="auto" w:fill="auto"/>
            <w:vAlign w:val="bottom"/>
          </w:tcPr>
          <w:p w14:paraId="5CD8DE20" w14:textId="77777777" w:rsidR="00BA49F5" w:rsidRDefault="00BA49F5">
            <w:pPr>
              <w:rPr>
                <w:rFonts w:ascii="宋体"/>
              </w:rPr>
            </w:pPr>
          </w:p>
        </w:tc>
        <w:tc>
          <w:tcPr>
            <w:tcW w:w="518" w:type="pct"/>
            <w:shd w:val="clear" w:color="auto" w:fill="auto"/>
            <w:vAlign w:val="bottom"/>
          </w:tcPr>
          <w:p w14:paraId="5CD8DE21" w14:textId="77777777" w:rsidR="00BA49F5" w:rsidRDefault="00BA49F5">
            <w:pPr>
              <w:rPr>
                <w:rFonts w:ascii="宋体"/>
              </w:rPr>
            </w:pPr>
          </w:p>
        </w:tc>
        <w:tc>
          <w:tcPr>
            <w:tcW w:w="5" w:type="pct"/>
            <w:shd w:val="clear" w:color="auto" w:fill="auto"/>
            <w:vAlign w:val="bottom"/>
          </w:tcPr>
          <w:p w14:paraId="5CD8DE22" w14:textId="77777777" w:rsidR="00BA49F5" w:rsidRDefault="00BA49F5">
            <w:pPr>
              <w:rPr>
                <w:rFonts w:ascii="宋体"/>
              </w:rPr>
            </w:pPr>
          </w:p>
        </w:tc>
        <w:tc>
          <w:tcPr>
            <w:tcW w:w="50" w:type="pct"/>
            <w:shd w:val="clear" w:color="auto" w:fill="auto"/>
            <w:vAlign w:val="bottom"/>
          </w:tcPr>
          <w:p w14:paraId="5CD8DE23" w14:textId="77777777" w:rsidR="00BA49F5" w:rsidRDefault="00BA49F5">
            <w:pPr>
              <w:rPr>
                <w:rFonts w:ascii="宋体"/>
              </w:rPr>
            </w:pPr>
          </w:p>
        </w:tc>
        <w:tc>
          <w:tcPr>
            <w:tcW w:w="3916" w:type="pct"/>
            <w:shd w:val="clear" w:color="auto" w:fill="auto"/>
            <w:vAlign w:val="bottom"/>
          </w:tcPr>
          <w:p w14:paraId="5CD8DE24" w14:textId="77777777" w:rsidR="00BA49F5" w:rsidRDefault="00BA49F5">
            <w:pPr>
              <w:rPr>
                <w:rFonts w:ascii="宋体"/>
              </w:rPr>
            </w:pPr>
          </w:p>
        </w:tc>
        <w:tc>
          <w:tcPr>
            <w:tcW w:w="5" w:type="pct"/>
            <w:shd w:val="clear" w:color="auto" w:fill="auto"/>
            <w:vAlign w:val="bottom"/>
          </w:tcPr>
          <w:p w14:paraId="5CD8DE25" w14:textId="77777777" w:rsidR="00BA49F5" w:rsidRDefault="00BA49F5">
            <w:pPr>
              <w:rPr>
                <w:rFonts w:ascii="宋体"/>
              </w:rPr>
            </w:pPr>
          </w:p>
        </w:tc>
        <w:tc>
          <w:tcPr>
            <w:tcW w:w="50" w:type="pct"/>
            <w:shd w:val="clear" w:color="auto" w:fill="auto"/>
            <w:vAlign w:val="bottom"/>
          </w:tcPr>
          <w:p w14:paraId="5CD8DE26" w14:textId="77777777" w:rsidR="00BA49F5" w:rsidRDefault="00BA49F5">
            <w:pPr>
              <w:rPr>
                <w:rFonts w:ascii="宋体"/>
              </w:rPr>
            </w:pPr>
          </w:p>
        </w:tc>
        <w:tc>
          <w:tcPr>
            <w:tcW w:w="399" w:type="pct"/>
            <w:shd w:val="clear" w:color="auto" w:fill="auto"/>
            <w:vAlign w:val="bottom"/>
          </w:tcPr>
          <w:p w14:paraId="5CD8DE27" w14:textId="77777777" w:rsidR="00BA49F5" w:rsidRDefault="00BA49F5">
            <w:pPr>
              <w:rPr>
                <w:rFonts w:ascii="宋体"/>
              </w:rPr>
            </w:pPr>
          </w:p>
        </w:tc>
        <w:tc>
          <w:tcPr>
            <w:tcW w:w="5" w:type="pct"/>
            <w:shd w:val="clear" w:color="auto" w:fill="auto"/>
            <w:vAlign w:val="bottom"/>
          </w:tcPr>
          <w:p w14:paraId="5CD8DE28" w14:textId="77777777" w:rsidR="00BA49F5" w:rsidRDefault="00BA49F5">
            <w:pPr>
              <w:rPr>
                <w:rFonts w:ascii="宋体"/>
              </w:rPr>
            </w:pPr>
          </w:p>
        </w:tc>
      </w:tr>
      <w:tr w:rsidR="00BA49F5" w14:paraId="5CD8DE2D" w14:textId="77777777">
        <w:trPr>
          <w:jc w:val="center"/>
        </w:trPr>
        <w:tc>
          <w:tcPr>
            <w:tcW w:w="0" w:type="auto"/>
            <w:gridSpan w:val="3"/>
            <w:shd w:val="clear" w:color="auto" w:fill="auto"/>
            <w:tcMar>
              <w:top w:w="0" w:type="dxa"/>
              <w:left w:w="20" w:type="dxa"/>
              <w:bottom w:w="0" w:type="dxa"/>
              <w:right w:w="20" w:type="dxa"/>
            </w:tcMar>
            <w:vAlign w:val="bottom"/>
          </w:tcPr>
          <w:p w14:paraId="5CD8DE2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E2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8DE2C" w14:textId="77777777" w:rsidR="00BA49F5" w:rsidRDefault="007E5E49">
            <w:pPr>
              <w:jc w:val="center"/>
              <w:textAlignment w:val="top"/>
            </w:pPr>
            <w:r>
              <w:rPr>
                <w:rFonts w:ascii="Times New Roman" w:eastAsia="宋体" w:hAnsi="Times New Roman"/>
                <w:color w:val="000000"/>
                <w:sz w:val="20"/>
                <w:szCs w:val="20"/>
              </w:rPr>
              <w:t>Page</w:t>
            </w:r>
          </w:p>
        </w:tc>
      </w:tr>
      <w:tr w:rsidR="00BA49F5" w14:paraId="5CD8DE30" w14:textId="77777777">
        <w:trPr>
          <w:jc w:val="center"/>
        </w:trPr>
        <w:tc>
          <w:tcPr>
            <w:tcW w:w="0" w:type="auto"/>
            <w:gridSpan w:val="6"/>
            <w:shd w:val="clear" w:color="auto" w:fill="auto"/>
            <w:tcMar>
              <w:top w:w="40" w:type="dxa"/>
              <w:left w:w="20" w:type="dxa"/>
              <w:bottom w:w="40" w:type="dxa"/>
              <w:right w:w="20" w:type="dxa"/>
            </w:tcMar>
          </w:tcPr>
          <w:p w14:paraId="5CD8DE2E" w14:textId="77777777" w:rsidR="00BA49F5" w:rsidRDefault="007E5E49">
            <w:pPr>
              <w:textAlignment w:val="top"/>
            </w:pPr>
            <w:hyperlink r:id="rId7" w:anchor="i6df229dad1864210ab76200083e26819_10" w:history="1">
              <w:r>
                <w:rPr>
                  <w:rStyle w:val="a5"/>
                  <w:rFonts w:ascii="Times New Roman" w:eastAsia="宋体" w:hAnsi="Times New Roman"/>
                  <w:sz w:val="20"/>
                  <w:szCs w:val="20"/>
                </w:rPr>
                <w:t>Note About Forward-Looking Statements</w:t>
              </w:r>
            </w:hyperlink>
          </w:p>
        </w:tc>
        <w:tc>
          <w:tcPr>
            <w:tcW w:w="0" w:type="auto"/>
            <w:gridSpan w:val="3"/>
            <w:tcBorders>
              <w:top w:val="single" w:sz="8" w:space="0" w:color="000000"/>
            </w:tcBorders>
            <w:shd w:val="clear" w:color="auto" w:fill="auto"/>
            <w:tcMar>
              <w:top w:w="40" w:type="dxa"/>
              <w:left w:w="20" w:type="dxa"/>
              <w:bottom w:w="40" w:type="dxa"/>
              <w:right w:w="20" w:type="dxa"/>
            </w:tcMar>
          </w:tcPr>
          <w:p w14:paraId="5CD8DE2F" w14:textId="77777777" w:rsidR="00BA49F5" w:rsidRDefault="007E5E49">
            <w:pPr>
              <w:jc w:val="center"/>
              <w:textAlignment w:val="top"/>
            </w:pPr>
            <w:hyperlink r:id="rId8" w:anchor="i6df229dad1864210ab76200083e26819_10" w:history="1">
              <w:r>
                <w:rPr>
                  <w:rStyle w:val="a5"/>
                  <w:rFonts w:ascii="Times New Roman" w:eastAsia="宋体" w:hAnsi="Times New Roman"/>
                  <w:sz w:val="20"/>
                  <w:szCs w:val="20"/>
                </w:rPr>
                <w:t>3</w:t>
              </w:r>
            </w:hyperlink>
          </w:p>
        </w:tc>
      </w:tr>
      <w:tr w:rsidR="00BA49F5" w14:paraId="5CD8DE33" w14:textId="77777777">
        <w:trPr>
          <w:jc w:val="center"/>
        </w:trPr>
        <w:tc>
          <w:tcPr>
            <w:tcW w:w="0" w:type="auto"/>
            <w:gridSpan w:val="6"/>
            <w:shd w:val="clear" w:color="auto" w:fill="auto"/>
            <w:tcMar>
              <w:top w:w="40" w:type="dxa"/>
              <w:left w:w="20" w:type="dxa"/>
              <w:bottom w:w="40" w:type="dxa"/>
              <w:right w:w="20" w:type="dxa"/>
            </w:tcMar>
          </w:tcPr>
          <w:p w14:paraId="5CD8DE31" w14:textId="77777777" w:rsidR="00BA49F5" w:rsidRDefault="007E5E49">
            <w:pPr>
              <w:textAlignment w:val="top"/>
            </w:pPr>
            <w:hyperlink r:id="rId9" w:anchor="i6df229dad1864210ab76200083e26819_13" w:history="1">
              <w:r>
                <w:rPr>
                  <w:rStyle w:val="a5"/>
                  <w:rFonts w:ascii="Times New Roman" w:eastAsia="宋体" w:hAnsi="Times New Roman"/>
                  <w:sz w:val="20"/>
                  <w:szCs w:val="20"/>
                </w:rPr>
                <w:t xml:space="preserve">Limitations </w:t>
              </w:r>
              <w:r>
                <w:rPr>
                  <w:rStyle w:val="a5"/>
                  <w:rFonts w:ascii="Times New Roman" w:eastAsia="宋体" w:hAnsi="Times New Roman"/>
                  <w:sz w:val="20"/>
                  <w:szCs w:val="20"/>
                </w:rPr>
                <w:t>of Key Metrics and Other Data</w:t>
              </w:r>
            </w:hyperlink>
          </w:p>
        </w:tc>
        <w:tc>
          <w:tcPr>
            <w:tcW w:w="0" w:type="auto"/>
            <w:gridSpan w:val="3"/>
            <w:shd w:val="clear" w:color="auto" w:fill="auto"/>
            <w:tcMar>
              <w:top w:w="40" w:type="dxa"/>
              <w:left w:w="20" w:type="dxa"/>
              <w:bottom w:w="40" w:type="dxa"/>
              <w:right w:w="20" w:type="dxa"/>
            </w:tcMar>
          </w:tcPr>
          <w:p w14:paraId="5CD8DE32" w14:textId="77777777" w:rsidR="00BA49F5" w:rsidRDefault="007E5E49">
            <w:pPr>
              <w:jc w:val="center"/>
              <w:textAlignment w:val="top"/>
            </w:pPr>
            <w:hyperlink r:id="rId10" w:anchor="i6df229dad1864210ab76200083e26819_13" w:history="1">
              <w:r>
                <w:rPr>
                  <w:rStyle w:val="a5"/>
                  <w:rFonts w:ascii="Times New Roman" w:eastAsia="宋体" w:hAnsi="Times New Roman"/>
                  <w:sz w:val="20"/>
                  <w:szCs w:val="20"/>
                </w:rPr>
                <w:t>4</w:t>
              </w:r>
            </w:hyperlink>
          </w:p>
        </w:tc>
      </w:tr>
      <w:tr w:rsidR="00BA49F5" w14:paraId="5CD8DE36" w14:textId="77777777">
        <w:trPr>
          <w:trHeight w:val="300"/>
          <w:jc w:val="center"/>
        </w:trPr>
        <w:tc>
          <w:tcPr>
            <w:tcW w:w="0" w:type="auto"/>
            <w:gridSpan w:val="6"/>
            <w:shd w:val="clear" w:color="auto" w:fill="auto"/>
            <w:tcMar>
              <w:top w:w="0" w:type="dxa"/>
              <w:left w:w="20" w:type="dxa"/>
              <w:bottom w:w="0" w:type="dxa"/>
              <w:right w:w="20" w:type="dxa"/>
            </w:tcMar>
            <w:vAlign w:val="bottom"/>
          </w:tcPr>
          <w:p w14:paraId="5CD8DE3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E35" w14:textId="77777777" w:rsidR="00BA49F5" w:rsidRDefault="00BA49F5">
            <w:pPr>
              <w:rPr>
                <w:rFonts w:ascii="宋体"/>
              </w:rPr>
            </w:pPr>
          </w:p>
        </w:tc>
      </w:tr>
      <w:tr w:rsidR="00BA49F5" w14:paraId="5CD8DE39" w14:textId="77777777">
        <w:trPr>
          <w:jc w:val="center"/>
        </w:trPr>
        <w:tc>
          <w:tcPr>
            <w:tcW w:w="0" w:type="auto"/>
            <w:gridSpan w:val="6"/>
            <w:shd w:val="clear" w:color="auto" w:fill="auto"/>
            <w:tcMar>
              <w:top w:w="40" w:type="dxa"/>
              <w:left w:w="20" w:type="dxa"/>
              <w:bottom w:w="40" w:type="dxa"/>
              <w:right w:w="20" w:type="dxa"/>
            </w:tcMar>
          </w:tcPr>
          <w:p w14:paraId="5CD8DE37" w14:textId="77777777" w:rsidR="00BA49F5" w:rsidRDefault="007E5E49">
            <w:pPr>
              <w:textAlignment w:val="top"/>
            </w:pPr>
            <w:hyperlink r:id="rId11" w:anchor="i6df229dad1864210ab76200083e26819_16" w:history="1">
              <w:r>
                <w:rPr>
                  <w:rStyle w:val="a5"/>
                  <w:rFonts w:ascii="Times New Roman" w:eastAsia="宋体" w:hAnsi="Times New Roman"/>
                  <w:b/>
                  <w:bCs/>
                  <w:sz w:val="20"/>
                  <w:szCs w:val="20"/>
                </w:rPr>
                <w:t>PART I</w:t>
              </w:r>
            </w:hyperlink>
          </w:p>
        </w:tc>
        <w:tc>
          <w:tcPr>
            <w:tcW w:w="0" w:type="auto"/>
            <w:gridSpan w:val="3"/>
            <w:shd w:val="clear" w:color="auto" w:fill="auto"/>
            <w:tcMar>
              <w:top w:w="0" w:type="dxa"/>
              <w:left w:w="20" w:type="dxa"/>
              <w:bottom w:w="0" w:type="dxa"/>
              <w:right w:w="20" w:type="dxa"/>
            </w:tcMar>
            <w:vAlign w:val="bottom"/>
          </w:tcPr>
          <w:p w14:paraId="5CD8DE38" w14:textId="77777777" w:rsidR="00BA49F5" w:rsidRDefault="00BA49F5">
            <w:pPr>
              <w:rPr>
                <w:rFonts w:ascii="宋体"/>
              </w:rPr>
            </w:pPr>
          </w:p>
        </w:tc>
      </w:tr>
      <w:tr w:rsidR="00BA49F5" w14:paraId="5CD8DE3D" w14:textId="77777777">
        <w:trPr>
          <w:jc w:val="center"/>
        </w:trPr>
        <w:tc>
          <w:tcPr>
            <w:tcW w:w="0" w:type="auto"/>
            <w:gridSpan w:val="3"/>
            <w:shd w:val="clear" w:color="auto" w:fill="auto"/>
            <w:tcMar>
              <w:top w:w="40" w:type="dxa"/>
              <w:left w:w="20" w:type="dxa"/>
              <w:bottom w:w="40" w:type="dxa"/>
              <w:right w:w="20" w:type="dxa"/>
            </w:tcMar>
          </w:tcPr>
          <w:p w14:paraId="5CD8DE3A" w14:textId="77777777" w:rsidR="00BA49F5" w:rsidRDefault="007E5E49">
            <w:pPr>
              <w:spacing w:after="100"/>
              <w:ind w:hanging="180"/>
              <w:textAlignment w:val="top"/>
            </w:pPr>
            <w:hyperlink r:id="rId12" w:anchor="i6df229dad1864210ab76200083e26819_19"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5CD8DE3B" w14:textId="77777777" w:rsidR="00BA49F5" w:rsidRDefault="007E5E49">
            <w:pPr>
              <w:spacing w:after="100"/>
              <w:ind w:hanging="180"/>
              <w:textAlignment w:val="top"/>
            </w:pPr>
            <w:hyperlink r:id="rId13" w:anchor="i6df229dad1864210ab76200083e26819_19"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tcPr>
          <w:p w14:paraId="5CD8DE3C" w14:textId="77777777" w:rsidR="00BA49F5" w:rsidRDefault="007E5E49">
            <w:pPr>
              <w:jc w:val="center"/>
              <w:textAlignment w:val="top"/>
            </w:pPr>
            <w:hyperlink r:id="rId14" w:anchor="i6df229dad1864210ab76200083e26819_19" w:history="1">
              <w:r>
                <w:rPr>
                  <w:rStyle w:val="a5"/>
                  <w:rFonts w:ascii="Times New Roman" w:eastAsia="宋体" w:hAnsi="Times New Roman"/>
                  <w:sz w:val="20"/>
                  <w:szCs w:val="20"/>
                </w:rPr>
                <w:t>7</w:t>
              </w:r>
            </w:hyperlink>
          </w:p>
        </w:tc>
      </w:tr>
      <w:tr w:rsidR="00BA49F5" w14:paraId="5CD8DE41" w14:textId="77777777">
        <w:trPr>
          <w:jc w:val="center"/>
        </w:trPr>
        <w:tc>
          <w:tcPr>
            <w:tcW w:w="0" w:type="auto"/>
            <w:gridSpan w:val="3"/>
            <w:shd w:val="clear" w:color="auto" w:fill="auto"/>
            <w:tcMar>
              <w:top w:w="40" w:type="dxa"/>
              <w:left w:w="20" w:type="dxa"/>
              <w:bottom w:w="40" w:type="dxa"/>
              <w:right w:w="20" w:type="dxa"/>
            </w:tcMar>
          </w:tcPr>
          <w:p w14:paraId="5CD8DE3E" w14:textId="77777777" w:rsidR="00BA49F5" w:rsidRDefault="007E5E49">
            <w:pPr>
              <w:spacing w:after="100"/>
              <w:ind w:hanging="180"/>
              <w:textAlignment w:val="top"/>
            </w:pPr>
            <w:hyperlink r:id="rId15" w:anchor="i6df229dad1864210ab76200083e26819_22"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tcPr>
          <w:p w14:paraId="5CD8DE3F" w14:textId="77777777" w:rsidR="00BA49F5" w:rsidRDefault="007E5E49">
            <w:pPr>
              <w:spacing w:after="100"/>
              <w:ind w:hanging="180"/>
              <w:textAlignment w:val="top"/>
            </w:pPr>
            <w:hyperlink r:id="rId16" w:anchor="i6df229dad1864210ab76200083e26819_22"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5CD8DE40" w14:textId="77777777" w:rsidR="00BA49F5" w:rsidRDefault="007E5E49">
            <w:pPr>
              <w:jc w:val="center"/>
              <w:textAlignment w:val="top"/>
            </w:pPr>
            <w:hyperlink r:id="rId17" w:anchor="i6df229dad1864210ab76200083e26819_22" w:history="1">
              <w:r>
                <w:rPr>
                  <w:rStyle w:val="a5"/>
                  <w:rFonts w:ascii="Times New Roman" w:eastAsia="宋体" w:hAnsi="Times New Roman"/>
                  <w:sz w:val="20"/>
                  <w:szCs w:val="20"/>
                </w:rPr>
                <w:t>14</w:t>
              </w:r>
            </w:hyperlink>
          </w:p>
        </w:tc>
      </w:tr>
      <w:tr w:rsidR="00BA49F5" w14:paraId="5CD8DE45" w14:textId="77777777">
        <w:trPr>
          <w:jc w:val="center"/>
        </w:trPr>
        <w:tc>
          <w:tcPr>
            <w:tcW w:w="0" w:type="auto"/>
            <w:gridSpan w:val="3"/>
            <w:shd w:val="clear" w:color="auto" w:fill="auto"/>
            <w:tcMar>
              <w:top w:w="40" w:type="dxa"/>
              <w:left w:w="20" w:type="dxa"/>
              <w:bottom w:w="40" w:type="dxa"/>
              <w:right w:w="20" w:type="dxa"/>
            </w:tcMar>
          </w:tcPr>
          <w:p w14:paraId="5CD8DE42" w14:textId="77777777" w:rsidR="00BA49F5" w:rsidRDefault="007E5E49">
            <w:pPr>
              <w:spacing w:after="100"/>
              <w:ind w:hanging="180"/>
              <w:textAlignment w:val="top"/>
            </w:pPr>
            <w:hyperlink r:id="rId18" w:anchor="i6df229dad1864210ab76200083e26819_25" w:history="1">
              <w:r>
                <w:rPr>
                  <w:rStyle w:val="a5"/>
                  <w:rFonts w:ascii="Times New Roman" w:eastAsia="宋体" w:hAnsi="Times New Roman"/>
                  <w:sz w:val="20"/>
                  <w:szCs w:val="20"/>
                </w:rPr>
                <w:t>Item 1B.</w:t>
              </w:r>
            </w:hyperlink>
          </w:p>
        </w:tc>
        <w:tc>
          <w:tcPr>
            <w:tcW w:w="0" w:type="auto"/>
            <w:gridSpan w:val="3"/>
            <w:shd w:val="clear" w:color="auto" w:fill="auto"/>
            <w:tcMar>
              <w:top w:w="40" w:type="dxa"/>
              <w:left w:w="20" w:type="dxa"/>
              <w:bottom w:w="40" w:type="dxa"/>
              <w:right w:w="20" w:type="dxa"/>
            </w:tcMar>
          </w:tcPr>
          <w:p w14:paraId="5CD8DE43" w14:textId="77777777" w:rsidR="00BA49F5" w:rsidRDefault="007E5E49">
            <w:pPr>
              <w:spacing w:after="100"/>
              <w:ind w:hanging="180"/>
              <w:textAlignment w:val="top"/>
            </w:pPr>
            <w:hyperlink r:id="rId19" w:anchor="i6df229dad1864210ab76200083e26819_25"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tcPr>
          <w:p w14:paraId="5CD8DE44" w14:textId="77777777" w:rsidR="00BA49F5" w:rsidRDefault="007E5E49">
            <w:pPr>
              <w:jc w:val="center"/>
              <w:textAlignment w:val="top"/>
            </w:pPr>
            <w:hyperlink r:id="rId20" w:anchor="i6df229dad1864210ab76200083e26819_25" w:history="1">
              <w:r>
                <w:rPr>
                  <w:rStyle w:val="a5"/>
                  <w:rFonts w:ascii="Times New Roman" w:eastAsia="宋体" w:hAnsi="Times New Roman"/>
                  <w:sz w:val="20"/>
                  <w:szCs w:val="20"/>
                </w:rPr>
                <w:t>48</w:t>
              </w:r>
            </w:hyperlink>
          </w:p>
        </w:tc>
      </w:tr>
      <w:tr w:rsidR="00BA49F5" w14:paraId="5CD8DE49" w14:textId="77777777">
        <w:trPr>
          <w:jc w:val="center"/>
        </w:trPr>
        <w:tc>
          <w:tcPr>
            <w:tcW w:w="0" w:type="auto"/>
            <w:gridSpan w:val="3"/>
            <w:shd w:val="clear" w:color="auto" w:fill="auto"/>
            <w:tcMar>
              <w:top w:w="40" w:type="dxa"/>
              <w:left w:w="20" w:type="dxa"/>
              <w:bottom w:w="40" w:type="dxa"/>
              <w:right w:w="20" w:type="dxa"/>
            </w:tcMar>
          </w:tcPr>
          <w:p w14:paraId="5CD8DE46" w14:textId="77777777" w:rsidR="00BA49F5" w:rsidRDefault="007E5E49">
            <w:pPr>
              <w:spacing w:after="100"/>
              <w:ind w:hanging="180"/>
              <w:textAlignment w:val="top"/>
            </w:pPr>
            <w:hyperlink r:id="rId21" w:anchor="i6df229dad1864210ab76200083e26819_28"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5CD8DE47" w14:textId="77777777" w:rsidR="00BA49F5" w:rsidRDefault="007E5E49">
            <w:pPr>
              <w:spacing w:after="100"/>
              <w:ind w:hanging="180"/>
              <w:textAlignment w:val="top"/>
            </w:pPr>
            <w:hyperlink r:id="rId22" w:anchor="i6df229dad1864210ab76200083e26819_28"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tcPr>
          <w:p w14:paraId="5CD8DE48" w14:textId="77777777" w:rsidR="00BA49F5" w:rsidRDefault="007E5E49">
            <w:pPr>
              <w:jc w:val="center"/>
              <w:textAlignment w:val="top"/>
            </w:pPr>
            <w:hyperlink r:id="rId23" w:anchor="i6df229dad1864210ab76200083e26819_28" w:history="1">
              <w:r>
                <w:rPr>
                  <w:rStyle w:val="a5"/>
                  <w:rFonts w:ascii="Times New Roman" w:eastAsia="宋体" w:hAnsi="Times New Roman"/>
                  <w:sz w:val="20"/>
                  <w:szCs w:val="20"/>
                </w:rPr>
                <w:t>48</w:t>
              </w:r>
            </w:hyperlink>
          </w:p>
        </w:tc>
      </w:tr>
      <w:tr w:rsidR="00BA49F5" w14:paraId="5CD8DE4D" w14:textId="77777777">
        <w:trPr>
          <w:jc w:val="center"/>
        </w:trPr>
        <w:tc>
          <w:tcPr>
            <w:tcW w:w="0" w:type="auto"/>
            <w:gridSpan w:val="3"/>
            <w:shd w:val="clear" w:color="auto" w:fill="auto"/>
            <w:tcMar>
              <w:top w:w="40" w:type="dxa"/>
              <w:left w:w="20" w:type="dxa"/>
              <w:bottom w:w="40" w:type="dxa"/>
              <w:right w:w="20" w:type="dxa"/>
            </w:tcMar>
          </w:tcPr>
          <w:p w14:paraId="5CD8DE4A" w14:textId="77777777" w:rsidR="00BA49F5" w:rsidRDefault="007E5E49">
            <w:pPr>
              <w:spacing w:after="100"/>
              <w:ind w:hanging="180"/>
              <w:textAlignment w:val="top"/>
            </w:pPr>
            <w:hyperlink r:id="rId24" w:anchor="i6df229dad1864210ab76200083e26819_31"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tcPr>
          <w:p w14:paraId="5CD8DE4B" w14:textId="77777777" w:rsidR="00BA49F5" w:rsidRDefault="007E5E49">
            <w:pPr>
              <w:spacing w:after="100"/>
              <w:ind w:hanging="180"/>
              <w:textAlignment w:val="top"/>
            </w:pPr>
            <w:hyperlink r:id="rId25" w:anchor="i6df229dad1864210ab76200083e26819_31"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5CD8DE4C" w14:textId="77777777" w:rsidR="00BA49F5" w:rsidRDefault="007E5E49">
            <w:pPr>
              <w:jc w:val="center"/>
              <w:textAlignment w:val="top"/>
            </w:pPr>
            <w:hyperlink r:id="rId26" w:anchor="i6df229dad1864210ab76200083e26819_31" w:history="1">
              <w:r>
                <w:rPr>
                  <w:rStyle w:val="a5"/>
                  <w:rFonts w:ascii="Times New Roman" w:eastAsia="宋体" w:hAnsi="Times New Roman"/>
                  <w:sz w:val="20"/>
                  <w:szCs w:val="20"/>
                </w:rPr>
                <w:t>48</w:t>
              </w:r>
            </w:hyperlink>
          </w:p>
        </w:tc>
      </w:tr>
      <w:tr w:rsidR="00BA49F5" w14:paraId="5CD8DE51" w14:textId="77777777">
        <w:trPr>
          <w:jc w:val="center"/>
        </w:trPr>
        <w:tc>
          <w:tcPr>
            <w:tcW w:w="0" w:type="auto"/>
            <w:gridSpan w:val="3"/>
            <w:shd w:val="clear" w:color="auto" w:fill="auto"/>
            <w:tcMar>
              <w:top w:w="40" w:type="dxa"/>
              <w:left w:w="20" w:type="dxa"/>
              <w:bottom w:w="40" w:type="dxa"/>
              <w:right w:w="20" w:type="dxa"/>
            </w:tcMar>
          </w:tcPr>
          <w:p w14:paraId="5CD8DE4E" w14:textId="77777777" w:rsidR="00BA49F5" w:rsidRDefault="007E5E49">
            <w:pPr>
              <w:spacing w:after="100"/>
              <w:ind w:hanging="180"/>
              <w:textAlignment w:val="top"/>
            </w:pPr>
            <w:hyperlink r:id="rId27" w:anchor="i6df229dad1864210ab76200083e26819_34"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tcPr>
          <w:p w14:paraId="5CD8DE4F" w14:textId="77777777" w:rsidR="00BA49F5" w:rsidRDefault="007E5E49">
            <w:pPr>
              <w:spacing w:after="100"/>
              <w:ind w:hanging="180"/>
              <w:textAlignment w:val="top"/>
            </w:pPr>
            <w:hyperlink r:id="rId28" w:anchor="i6df229dad1864210ab76200083e26819_34"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tcPr>
          <w:p w14:paraId="5CD8DE50" w14:textId="77777777" w:rsidR="00BA49F5" w:rsidRDefault="007E5E49">
            <w:pPr>
              <w:jc w:val="center"/>
              <w:textAlignment w:val="top"/>
            </w:pPr>
            <w:hyperlink r:id="rId29" w:anchor="i6df229dad1864210ab76200083e26819_34" w:history="1">
              <w:r>
                <w:rPr>
                  <w:rStyle w:val="a5"/>
                  <w:rFonts w:ascii="Times New Roman" w:eastAsia="宋体" w:hAnsi="Times New Roman"/>
                  <w:sz w:val="20"/>
                  <w:szCs w:val="20"/>
                </w:rPr>
                <w:t>51</w:t>
              </w:r>
            </w:hyperlink>
          </w:p>
        </w:tc>
      </w:tr>
      <w:tr w:rsidR="00BA49F5" w14:paraId="5CD8DE54" w14:textId="77777777">
        <w:trPr>
          <w:trHeight w:val="300"/>
          <w:jc w:val="center"/>
        </w:trPr>
        <w:tc>
          <w:tcPr>
            <w:tcW w:w="0" w:type="auto"/>
            <w:gridSpan w:val="6"/>
            <w:shd w:val="clear" w:color="auto" w:fill="auto"/>
            <w:tcMar>
              <w:top w:w="0" w:type="dxa"/>
              <w:left w:w="20" w:type="dxa"/>
              <w:bottom w:w="0" w:type="dxa"/>
              <w:right w:w="20" w:type="dxa"/>
            </w:tcMar>
            <w:vAlign w:val="bottom"/>
          </w:tcPr>
          <w:p w14:paraId="5CD8DE5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E53" w14:textId="77777777" w:rsidR="00BA49F5" w:rsidRDefault="00BA49F5">
            <w:pPr>
              <w:rPr>
                <w:rFonts w:ascii="宋体"/>
              </w:rPr>
            </w:pPr>
          </w:p>
        </w:tc>
      </w:tr>
      <w:tr w:rsidR="00BA49F5" w14:paraId="5CD8DE57" w14:textId="77777777">
        <w:trPr>
          <w:jc w:val="center"/>
        </w:trPr>
        <w:tc>
          <w:tcPr>
            <w:tcW w:w="0" w:type="auto"/>
            <w:gridSpan w:val="6"/>
            <w:shd w:val="clear" w:color="auto" w:fill="auto"/>
            <w:tcMar>
              <w:top w:w="40" w:type="dxa"/>
              <w:left w:w="20" w:type="dxa"/>
              <w:bottom w:w="40" w:type="dxa"/>
              <w:right w:w="20" w:type="dxa"/>
            </w:tcMar>
          </w:tcPr>
          <w:p w14:paraId="5CD8DE55" w14:textId="77777777" w:rsidR="00BA49F5" w:rsidRDefault="007E5E49">
            <w:pPr>
              <w:textAlignment w:val="top"/>
            </w:pPr>
            <w:hyperlink r:id="rId30" w:anchor="i6df229dad1864210ab76200083e26819_37" w:history="1">
              <w:r>
                <w:rPr>
                  <w:rStyle w:val="a5"/>
                  <w:rFonts w:ascii="Times New Roman" w:eastAsia="宋体" w:hAnsi="Times New Roman"/>
                  <w:b/>
                  <w:bCs/>
                  <w:sz w:val="20"/>
                  <w:szCs w:val="20"/>
                </w:rPr>
                <w:t>PART II</w:t>
              </w:r>
            </w:hyperlink>
          </w:p>
        </w:tc>
        <w:tc>
          <w:tcPr>
            <w:tcW w:w="0" w:type="auto"/>
            <w:gridSpan w:val="3"/>
            <w:shd w:val="clear" w:color="auto" w:fill="auto"/>
            <w:tcMar>
              <w:top w:w="0" w:type="dxa"/>
              <w:left w:w="20" w:type="dxa"/>
              <w:bottom w:w="0" w:type="dxa"/>
              <w:right w:w="20" w:type="dxa"/>
            </w:tcMar>
            <w:vAlign w:val="bottom"/>
          </w:tcPr>
          <w:p w14:paraId="5CD8DE56" w14:textId="77777777" w:rsidR="00BA49F5" w:rsidRDefault="00BA49F5">
            <w:pPr>
              <w:rPr>
                <w:rFonts w:ascii="宋体"/>
              </w:rPr>
            </w:pPr>
          </w:p>
        </w:tc>
      </w:tr>
      <w:tr w:rsidR="00BA49F5" w14:paraId="5CD8DE5B" w14:textId="77777777">
        <w:trPr>
          <w:jc w:val="center"/>
        </w:trPr>
        <w:tc>
          <w:tcPr>
            <w:tcW w:w="0" w:type="auto"/>
            <w:gridSpan w:val="3"/>
            <w:shd w:val="clear" w:color="auto" w:fill="auto"/>
            <w:tcMar>
              <w:top w:w="40" w:type="dxa"/>
              <w:left w:w="20" w:type="dxa"/>
              <w:bottom w:w="40" w:type="dxa"/>
              <w:right w:w="20" w:type="dxa"/>
            </w:tcMar>
          </w:tcPr>
          <w:p w14:paraId="5CD8DE58" w14:textId="77777777" w:rsidR="00BA49F5" w:rsidRDefault="007E5E49">
            <w:pPr>
              <w:spacing w:after="100"/>
              <w:ind w:hanging="180"/>
              <w:textAlignment w:val="top"/>
            </w:pPr>
            <w:hyperlink r:id="rId31" w:anchor="i6df229dad1864210ab76200083e26819_40"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tcPr>
          <w:p w14:paraId="5CD8DE59" w14:textId="77777777" w:rsidR="00BA49F5" w:rsidRDefault="007E5E49">
            <w:pPr>
              <w:spacing w:after="100"/>
              <w:ind w:hanging="180"/>
              <w:textAlignment w:val="top"/>
            </w:pPr>
            <w:hyperlink r:id="rId32" w:anchor="i6df229dad1864210ab76200083e26819_40" w:history="1">
              <w:r>
                <w:rPr>
                  <w:rStyle w:val="a5"/>
                  <w:rFonts w:ascii="Times New Roman" w:eastAsia="宋体" w:hAnsi="Times New Roman"/>
                  <w:sz w:val="20"/>
                  <w:szCs w:val="20"/>
                </w:rPr>
                <w:t>Market for Registrant's Common Equi</w:t>
              </w:r>
              <w:r>
                <w:rPr>
                  <w:rStyle w:val="a5"/>
                  <w:rFonts w:ascii="Times New Roman" w:eastAsia="宋体" w:hAnsi="Times New Roman"/>
                  <w:sz w:val="20"/>
                  <w:szCs w:val="20"/>
                </w:rPr>
                <w:t>ty, Related Stockholder Matters and Issuer Purchases of Equity Securities</w:t>
              </w:r>
            </w:hyperlink>
          </w:p>
        </w:tc>
        <w:tc>
          <w:tcPr>
            <w:tcW w:w="0" w:type="auto"/>
            <w:gridSpan w:val="3"/>
            <w:shd w:val="clear" w:color="auto" w:fill="auto"/>
            <w:tcMar>
              <w:top w:w="40" w:type="dxa"/>
              <w:left w:w="20" w:type="dxa"/>
              <w:bottom w:w="40" w:type="dxa"/>
              <w:right w:w="20" w:type="dxa"/>
            </w:tcMar>
          </w:tcPr>
          <w:p w14:paraId="5CD8DE5A" w14:textId="77777777" w:rsidR="00BA49F5" w:rsidRDefault="007E5E49">
            <w:pPr>
              <w:jc w:val="center"/>
              <w:textAlignment w:val="top"/>
            </w:pPr>
            <w:hyperlink r:id="rId33" w:anchor="i6df229dad1864210ab76200083e26819_40" w:history="1">
              <w:r>
                <w:rPr>
                  <w:rStyle w:val="a5"/>
                  <w:rFonts w:ascii="Times New Roman" w:eastAsia="宋体" w:hAnsi="Times New Roman"/>
                  <w:sz w:val="20"/>
                  <w:szCs w:val="20"/>
                </w:rPr>
                <w:t>52</w:t>
              </w:r>
            </w:hyperlink>
          </w:p>
        </w:tc>
      </w:tr>
      <w:tr w:rsidR="00BA49F5" w14:paraId="5CD8DE5F" w14:textId="77777777">
        <w:trPr>
          <w:jc w:val="center"/>
        </w:trPr>
        <w:tc>
          <w:tcPr>
            <w:tcW w:w="0" w:type="auto"/>
            <w:gridSpan w:val="3"/>
            <w:shd w:val="clear" w:color="auto" w:fill="auto"/>
            <w:tcMar>
              <w:top w:w="40" w:type="dxa"/>
              <w:left w:w="20" w:type="dxa"/>
              <w:bottom w:w="40" w:type="dxa"/>
              <w:right w:w="20" w:type="dxa"/>
            </w:tcMar>
          </w:tcPr>
          <w:p w14:paraId="5CD8DE5C" w14:textId="77777777" w:rsidR="00BA49F5" w:rsidRDefault="007E5E49">
            <w:pPr>
              <w:spacing w:after="100"/>
              <w:ind w:hanging="180"/>
              <w:textAlignment w:val="top"/>
            </w:pPr>
            <w:hyperlink r:id="rId34" w:anchor="i6df229dad1864210ab76200083e26819_43"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tcPr>
          <w:p w14:paraId="5CD8DE5D" w14:textId="77777777" w:rsidR="00BA49F5" w:rsidRDefault="007E5E49">
            <w:pPr>
              <w:spacing w:after="100"/>
              <w:ind w:hanging="180"/>
              <w:textAlignment w:val="top"/>
            </w:pPr>
            <w:hyperlink r:id="rId35" w:anchor="i6df229dad1864210ab76200083e26819_43" w:history="1">
              <w:r>
                <w:rPr>
                  <w:rStyle w:val="a5"/>
                  <w:rFonts w:ascii="Times New Roman" w:eastAsia="宋体" w:hAnsi="Times New Roman"/>
                  <w:sz w:val="20"/>
                  <w:szCs w:val="20"/>
                </w:rPr>
                <w:t>[Reserved]</w:t>
              </w:r>
            </w:hyperlink>
          </w:p>
        </w:tc>
        <w:tc>
          <w:tcPr>
            <w:tcW w:w="0" w:type="auto"/>
            <w:gridSpan w:val="3"/>
            <w:shd w:val="clear" w:color="auto" w:fill="auto"/>
            <w:tcMar>
              <w:top w:w="40" w:type="dxa"/>
              <w:left w:w="20" w:type="dxa"/>
              <w:bottom w:w="40" w:type="dxa"/>
              <w:right w:w="20" w:type="dxa"/>
            </w:tcMar>
          </w:tcPr>
          <w:p w14:paraId="5CD8DE5E" w14:textId="77777777" w:rsidR="00BA49F5" w:rsidRDefault="007E5E49">
            <w:pPr>
              <w:jc w:val="center"/>
              <w:textAlignment w:val="top"/>
            </w:pPr>
            <w:hyperlink r:id="rId36" w:anchor="i6df229dad1864210ab76200083e26819_43" w:history="1">
              <w:r>
                <w:rPr>
                  <w:rStyle w:val="a5"/>
                  <w:rFonts w:ascii="Times New Roman" w:eastAsia="宋体" w:hAnsi="Times New Roman"/>
                  <w:sz w:val="20"/>
                  <w:szCs w:val="20"/>
                </w:rPr>
                <w:t>53</w:t>
              </w:r>
            </w:hyperlink>
          </w:p>
        </w:tc>
      </w:tr>
      <w:tr w:rsidR="00BA49F5" w14:paraId="5CD8DE63" w14:textId="77777777">
        <w:trPr>
          <w:jc w:val="center"/>
        </w:trPr>
        <w:tc>
          <w:tcPr>
            <w:tcW w:w="0" w:type="auto"/>
            <w:gridSpan w:val="3"/>
            <w:shd w:val="clear" w:color="auto" w:fill="auto"/>
            <w:tcMar>
              <w:top w:w="40" w:type="dxa"/>
              <w:left w:w="20" w:type="dxa"/>
              <w:bottom w:w="40" w:type="dxa"/>
              <w:right w:w="20" w:type="dxa"/>
            </w:tcMar>
          </w:tcPr>
          <w:p w14:paraId="5CD8DE60" w14:textId="77777777" w:rsidR="00BA49F5" w:rsidRDefault="007E5E49">
            <w:pPr>
              <w:spacing w:after="100"/>
              <w:ind w:hanging="180"/>
              <w:textAlignment w:val="top"/>
            </w:pPr>
            <w:hyperlink r:id="rId37" w:anchor="i6df229dad1864210ab76200083e26819_46" w:history="1">
              <w:r>
                <w:rPr>
                  <w:rStyle w:val="a5"/>
                  <w:rFonts w:ascii="Times New Roman" w:eastAsia="宋体" w:hAnsi="Times New Roman"/>
                  <w:sz w:val="20"/>
                  <w:szCs w:val="20"/>
                </w:rPr>
                <w:t>Item 7.</w:t>
              </w:r>
            </w:hyperlink>
          </w:p>
        </w:tc>
        <w:tc>
          <w:tcPr>
            <w:tcW w:w="0" w:type="auto"/>
            <w:gridSpan w:val="3"/>
            <w:shd w:val="clear" w:color="auto" w:fill="auto"/>
            <w:tcMar>
              <w:top w:w="40" w:type="dxa"/>
              <w:left w:w="20" w:type="dxa"/>
              <w:bottom w:w="40" w:type="dxa"/>
              <w:right w:w="20" w:type="dxa"/>
            </w:tcMar>
          </w:tcPr>
          <w:p w14:paraId="5CD8DE61" w14:textId="77777777" w:rsidR="00BA49F5" w:rsidRDefault="007E5E49">
            <w:pPr>
              <w:spacing w:after="100"/>
              <w:ind w:hanging="180"/>
              <w:textAlignment w:val="top"/>
            </w:pPr>
            <w:hyperlink r:id="rId38" w:anchor="i6df229dad1864210ab76200083e26819_46"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5CD8DE62" w14:textId="77777777" w:rsidR="00BA49F5" w:rsidRDefault="007E5E49">
            <w:pPr>
              <w:jc w:val="center"/>
              <w:textAlignment w:val="top"/>
            </w:pPr>
            <w:hyperlink r:id="rId39" w:anchor="i6df229dad1864210ab76200083e26819_46" w:history="1">
              <w:r>
                <w:rPr>
                  <w:rStyle w:val="a5"/>
                  <w:rFonts w:ascii="Times New Roman" w:eastAsia="宋体" w:hAnsi="Times New Roman"/>
                  <w:sz w:val="20"/>
                  <w:szCs w:val="20"/>
                </w:rPr>
                <w:t>54</w:t>
              </w:r>
            </w:hyperlink>
          </w:p>
        </w:tc>
      </w:tr>
      <w:tr w:rsidR="00BA49F5" w14:paraId="5CD8DE67" w14:textId="77777777">
        <w:trPr>
          <w:jc w:val="center"/>
        </w:trPr>
        <w:tc>
          <w:tcPr>
            <w:tcW w:w="0" w:type="auto"/>
            <w:gridSpan w:val="3"/>
            <w:shd w:val="clear" w:color="auto" w:fill="auto"/>
            <w:tcMar>
              <w:top w:w="40" w:type="dxa"/>
              <w:left w:w="20" w:type="dxa"/>
              <w:bottom w:w="40" w:type="dxa"/>
              <w:right w:w="20" w:type="dxa"/>
            </w:tcMar>
          </w:tcPr>
          <w:p w14:paraId="5CD8DE64" w14:textId="77777777" w:rsidR="00BA49F5" w:rsidRDefault="007E5E49">
            <w:pPr>
              <w:spacing w:after="100"/>
              <w:ind w:hanging="180"/>
              <w:textAlignment w:val="top"/>
            </w:pPr>
            <w:hyperlink r:id="rId40" w:anchor="i6df229dad1864210ab76200083e26819_76" w:history="1">
              <w:r>
                <w:rPr>
                  <w:rStyle w:val="a5"/>
                  <w:rFonts w:ascii="Times New Roman" w:eastAsia="宋体" w:hAnsi="Times New Roman"/>
                  <w:sz w:val="20"/>
                  <w:szCs w:val="20"/>
                </w:rPr>
                <w:t>Item 7A.</w:t>
              </w:r>
            </w:hyperlink>
          </w:p>
        </w:tc>
        <w:tc>
          <w:tcPr>
            <w:tcW w:w="0" w:type="auto"/>
            <w:gridSpan w:val="3"/>
            <w:shd w:val="clear" w:color="auto" w:fill="auto"/>
            <w:tcMar>
              <w:top w:w="40" w:type="dxa"/>
              <w:left w:w="20" w:type="dxa"/>
              <w:bottom w:w="40" w:type="dxa"/>
              <w:right w:w="20" w:type="dxa"/>
            </w:tcMar>
          </w:tcPr>
          <w:p w14:paraId="5CD8DE65" w14:textId="77777777" w:rsidR="00BA49F5" w:rsidRDefault="007E5E49">
            <w:pPr>
              <w:spacing w:after="100"/>
              <w:ind w:hanging="180"/>
              <w:textAlignment w:val="top"/>
            </w:pPr>
            <w:hyperlink r:id="rId41" w:anchor="i6df229dad1864210ab76200083e26819_7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tcPr>
          <w:p w14:paraId="5CD8DE66" w14:textId="77777777" w:rsidR="00BA49F5" w:rsidRDefault="007E5E49">
            <w:pPr>
              <w:jc w:val="center"/>
              <w:textAlignment w:val="top"/>
            </w:pPr>
            <w:hyperlink r:id="rId42" w:anchor="i6df229dad1864210ab76200083e26819_76" w:history="1">
              <w:r>
                <w:rPr>
                  <w:rStyle w:val="a5"/>
                  <w:rFonts w:ascii="Times New Roman" w:eastAsia="宋体" w:hAnsi="Times New Roman"/>
                  <w:sz w:val="20"/>
                  <w:szCs w:val="20"/>
                </w:rPr>
                <w:t>78</w:t>
              </w:r>
            </w:hyperlink>
          </w:p>
        </w:tc>
      </w:tr>
      <w:tr w:rsidR="00BA49F5" w14:paraId="5CD8DE6B" w14:textId="77777777">
        <w:trPr>
          <w:jc w:val="center"/>
        </w:trPr>
        <w:tc>
          <w:tcPr>
            <w:tcW w:w="0" w:type="auto"/>
            <w:gridSpan w:val="3"/>
            <w:shd w:val="clear" w:color="auto" w:fill="auto"/>
            <w:tcMar>
              <w:top w:w="40" w:type="dxa"/>
              <w:left w:w="20" w:type="dxa"/>
              <w:bottom w:w="40" w:type="dxa"/>
              <w:right w:w="20" w:type="dxa"/>
            </w:tcMar>
          </w:tcPr>
          <w:p w14:paraId="5CD8DE68" w14:textId="77777777" w:rsidR="00BA49F5" w:rsidRDefault="007E5E49">
            <w:pPr>
              <w:spacing w:after="100"/>
              <w:ind w:hanging="180"/>
              <w:textAlignment w:val="top"/>
            </w:pPr>
            <w:hyperlink r:id="rId43" w:anchor="i6df229dad1864210ab76200083e26819_79" w:history="1">
              <w:r>
                <w:rPr>
                  <w:rStyle w:val="a5"/>
                  <w:rFonts w:ascii="Times New Roman" w:eastAsia="宋体" w:hAnsi="Times New Roman"/>
                  <w:sz w:val="20"/>
                  <w:szCs w:val="20"/>
                </w:rPr>
                <w:t>Item 8.</w:t>
              </w:r>
            </w:hyperlink>
          </w:p>
        </w:tc>
        <w:tc>
          <w:tcPr>
            <w:tcW w:w="0" w:type="auto"/>
            <w:gridSpan w:val="3"/>
            <w:shd w:val="clear" w:color="auto" w:fill="auto"/>
            <w:tcMar>
              <w:top w:w="40" w:type="dxa"/>
              <w:left w:w="20" w:type="dxa"/>
              <w:bottom w:w="40" w:type="dxa"/>
              <w:right w:w="20" w:type="dxa"/>
            </w:tcMar>
          </w:tcPr>
          <w:p w14:paraId="5CD8DE69" w14:textId="77777777" w:rsidR="00BA49F5" w:rsidRDefault="007E5E49">
            <w:pPr>
              <w:spacing w:after="100"/>
              <w:ind w:hanging="180"/>
              <w:textAlignment w:val="top"/>
            </w:pPr>
            <w:hyperlink r:id="rId44" w:anchor="i6df229dad1864210ab76200083e26819_79"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tcPr>
          <w:p w14:paraId="5CD8DE6A" w14:textId="77777777" w:rsidR="00BA49F5" w:rsidRDefault="007E5E49">
            <w:pPr>
              <w:jc w:val="center"/>
              <w:textAlignment w:val="top"/>
            </w:pPr>
            <w:hyperlink r:id="rId45" w:anchor="i6df229dad1864210ab76200083e26819_79" w:history="1">
              <w:r>
                <w:rPr>
                  <w:rStyle w:val="a5"/>
                  <w:rFonts w:ascii="Times New Roman" w:eastAsia="宋体" w:hAnsi="Times New Roman"/>
                  <w:sz w:val="20"/>
                  <w:szCs w:val="20"/>
                </w:rPr>
                <w:t>80</w:t>
              </w:r>
            </w:hyperlink>
          </w:p>
        </w:tc>
      </w:tr>
      <w:tr w:rsidR="00BA49F5" w14:paraId="5CD8DE6F" w14:textId="77777777">
        <w:trPr>
          <w:jc w:val="center"/>
        </w:trPr>
        <w:tc>
          <w:tcPr>
            <w:tcW w:w="0" w:type="auto"/>
            <w:gridSpan w:val="3"/>
            <w:shd w:val="clear" w:color="auto" w:fill="auto"/>
            <w:tcMar>
              <w:top w:w="40" w:type="dxa"/>
              <w:left w:w="20" w:type="dxa"/>
              <w:bottom w:w="40" w:type="dxa"/>
              <w:right w:w="20" w:type="dxa"/>
            </w:tcMar>
          </w:tcPr>
          <w:p w14:paraId="5CD8DE6C" w14:textId="77777777" w:rsidR="00BA49F5" w:rsidRDefault="007E5E49">
            <w:pPr>
              <w:spacing w:after="100"/>
              <w:ind w:hanging="180"/>
              <w:textAlignment w:val="top"/>
            </w:pPr>
            <w:hyperlink r:id="rId46" w:anchor="i6df229dad1864210ab76200083e26819_151" w:history="1">
              <w:r>
                <w:rPr>
                  <w:rStyle w:val="a5"/>
                  <w:rFonts w:ascii="Times New Roman" w:eastAsia="宋体" w:hAnsi="Times New Roman"/>
                  <w:sz w:val="20"/>
                  <w:szCs w:val="20"/>
                </w:rPr>
                <w:t>Item 9.</w:t>
              </w:r>
            </w:hyperlink>
          </w:p>
        </w:tc>
        <w:tc>
          <w:tcPr>
            <w:tcW w:w="0" w:type="auto"/>
            <w:gridSpan w:val="3"/>
            <w:shd w:val="clear" w:color="auto" w:fill="auto"/>
            <w:tcMar>
              <w:top w:w="40" w:type="dxa"/>
              <w:left w:w="20" w:type="dxa"/>
              <w:bottom w:w="40" w:type="dxa"/>
              <w:right w:w="20" w:type="dxa"/>
            </w:tcMar>
          </w:tcPr>
          <w:p w14:paraId="5CD8DE6D" w14:textId="77777777" w:rsidR="00BA49F5" w:rsidRDefault="007E5E49">
            <w:pPr>
              <w:spacing w:after="100"/>
              <w:ind w:hanging="180"/>
              <w:textAlignment w:val="top"/>
            </w:pPr>
            <w:hyperlink r:id="rId47" w:anchor="i6df229dad1864210ab76200083e26819_151"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5CD8DE6E" w14:textId="77777777" w:rsidR="00BA49F5" w:rsidRDefault="007E5E49">
            <w:pPr>
              <w:jc w:val="center"/>
              <w:textAlignment w:val="top"/>
            </w:pPr>
            <w:hyperlink r:id="rId48" w:anchor="i6df229dad1864210ab76200083e26819_151" w:history="1">
              <w:r>
                <w:rPr>
                  <w:rStyle w:val="a5"/>
                  <w:rFonts w:ascii="Times New Roman" w:eastAsia="宋体" w:hAnsi="Times New Roman"/>
                  <w:sz w:val="20"/>
                  <w:szCs w:val="20"/>
                </w:rPr>
                <w:t>120</w:t>
              </w:r>
            </w:hyperlink>
          </w:p>
        </w:tc>
      </w:tr>
      <w:tr w:rsidR="00BA49F5" w14:paraId="5CD8DE73" w14:textId="77777777">
        <w:trPr>
          <w:jc w:val="center"/>
        </w:trPr>
        <w:tc>
          <w:tcPr>
            <w:tcW w:w="0" w:type="auto"/>
            <w:gridSpan w:val="3"/>
            <w:shd w:val="clear" w:color="auto" w:fill="auto"/>
            <w:tcMar>
              <w:top w:w="40" w:type="dxa"/>
              <w:left w:w="20" w:type="dxa"/>
              <w:bottom w:w="40" w:type="dxa"/>
              <w:right w:w="20" w:type="dxa"/>
            </w:tcMar>
          </w:tcPr>
          <w:p w14:paraId="5CD8DE70" w14:textId="77777777" w:rsidR="00BA49F5" w:rsidRDefault="007E5E49">
            <w:pPr>
              <w:spacing w:after="100"/>
              <w:ind w:hanging="180"/>
              <w:textAlignment w:val="top"/>
            </w:pPr>
            <w:hyperlink r:id="rId49" w:anchor="i6df229dad1864210ab76200083e26819_154" w:history="1">
              <w:r>
                <w:rPr>
                  <w:rStyle w:val="a5"/>
                  <w:rFonts w:ascii="Times New Roman" w:eastAsia="宋体" w:hAnsi="Times New Roman"/>
                  <w:sz w:val="20"/>
                  <w:szCs w:val="20"/>
                </w:rPr>
                <w:t>Item 9A.</w:t>
              </w:r>
            </w:hyperlink>
          </w:p>
        </w:tc>
        <w:tc>
          <w:tcPr>
            <w:tcW w:w="0" w:type="auto"/>
            <w:gridSpan w:val="3"/>
            <w:shd w:val="clear" w:color="auto" w:fill="auto"/>
            <w:tcMar>
              <w:top w:w="40" w:type="dxa"/>
              <w:left w:w="20" w:type="dxa"/>
              <w:bottom w:w="40" w:type="dxa"/>
              <w:right w:w="20" w:type="dxa"/>
            </w:tcMar>
          </w:tcPr>
          <w:p w14:paraId="5CD8DE71" w14:textId="77777777" w:rsidR="00BA49F5" w:rsidRDefault="007E5E49">
            <w:pPr>
              <w:spacing w:after="100"/>
              <w:ind w:hanging="180"/>
              <w:textAlignment w:val="top"/>
            </w:pPr>
            <w:hyperlink r:id="rId50" w:anchor="i6df229dad1864210ab76200083e26819_154"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5CD8DE72" w14:textId="77777777" w:rsidR="00BA49F5" w:rsidRDefault="007E5E49">
            <w:pPr>
              <w:jc w:val="center"/>
              <w:textAlignment w:val="top"/>
            </w:pPr>
            <w:hyperlink r:id="rId51" w:anchor="i6df229dad1864210ab76200083e26819_154" w:history="1">
              <w:r>
                <w:rPr>
                  <w:rStyle w:val="a5"/>
                  <w:rFonts w:ascii="Times New Roman" w:eastAsia="宋体" w:hAnsi="Times New Roman"/>
                  <w:sz w:val="20"/>
                  <w:szCs w:val="20"/>
                </w:rPr>
                <w:t>120</w:t>
              </w:r>
            </w:hyperlink>
          </w:p>
        </w:tc>
      </w:tr>
      <w:tr w:rsidR="00BA49F5" w14:paraId="5CD8DE77" w14:textId="77777777">
        <w:trPr>
          <w:jc w:val="center"/>
        </w:trPr>
        <w:tc>
          <w:tcPr>
            <w:tcW w:w="0" w:type="auto"/>
            <w:gridSpan w:val="3"/>
            <w:shd w:val="clear" w:color="auto" w:fill="auto"/>
            <w:tcMar>
              <w:top w:w="40" w:type="dxa"/>
              <w:left w:w="20" w:type="dxa"/>
              <w:bottom w:w="40" w:type="dxa"/>
              <w:right w:w="20" w:type="dxa"/>
            </w:tcMar>
          </w:tcPr>
          <w:p w14:paraId="5CD8DE74" w14:textId="77777777" w:rsidR="00BA49F5" w:rsidRDefault="007E5E49">
            <w:pPr>
              <w:spacing w:after="100"/>
              <w:ind w:hanging="180"/>
              <w:textAlignment w:val="top"/>
            </w:pPr>
            <w:hyperlink r:id="rId52" w:anchor="i6df229dad1864210ab76200083e26819_157" w:history="1">
              <w:r>
                <w:rPr>
                  <w:rStyle w:val="a5"/>
                  <w:rFonts w:ascii="Times New Roman" w:eastAsia="宋体" w:hAnsi="Times New Roman"/>
                  <w:sz w:val="20"/>
                  <w:szCs w:val="20"/>
                </w:rPr>
                <w:t>Item 9B.</w:t>
              </w:r>
            </w:hyperlink>
          </w:p>
        </w:tc>
        <w:tc>
          <w:tcPr>
            <w:tcW w:w="0" w:type="auto"/>
            <w:gridSpan w:val="3"/>
            <w:shd w:val="clear" w:color="auto" w:fill="auto"/>
            <w:tcMar>
              <w:top w:w="40" w:type="dxa"/>
              <w:left w:w="20" w:type="dxa"/>
              <w:bottom w:w="40" w:type="dxa"/>
              <w:right w:w="20" w:type="dxa"/>
            </w:tcMar>
          </w:tcPr>
          <w:p w14:paraId="5CD8DE75" w14:textId="77777777" w:rsidR="00BA49F5" w:rsidRDefault="007E5E49">
            <w:pPr>
              <w:spacing w:after="100"/>
              <w:ind w:hanging="180"/>
              <w:textAlignment w:val="top"/>
            </w:pPr>
            <w:hyperlink r:id="rId53" w:anchor="i6df229dad1864210ab76200083e26819_157"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tcPr>
          <w:p w14:paraId="5CD8DE76" w14:textId="77777777" w:rsidR="00BA49F5" w:rsidRDefault="007E5E49">
            <w:pPr>
              <w:jc w:val="center"/>
              <w:textAlignment w:val="top"/>
            </w:pPr>
            <w:hyperlink r:id="rId54" w:anchor="i6df229dad1864210ab76200083e26819_157" w:history="1">
              <w:r>
                <w:rPr>
                  <w:rStyle w:val="a5"/>
                  <w:rFonts w:ascii="Times New Roman" w:eastAsia="宋体" w:hAnsi="Times New Roman"/>
                  <w:sz w:val="20"/>
                  <w:szCs w:val="20"/>
                </w:rPr>
                <w:t>120</w:t>
              </w:r>
            </w:hyperlink>
          </w:p>
        </w:tc>
      </w:tr>
      <w:tr w:rsidR="00BA49F5" w14:paraId="5CD8DE7B" w14:textId="77777777">
        <w:trPr>
          <w:jc w:val="center"/>
        </w:trPr>
        <w:tc>
          <w:tcPr>
            <w:tcW w:w="0" w:type="auto"/>
            <w:gridSpan w:val="3"/>
            <w:shd w:val="clear" w:color="auto" w:fill="auto"/>
            <w:tcMar>
              <w:top w:w="40" w:type="dxa"/>
              <w:left w:w="20" w:type="dxa"/>
              <w:bottom w:w="40" w:type="dxa"/>
              <w:right w:w="20" w:type="dxa"/>
            </w:tcMar>
          </w:tcPr>
          <w:p w14:paraId="5CD8DE78" w14:textId="77777777" w:rsidR="00BA49F5" w:rsidRDefault="007E5E49">
            <w:pPr>
              <w:ind w:hanging="180"/>
              <w:textAlignment w:val="top"/>
            </w:pPr>
            <w:hyperlink r:id="rId55" w:anchor="i6df229dad1864210ab76200083e26819_160" w:history="1">
              <w:r>
                <w:rPr>
                  <w:rStyle w:val="a5"/>
                  <w:rFonts w:ascii="Times New Roman" w:eastAsia="宋体" w:hAnsi="Times New Roman"/>
                  <w:sz w:val="20"/>
                  <w:szCs w:val="20"/>
                </w:rPr>
                <w:t>Item 9C.</w:t>
              </w:r>
            </w:hyperlink>
          </w:p>
        </w:tc>
        <w:tc>
          <w:tcPr>
            <w:tcW w:w="0" w:type="auto"/>
            <w:gridSpan w:val="3"/>
            <w:shd w:val="clear" w:color="auto" w:fill="auto"/>
            <w:tcMar>
              <w:top w:w="40" w:type="dxa"/>
              <w:left w:w="20" w:type="dxa"/>
              <w:bottom w:w="40" w:type="dxa"/>
              <w:right w:w="20" w:type="dxa"/>
            </w:tcMar>
          </w:tcPr>
          <w:p w14:paraId="5CD8DE79" w14:textId="77777777" w:rsidR="00BA49F5" w:rsidRDefault="007E5E49">
            <w:pPr>
              <w:ind w:hanging="180"/>
              <w:textAlignment w:val="top"/>
            </w:pPr>
            <w:hyperlink r:id="rId56" w:anchor="i6df229dad1864210ab76200083e26819_160" w:history="1">
              <w:r>
                <w:rPr>
                  <w:rStyle w:val="a5"/>
                  <w:rFonts w:ascii="Times New Roman" w:eastAsia="宋体" w:hAnsi="Times New Roman"/>
                  <w:sz w:val="20"/>
                  <w:szCs w:val="20"/>
                </w:rPr>
                <w:t>Disclosure Regarding Foreign Jurisdictions that Prevent Inspections</w:t>
              </w:r>
            </w:hyperlink>
          </w:p>
        </w:tc>
        <w:tc>
          <w:tcPr>
            <w:tcW w:w="0" w:type="auto"/>
            <w:gridSpan w:val="3"/>
            <w:shd w:val="clear" w:color="auto" w:fill="auto"/>
            <w:tcMar>
              <w:top w:w="40" w:type="dxa"/>
              <w:left w:w="20" w:type="dxa"/>
              <w:bottom w:w="40" w:type="dxa"/>
              <w:right w:w="20" w:type="dxa"/>
            </w:tcMar>
          </w:tcPr>
          <w:p w14:paraId="5CD8DE7A" w14:textId="77777777" w:rsidR="00BA49F5" w:rsidRDefault="007E5E49">
            <w:pPr>
              <w:jc w:val="center"/>
              <w:textAlignment w:val="top"/>
            </w:pPr>
            <w:hyperlink r:id="rId57" w:anchor="i6df229dad1864210ab76200083e26819_160" w:history="1">
              <w:r>
                <w:rPr>
                  <w:rStyle w:val="a5"/>
                  <w:rFonts w:ascii="Times New Roman" w:eastAsia="宋体" w:hAnsi="Times New Roman"/>
                  <w:sz w:val="20"/>
                  <w:szCs w:val="20"/>
                </w:rPr>
                <w:t>120</w:t>
              </w:r>
            </w:hyperlink>
          </w:p>
        </w:tc>
      </w:tr>
      <w:tr w:rsidR="00BA49F5" w14:paraId="5CD8DE7E" w14:textId="77777777">
        <w:trPr>
          <w:trHeight w:val="300"/>
          <w:jc w:val="center"/>
        </w:trPr>
        <w:tc>
          <w:tcPr>
            <w:tcW w:w="0" w:type="auto"/>
            <w:gridSpan w:val="6"/>
            <w:shd w:val="clear" w:color="auto" w:fill="auto"/>
            <w:tcMar>
              <w:top w:w="0" w:type="dxa"/>
              <w:left w:w="20" w:type="dxa"/>
              <w:bottom w:w="0" w:type="dxa"/>
              <w:right w:w="20" w:type="dxa"/>
            </w:tcMar>
            <w:vAlign w:val="bottom"/>
          </w:tcPr>
          <w:p w14:paraId="5CD8DE7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E7D" w14:textId="77777777" w:rsidR="00BA49F5" w:rsidRDefault="00BA49F5">
            <w:pPr>
              <w:rPr>
                <w:rFonts w:ascii="宋体"/>
              </w:rPr>
            </w:pPr>
          </w:p>
        </w:tc>
      </w:tr>
      <w:tr w:rsidR="00BA49F5" w14:paraId="5CD8DE81" w14:textId="77777777">
        <w:trPr>
          <w:jc w:val="center"/>
        </w:trPr>
        <w:tc>
          <w:tcPr>
            <w:tcW w:w="0" w:type="auto"/>
            <w:gridSpan w:val="6"/>
            <w:shd w:val="clear" w:color="auto" w:fill="auto"/>
            <w:tcMar>
              <w:top w:w="40" w:type="dxa"/>
              <w:left w:w="20" w:type="dxa"/>
              <w:bottom w:w="40" w:type="dxa"/>
              <w:right w:w="20" w:type="dxa"/>
            </w:tcMar>
          </w:tcPr>
          <w:p w14:paraId="5CD8DE7F" w14:textId="77777777" w:rsidR="00BA49F5" w:rsidRDefault="007E5E49">
            <w:pPr>
              <w:textAlignment w:val="top"/>
            </w:pPr>
            <w:hyperlink r:id="rId58" w:anchor="i6df229dad1864210ab76200083e26819_163" w:history="1">
              <w:r>
                <w:rPr>
                  <w:rStyle w:val="a5"/>
                  <w:rFonts w:ascii="Times New Roman" w:eastAsia="宋体" w:hAnsi="Times New Roman"/>
                  <w:b/>
                  <w:bCs/>
                  <w:sz w:val="20"/>
                  <w:szCs w:val="20"/>
                </w:rPr>
                <w:t>PART III</w:t>
              </w:r>
            </w:hyperlink>
          </w:p>
        </w:tc>
        <w:tc>
          <w:tcPr>
            <w:tcW w:w="0" w:type="auto"/>
            <w:gridSpan w:val="3"/>
            <w:shd w:val="clear" w:color="auto" w:fill="auto"/>
            <w:tcMar>
              <w:top w:w="0" w:type="dxa"/>
              <w:left w:w="20" w:type="dxa"/>
              <w:bottom w:w="0" w:type="dxa"/>
              <w:right w:w="20" w:type="dxa"/>
            </w:tcMar>
            <w:vAlign w:val="bottom"/>
          </w:tcPr>
          <w:p w14:paraId="5CD8DE80" w14:textId="77777777" w:rsidR="00BA49F5" w:rsidRDefault="00BA49F5">
            <w:pPr>
              <w:rPr>
                <w:rFonts w:ascii="宋体"/>
              </w:rPr>
            </w:pPr>
          </w:p>
        </w:tc>
      </w:tr>
      <w:tr w:rsidR="00BA49F5" w14:paraId="5CD8DE85" w14:textId="77777777">
        <w:trPr>
          <w:jc w:val="center"/>
        </w:trPr>
        <w:tc>
          <w:tcPr>
            <w:tcW w:w="0" w:type="auto"/>
            <w:gridSpan w:val="3"/>
            <w:shd w:val="clear" w:color="auto" w:fill="auto"/>
            <w:tcMar>
              <w:top w:w="40" w:type="dxa"/>
              <w:left w:w="20" w:type="dxa"/>
              <w:bottom w:w="40" w:type="dxa"/>
              <w:right w:w="20" w:type="dxa"/>
            </w:tcMar>
          </w:tcPr>
          <w:p w14:paraId="5CD8DE82" w14:textId="77777777" w:rsidR="00BA49F5" w:rsidRDefault="007E5E49">
            <w:pPr>
              <w:spacing w:after="100"/>
              <w:ind w:hanging="180"/>
              <w:textAlignment w:val="top"/>
            </w:pPr>
            <w:hyperlink r:id="rId59" w:anchor="i6df229dad1864210ab76200083e26819_166" w:history="1">
              <w:r>
                <w:rPr>
                  <w:rStyle w:val="a5"/>
                  <w:rFonts w:ascii="Times New Roman" w:eastAsia="宋体" w:hAnsi="Times New Roman"/>
                  <w:sz w:val="20"/>
                  <w:szCs w:val="20"/>
                </w:rPr>
                <w:t>Item 10.</w:t>
              </w:r>
            </w:hyperlink>
          </w:p>
        </w:tc>
        <w:tc>
          <w:tcPr>
            <w:tcW w:w="0" w:type="auto"/>
            <w:gridSpan w:val="3"/>
            <w:shd w:val="clear" w:color="auto" w:fill="auto"/>
            <w:tcMar>
              <w:top w:w="40" w:type="dxa"/>
              <w:left w:w="20" w:type="dxa"/>
              <w:bottom w:w="40" w:type="dxa"/>
              <w:right w:w="20" w:type="dxa"/>
            </w:tcMar>
          </w:tcPr>
          <w:p w14:paraId="5CD8DE83" w14:textId="77777777" w:rsidR="00BA49F5" w:rsidRDefault="007E5E49">
            <w:pPr>
              <w:spacing w:after="100"/>
              <w:ind w:hanging="180"/>
              <w:textAlignment w:val="top"/>
            </w:pPr>
            <w:hyperlink r:id="rId60" w:anchor="i6df229dad1864210ab76200083e26819_166"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tcPr>
          <w:p w14:paraId="5CD8DE84" w14:textId="77777777" w:rsidR="00BA49F5" w:rsidRDefault="007E5E49">
            <w:pPr>
              <w:jc w:val="center"/>
              <w:textAlignment w:val="top"/>
            </w:pPr>
            <w:hyperlink r:id="rId61" w:anchor="i6df229dad1864210ab76200083e26819_166" w:history="1">
              <w:r>
                <w:rPr>
                  <w:rStyle w:val="a5"/>
                  <w:rFonts w:ascii="Times New Roman" w:eastAsia="宋体" w:hAnsi="Times New Roman"/>
                  <w:sz w:val="20"/>
                  <w:szCs w:val="20"/>
                </w:rPr>
                <w:t>121</w:t>
              </w:r>
            </w:hyperlink>
          </w:p>
        </w:tc>
      </w:tr>
      <w:tr w:rsidR="00BA49F5" w14:paraId="5CD8DE89" w14:textId="77777777">
        <w:trPr>
          <w:jc w:val="center"/>
        </w:trPr>
        <w:tc>
          <w:tcPr>
            <w:tcW w:w="0" w:type="auto"/>
            <w:gridSpan w:val="3"/>
            <w:shd w:val="clear" w:color="auto" w:fill="auto"/>
            <w:tcMar>
              <w:top w:w="40" w:type="dxa"/>
              <w:left w:w="20" w:type="dxa"/>
              <w:bottom w:w="40" w:type="dxa"/>
              <w:right w:w="20" w:type="dxa"/>
            </w:tcMar>
          </w:tcPr>
          <w:p w14:paraId="5CD8DE86" w14:textId="77777777" w:rsidR="00BA49F5" w:rsidRDefault="007E5E49">
            <w:pPr>
              <w:spacing w:after="100"/>
              <w:ind w:hanging="180"/>
              <w:textAlignment w:val="top"/>
            </w:pPr>
            <w:hyperlink r:id="rId62" w:anchor="i6df229dad1864210ab76200083e26819_169" w:history="1">
              <w:r>
                <w:rPr>
                  <w:rStyle w:val="a5"/>
                  <w:rFonts w:ascii="Times New Roman" w:eastAsia="宋体" w:hAnsi="Times New Roman"/>
                  <w:sz w:val="20"/>
                  <w:szCs w:val="20"/>
                </w:rPr>
                <w:t>Item 11.</w:t>
              </w:r>
            </w:hyperlink>
          </w:p>
        </w:tc>
        <w:tc>
          <w:tcPr>
            <w:tcW w:w="0" w:type="auto"/>
            <w:gridSpan w:val="3"/>
            <w:shd w:val="clear" w:color="auto" w:fill="auto"/>
            <w:tcMar>
              <w:top w:w="40" w:type="dxa"/>
              <w:left w:w="20" w:type="dxa"/>
              <w:bottom w:w="40" w:type="dxa"/>
              <w:right w:w="20" w:type="dxa"/>
            </w:tcMar>
          </w:tcPr>
          <w:p w14:paraId="5CD8DE87" w14:textId="77777777" w:rsidR="00BA49F5" w:rsidRDefault="007E5E49">
            <w:pPr>
              <w:spacing w:after="100"/>
              <w:ind w:hanging="180"/>
              <w:textAlignment w:val="top"/>
            </w:pPr>
            <w:hyperlink r:id="rId63" w:anchor="i6df229dad1864210ab76200083e26819_169"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tcPr>
          <w:p w14:paraId="5CD8DE88" w14:textId="77777777" w:rsidR="00BA49F5" w:rsidRDefault="007E5E49">
            <w:pPr>
              <w:jc w:val="center"/>
              <w:textAlignment w:val="top"/>
            </w:pPr>
            <w:hyperlink r:id="rId64" w:anchor="i6df229dad1864210ab76200083e26819_169" w:history="1">
              <w:r>
                <w:rPr>
                  <w:rStyle w:val="a5"/>
                  <w:rFonts w:ascii="Times New Roman" w:eastAsia="宋体" w:hAnsi="Times New Roman"/>
                  <w:sz w:val="20"/>
                  <w:szCs w:val="20"/>
                </w:rPr>
                <w:t>121</w:t>
              </w:r>
            </w:hyperlink>
          </w:p>
        </w:tc>
      </w:tr>
      <w:tr w:rsidR="00BA49F5" w14:paraId="5CD8DE8D" w14:textId="77777777">
        <w:trPr>
          <w:jc w:val="center"/>
        </w:trPr>
        <w:tc>
          <w:tcPr>
            <w:tcW w:w="0" w:type="auto"/>
            <w:gridSpan w:val="3"/>
            <w:shd w:val="clear" w:color="auto" w:fill="auto"/>
            <w:tcMar>
              <w:top w:w="40" w:type="dxa"/>
              <w:left w:w="20" w:type="dxa"/>
              <w:bottom w:w="40" w:type="dxa"/>
              <w:right w:w="20" w:type="dxa"/>
            </w:tcMar>
          </w:tcPr>
          <w:p w14:paraId="5CD8DE8A" w14:textId="77777777" w:rsidR="00BA49F5" w:rsidRDefault="007E5E49">
            <w:pPr>
              <w:spacing w:after="100"/>
              <w:ind w:hanging="180"/>
              <w:textAlignment w:val="top"/>
            </w:pPr>
            <w:hyperlink r:id="rId65" w:anchor="i6df229dad1864210ab76200083e26819_172" w:history="1">
              <w:r>
                <w:rPr>
                  <w:rStyle w:val="a5"/>
                  <w:rFonts w:ascii="Times New Roman" w:eastAsia="宋体" w:hAnsi="Times New Roman"/>
                  <w:sz w:val="20"/>
                  <w:szCs w:val="20"/>
                </w:rPr>
                <w:t>Item 12.</w:t>
              </w:r>
            </w:hyperlink>
          </w:p>
        </w:tc>
        <w:tc>
          <w:tcPr>
            <w:tcW w:w="0" w:type="auto"/>
            <w:gridSpan w:val="3"/>
            <w:shd w:val="clear" w:color="auto" w:fill="auto"/>
            <w:tcMar>
              <w:top w:w="40" w:type="dxa"/>
              <w:left w:w="20" w:type="dxa"/>
              <w:bottom w:w="40" w:type="dxa"/>
              <w:right w:w="20" w:type="dxa"/>
            </w:tcMar>
          </w:tcPr>
          <w:p w14:paraId="5CD8DE8B" w14:textId="77777777" w:rsidR="00BA49F5" w:rsidRDefault="007E5E49">
            <w:pPr>
              <w:spacing w:after="100"/>
              <w:ind w:hanging="180"/>
              <w:textAlignment w:val="top"/>
            </w:pPr>
            <w:hyperlink r:id="rId66" w:anchor="i6df229dad1864210ab76200083e26819_172" w:history="1">
              <w:r>
                <w:rPr>
                  <w:rStyle w:val="a5"/>
                  <w:rFonts w:ascii="Times New Roman" w:eastAsia="宋体" w:hAnsi="Times New Roman"/>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tcPr>
          <w:p w14:paraId="5CD8DE8C" w14:textId="77777777" w:rsidR="00BA49F5" w:rsidRDefault="007E5E49">
            <w:pPr>
              <w:jc w:val="center"/>
              <w:textAlignment w:val="top"/>
            </w:pPr>
            <w:hyperlink r:id="rId67" w:anchor="i6df229dad1864210ab76200083e26819_172" w:history="1">
              <w:r>
                <w:rPr>
                  <w:rStyle w:val="a5"/>
                  <w:rFonts w:ascii="Times New Roman" w:eastAsia="宋体" w:hAnsi="Times New Roman"/>
                  <w:sz w:val="20"/>
                  <w:szCs w:val="20"/>
                </w:rPr>
                <w:t>121</w:t>
              </w:r>
            </w:hyperlink>
          </w:p>
        </w:tc>
      </w:tr>
      <w:tr w:rsidR="00BA49F5" w14:paraId="5CD8DE91" w14:textId="77777777">
        <w:trPr>
          <w:jc w:val="center"/>
        </w:trPr>
        <w:tc>
          <w:tcPr>
            <w:tcW w:w="0" w:type="auto"/>
            <w:gridSpan w:val="3"/>
            <w:shd w:val="clear" w:color="auto" w:fill="auto"/>
            <w:tcMar>
              <w:top w:w="40" w:type="dxa"/>
              <w:left w:w="20" w:type="dxa"/>
              <w:bottom w:w="40" w:type="dxa"/>
              <w:right w:w="20" w:type="dxa"/>
            </w:tcMar>
          </w:tcPr>
          <w:p w14:paraId="5CD8DE8E" w14:textId="77777777" w:rsidR="00BA49F5" w:rsidRDefault="007E5E49">
            <w:pPr>
              <w:spacing w:after="100"/>
              <w:ind w:hanging="180"/>
              <w:textAlignment w:val="top"/>
            </w:pPr>
            <w:hyperlink r:id="rId68" w:anchor="i6df229dad1864210ab76200083e26819_175" w:history="1">
              <w:r>
                <w:rPr>
                  <w:rStyle w:val="a5"/>
                  <w:rFonts w:ascii="Times New Roman" w:eastAsia="宋体" w:hAnsi="Times New Roman"/>
                  <w:sz w:val="20"/>
                  <w:szCs w:val="20"/>
                </w:rPr>
                <w:t>Item 13.</w:t>
              </w:r>
            </w:hyperlink>
          </w:p>
        </w:tc>
        <w:tc>
          <w:tcPr>
            <w:tcW w:w="0" w:type="auto"/>
            <w:gridSpan w:val="3"/>
            <w:shd w:val="clear" w:color="auto" w:fill="auto"/>
            <w:tcMar>
              <w:top w:w="40" w:type="dxa"/>
              <w:left w:w="20" w:type="dxa"/>
              <w:bottom w:w="40" w:type="dxa"/>
              <w:right w:w="20" w:type="dxa"/>
            </w:tcMar>
          </w:tcPr>
          <w:p w14:paraId="5CD8DE8F" w14:textId="77777777" w:rsidR="00BA49F5" w:rsidRDefault="007E5E49">
            <w:pPr>
              <w:spacing w:after="100"/>
              <w:ind w:hanging="180"/>
              <w:textAlignment w:val="top"/>
            </w:pPr>
            <w:hyperlink r:id="rId69" w:anchor="i6df229dad1864210ab76200083e26819_175" w:history="1">
              <w:r>
                <w:rPr>
                  <w:rStyle w:val="a5"/>
                  <w:rFonts w:ascii="Times New Roman" w:eastAsia="宋体" w:hAnsi="Times New Roman"/>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tcPr>
          <w:p w14:paraId="5CD8DE90" w14:textId="77777777" w:rsidR="00BA49F5" w:rsidRDefault="007E5E49">
            <w:pPr>
              <w:jc w:val="center"/>
              <w:textAlignment w:val="top"/>
            </w:pPr>
            <w:hyperlink r:id="rId70" w:anchor="i6df229dad1864210ab76200083e26819_175" w:history="1">
              <w:r>
                <w:rPr>
                  <w:rStyle w:val="a5"/>
                  <w:rFonts w:ascii="Times New Roman" w:eastAsia="宋体" w:hAnsi="Times New Roman"/>
                  <w:sz w:val="20"/>
                  <w:szCs w:val="20"/>
                </w:rPr>
                <w:t>121</w:t>
              </w:r>
            </w:hyperlink>
          </w:p>
        </w:tc>
      </w:tr>
      <w:tr w:rsidR="00BA49F5" w14:paraId="5CD8DE95" w14:textId="77777777">
        <w:trPr>
          <w:jc w:val="center"/>
        </w:trPr>
        <w:tc>
          <w:tcPr>
            <w:tcW w:w="0" w:type="auto"/>
            <w:gridSpan w:val="3"/>
            <w:shd w:val="clear" w:color="auto" w:fill="auto"/>
            <w:tcMar>
              <w:top w:w="40" w:type="dxa"/>
              <w:left w:w="20" w:type="dxa"/>
              <w:bottom w:w="40" w:type="dxa"/>
              <w:right w:w="20" w:type="dxa"/>
            </w:tcMar>
          </w:tcPr>
          <w:p w14:paraId="5CD8DE92" w14:textId="77777777" w:rsidR="00BA49F5" w:rsidRDefault="007E5E49">
            <w:pPr>
              <w:spacing w:after="100"/>
              <w:ind w:hanging="180"/>
              <w:textAlignment w:val="top"/>
            </w:pPr>
            <w:hyperlink r:id="rId71" w:anchor="i6df229dad1864210ab76200083e26819_178" w:history="1">
              <w:r>
                <w:rPr>
                  <w:rStyle w:val="a5"/>
                  <w:rFonts w:ascii="Times New Roman" w:eastAsia="宋体" w:hAnsi="Times New Roman"/>
                  <w:sz w:val="20"/>
                  <w:szCs w:val="20"/>
                </w:rPr>
                <w:t>I</w:t>
              </w:r>
              <w:r>
                <w:rPr>
                  <w:rStyle w:val="a5"/>
                  <w:rFonts w:ascii="Times New Roman" w:eastAsia="宋体" w:hAnsi="Times New Roman"/>
                  <w:sz w:val="20"/>
                  <w:szCs w:val="20"/>
                </w:rPr>
                <w:t>tem 14.</w:t>
              </w:r>
            </w:hyperlink>
          </w:p>
        </w:tc>
        <w:tc>
          <w:tcPr>
            <w:tcW w:w="0" w:type="auto"/>
            <w:gridSpan w:val="3"/>
            <w:shd w:val="clear" w:color="auto" w:fill="auto"/>
            <w:tcMar>
              <w:top w:w="40" w:type="dxa"/>
              <w:left w:w="20" w:type="dxa"/>
              <w:bottom w:w="40" w:type="dxa"/>
              <w:right w:w="20" w:type="dxa"/>
            </w:tcMar>
          </w:tcPr>
          <w:p w14:paraId="5CD8DE93" w14:textId="77777777" w:rsidR="00BA49F5" w:rsidRDefault="007E5E49">
            <w:pPr>
              <w:spacing w:after="100"/>
              <w:ind w:hanging="180"/>
              <w:textAlignment w:val="top"/>
            </w:pPr>
            <w:hyperlink r:id="rId72" w:anchor="i6df229dad1864210ab76200083e26819_178" w:history="1">
              <w:r>
                <w:rPr>
                  <w:rStyle w:val="a5"/>
                  <w:rFonts w:ascii="Times New Roman" w:eastAsia="宋体" w:hAnsi="Times New Roman"/>
                  <w:sz w:val="20"/>
                  <w:szCs w:val="20"/>
                </w:rPr>
                <w:t>Principal Account</w:t>
              </w:r>
            </w:hyperlink>
            <w:hyperlink r:id="rId73" w:anchor="i6df229dad1864210ab76200083e26819_178" w:history="1">
              <w:r>
                <w:rPr>
                  <w:rStyle w:val="a5"/>
                  <w:rFonts w:ascii="Times New Roman" w:eastAsia="宋体" w:hAnsi="Times New Roman"/>
                  <w:sz w:val="20"/>
                  <w:szCs w:val="20"/>
                </w:rPr>
                <w:t>ant</w:t>
              </w:r>
            </w:hyperlink>
            <w:hyperlink r:id="rId74" w:anchor="i6df229dad1864210ab76200083e26819_178" w:history="1">
              <w:r>
                <w:rPr>
                  <w:rStyle w:val="a5"/>
                  <w:rFonts w:ascii="Times New Roman" w:eastAsia="宋体" w:hAnsi="Times New Roman"/>
                  <w:sz w:val="20"/>
                  <w:szCs w:val="20"/>
                </w:rPr>
                <w:t xml:space="preserve"> Fees and Services</w:t>
              </w:r>
            </w:hyperlink>
          </w:p>
        </w:tc>
        <w:tc>
          <w:tcPr>
            <w:tcW w:w="0" w:type="auto"/>
            <w:gridSpan w:val="3"/>
            <w:shd w:val="clear" w:color="auto" w:fill="auto"/>
            <w:tcMar>
              <w:top w:w="40" w:type="dxa"/>
              <w:left w:w="20" w:type="dxa"/>
              <w:bottom w:w="40" w:type="dxa"/>
              <w:right w:w="20" w:type="dxa"/>
            </w:tcMar>
          </w:tcPr>
          <w:p w14:paraId="5CD8DE94" w14:textId="77777777" w:rsidR="00BA49F5" w:rsidRDefault="007E5E49">
            <w:pPr>
              <w:jc w:val="center"/>
              <w:textAlignment w:val="top"/>
            </w:pPr>
            <w:hyperlink r:id="rId75" w:anchor="i6df229dad1864210ab76200083e26819_178" w:history="1">
              <w:r>
                <w:rPr>
                  <w:rStyle w:val="a5"/>
                  <w:rFonts w:ascii="Times New Roman" w:eastAsia="宋体" w:hAnsi="Times New Roman"/>
                  <w:sz w:val="20"/>
                  <w:szCs w:val="20"/>
                </w:rPr>
                <w:t>121</w:t>
              </w:r>
            </w:hyperlink>
          </w:p>
        </w:tc>
      </w:tr>
      <w:tr w:rsidR="00BA49F5" w14:paraId="5CD8DE98" w14:textId="77777777">
        <w:trPr>
          <w:trHeight w:val="300"/>
          <w:jc w:val="center"/>
        </w:trPr>
        <w:tc>
          <w:tcPr>
            <w:tcW w:w="0" w:type="auto"/>
            <w:gridSpan w:val="6"/>
            <w:shd w:val="clear" w:color="auto" w:fill="auto"/>
            <w:tcMar>
              <w:top w:w="0" w:type="dxa"/>
              <w:left w:w="20" w:type="dxa"/>
              <w:bottom w:w="0" w:type="dxa"/>
              <w:right w:w="20" w:type="dxa"/>
            </w:tcMar>
            <w:vAlign w:val="bottom"/>
          </w:tcPr>
          <w:p w14:paraId="5CD8DE9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DE97" w14:textId="77777777" w:rsidR="00BA49F5" w:rsidRDefault="00BA49F5">
            <w:pPr>
              <w:rPr>
                <w:rFonts w:ascii="宋体"/>
              </w:rPr>
            </w:pPr>
          </w:p>
        </w:tc>
      </w:tr>
      <w:tr w:rsidR="00BA49F5" w14:paraId="5CD8DE9B" w14:textId="77777777">
        <w:trPr>
          <w:jc w:val="center"/>
        </w:trPr>
        <w:tc>
          <w:tcPr>
            <w:tcW w:w="0" w:type="auto"/>
            <w:gridSpan w:val="6"/>
            <w:shd w:val="clear" w:color="auto" w:fill="auto"/>
            <w:tcMar>
              <w:top w:w="40" w:type="dxa"/>
              <w:left w:w="20" w:type="dxa"/>
              <w:bottom w:w="40" w:type="dxa"/>
              <w:right w:w="20" w:type="dxa"/>
            </w:tcMar>
          </w:tcPr>
          <w:p w14:paraId="5CD8DE99" w14:textId="77777777" w:rsidR="00BA49F5" w:rsidRDefault="007E5E49">
            <w:pPr>
              <w:textAlignment w:val="top"/>
            </w:pPr>
            <w:hyperlink r:id="rId76" w:anchor="i6df229dad1864210ab76200083e26819_181" w:history="1">
              <w:r>
                <w:rPr>
                  <w:rStyle w:val="a5"/>
                  <w:rFonts w:ascii="Times New Roman" w:eastAsia="宋体" w:hAnsi="Times New Roman"/>
                  <w:b/>
                  <w:bCs/>
                  <w:sz w:val="20"/>
                  <w:szCs w:val="20"/>
                </w:rPr>
                <w:t>PART IV</w:t>
              </w:r>
            </w:hyperlink>
          </w:p>
        </w:tc>
        <w:tc>
          <w:tcPr>
            <w:tcW w:w="0" w:type="auto"/>
            <w:gridSpan w:val="3"/>
            <w:shd w:val="clear" w:color="auto" w:fill="auto"/>
            <w:tcMar>
              <w:top w:w="0" w:type="dxa"/>
              <w:left w:w="20" w:type="dxa"/>
              <w:bottom w:w="0" w:type="dxa"/>
              <w:right w:w="20" w:type="dxa"/>
            </w:tcMar>
            <w:vAlign w:val="bottom"/>
          </w:tcPr>
          <w:p w14:paraId="5CD8DE9A" w14:textId="77777777" w:rsidR="00BA49F5" w:rsidRDefault="00BA49F5">
            <w:pPr>
              <w:rPr>
                <w:rFonts w:ascii="宋体"/>
              </w:rPr>
            </w:pPr>
          </w:p>
        </w:tc>
      </w:tr>
      <w:tr w:rsidR="00BA49F5" w14:paraId="5CD8DE9F" w14:textId="77777777">
        <w:trPr>
          <w:jc w:val="center"/>
        </w:trPr>
        <w:tc>
          <w:tcPr>
            <w:tcW w:w="0" w:type="auto"/>
            <w:gridSpan w:val="3"/>
            <w:shd w:val="clear" w:color="auto" w:fill="auto"/>
            <w:tcMar>
              <w:top w:w="40" w:type="dxa"/>
              <w:left w:w="20" w:type="dxa"/>
              <w:bottom w:w="40" w:type="dxa"/>
              <w:right w:w="20" w:type="dxa"/>
            </w:tcMar>
          </w:tcPr>
          <w:p w14:paraId="5CD8DE9C" w14:textId="77777777" w:rsidR="00BA49F5" w:rsidRDefault="007E5E49">
            <w:pPr>
              <w:spacing w:after="100"/>
              <w:ind w:hanging="180"/>
              <w:textAlignment w:val="top"/>
            </w:pPr>
            <w:hyperlink r:id="rId77" w:anchor="i6df229dad1864210ab76200083e26819_184" w:history="1">
              <w:r>
                <w:rPr>
                  <w:rStyle w:val="a5"/>
                  <w:rFonts w:ascii="Times New Roman" w:eastAsia="宋体" w:hAnsi="Times New Roman"/>
                  <w:sz w:val="20"/>
                  <w:szCs w:val="20"/>
                </w:rPr>
                <w:t>Item 15.</w:t>
              </w:r>
            </w:hyperlink>
          </w:p>
        </w:tc>
        <w:tc>
          <w:tcPr>
            <w:tcW w:w="0" w:type="auto"/>
            <w:gridSpan w:val="3"/>
            <w:shd w:val="clear" w:color="auto" w:fill="auto"/>
            <w:tcMar>
              <w:top w:w="40" w:type="dxa"/>
              <w:left w:w="20" w:type="dxa"/>
              <w:bottom w:w="40" w:type="dxa"/>
              <w:right w:w="20" w:type="dxa"/>
            </w:tcMar>
          </w:tcPr>
          <w:p w14:paraId="5CD8DE9D" w14:textId="77777777" w:rsidR="00BA49F5" w:rsidRDefault="007E5E49">
            <w:pPr>
              <w:spacing w:after="100"/>
              <w:textAlignment w:val="top"/>
            </w:pPr>
            <w:hyperlink r:id="rId78" w:anchor="i6df229dad1864210ab76200083e26819_184" w:history="1">
              <w:r>
                <w:rPr>
                  <w:rStyle w:val="a5"/>
                  <w:rFonts w:ascii="Times New Roman" w:eastAsia="宋体" w:hAnsi="Times New Roman"/>
                  <w:sz w:val="20"/>
                  <w:szCs w:val="20"/>
                </w:rPr>
                <w:t>Exhibit and Financial Statement Schedules</w:t>
              </w:r>
            </w:hyperlink>
          </w:p>
        </w:tc>
        <w:tc>
          <w:tcPr>
            <w:tcW w:w="0" w:type="auto"/>
            <w:gridSpan w:val="3"/>
            <w:shd w:val="clear" w:color="auto" w:fill="auto"/>
            <w:tcMar>
              <w:top w:w="40" w:type="dxa"/>
              <w:left w:w="20" w:type="dxa"/>
              <w:bottom w:w="40" w:type="dxa"/>
              <w:right w:w="20" w:type="dxa"/>
            </w:tcMar>
          </w:tcPr>
          <w:p w14:paraId="5CD8DE9E" w14:textId="77777777" w:rsidR="00BA49F5" w:rsidRDefault="007E5E49">
            <w:pPr>
              <w:jc w:val="center"/>
              <w:textAlignment w:val="top"/>
            </w:pPr>
            <w:hyperlink r:id="rId79" w:anchor="i6df229dad1864210ab76200083e26819_184" w:history="1">
              <w:r>
                <w:rPr>
                  <w:rStyle w:val="a5"/>
                  <w:rFonts w:ascii="Times New Roman" w:eastAsia="宋体" w:hAnsi="Times New Roman"/>
                  <w:sz w:val="20"/>
                  <w:szCs w:val="20"/>
                </w:rPr>
                <w:t>122</w:t>
              </w:r>
            </w:hyperlink>
          </w:p>
        </w:tc>
      </w:tr>
      <w:tr w:rsidR="00BA49F5" w14:paraId="5CD8DEA3" w14:textId="77777777">
        <w:trPr>
          <w:jc w:val="center"/>
        </w:trPr>
        <w:tc>
          <w:tcPr>
            <w:tcW w:w="0" w:type="auto"/>
            <w:gridSpan w:val="3"/>
            <w:shd w:val="clear" w:color="auto" w:fill="auto"/>
            <w:tcMar>
              <w:top w:w="40" w:type="dxa"/>
              <w:left w:w="20" w:type="dxa"/>
              <w:bottom w:w="40" w:type="dxa"/>
              <w:right w:w="20" w:type="dxa"/>
            </w:tcMar>
          </w:tcPr>
          <w:p w14:paraId="5CD8DEA0" w14:textId="77777777" w:rsidR="00BA49F5" w:rsidRDefault="007E5E49">
            <w:pPr>
              <w:spacing w:after="100"/>
              <w:ind w:hanging="180"/>
              <w:textAlignment w:val="top"/>
            </w:pPr>
            <w:hyperlink r:id="rId80" w:anchor="i6df229dad1864210ab76200083e26819_187" w:history="1">
              <w:r>
                <w:rPr>
                  <w:rStyle w:val="a5"/>
                  <w:rFonts w:ascii="Times New Roman" w:eastAsia="宋体" w:hAnsi="Times New Roman"/>
                  <w:sz w:val="20"/>
                  <w:szCs w:val="20"/>
                </w:rPr>
                <w:t>Item 16.</w:t>
              </w:r>
            </w:hyperlink>
          </w:p>
        </w:tc>
        <w:tc>
          <w:tcPr>
            <w:tcW w:w="0" w:type="auto"/>
            <w:gridSpan w:val="3"/>
            <w:shd w:val="clear" w:color="auto" w:fill="auto"/>
            <w:tcMar>
              <w:top w:w="40" w:type="dxa"/>
              <w:left w:w="20" w:type="dxa"/>
              <w:bottom w:w="40" w:type="dxa"/>
              <w:right w:w="20" w:type="dxa"/>
            </w:tcMar>
          </w:tcPr>
          <w:p w14:paraId="5CD8DEA1" w14:textId="77777777" w:rsidR="00BA49F5" w:rsidRDefault="007E5E49">
            <w:pPr>
              <w:textAlignment w:val="top"/>
            </w:pPr>
            <w:hyperlink r:id="rId81" w:anchor="i6df229dad1864210ab76200083e26819_187"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tcPr>
          <w:p w14:paraId="5CD8DEA2" w14:textId="77777777" w:rsidR="00BA49F5" w:rsidRDefault="007E5E49">
            <w:pPr>
              <w:jc w:val="center"/>
              <w:textAlignment w:val="top"/>
            </w:pPr>
            <w:hyperlink r:id="rId82" w:anchor="i6df229dad1864210ab76200083e26819_187" w:history="1">
              <w:r>
                <w:rPr>
                  <w:rStyle w:val="a5"/>
                  <w:rFonts w:ascii="Times New Roman" w:eastAsia="宋体" w:hAnsi="Times New Roman"/>
                  <w:sz w:val="20"/>
                  <w:szCs w:val="20"/>
                </w:rPr>
                <w:t>124</w:t>
              </w:r>
            </w:hyperlink>
          </w:p>
        </w:tc>
      </w:tr>
      <w:tr w:rsidR="00BA49F5" w14:paraId="5CD8DEA6" w14:textId="77777777">
        <w:trPr>
          <w:jc w:val="center"/>
        </w:trPr>
        <w:tc>
          <w:tcPr>
            <w:tcW w:w="0" w:type="auto"/>
            <w:gridSpan w:val="6"/>
            <w:shd w:val="clear" w:color="auto" w:fill="auto"/>
            <w:tcMar>
              <w:top w:w="40" w:type="dxa"/>
              <w:left w:w="20" w:type="dxa"/>
              <w:bottom w:w="40" w:type="dxa"/>
              <w:right w:w="20" w:type="dxa"/>
            </w:tcMar>
          </w:tcPr>
          <w:p w14:paraId="5CD8DEA4" w14:textId="77777777" w:rsidR="00BA49F5" w:rsidRDefault="007E5E49">
            <w:pPr>
              <w:spacing w:after="100"/>
              <w:ind w:hanging="180"/>
              <w:textAlignment w:val="top"/>
            </w:pPr>
            <w:hyperlink r:id="rId83" w:anchor="i6df229dad1864210ab76200083e26819_190"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tcPr>
          <w:p w14:paraId="5CD8DEA5" w14:textId="77777777" w:rsidR="00BA49F5" w:rsidRDefault="007E5E49">
            <w:pPr>
              <w:jc w:val="center"/>
              <w:textAlignment w:val="top"/>
            </w:pPr>
            <w:hyperlink r:id="rId84" w:anchor="i6df229dad1864210ab76200083e26819_190" w:history="1">
              <w:r>
                <w:rPr>
                  <w:rStyle w:val="a5"/>
                  <w:rFonts w:ascii="Times New Roman" w:eastAsia="宋体" w:hAnsi="Times New Roman"/>
                  <w:sz w:val="20"/>
                  <w:szCs w:val="20"/>
                </w:rPr>
                <w:t>125</w:t>
              </w:r>
            </w:hyperlink>
          </w:p>
        </w:tc>
      </w:tr>
    </w:tbl>
    <w:p w14:paraId="5CD8DEA7" w14:textId="77777777" w:rsidR="00BA49F5" w:rsidRDefault="00BA49F5">
      <w:pPr>
        <w:jc w:val="center"/>
      </w:pPr>
    </w:p>
    <w:p w14:paraId="5CD8DEA8" w14:textId="77777777" w:rsidR="00BA49F5" w:rsidRDefault="00BA49F5">
      <w:pPr>
        <w:jc w:val="center"/>
      </w:pPr>
    </w:p>
    <w:p w14:paraId="5CD8DEA9" w14:textId="77777777" w:rsidR="00BA49F5" w:rsidRDefault="00BA49F5">
      <w:pPr>
        <w:jc w:val="center"/>
      </w:pPr>
    </w:p>
    <w:p w14:paraId="5CD8DEAA" w14:textId="77777777" w:rsidR="00BA49F5" w:rsidRDefault="007E5E49">
      <w:pPr>
        <w:jc w:val="center"/>
      </w:pPr>
      <w:r>
        <w:rPr>
          <w:rFonts w:ascii="Times New Roman" w:eastAsia="宋体" w:hAnsi="Times New Roman"/>
          <w:color w:val="000000"/>
          <w:sz w:val="20"/>
          <w:szCs w:val="20"/>
        </w:rPr>
        <w:t>2</w:t>
      </w:r>
    </w:p>
    <w:p w14:paraId="5CD8DEAB" w14:textId="77777777" w:rsidR="00BA49F5" w:rsidRDefault="007E5E49">
      <w:r>
        <w:pict w14:anchorId="5CD90CCD">
          <v:rect id="_x0000_i1026" style="width:415.3pt;height:1.5pt" o:hralign="center" o:hrstd="t" o:hr="t" fillcolor="#a0a0a0" stroked="f"/>
        </w:pict>
      </w:r>
    </w:p>
    <w:p w14:paraId="5CD8DEAC" w14:textId="77777777" w:rsidR="00BA49F5" w:rsidRDefault="00BA49F5"/>
    <w:p w14:paraId="5CD8DEAD" w14:textId="77777777" w:rsidR="00BA49F5" w:rsidRDefault="00BA49F5"/>
    <w:p w14:paraId="5CD8DEAE" w14:textId="77777777" w:rsidR="00BA49F5" w:rsidRDefault="007E5E49">
      <w:hyperlink r:id="rId85" w:anchor="i6df229dad1864210ab76200083e26819_7" w:history="1">
        <w:r>
          <w:rPr>
            <w:rStyle w:val="a5"/>
            <w:rFonts w:ascii="Times New Roman" w:eastAsia="宋体" w:hAnsi="Times New Roman"/>
            <w:sz w:val="20"/>
            <w:szCs w:val="20"/>
          </w:rPr>
          <w:t>Table of Contents</w:t>
        </w:r>
      </w:hyperlink>
    </w:p>
    <w:p w14:paraId="5CD8DEAF" w14:textId="77777777" w:rsidR="00BA49F5" w:rsidRDefault="007E5E49">
      <w:pPr>
        <w:jc w:val="center"/>
      </w:pPr>
      <w:r>
        <w:rPr>
          <w:rFonts w:ascii="Times New Roman" w:eastAsia="宋体" w:hAnsi="Times New Roman"/>
          <w:b/>
          <w:bCs/>
          <w:color w:val="000000"/>
          <w:sz w:val="20"/>
          <w:szCs w:val="20"/>
        </w:rPr>
        <w:t>NOTE ABOUT FORWARD-LOOKING STATEMENTS</w:t>
      </w:r>
    </w:p>
    <w:p w14:paraId="5CD8DEB0" w14:textId="77777777" w:rsidR="00BA49F5" w:rsidRDefault="00BA49F5">
      <w:pPr>
        <w:ind w:firstLine="540"/>
        <w:jc w:val="both"/>
      </w:pPr>
    </w:p>
    <w:p w14:paraId="5CD8DEB1" w14:textId="77777777" w:rsidR="00BA49F5" w:rsidRDefault="007E5E49">
      <w:pPr>
        <w:ind w:firstLine="540"/>
        <w:jc w:val="both"/>
      </w:pPr>
      <w:r>
        <w:rPr>
          <w:rFonts w:ascii="Times New Roman" w:eastAsia="宋体" w:hAnsi="Times New Roman"/>
          <w:color w:val="000000"/>
          <w:sz w:val="20"/>
          <w:szCs w:val="20"/>
        </w:rPr>
        <w:t xml:space="preserve">This Annual Report on Form 10-K </w:t>
      </w:r>
      <w:r>
        <w:rPr>
          <w:rFonts w:ascii="Times New Roman" w:eastAsia="宋体" w:hAnsi="Times New Roman"/>
          <w:color w:val="000000"/>
          <w:sz w:val="20"/>
          <w:szCs w:val="20"/>
        </w:rPr>
        <w:t>contains forward-looking statements. All statements contained in this Annual Report on Form 10-K other than statements of historical fact, including statements regarding our future results of operations and financial position, our business strategy and pla</w:t>
      </w:r>
      <w:r>
        <w:rPr>
          <w:rFonts w:ascii="Times New Roman" w:eastAsia="宋体" w:hAnsi="Times New Roman"/>
          <w:color w:val="000000"/>
          <w:sz w:val="20"/>
          <w:szCs w:val="20"/>
        </w:rPr>
        <w:t>ns, and our objectives for future operations, are forward-looking statements. The words "believe," "may," "will," "estimate," "continue," "anticipate," "intend," "expect," and similar expressions are intended to identify forward-looking statements. We have</w:t>
      </w:r>
      <w:r>
        <w:rPr>
          <w:rFonts w:ascii="Times New Roman" w:eastAsia="宋体" w:hAnsi="Times New Roman"/>
          <w:color w:val="000000"/>
          <w:sz w:val="20"/>
          <w:szCs w:val="20"/>
        </w:rPr>
        <w:t xml:space="preserve"> based these forward-looking statements largely on our current expectations and projections about future events and trends that we believe may affect our financial condition, results of operations, business strategy, short-term and long-term business opera</w:t>
      </w:r>
      <w:r>
        <w:rPr>
          <w:rFonts w:ascii="Times New Roman" w:eastAsia="宋体" w:hAnsi="Times New Roman"/>
          <w:color w:val="000000"/>
          <w:sz w:val="20"/>
          <w:szCs w:val="20"/>
        </w:rPr>
        <w:t>tions and objectives, and financial needs. These forward-looking statements are subject to a number of risks, uncertainties and assumptions, including those described in Part I, Item 1A, "Risk Factors" in this Annual Report on Form 10-K. Moreover, we opera</w:t>
      </w:r>
      <w:r>
        <w:rPr>
          <w:rFonts w:ascii="Times New Roman" w:eastAsia="宋体" w:hAnsi="Times New Roman"/>
          <w:color w:val="000000"/>
          <w:sz w:val="20"/>
          <w:szCs w:val="20"/>
        </w:rPr>
        <w:t>te in a very competitive and rapidly changing environment. New risks emerge from time to time. It is not possible for our management to predict all risks, nor can we assess the impact of all factors on our business or the extent to which any factor, or com</w:t>
      </w:r>
      <w:r>
        <w:rPr>
          <w:rFonts w:ascii="Times New Roman" w:eastAsia="宋体" w:hAnsi="Times New Roman"/>
          <w:color w:val="000000"/>
          <w:sz w:val="20"/>
          <w:szCs w:val="20"/>
        </w:rPr>
        <w:t>bination of factors, may cause actual results to differ materially from those contained in any forward-looking statements we may make. In light of these risks, uncertainties and assumptions, the future events and trends discussed in this Annual Report on F</w:t>
      </w:r>
      <w:r>
        <w:rPr>
          <w:rFonts w:ascii="Times New Roman" w:eastAsia="宋体" w:hAnsi="Times New Roman"/>
          <w:color w:val="000000"/>
          <w:sz w:val="20"/>
          <w:szCs w:val="20"/>
        </w:rPr>
        <w:t>orm 10-K may not occur and actual results could differ materially and adversely from those anticipated or implied in the forward-looking statements.</w:t>
      </w:r>
    </w:p>
    <w:p w14:paraId="5CD8DEB2" w14:textId="77777777" w:rsidR="00BA49F5" w:rsidRDefault="00BA49F5">
      <w:pPr>
        <w:ind w:firstLine="540"/>
        <w:jc w:val="both"/>
      </w:pPr>
    </w:p>
    <w:p w14:paraId="5CD8DEB3" w14:textId="77777777" w:rsidR="00BA49F5" w:rsidRDefault="007E5E49">
      <w:pPr>
        <w:ind w:firstLine="540"/>
        <w:jc w:val="both"/>
      </w:pPr>
      <w:r>
        <w:rPr>
          <w:rFonts w:ascii="Times New Roman" w:eastAsia="宋体" w:hAnsi="Times New Roman"/>
          <w:color w:val="000000"/>
          <w:sz w:val="20"/>
          <w:szCs w:val="20"/>
        </w:rPr>
        <w:t>We undertake no obligation to revise or publicly release the results of any revision to these forward-look</w:t>
      </w:r>
      <w:r>
        <w:rPr>
          <w:rFonts w:ascii="Times New Roman" w:eastAsia="宋体" w:hAnsi="Times New Roman"/>
          <w:color w:val="000000"/>
          <w:sz w:val="20"/>
          <w:szCs w:val="20"/>
        </w:rPr>
        <w:t xml:space="preserve">ing statements, except as required by law. Given these risks and uncertainties, readers are cautioned not to place undue reliance on such forward-looking statements. </w:t>
      </w:r>
    </w:p>
    <w:p w14:paraId="5CD8DEB4" w14:textId="77777777" w:rsidR="00BA49F5" w:rsidRDefault="00BA49F5">
      <w:pPr>
        <w:ind w:firstLine="540"/>
        <w:jc w:val="both"/>
      </w:pPr>
    </w:p>
    <w:p w14:paraId="5CD8DEB5" w14:textId="77777777" w:rsidR="00BA49F5" w:rsidRDefault="007E5E49">
      <w:pPr>
        <w:ind w:firstLine="540"/>
        <w:jc w:val="both"/>
      </w:pPr>
      <w:r>
        <w:rPr>
          <w:rFonts w:ascii="Times New Roman" w:eastAsia="宋体" w:hAnsi="Times New Roman"/>
          <w:color w:val="000000"/>
          <w:sz w:val="20"/>
          <w:szCs w:val="20"/>
        </w:rPr>
        <w:t>Unless expressly indicated or the context requires otherwise, the terms "Meta," "company</w:t>
      </w:r>
      <w:r>
        <w:rPr>
          <w:rFonts w:ascii="Times New Roman" w:eastAsia="宋体" w:hAnsi="Times New Roman"/>
          <w:color w:val="000000"/>
          <w:sz w:val="20"/>
          <w:szCs w:val="20"/>
        </w:rPr>
        <w:t>," "we," "us," and "our" in this document refer to Meta Platforms, Inc., a Delaware corporation, and, where appropriate, its subsidiaries. The term "Family" refers to our Facebook, Instagram, Messenger, and WhatsApp products. For references to accessing Me</w:t>
      </w:r>
      <w:r>
        <w:rPr>
          <w:rFonts w:ascii="Times New Roman" w:eastAsia="宋体" w:hAnsi="Times New Roman"/>
          <w:color w:val="000000"/>
          <w:sz w:val="20"/>
          <w:szCs w:val="20"/>
        </w:rPr>
        <w:t>ta's products on the "web" or via a "website," such terms refer to accessing such products on personal computers. For references to accessing Meta's products on "mobile," such term refers to accessing such products via a mobile application or via a mobile-</w:t>
      </w:r>
      <w:r>
        <w:rPr>
          <w:rFonts w:ascii="Times New Roman" w:eastAsia="宋体" w:hAnsi="Times New Roman"/>
          <w:color w:val="000000"/>
          <w:sz w:val="20"/>
          <w:szCs w:val="20"/>
        </w:rPr>
        <w:t>optimized version of our websites such as m.facebook.com, whether on a mobile phone or tablet.</w:t>
      </w:r>
    </w:p>
    <w:p w14:paraId="5CD8DEB6" w14:textId="77777777" w:rsidR="00BA49F5" w:rsidRDefault="007E5E49">
      <w:pPr>
        <w:jc w:val="center"/>
      </w:pPr>
      <w:r>
        <w:rPr>
          <w:rFonts w:ascii="Times New Roman" w:eastAsia="宋体" w:hAnsi="Times New Roman"/>
          <w:color w:val="000000"/>
          <w:sz w:val="20"/>
          <w:szCs w:val="20"/>
        </w:rPr>
        <w:t>3</w:t>
      </w:r>
    </w:p>
    <w:p w14:paraId="5CD8DEB7" w14:textId="77777777" w:rsidR="00BA49F5" w:rsidRDefault="007E5E49">
      <w:r>
        <w:pict w14:anchorId="5CD90CCE">
          <v:rect id="_x0000_i1027" style="width:415.3pt;height:1.5pt" o:hralign="center" o:hrstd="t" o:hr="t" fillcolor="#a0a0a0" stroked="f"/>
        </w:pict>
      </w:r>
    </w:p>
    <w:p w14:paraId="5CD8DEB8" w14:textId="77777777" w:rsidR="00BA49F5" w:rsidRDefault="00BA49F5"/>
    <w:p w14:paraId="5CD8DEB9" w14:textId="77777777" w:rsidR="00BA49F5" w:rsidRDefault="00BA49F5"/>
    <w:p w14:paraId="5CD8DEBA" w14:textId="77777777" w:rsidR="00BA49F5" w:rsidRDefault="007E5E49">
      <w:hyperlink r:id="rId86" w:anchor="i6df229dad1864210ab76200083e26819_7" w:history="1">
        <w:r>
          <w:rPr>
            <w:rStyle w:val="a5"/>
            <w:rFonts w:ascii="Times New Roman" w:eastAsia="宋体" w:hAnsi="Times New Roman"/>
            <w:sz w:val="20"/>
            <w:szCs w:val="20"/>
          </w:rPr>
          <w:t>T</w:t>
        </w:r>
      </w:hyperlink>
      <w:hyperlink r:id="rId87" w:anchor="i6df229dad1864210ab76200083e26819_7" w:history="1">
        <w:r>
          <w:rPr>
            <w:rStyle w:val="a5"/>
            <w:rFonts w:ascii="Times New Roman" w:eastAsia="宋体" w:hAnsi="Times New Roman"/>
            <w:sz w:val="20"/>
            <w:szCs w:val="20"/>
          </w:rPr>
          <w:t>able of Contents</w:t>
        </w:r>
      </w:hyperlink>
    </w:p>
    <w:p w14:paraId="5CD8DEBB" w14:textId="77777777" w:rsidR="00BA49F5" w:rsidRDefault="007E5E49">
      <w:pPr>
        <w:jc w:val="center"/>
      </w:pPr>
      <w:r>
        <w:rPr>
          <w:rFonts w:ascii="Times New Roman" w:eastAsia="宋体" w:hAnsi="Times New Roman"/>
          <w:b/>
          <w:bCs/>
          <w:color w:val="000000"/>
          <w:sz w:val="20"/>
          <w:szCs w:val="20"/>
        </w:rPr>
        <w:t>LIMITATIONS OF KEY METRICS AND OTHER DATA</w:t>
      </w:r>
    </w:p>
    <w:p w14:paraId="5CD8DEBC" w14:textId="77777777" w:rsidR="00BA49F5" w:rsidRDefault="00BA49F5">
      <w:pPr>
        <w:ind w:firstLine="540"/>
        <w:jc w:val="both"/>
      </w:pPr>
    </w:p>
    <w:p w14:paraId="5CD8DEBD" w14:textId="77777777" w:rsidR="00BA49F5" w:rsidRDefault="007E5E49">
      <w:pPr>
        <w:ind w:firstLine="540"/>
        <w:jc w:val="both"/>
      </w:pPr>
      <w:r>
        <w:rPr>
          <w:rFonts w:ascii="Times New Roman" w:eastAsia="宋体" w:hAnsi="Times New Roman"/>
          <w:color w:val="000000"/>
          <w:sz w:val="20"/>
          <w:szCs w:val="20"/>
        </w:rPr>
        <w:t>The numbers for our key metrics are calculated using internal company data based on the activity of user accounts. We report our estimates of the</w:t>
      </w:r>
      <w:r>
        <w:rPr>
          <w:rFonts w:ascii="Times New Roman" w:eastAsia="宋体" w:hAnsi="Times New Roman"/>
          <w:color w:val="000000"/>
          <w:sz w:val="20"/>
          <w:szCs w:val="20"/>
        </w:rPr>
        <w:t xml:space="preserve"> numbers of our daily active people (DAP), monthly active people (MAP), and average revenue per person (ARPP) (collectively, our "Family metrics") based on the activity of users who visited at least one of Facebook, Instagram, Messenger, and WhatsApp (coll</w:t>
      </w:r>
      <w:r>
        <w:rPr>
          <w:rFonts w:ascii="Times New Roman" w:eastAsia="宋体" w:hAnsi="Times New Roman"/>
          <w:color w:val="000000"/>
          <w:sz w:val="20"/>
          <w:szCs w:val="20"/>
        </w:rPr>
        <w:t>ectively, our "Family" of products) during the applicable period of measurement. We have historically reported the numbers of our daily active users (DAUs), monthly active users (MAUs), and average revenue per user (ARPU) (collectively, our "Facebook metri</w:t>
      </w:r>
      <w:r>
        <w:rPr>
          <w:rFonts w:ascii="Times New Roman" w:eastAsia="宋体" w:hAnsi="Times New Roman"/>
          <w:color w:val="000000"/>
          <w:sz w:val="20"/>
          <w:szCs w:val="20"/>
        </w:rPr>
        <w:t>cs") based on user activity only on Facebook and Messenger and not on our other products. We believe our Family metrics better reflect the size of our community and the fact that many people are using more than one of our products. As a result, over time w</w:t>
      </w:r>
      <w:r>
        <w:rPr>
          <w:rFonts w:ascii="Times New Roman" w:eastAsia="宋体" w:hAnsi="Times New Roman"/>
          <w:color w:val="000000"/>
          <w:sz w:val="20"/>
          <w:szCs w:val="20"/>
        </w:rPr>
        <w:t>e intend to report our Family metrics as key metrics in place of DAUs, MAUs, and ARPU in our periodic reports filed with the Securities and Exchange Commission.</w:t>
      </w:r>
    </w:p>
    <w:p w14:paraId="5CD8DEBE" w14:textId="77777777" w:rsidR="00BA49F5" w:rsidRDefault="00BA49F5">
      <w:pPr>
        <w:ind w:firstLine="540"/>
        <w:jc w:val="both"/>
      </w:pPr>
    </w:p>
    <w:p w14:paraId="5CD8DEBF" w14:textId="77777777" w:rsidR="00BA49F5" w:rsidRDefault="007E5E49">
      <w:pPr>
        <w:ind w:firstLine="540"/>
        <w:jc w:val="both"/>
      </w:pPr>
      <w:r>
        <w:rPr>
          <w:rFonts w:ascii="Times New Roman" w:eastAsia="宋体" w:hAnsi="Times New Roman"/>
          <w:color w:val="000000"/>
          <w:sz w:val="20"/>
          <w:szCs w:val="20"/>
        </w:rPr>
        <w:t>While these numbers are based on what we believe to be reasonable estimates of our user base f</w:t>
      </w:r>
      <w:r>
        <w:rPr>
          <w:rFonts w:ascii="Times New Roman" w:eastAsia="宋体" w:hAnsi="Times New Roman"/>
          <w:color w:val="000000"/>
          <w:sz w:val="20"/>
          <w:szCs w:val="20"/>
        </w:rPr>
        <w:t>or the applicable period of measurement, there are inherent challenges in measuring usage of our products across large online and mobile populations around the world. The methodologies used to measure these metrics require significant judgment and are also</w:t>
      </w:r>
      <w:r>
        <w:rPr>
          <w:rFonts w:ascii="Times New Roman" w:eastAsia="宋体" w:hAnsi="Times New Roman"/>
          <w:color w:val="000000"/>
          <w:sz w:val="20"/>
          <w:szCs w:val="20"/>
        </w:rPr>
        <w:t xml:space="preserve"> susceptible to algorithm or other technical errors. In addition, we are continually seeking to improve our estimates of our user base, and such estimates may change due to improvements or changes in our methodology. We regularly review our processes for c</w:t>
      </w:r>
      <w:r>
        <w:rPr>
          <w:rFonts w:ascii="Times New Roman" w:eastAsia="宋体" w:hAnsi="Times New Roman"/>
          <w:color w:val="000000"/>
          <w:sz w:val="20"/>
          <w:szCs w:val="20"/>
        </w:rPr>
        <w:t>alculating these metrics, and from time to time we discover inaccuracies in our metrics or make adjustments to improve their accuracy, which can result in adjustments to our historical metrics. Our ability to recalculate our historical metrics may be impac</w:t>
      </w:r>
      <w:r>
        <w:rPr>
          <w:rFonts w:ascii="Times New Roman" w:eastAsia="宋体" w:hAnsi="Times New Roman"/>
          <w:color w:val="000000"/>
          <w:sz w:val="20"/>
          <w:szCs w:val="20"/>
        </w:rPr>
        <w:t>ted by data limitations or other factors that require us to apply different methodologies for such adjustments. We generally do not intend to update previously disclosed Family metrics for any such inaccuracies or adjustments that are within the error marg</w:t>
      </w:r>
      <w:r>
        <w:rPr>
          <w:rFonts w:ascii="Times New Roman" w:eastAsia="宋体" w:hAnsi="Times New Roman"/>
          <w:color w:val="000000"/>
          <w:sz w:val="20"/>
          <w:szCs w:val="20"/>
        </w:rPr>
        <w:t>ins disclosed below.</w:t>
      </w:r>
    </w:p>
    <w:p w14:paraId="5CD8DEC0" w14:textId="77777777" w:rsidR="00BA49F5" w:rsidRDefault="00BA49F5">
      <w:pPr>
        <w:ind w:firstLine="540"/>
        <w:jc w:val="both"/>
      </w:pPr>
    </w:p>
    <w:p w14:paraId="5CD8DEC1" w14:textId="77777777" w:rsidR="00BA49F5" w:rsidRDefault="007E5E49">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5CD8DEC2" w14:textId="77777777" w:rsidR="00BA49F5" w:rsidRDefault="00BA49F5">
      <w:pPr>
        <w:ind w:firstLine="540"/>
        <w:jc w:val="both"/>
      </w:pPr>
    </w:p>
    <w:p w14:paraId="5CD8DEC3" w14:textId="77777777" w:rsidR="00BA49F5" w:rsidRDefault="007E5E49">
      <w:pPr>
        <w:jc w:val="both"/>
      </w:pPr>
      <w:r>
        <w:rPr>
          <w:rFonts w:ascii="Times New Roman" w:eastAsia="宋体" w:hAnsi="Times New Roman"/>
          <w:b/>
          <w:bCs/>
          <w:color w:val="000000"/>
          <w:sz w:val="20"/>
          <w:szCs w:val="20"/>
        </w:rPr>
        <w:t>Family Metrics</w:t>
      </w:r>
    </w:p>
    <w:p w14:paraId="5CD8DEC4" w14:textId="77777777" w:rsidR="00BA49F5" w:rsidRDefault="00BA49F5">
      <w:pPr>
        <w:ind w:firstLine="540"/>
        <w:jc w:val="both"/>
      </w:pPr>
    </w:p>
    <w:p w14:paraId="5CD8DEC5" w14:textId="77777777" w:rsidR="00BA49F5" w:rsidRDefault="007E5E49">
      <w:pPr>
        <w:ind w:firstLine="540"/>
        <w:jc w:val="both"/>
      </w:pPr>
      <w:r>
        <w:rPr>
          <w:rFonts w:ascii="Times New Roman" w:eastAsia="宋体" w:hAnsi="Times New Roman"/>
          <w:color w:val="000000"/>
          <w:sz w:val="20"/>
          <w:szCs w:val="20"/>
        </w:rPr>
        <w:t xml:space="preserve">Many people in our community have user accounts on more than one </w:t>
      </w:r>
      <w:r>
        <w:rPr>
          <w:rFonts w:ascii="Times New Roman" w:eastAsia="宋体" w:hAnsi="Times New Roman"/>
          <w:color w:val="000000"/>
          <w:sz w:val="20"/>
          <w:szCs w:val="20"/>
        </w:rPr>
        <w:t>of our products, and some people have multiple user accounts within an individual product. Accordingly, for our Family metrics, we do not seek to count the total number of user accounts across our products because we believe that would not reflect the actu</w:t>
      </w:r>
      <w:r>
        <w:rPr>
          <w:rFonts w:ascii="Times New Roman" w:eastAsia="宋体" w:hAnsi="Times New Roman"/>
          <w:color w:val="000000"/>
          <w:sz w:val="20"/>
          <w:szCs w:val="20"/>
        </w:rPr>
        <w:t>al size of our community. Rather, our Family metrics represent our estimates of the number of unique people using at least one of Facebook, Instagram, Messenger, and WhatsApp. We do not require people to use a common identifier or link their accounts to us</w:t>
      </w:r>
      <w:r>
        <w:rPr>
          <w:rFonts w:ascii="Times New Roman" w:eastAsia="宋体" w:hAnsi="Times New Roman"/>
          <w:color w:val="000000"/>
          <w:sz w:val="20"/>
          <w:szCs w:val="20"/>
        </w:rPr>
        <w:t>e multiple products in our Family, and therefore must seek to attribute multiple user accounts within and across products to individual people. To calculate these metrics, we rely upon complex techniques, algorithms and machine learning models that seek to</w:t>
      </w:r>
      <w:r>
        <w:rPr>
          <w:rFonts w:ascii="Times New Roman" w:eastAsia="宋体" w:hAnsi="Times New Roman"/>
          <w:color w:val="000000"/>
          <w:sz w:val="20"/>
          <w:szCs w:val="20"/>
        </w:rPr>
        <w:t xml:space="preserve"> count the individual people behind user accounts, including by matching multiple user accounts within an individual product and across multiple products when we believe they are attributable to a single person, and counting such group of accounts as one p</w:t>
      </w:r>
      <w:r>
        <w:rPr>
          <w:rFonts w:ascii="Times New Roman" w:eastAsia="宋体" w:hAnsi="Times New Roman"/>
          <w:color w:val="000000"/>
          <w:sz w:val="20"/>
          <w:szCs w:val="20"/>
        </w:rPr>
        <w:t>erson. These techniques and models require significant judgment, are subject to data and other limitations discussed below, and inherently are subject to statistical variances and uncertainties. We estimate the potential error in our Family metrics primari</w:t>
      </w:r>
      <w:r>
        <w:rPr>
          <w:rFonts w:ascii="Times New Roman" w:eastAsia="宋体" w:hAnsi="Times New Roman"/>
          <w:color w:val="000000"/>
          <w:sz w:val="20"/>
          <w:szCs w:val="20"/>
        </w:rPr>
        <w:t>ly based on user survey data, which itself is subject to error as well. While we expect the error margin for our Family metrics to vary from period to period, we estimate that such margin generally will be approximately 3% of our worldwide MAP. At our scal</w:t>
      </w:r>
      <w:r>
        <w:rPr>
          <w:rFonts w:ascii="Times New Roman" w:eastAsia="宋体" w:hAnsi="Times New Roman"/>
          <w:color w:val="000000"/>
          <w:sz w:val="20"/>
          <w:szCs w:val="20"/>
        </w:rPr>
        <w:t>e, it is very difficult to attribute multiple user accounts within and across products to individual people, and it is possible that the actual numbers of unique people using our products may vary significantly from our estimates, potentially beyond our es</w:t>
      </w:r>
      <w:r>
        <w:rPr>
          <w:rFonts w:ascii="Times New Roman" w:eastAsia="宋体" w:hAnsi="Times New Roman"/>
          <w:color w:val="000000"/>
          <w:sz w:val="20"/>
          <w:szCs w:val="20"/>
        </w:rPr>
        <w:t>timated error margins. As a result, it is also possible that our Family metrics may indicate changes or trends in user numbers that do not match actual changes or trends.</w:t>
      </w:r>
    </w:p>
    <w:p w14:paraId="5CD8DEC6" w14:textId="77777777" w:rsidR="00BA49F5" w:rsidRDefault="00BA49F5">
      <w:pPr>
        <w:ind w:firstLine="540"/>
        <w:jc w:val="both"/>
      </w:pPr>
    </w:p>
    <w:p w14:paraId="5CD8DEC7" w14:textId="77777777" w:rsidR="00BA49F5" w:rsidRDefault="007E5E49">
      <w:pPr>
        <w:ind w:firstLine="540"/>
        <w:jc w:val="both"/>
      </w:pPr>
      <w:r>
        <w:rPr>
          <w:rFonts w:ascii="Times New Roman" w:eastAsia="宋体" w:hAnsi="Times New Roman"/>
          <w:color w:val="000000"/>
          <w:sz w:val="20"/>
          <w:szCs w:val="20"/>
        </w:rPr>
        <w:t>To calculate our estimates of Family DAP and MAP, we currently use a series of machi</w:t>
      </w:r>
      <w:r>
        <w:rPr>
          <w:rFonts w:ascii="Times New Roman" w:eastAsia="宋体" w:hAnsi="Times New Roman"/>
          <w:color w:val="000000"/>
          <w:sz w:val="20"/>
          <w:szCs w:val="20"/>
        </w:rPr>
        <w:t>ne learning models that are developed based on internal reviews of limited samples of user accounts and calibrated against user survey data. We apply significant judgment in designing these models and calculating these estimates. For example, to match user</w:t>
      </w:r>
      <w:r>
        <w:rPr>
          <w:rFonts w:ascii="Times New Roman" w:eastAsia="宋体" w:hAnsi="Times New Roman"/>
          <w:color w:val="000000"/>
          <w:sz w:val="20"/>
          <w:szCs w:val="20"/>
        </w:rPr>
        <w:t xml:space="preserve"> accounts within individual products and across multiple products, we use data signals such as similar device information, IP addresses, and user names. We also calibrate our models against data from periodic user surveys of varying sizes and frequency acr</w:t>
      </w:r>
      <w:r>
        <w:rPr>
          <w:rFonts w:ascii="Times New Roman" w:eastAsia="宋体" w:hAnsi="Times New Roman"/>
          <w:color w:val="000000"/>
          <w:sz w:val="20"/>
          <w:szCs w:val="20"/>
        </w:rPr>
        <w:t>oss our products, which are inherently subject to error. The timing and results of such user surveys have in the past contributed, and may in the future contribute, to changes in our reported Family metrics from period to period. In addition, our data limi</w:t>
      </w:r>
      <w:r>
        <w:rPr>
          <w:rFonts w:ascii="Times New Roman" w:eastAsia="宋体" w:hAnsi="Times New Roman"/>
          <w:color w:val="000000"/>
          <w:sz w:val="20"/>
          <w:szCs w:val="20"/>
        </w:rPr>
        <w:t>tations may affect our understanding of certain details of our business and increase the risk of error for our Family metrics estimates. Our techniques and models rely on a variety of data signals from different products, and we rely on more limited data s</w:t>
      </w:r>
      <w:r>
        <w:rPr>
          <w:rFonts w:ascii="Times New Roman" w:eastAsia="宋体" w:hAnsi="Times New Roman"/>
          <w:color w:val="000000"/>
          <w:sz w:val="20"/>
          <w:szCs w:val="20"/>
        </w:rPr>
        <w:t xml:space="preserve">ignals for some products compared to others. For example, as a result of limited visibility into encrypted products, we have fewer </w:t>
      </w:r>
    </w:p>
    <w:p w14:paraId="5CD8DEC8" w14:textId="77777777" w:rsidR="00BA49F5" w:rsidRDefault="007E5E49">
      <w:pPr>
        <w:jc w:val="center"/>
      </w:pPr>
      <w:r>
        <w:rPr>
          <w:rFonts w:ascii="Times New Roman" w:eastAsia="宋体" w:hAnsi="Times New Roman"/>
          <w:color w:val="000000"/>
          <w:sz w:val="20"/>
          <w:szCs w:val="20"/>
        </w:rPr>
        <w:t>4</w:t>
      </w:r>
    </w:p>
    <w:p w14:paraId="5CD8DEC9" w14:textId="77777777" w:rsidR="00BA49F5" w:rsidRDefault="007E5E49">
      <w:r>
        <w:pict w14:anchorId="5CD90CCF">
          <v:rect id="_x0000_i1028" style="width:415.3pt;height:1.5pt" o:hralign="center" o:hrstd="t" o:hr="t" fillcolor="#a0a0a0" stroked="f"/>
        </w:pict>
      </w:r>
    </w:p>
    <w:p w14:paraId="5CD8DECA" w14:textId="77777777" w:rsidR="00BA49F5" w:rsidRDefault="00BA49F5"/>
    <w:p w14:paraId="5CD8DECB" w14:textId="77777777" w:rsidR="00BA49F5" w:rsidRDefault="00BA49F5"/>
    <w:p w14:paraId="5CD8DECC" w14:textId="77777777" w:rsidR="00BA49F5" w:rsidRDefault="007E5E49">
      <w:hyperlink r:id="rId88" w:anchor="i6df229dad1864210ab76200083e26819_7" w:history="1">
        <w:r>
          <w:rPr>
            <w:rStyle w:val="a5"/>
            <w:rFonts w:ascii="Times New Roman" w:eastAsia="宋体" w:hAnsi="Times New Roman"/>
            <w:sz w:val="20"/>
            <w:szCs w:val="20"/>
          </w:rPr>
          <w:t>T</w:t>
        </w:r>
      </w:hyperlink>
      <w:hyperlink r:id="rId89" w:anchor="i6df229dad1864210ab76200083e26819_7" w:history="1">
        <w:r>
          <w:rPr>
            <w:rStyle w:val="a5"/>
            <w:rFonts w:ascii="Times New Roman" w:eastAsia="宋体" w:hAnsi="Times New Roman"/>
            <w:sz w:val="20"/>
            <w:szCs w:val="20"/>
          </w:rPr>
          <w:t>able of Contents</w:t>
        </w:r>
      </w:hyperlink>
    </w:p>
    <w:p w14:paraId="5CD8DECD" w14:textId="77777777" w:rsidR="00BA49F5" w:rsidRDefault="007E5E49">
      <w:pPr>
        <w:jc w:val="both"/>
      </w:pPr>
      <w:r>
        <w:rPr>
          <w:rFonts w:ascii="Times New Roman" w:eastAsia="宋体" w:hAnsi="Times New Roman"/>
          <w:color w:val="000000"/>
          <w:sz w:val="20"/>
          <w:szCs w:val="20"/>
        </w:rPr>
        <w:t>data signals from WhatsApp user accounts and prima</w:t>
      </w:r>
      <w:r>
        <w:rPr>
          <w:rFonts w:ascii="Times New Roman" w:eastAsia="宋体" w:hAnsi="Times New Roman"/>
          <w:color w:val="000000"/>
          <w:sz w:val="20"/>
          <w:szCs w:val="20"/>
        </w:rPr>
        <w:t xml:space="preserve">rily rely on phone numbers and device information to match WhatsApp user accounts with accounts on our other products. Similarly, although Messenger Kids users are included in our Family metrics, we do not seek to match their accounts with accounts on our </w:t>
      </w:r>
      <w:r>
        <w:rPr>
          <w:rFonts w:ascii="Times New Roman" w:eastAsia="宋体" w:hAnsi="Times New Roman"/>
          <w:color w:val="000000"/>
          <w:sz w:val="20"/>
          <w:szCs w:val="20"/>
        </w:rPr>
        <w:t>other applications for purposes of calculating DAP and MAP. Any loss of access to data signals we use in our process for calculating Family metrics, whether as a result of our own product decisions, actions by third-party browser or mobile platforms, regul</w:t>
      </w:r>
      <w:r>
        <w:rPr>
          <w:rFonts w:ascii="Times New Roman" w:eastAsia="宋体" w:hAnsi="Times New Roman"/>
          <w:color w:val="000000"/>
          <w:sz w:val="20"/>
          <w:szCs w:val="20"/>
        </w:rPr>
        <w:t>atory or legislative requirements, or other factors, also may impact the stability or accuracy of our reported Family metrics, as well as our ability to report these metrics at all. Our estimates of Family metrics also may change as our methodologies evolv</w:t>
      </w:r>
      <w:r>
        <w:rPr>
          <w:rFonts w:ascii="Times New Roman" w:eastAsia="宋体" w:hAnsi="Times New Roman"/>
          <w:color w:val="000000"/>
          <w:sz w:val="20"/>
          <w:szCs w:val="20"/>
        </w:rPr>
        <w:t>e, including through the application of new data signals or technologies, product changes, or other improvements in our user surveys, algorithms, or machine learning that may improve our ability to match accounts within and across our products or otherwise</w:t>
      </w:r>
      <w:r>
        <w:rPr>
          <w:rFonts w:ascii="Times New Roman" w:eastAsia="宋体" w:hAnsi="Times New Roman"/>
          <w:color w:val="000000"/>
          <w:sz w:val="20"/>
          <w:szCs w:val="20"/>
        </w:rPr>
        <w:t xml:space="preserve"> evaluate the broad population of our users. In addition, such evolution may allow us to identify previously undetected violating accounts (as defined below).</w:t>
      </w:r>
    </w:p>
    <w:p w14:paraId="5CD8DECE" w14:textId="77777777" w:rsidR="00BA49F5" w:rsidRDefault="00BA49F5">
      <w:pPr>
        <w:ind w:firstLine="540"/>
        <w:jc w:val="both"/>
      </w:pPr>
    </w:p>
    <w:p w14:paraId="5CD8DECF" w14:textId="77777777" w:rsidR="00BA49F5" w:rsidRDefault="007E5E49">
      <w:pPr>
        <w:ind w:firstLine="540"/>
        <w:jc w:val="both"/>
      </w:pPr>
      <w:r>
        <w:rPr>
          <w:rFonts w:ascii="Times New Roman" w:eastAsia="宋体" w:hAnsi="Times New Roman"/>
          <w:color w:val="000000"/>
          <w:sz w:val="20"/>
          <w:szCs w:val="20"/>
        </w:rPr>
        <w:t>We regularly evaluate our Family metrics to estimate the percentage of our MAP consisting solely</w:t>
      </w:r>
      <w:r>
        <w:rPr>
          <w:rFonts w:ascii="Times New Roman" w:eastAsia="宋体" w:hAnsi="Times New Roman"/>
          <w:color w:val="000000"/>
          <w:sz w:val="20"/>
          <w:szCs w:val="20"/>
        </w:rPr>
        <w:t xml:space="preserve"> of "violating" accounts. We define "violating" accounts as accounts which we believe are intended to be used for purposes that violate our terms of service, including bots and spam. In the fourth quarter of 2022, we estimated that approximately 3% of our </w:t>
      </w:r>
      <w:r>
        <w:rPr>
          <w:rFonts w:ascii="Times New Roman" w:eastAsia="宋体" w:hAnsi="Times New Roman"/>
          <w:color w:val="000000"/>
          <w:sz w:val="20"/>
          <w:szCs w:val="20"/>
        </w:rPr>
        <w:t>worldwide MAP consisted solely of violating accounts. Such estimation is based on an internal review of a limited sample of accounts, and we apply significant judgment in making this determination. For example, we look for account information and behaviors</w:t>
      </w:r>
      <w:r>
        <w:rPr>
          <w:rFonts w:ascii="Times New Roman" w:eastAsia="宋体" w:hAnsi="Times New Roman"/>
          <w:color w:val="000000"/>
          <w:sz w:val="20"/>
          <w:szCs w:val="20"/>
        </w:rPr>
        <w:t xml:space="preserve"> associated with Facebook and Instagram accounts that appear to be inauthentic to the reviewers, but we have limited visibility into WhatsApp user activity due to encryption. In addition, if we believe an individual person has one or more violating account</w:t>
      </w:r>
      <w:r>
        <w:rPr>
          <w:rFonts w:ascii="Times New Roman" w:eastAsia="宋体" w:hAnsi="Times New Roman"/>
          <w:color w:val="000000"/>
          <w:sz w:val="20"/>
          <w:szCs w:val="20"/>
        </w:rPr>
        <w:t>s, we do not include such person in our violating accounts estimation as long as we believe they have one account that does not constitute a violating account. From time to time, we disable certain user accounts, make product changes, or take other actions</w:t>
      </w:r>
      <w:r>
        <w:rPr>
          <w:rFonts w:ascii="Times New Roman" w:eastAsia="宋体" w:hAnsi="Times New Roman"/>
          <w:color w:val="000000"/>
          <w:sz w:val="20"/>
          <w:szCs w:val="20"/>
        </w:rPr>
        <w:t xml:space="preserve"> to reduce the number of violating accounts among our users, which may also reduce our DAP and MAP estimates in a particular period. We intend to disclose our estimates of the percentage of our MAP consisting solely of violating accounts on an annual basis</w:t>
      </w:r>
      <w:r>
        <w:rPr>
          <w:rFonts w:ascii="Times New Roman" w:eastAsia="宋体" w:hAnsi="Times New Roman"/>
          <w:color w:val="000000"/>
          <w:sz w:val="20"/>
          <w:szCs w:val="20"/>
        </w:rPr>
        <w:t>. Violating accounts are very difficult to measure at our scale, and it is possible that the actual number of violating accounts may vary significantly from our estimates.</w:t>
      </w:r>
    </w:p>
    <w:p w14:paraId="5CD8DED0" w14:textId="77777777" w:rsidR="00BA49F5" w:rsidRDefault="00BA49F5">
      <w:pPr>
        <w:ind w:firstLine="540"/>
        <w:jc w:val="both"/>
      </w:pPr>
    </w:p>
    <w:p w14:paraId="5CD8DED1" w14:textId="77777777" w:rsidR="00BA49F5" w:rsidRDefault="007E5E49">
      <w:pPr>
        <w:ind w:firstLine="540"/>
        <w:jc w:val="both"/>
      </w:pPr>
      <w:r>
        <w:rPr>
          <w:rFonts w:ascii="Times New Roman" w:eastAsia="宋体" w:hAnsi="Times New Roman"/>
          <w:color w:val="000000"/>
          <w:sz w:val="20"/>
          <w:szCs w:val="20"/>
        </w:rPr>
        <w:t xml:space="preserve">The numbers of Family DAP and MAP discussed in this Annual Report on Form 10-K, as </w:t>
      </w:r>
      <w:r>
        <w:rPr>
          <w:rFonts w:ascii="Times New Roman" w:eastAsia="宋体" w:hAnsi="Times New Roman"/>
          <w:color w:val="000000"/>
          <w:sz w:val="20"/>
          <w:szCs w:val="20"/>
        </w:rPr>
        <w:t>well as ARPP, do not include users on our other products, unless they would otherwise qualify as DAP or MAP, respectively, based on their other activities on our Family products.</w:t>
      </w:r>
    </w:p>
    <w:p w14:paraId="5CD8DED2" w14:textId="77777777" w:rsidR="00BA49F5" w:rsidRDefault="00BA49F5">
      <w:pPr>
        <w:ind w:firstLine="540"/>
        <w:jc w:val="both"/>
      </w:pPr>
    </w:p>
    <w:p w14:paraId="5CD8DED3" w14:textId="77777777" w:rsidR="00BA49F5" w:rsidRDefault="007E5E49">
      <w:pPr>
        <w:jc w:val="both"/>
      </w:pPr>
      <w:r>
        <w:rPr>
          <w:rFonts w:ascii="Times New Roman" w:eastAsia="宋体" w:hAnsi="Times New Roman"/>
          <w:b/>
          <w:bCs/>
          <w:color w:val="000000"/>
          <w:sz w:val="20"/>
          <w:szCs w:val="20"/>
        </w:rPr>
        <w:t>Facebook Metrics</w:t>
      </w:r>
    </w:p>
    <w:p w14:paraId="5CD8DED4" w14:textId="77777777" w:rsidR="00BA49F5" w:rsidRDefault="00BA49F5">
      <w:pPr>
        <w:ind w:firstLine="540"/>
        <w:jc w:val="both"/>
      </w:pPr>
    </w:p>
    <w:p w14:paraId="5CD8DED5" w14:textId="77777777" w:rsidR="00BA49F5" w:rsidRDefault="007E5E49">
      <w:pPr>
        <w:ind w:firstLine="540"/>
        <w:jc w:val="both"/>
      </w:pPr>
      <w:r>
        <w:rPr>
          <w:rFonts w:ascii="Times New Roman" w:eastAsia="宋体" w:hAnsi="Times New Roman"/>
          <w:color w:val="000000"/>
          <w:sz w:val="20"/>
          <w:szCs w:val="20"/>
        </w:rPr>
        <w:t xml:space="preserve">We regularly evaluate our Facebook metrics to </w:t>
      </w:r>
      <w:r>
        <w:rPr>
          <w:rFonts w:ascii="Times New Roman" w:eastAsia="宋体" w:hAnsi="Times New Roman"/>
          <w:color w:val="000000"/>
          <w:sz w:val="20"/>
          <w:szCs w:val="20"/>
        </w:rPr>
        <w:t>estimate the number of "duplicate" and "false" accounts among our MAUs. A duplicate account is one that a user maintains in addition to his or her principal account. We divide "false" accounts into two categories: (1) user-misclassified accounts, where use</w:t>
      </w:r>
      <w:r>
        <w:rPr>
          <w:rFonts w:ascii="Times New Roman" w:eastAsia="宋体" w:hAnsi="Times New Roman"/>
          <w:color w:val="000000"/>
          <w:sz w:val="20"/>
          <w:szCs w:val="20"/>
        </w:rPr>
        <w:t xml:space="preserve">rs have created personal profiles for a business, organization, or non-human entity such as a pet (such entities are permitted on Facebook using a Page rather than a personal profile under our terms of service); and (2) violating accounts, which represent </w:t>
      </w:r>
      <w:r>
        <w:rPr>
          <w:rFonts w:ascii="Times New Roman" w:eastAsia="宋体" w:hAnsi="Times New Roman"/>
          <w:color w:val="000000"/>
          <w:sz w:val="20"/>
          <w:szCs w:val="20"/>
        </w:rPr>
        <w:t>user profiles that we believe are intended to be used for purposes that violate our terms of service, such as bots and spam. The estimates of duplicate and false accounts are based on an internal review of a limited sample of accounts, and we apply signifi</w:t>
      </w:r>
      <w:r>
        <w:rPr>
          <w:rFonts w:ascii="Times New Roman" w:eastAsia="宋体" w:hAnsi="Times New Roman"/>
          <w:color w:val="000000"/>
          <w:sz w:val="20"/>
          <w:szCs w:val="20"/>
        </w:rPr>
        <w:t>cant judgment in making this determination. For example, to identify duplicate accounts we use data signals such as identical IP addresses and similar user names, and to identify false accounts we look for names that appear to be fake or other behavior tha</w:t>
      </w:r>
      <w:r>
        <w:rPr>
          <w:rFonts w:ascii="Times New Roman" w:eastAsia="宋体" w:hAnsi="Times New Roman"/>
          <w:color w:val="000000"/>
          <w:sz w:val="20"/>
          <w:szCs w:val="20"/>
        </w:rPr>
        <w:t>t appears inauthentic to the reviewers. Any loss of access to data signals we use in this process, whether as a result of our own product decisions, actions by third-party browser or mobile platforms, regulatory or legislative requirements, or other factor</w:t>
      </w:r>
      <w:r>
        <w:rPr>
          <w:rFonts w:ascii="Times New Roman" w:eastAsia="宋体" w:hAnsi="Times New Roman"/>
          <w:color w:val="000000"/>
          <w:sz w:val="20"/>
          <w:szCs w:val="20"/>
        </w:rPr>
        <w:t>s, also may impact the stability or accuracy of our estimates of duplicate and false accounts. Our estimates also may change as our methodologies evolve, including through the application of new data signals or technologies or product changes that may allo</w:t>
      </w:r>
      <w:r>
        <w:rPr>
          <w:rFonts w:ascii="Times New Roman" w:eastAsia="宋体" w:hAnsi="Times New Roman"/>
          <w:color w:val="000000"/>
          <w:sz w:val="20"/>
          <w:szCs w:val="20"/>
        </w:rPr>
        <w:t>w us to identify previously undetected duplicate or false accounts and may improve our ability to evaluate a broader population of our users. Duplicate and false accounts are very difficult to measure at our scale, and it is possible that the actual number</w:t>
      </w:r>
      <w:r>
        <w:rPr>
          <w:rFonts w:ascii="Times New Roman" w:eastAsia="宋体" w:hAnsi="Times New Roman"/>
          <w:color w:val="000000"/>
          <w:sz w:val="20"/>
          <w:szCs w:val="20"/>
        </w:rPr>
        <w:t xml:space="preserve"> of duplicate and false accounts may vary significantly from our estimates.</w:t>
      </w:r>
    </w:p>
    <w:p w14:paraId="5CD8DED6" w14:textId="77777777" w:rsidR="00BA49F5" w:rsidRDefault="00BA49F5"/>
    <w:p w14:paraId="5CD8DED7" w14:textId="77777777" w:rsidR="00BA49F5" w:rsidRDefault="007E5E49">
      <w:pPr>
        <w:ind w:firstLine="540"/>
        <w:jc w:val="both"/>
      </w:pPr>
      <w:r>
        <w:rPr>
          <w:rFonts w:ascii="Times New Roman" w:eastAsia="宋体" w:hAnsi="Times New Roman"/>
          <w:color w:val="000000"/>
          <w:sz w:val="20"/>
          <w:szCs w:val="20"/>
        </w:rPr>
        <w:t>In the fourth quarter of 2022, we estimated that duplicate accounts may have represented approximately 11% of our worldwide MAUs. We believe the percentage of duplicate accounts i</w:t>
      </w:r>
      <w:r>
        <w:rPr>
          <w:rFonts w:ascii="Times New Roman" w:eastAsia="宋体" w:hAnsi="Times New Roman"/>
          <w:color w:val="000000"/>
          <w:sz w:val="20"/>
          <w:szCs w:val="20"/>
        </w:rPr>
        <w:t>s meaningfully higher in developing markets such as the Philippines and Vietnam, as compared to more developed markets. In the fourth quarter of 2022, we estimated that false accounts may have represented approximately 4-5% of our worldwide MAUs. Our estim</w:t>
      </w:r>
      <w:r>
        <w:rPr>
          <w:rFonts w:ascii="Times New Roman" w:eastAsia="宋体" w:hAnsi="Times New Roman"/>
          <w:color w:val="000000"/>
          <w:sz w:val="20"/>
          <w:szCs w:val="20"/>
        </w:rPr>
        <w:t>ation of false accounts can vary as a result of episodic spikes in the creation of such accounts, which we have seen originate more frequently in specific countries such as Indonesia, Nigeria, and Vietnam. From time to time, we disable certain user account</w:t>
      </w:r>
      <w:r>
        <w:rPr>
          <w:rFonts w:ascii="Times New Roman" w:eastAsia="宋体" w:hAnsi="Times New Roman"/>
          <w:color w:val="000000"/>
          <w:sz w:val="20"/>
          <w:szCs w:val="20"/>
        </w:rPr>
        <w:t xml:space="preserve">s, make product changes, or take other actions to reduce the number of duplicate or false accounts among our users, which may also reduce our DAU and </w:t>
      </w:r>
    </w:p>
    <w:p w14:paraId="5CD8DED8" w14:textId="77777777" w:rsidR="00BA49F5" w:rsidRDefault="007E5E49">
      <w:pPr>
        <w:jc w:val="center"/>
      </w:pPr>
      <w:r>
        <w:rPr>
          <w:rFonts w:ascii="Times New Roman" w:eastAsia="宋体" w:hAnsi="Times New Roman"/>
          <w:color w:val="000000"/>
          <w:sz w:val="20"/>
          <w:szCs w:val="20"/>
        </w:rPr>
        <w:t>5</w:t>
      </w:r>
    </w:p>
    <w:p w14:paraId="5CD8DED9" w14:textId="77777777" w:rsidR="00BA49F5" w:rsidRDefault="007E5E49">
      <w:r>
        <w:pict w14:anchorId="5CD90CD0">
          <v:rect id="_x0000_i1029" style="width:415.3pt;height:1.5pt" o:hralign="center" o:hrstd="t" o:hr="t" fillcolor="#a0a0a0" stroked="f"/>
        </w:pict>
      </w:r>
    </w:p>
    <w:p w14:paraId="5CD8DEDA" w14:textId="77777777" w:rsidR="00BA49F5" w:rsidRDefault="00BA49F5"/>
    <w:p w14:paraId="5CD8DEDB" w14:textId="77777777" w:rsidR="00BA49F5" w:rsidRDefault="00BA49F5"/>
    <w:p w14:paraId="5CD8DEDC" w14:textId="77777777" w:rsidR="00BA49F5" w:rsidRDefault="007E5E49">
      <w:hyperlink r:id="rId90" w:anchor="i6df229dad1864210ab76200083e26819_7" w:history="1">
        <w:r>
          <w:rPr>
            <w:rStyle w:val="a5"/>
            <w:rFonts w:ascii="Times New Roman" w:eastAsia="宋体" w:hAnsi="Times New Roman"/>
            <w:sz w:val="20"/>
            <w:szCs w:val="20"/>
          </w:rPr>
          <w:t>T</w:t>
        </w:r>
      </w:hyperlink>
      <w:hyperlink r:id="rId91" w:anchor="i6df229dad1864210ab76200083e26819_7" w:history="1">
        <w:r>
          <w:rPr>
            <w:rStyle w:val="a5"/>
            <w:rFonts w:ascii="Times New Roman" w:eastAsia="宋体" w:hAnsi="Times New Roman"/>
            <w:sz w:val="20"/>
            <w:szCs w:val="20"/>
          </w:rPr>
          <w:t>able of Contents</w:t>
        </w:r>
      </w:hyperlink>
    </w:p>
    <w:p w14:paraId="5CD8DEDD" w14:textId="77777777" w:rsidR="00BA49F5" w:rsidRDefault="007E5E49">
      <w:pPr>
        <w:jc w:val="both"/>
      </w:pPr>
      <w:r>
        <w:rPr>
          <w:rFonts w:ascii="Times New Roman" w:eastAsia="宋体" w:hAnsi="Times New Roman"/>
          <w:color w:val="000000"/>
          <w:sz w:val="20"/>
          <w:szCs w:val="20"/>
        </w:rPr>
        <w:t>MAU estimates in a particular p</w:t>
      </w:r>
      <w:r>
        <w:rPr>
          <w:rFonts w:ascii="Times New Roman" w:eastAsia="宋体" w:hAnsi="Times New Roman"/>
          <w:color w:val="000000"/>
          <w:sz w:val="20"/>
          <w:szCs w:val="20"/>
        </w:rPr>
        <w:t>eriod. We intend to disclose our estimates of the number of duplicate and false accounts among our MAUs on an annual basis.</w:t>
      </w:r>
    </w:p>
    <w:p w14:paraId="5CD8DEDE" w14:textId="77777777" w:rsidR="00BA49F5" w:rsidRDefault="00BA49F5">
      <w:pPr>
        <w:ind w:firstLine="540"/>
        <w:jc w:val="both"/>
      </w:pPr>
    </w:p>
    <w:p w14:paraId="5CD8DEDF" w14:textId="77777777" w:rsidR="00BA49F5" w:rsidRDefault="007E5E49">
      <w:pPr>
        <w:ind w:firstLine="540"/>
        <w:jc w:val="both"/>
      </w:pPr>
      <w:r>
        <w:rPr>
          <w:rFonts w:ascii="Times New Roman" w:eastAsia="宋体" w:hAnsi="Times New Roman"/>
          <w:color w:val="000000"/>
          <w:sz w:val="20"/>
          <w:szCs w:val="20"/>
        </w:rPr>
        <w:t>The numbers of DAUs and MAUs discussed in this Annual Report on Form 10-K, as well as ARPU, do not include users on Instagram, What</w:t>
      </w:r>
      <w:r>
        <w:rPr>
          <w:rFonts w:ascii="Times New Roman" w:eastAsia="宋体" w:hAnsi="Times New Roman"/>
          <w:color w:val="000000"/>
          <w:sz w:val="20"/>
          <w:szCs w:val="20"/>
        </w:rPr>
        <w:t>sApp, or our other products, unless they would otherwise qualify as DAUs or MAUs, respectively, based on their other activities on Facebook.</w:t>
      </w:r>
    </w:p>
    <w:p w14:paraId="5CD8DEE0" w14:textId="77777777" w:rsidR="00BA49F5" w:rsidRDefault="00BA49F5">
      <w:pPr>
        <w:jc w:val="both"/>
      </w:pPr>
    </w:p>
    <w:p w14:paraId="5CD8DEE1" w14:textId="77777777" w:rsidR="00BA49F5" w:rsidRDefault="007E5E49">
      <w:r>
        <w:rPr>
          <w:rFonts w:ascii="Times New Roman" w:eastAsia="宋体" w:hAnsi="Times New Roman"/>
          <w:b/>
          <w:bCs/>
          <w:color w:val="000000"/>
          <w:sz w:val="20"/>
          <w:szCs w:val="20"/>
        </w:rPr>
        <w:t>User Geography</w:t>
      </w:r>
    </w:p>
    <w:p w14:paraId="5CD8DEE2" w14:textId="77777777" w:rsidR="00BA49F5" w:rsidRDefault="00BA49F5">
      <w:pPr>
        <w:ind w:firstLine="540"/>
        <w:jc w:val="both"/>
      </w:pPr>
    </w:p>
    <w:p w14:paraId="5CD8DEE3" w14:textId="77777777" w:rsidR="00BA49F5" w:rsidRDefault="007E5E49">
      <w:pPr>
        <w:ind w:firstLine="540"/>
        <w:jc w:val="both"/>
      </w:pPr>
      <w:r>
        <w:rPr>
          <w:rFonts w:ascii="Times New Roman" w:eastAsia="宋体" w:hAnsi="Times New Roman"/>
          <w:color w:val="000000"/>
          <w:sz w:val="20"/>
          <w:szCs w:val="20"/>
        </w:rPr>
        <w:t>Our data regarding the geographic location of our users is estimated based on a number of factors,</w:t>
      </w:r>
      <w:r>
        <w:rPr>
          <w:rFonts w:ascii="Times New Roman" w:eastAsia="宋体" w:hAnsi="Times New Roman"/>
          <w:color w:val="000000"/>
          <w:sz w:val="20"/>
          <w:szCs w:val="20"/>
        </w:rPr>
        <w:t xml:space="preserve"> such as the user's IP address and self-disclosed location. These factors may not always accurately reflect the user's actual location. For example, a user may appear to be accessing Facebook from the location of the proxy server that the user connects to </w:t>
      </w:r>
      <w:r>
        <w:rPr>
          <w:rFonts w:ascii="Times New Roman" w:eastAsia="宋体" w:hAnsi="Times New Roman"/>
          <w:color w:val="000000"/>
          <w:sz w:val="20"/>
          <w:szCs w:val="20"/>
        </w:rPr>
        <w:t>rather than from the user's actual location. The methodologies used to measure our metrics are also susceptible to algorithm or other technical errors, and our estimates for revenue by user location and revenue by user device are also affected by these fac</w:t>
      </w:r>
      <w:r>
        <w:rPr>
          <w:rFonts w:ascii="Times New Roman" w:eastAsia="宋体" w:hAnsi="Times New Roman"/>
          <w:color w:val="000000"/>
          <w:sz w:val="20"/>
          <w:szCs w:val="20"/>
        </w:rPr>
        <w:t xml:space="preserve">tors. </w:t>
      </w:r>
    </w:p>
    <w:p w14:paraId="5CD8DEE4" w14:textId="77777777" w:rsidR="00BA49F5" w:rsidRDefault="007E5E49">
      <w:pPr>
        <w:jc w:val="center"/>
      </w:pPr>
      <w:r>
        <w:rPr>
          <w:rFonts w:ascii="Times New Roman" w:eastAsia="宋体" w:hAnsi="Times New Roman"/>
          <w:color w:val="000000"/>
          <w:sz w:val="20"/>
          <w:szCs w:val="20"/>
        </w:rPr>
        <w:t>6</w:t>
      </w:r>
    </w:p>
    <w:p w14:paraId="5CD8DEE5" w14:textId="77777777" w:rsidR="00BA49F5" w:rsidRDefault="007E5E49">
      <w:r>
        <w:pict w14:anchorId="5CD90CD1">
          <v:rect id="_x0000_i1030" style="width:415.3pt;height:1.5pt" o:hralign="center" o:hrstd="t" o:hr="t" fillcolor="#a0a0a0" stroked="f"/>
        </w:pict>
      </w:r>
    </w:p>
    <w:p w14:paraId="5CD8DEE6" w14:textId="77777777" w:rsidR="00BA49F5" w:rsidRDefault="00BA49F5"/>
    <w:p w14:paraId="5CD8DEE7" w14:textId="77777777" w:rsidR="00BA49F5" w:rsidRDefault="00BA49F5"/>
    <w:p w14:paraId="5CD8DEE8" w14:textId="77777777" w:rsidR="00BA49F5" w:rsidRDefault="007E5E49">
      <w:hyperlink r:id="rId92" w:anchor="i6df229dad1864210ab76200083e26819_7" w:history="1">
        <w:r>
          <w:rPr>
            <w:rStyle w:val="a5"/>
            <w:rFonts w:ascii="Times New Roman" w:eastAsia="宋体" w:hAnsi="Times New Roman"/>
            <w:sz w:val="20"/>
            <w:szCs w:val="20"/>
          </w:rPr>
          <w:t>T</w:t>
        </w:r>
      </w:hyperlink>
      <w:hyperlink r:id="rId93" w:anchor="i6df229dad1864210ab76200083e26819_7" w:history="1">
        <w:r>
          <w:rPr>
            <w:rStyle w:val="a5"/>
            <w:rFonts w:ascii="Times New Roman" w:eastAsia="宋体" w:hAnsi="Times New Roman"/>
            <w:sz w:val="20"/>
            <w:szCs w:val="20"/>
          </w:rPr>
          <w:t>able of Contents</w:t>
        </w:r>
      </w:hyperlink>
    </w:p>
    <w:p w14:paraId="5CD8DEE9" w14:textId="77777777" w:rsidR="00BA49F5" w:rsidRDefault="007E5E49">
      <w:pPr>
        <w:jc w:val="both"/>
      </w:pPr>
      <w:r>
        <w:rPr>
          <w:rFonts w:ascii="Times New Roman" w:eastAsia="宋体" w:hAnsi="Times New Roman"/>
          <w:b/>
          <w:bCs/>
          <w:color w:val="000000"/>
          <w:sz w:val="22"/>
          <w:szCs w:val="22"/>
        </w:rPr>
        <w:t>PART I</w:t>
      </w:r>
    </w:p>
    <w:p w14:paraId="5CD8DEEA" w14:textId="77777777" w:rsidR="00BA49F5" w:rsidRDefault="00BA49F5">
      <w:pPr>
        <w:jc w:val="both"/>
      </w:pPr>
    </w:p>
    <w:p w14:paraId="5CD8DEEB" w14:textId="77777777" w:rsidR="00BA49F5" w:rsidRDefault="007E5E49">
      <w:pPr>
        <w:jc w:val="both"/>
      </w:pPr>
      <w:r>
        <w:rPr>
          <w:rFonts w:ascii="Times New Roman" w:eastAsia="宋体" w:hAnsi="Times New Roman"/>
          <w:b/>
          <w:bCs/>
          <w:color w:val="000000"/>
          <w:sz w:val="20"/>
          <w:szCs w:val="20"/>
          <w:shd w:val="clear" w:color="auto" w:fill="FFFFFF"/>
        </w:rPr>
        <w:t xml:space="preserve">Item 1.Business </w:t>
      </w:r>
    </w:p>
    <w:p w14:paraId="5CD8DEEC" w14:textId="77777777" w:rsidR="00BA49F5" w:rsidRDefault="00BA49F5">
      <w:pPr>
        <w:jc w:val="both"/>
      </w:pPr>
    </w:p>
    <w:p w14:paraId="5CD8DEED" w14:textId="77777777" w:rsidR="00BA49F5" w:rsidRDefault="007E5E49">
      <w:pPr>
        <w:jc w:val="both"/>
      </w:pPr>
      <w:r>
        <w:rPr>
          <w:rFonts w:ascii="Times New Roman" w:eastAsia="宋体" w:hAnsi="Times New Roman"/>
          <w:b/>
          <w:bCs/>
          <w:color w:val="000000"/>
          <w:sz w:val="20"/>
          <w:szCs w:val="20"/>
        </w:rPr>
        <w:t>Overview</w:t>
      </w:r>
    </w:p>
    <w:p w14:paraId="5CD8DEEE" w14:textId="77777777" w:rsidR="00BA49F5" w:rsidRDefault="00BA49F5">
      <w:pPr>
        <w:jc w:val="both"/>
      </w:pPr>
    </w:p>
    <w:p w14:paraId="5CD8DEEF" w14:textId="77777777" w:rsidR="00BA49F5" w:rsidRDefault="007E5E49">
      <w:pPr>
        <w:ind w:firstLine="540"/>
        <w:jc w:val="both"/>
      </w:pPr>
      <w:r>
        <w:rPr>
          <w:rFonts w:ascii="Times New Roman" w:eastAsia="宋体" w:hAnsi="Times New Roman"/>
          <w:color w:val="000000"/>
          <w:sz w:val="20"/>
          <w:szCs w:val="20"/>
        </w:rPr>
        <w:t xml:space="preserve">Our mission is to give people the power to build community and bring the world closer together. </w:t>
      </w:r>
    </w:p>
    <w:p w14:paraId="5CD8DEF0" w14:textId="77777777" w:rsidR="00BA49F5" w:rsidRDefault="00BA49F5">
      <w:pPr>
        <w:ind w:firstLine="540"/>
        <w:jc w:val="both"/>
      </w:pPr>
    </w:p>
    <w:p w14:paraId="5CD8DEF1" w14:textId="77777777" w:rsidR="00BA49F5" w:rsidRDefault="007E5E49">
      <w:pPr>
        <w:ind w:firstLine="540"/>
        <w:jc w:val="both"/>
      </w:pPr>
      <w:r>
        <w:rPr>
          <w:rFonts w:ascii="Times New Roman" w:eastAsia="宋体" w:hAnsi="Times New Roman"/>
          <w:color w:val="000000"/>
          <w:sz w:val="20"/>
          <w:szCs w:val="20"/>
        </w:rPr>
        <w:t xml:space="preserve">All of our products, including our apps, share the vision of helping to bring the metaverse to life. We build technology that helps people connect and </w:t>
      </w:r>
      <w:r>
        <w:rPr>
          <w:rFonts w:ascii="Times New Roman" w:eastAsia="宋体" w:hAnsi="Times New Roman"/>
          <w:color w:val="000000"/>
          <w:sz w:val="20"/>
          <w:szCs w:val="20"/>
        </w:rPr>
        <w:t xml:space="preserve">share, find communities, and grow businesses. Our useful and engaging products enable people to connect and share with friends and family through mobile devices, personal computers, virtual reality headsets, and wearables. We also help people discover and </w:t>
      </w:r>
      <w:r>
        <w:rPr>
          <w:rFonts w:ascii="Times New Roman" w:eastAsia="宋体" w:hAnsi="Times New Roman"/>
          <w:color w:val="000000"/>
          <w:sz w:val="20"/>
          <w:szCs w:val="20"/>
        </w:rPr>
        <w:t xml:space="preserve">learn about what is going on in the world around them, enable people to share their experiences, ideas, photos and videos, and other activities with audiences ranging from their closest family members and friends to the public at large, and stay connected </w:t>
      </w:r>
      <w:r>
        <w:rPr>
          <w:rFonts w:ascii="Times New Roman" w:eastAsia="宋体" w:hAnsi="Times New Roman"/>
          <w:color w:val="000000"/>
          <w:sz w:val="20"/>
          <w:szCs w:val="20"/>
        </w:rPr>
        <w:t>everywhere by accessing our products. Meta is moving our offerings beyond 2D screens toward immersive experiences like augmented and virtual reality to help build the metaverse, which we believe is the next evolution in social technology. Our vision for th</w:t>
      </w:r>
      <w:r>
        <w:rPr>
          <w:rFonts w:ascii="Times New Roman" w:eastAsia="宋体" w:hAnsi="Times New Roman"/>
          <w:color w:val="000000"/>
          <w:sz w:val="20"/>
          <w:szCs w:val="20"/>
        </w:rPr>
        <w:t>e metaverse does not center on any single product, but rather an entire ecosystem of experiences, devices, and new technologies. While the metaverse is in the very early stages of its development, we believe it will become the next computing platform and t</w:t>
      </w:r>
      <w:r>
        <w:rPr>
          <w:rFonts w:ascii="Times New Roman" w:eastAsia="宋体" w:hAnsi="Times New Roman"/>
          <w:color w:val="000000"/>
          <w:sz w:val="20"/>
          <w:szCs w:val="20"/>
        </w:rPr>
        <w:t>he future of social interaction.</w:t>
      </w:r>
    </w:p>
    <w:p w14:paraId="5CD8DEF2" w14:textId="77777777" w:rsidR="00BA49F5" w:rsidRDefault="00BA49F5">
      <w:pPr>
        <w:ind w:firstLine="540"/>
        <w:jc w:val="both"/>
      </w:pPr>
    </w:p>
    <w:p w14:paraId="5CD8DEF3" w14:textId="77777777" w:rsidR="00BA49F5" w:rsidRDefault="007E5E49">
      <w:pPr>
        <w:ind w:firstLine="540"/>
        <w:jc w:val="both"/>
      </w:pPr>
      <w:r>
        <w:rPr>
          <w:rFonts w:ascii="Times New Roman" w:eastAsia="宋体" w:hAnsi="Times New Roman"/>
          <w:color w:val="000000"/>
          <w:sz w:val="20"/>
          <w:szCs w:val="20"/>
        </w:rPr>
        <w:t>We report financial results for two segments: Family of Apps (FoA) and Reality Labs (RL). Currently, we generate substantially all of our revenue from selling advertising placements on our family of apps to marketers, whic</w:t>
      </w:r>
      <w:r>
        <w:rPr>
          <w:rFonts w:ascii="Times New Roman" w:eastAsia="宋体" w:hAnsi="Times New Roman"/>
          <w:color w:val="000000"/>
          <w:sz w:val="20"/>
          <w:szCs w:val="20"/>
        </w:rPr>
        <w:t xml:space="preserve">h is reflected in FoA. Ads on our platforms enable marketers to reach people across a range of marketing objectives, such as generating leads or driving awareness. Marketers purchase ads that can appear in multiple places including on Facebook, Instagram, </w:t>
      </w:r>
      <w:r>
        <w:rPr>
          <w:rFonts w:ascii="Times New Roman" w:eastAsia="宋体" w:hAnsi="Times New Roman"/>
          <w:color w:val="000000"/>
          <w:sz w:val="20"/>
          <w:szCs w:val="20"/>
        </w:rPr>
        <w:t xml:space="preserve">Messenger, and third-party applications and websites. RL reflects our efforts to develop the metaverse and generates revenue from sales of consumer hardware products, software and content. </w:t>
      </w:r>
    </w:p>
    <w:p w14:paraId="5CD8DEF4" w14:textId="77777777" w:rsidR="00BA49F5" w:rsidRDefault="00BA49F5">
      <w:pPr>
        <w:ind w:firstLine="540"/>
        <w:jc w:val="both"/>
      </w:pPr>
    </w:p>
    <w:p w14:paraId="5CD8DEF5" w14:textId="77777777" w:rsidR="00BA49F5" w:rsidRDefault="007E5E49">
      <w:pPr>
        <w:ind w:firstLine="540"/>
        <w:jc w:val="both"/>
      </w:pPr>
      <w:r>
        <w:rPr>
          <w:rFonts w:ascii="Times New Roman" w:eastAsia="宋体" w:hAnsi="Times New Roman"/>
          <w:color w:val="000000"/>
          <w:sz w:val="20"/>
          <w:szCs w:val="20"/>
        </w:rPr>
        <w:t>We invest in our business based on our company priorities, and th</w:t>
      </w:r>
      <w:r>
        <w:rPr>
          <w:rFonts w:ascii="Times New Roman" w:eastAsia="宋体" w:hAnsi="Times New Roman"/>
          <w:color w:val="000000"/>
          <w:sz w:val="20"/>
          <w:szCs w:val="20"/>
        </w:rPr>
        <w:t>e majority of our investments are directed toward developing our family of apps. In 2022, 82% of our total costs and expenses were recognized in FoA and 18% were recognized in RL. Our FoA investments were $71.79 billion in 2022 and include expenses relatin</w:t>
      </w:r>
      <w:r>
        <w:rPr>
          <w:rFonts w:ascii="Times New Roman" w:eastAsia="宋体" w:hAnsi="Times New Roman"/>
          <w:color w:val="000000"/>
          <w:sz w:val="20"/>
          <w:szCs w:val="20"/>
        </w:rPr>
        <w:t>g to headcount, data centers and technical infrastructure as part of our efforts to develop our apps and our advertising services. We are also making significant investments in our metaverse efforts, including developing virtual and augmented reality devic</w:t>
      </w:r>
      <w:r>
        <w:rPr>
          <w:rFonts w:ascii="Times New Roman" w:eastAsia="宋体" w:hAnsi="Times New Roman"/>
          <w:color w:val="000000"/>
          <w:sz w:val="20"/>
          <w:szCs w:val="20"/>
        </w:rPr>
        <w:t>es, software for social platforms, neural interfaces, and other foundational technologies for the metaverse. Our total RL investments were $15.88 billion in 2022 and include expenses relating to headcount and technology development across these efforts. As</w:t>
      </w:r>
      <w:r>
        <w:rPr>
          <w:rFonts w:ascii="Times New Roman" w:eastAsia="宋体" w:hAnsi="Times New Roman"/>
          <w:color w:val="000000"/>
          <w:sz w:val="20"/>
          <w:szCs w:val="20"/>
        </w:rPr>
        <w:t xml:space="preserve"> these are fundamentally new technologies that we expect will evolve as the metaverse ecosystem develops, many products for the metaverse may only be fully realized in the next decade. Although it is inherently difficult to predict when and how the metaver</w:t>
      </w:r>
      <w:r>
        <w:rPr>
          <w:rFonts w:ascii="Times New Roman" w:eastAsia="宋体" w:hAnsi="Times New Roman"/>
          <w:color w:val="000000"/>
          <w:sz w:val="20"/>
          <w:szCs w:val="20"/>
        </w:rPr>
        <w:t>se ecosystem will develop, we expect our RL segment to continue to operate at a loss for the foreseeable future, and our ability to support our metaverse efforts is dependent on generating sufficient profits from other areas of our business. We expect this</w:t>
      </w:r>
      <w:r>
        <w:rPr>
          <w:rFonts w:ascii="Times New Roman" w:eastAsia="宋体" w:hAnsi="Times New Roman"/>
          <w:color w:val="000000"/>
          <w:sz w:val="20"/>
          <w:szCs w:val="20"/>
        </w:rPr>
        <w:t xml:space="preserve"> will be a complex, evolving, and long-term initiative. We are investing now because we believe this is the next chapter of the internet and will unlock monetization opportunities for businesses, developers, and creators, including around advertising, hard</w:t>
      </w:r>
      <w:r>
        <w:rPr>
          <w:rFonts w:ascii="Times New Roman" w:eastAsia="宋体" w:hAnsi="Times New Roman"/>
          <w:color w:val="000000"/>
          <w:sz w:val="20"/>
          <w:szCs w:val="20"/>
        </w:rPr>
        <w:t xml:space="preserve">ware, and digital goods. </w:t>
      </w:r>
    </w:p>
    <w:p w14:paraId="5CD8DEF6" w14:textId="77777777" w:rsidR="00BA49F5" w:rsidRDefault="00BA49F5"/>
    <w:p w14:paraId="5CD8DEF7" w14:textId="77777777" w:rsidR="00BA49F5" w:rsidRDefault="007E5E49">
      <w:pPr>
        <w:jc w:val="both"/>
      </w:pPr>
      <w:r>
        <w:rPr>
          <w:rFonts w:ascii="Times New Roman" w:eastAsia="宋体" w:hAnsi="Times New Roman"/>
          <w:b/>
          <w:bCs/>
          <w:color w:val="000000"/>
          <w:sz w:val="20"/>
          <w:szCs w:val="20"/>
        </w:rPr>
        <w:t>Family of Apps Products</w:t>
      </w:r>
    </w:p>
    <w:p w14:paraId="5CD8DEF8" w14:textId="77777777" w:rsidR="00BA49F5" w:rsidRDefault="00BA49F5">
      <w:pPr>
        <w:ind w:firstLine="540"/>
        <w:jc w:val="both"/>
      </w:pPr>
    </w:p>
    <w:p w14:paraId="5CD8DEF9" w14:textId="77777777" w:rsidR="00BA49F5" w:rsidRDefault="007E5E49">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Facebook. </w:t>
      </w:r>
      <w:r>
        <w:rPr>
          <w:rFonts w:ascii="Times New Roman" w:eastAsia="宋体" w:hAnsi="Times New Roman"/>
          <w:color w:val="000000"/>
          <w:sz w:val="20"/>
          <w:szCs w:val="20"/>
        </w:rPr>
        <w:t>Facebook helps give people the power to build community and bring the world closer together. It's a place for people to share life's moments and discuss what's happening, nurture and build rela</w:t>
      </w:r>
      <w:r>
        <w:rPr>
          <w:rFonts w:ascii="Times New Roman" w:eastAsia="宋体" w:hAnsi="Times New Roman"/>
          <w:color w:val="000000"/>
          <w:sz w:val="20"/>
          <w:szCs w:val="20"/>
        </w:rPr>
        <w:t>tionships, discover and connect to interests, and create economic opportunity. They can do this through Feed, Reels, Stories, Groups, and more.</w:t>
      </w:r>
    </w:p>
    <w:p w14:paraId="5CD8DEFA" w14:textId="77777777" w:rsidR="00BA49F5" w:rsidRDefault="00BA49F5">
      <w:pPr>
        <w:jc w:val="both"/>
      </w:pPr>
    </w:p>
    <w:p w14:paraId="5CD8DEFB" w14:textId="77777777" w:rsidR="00BA49F5" w:rsidRDefault="007E5E49">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Instagram. </w:t>
      </w:r>
      <w:r>
        <w:rPr>
          <w:rFonts w:ascii="Times New Roman" w:eastAsia="宋体" w:hAnsi="Times New Roman"/>
          <w:color w:val="000000"/>
          <w:sz w:val="20"/>
          <w:szCs w:val="20"/>
        </w:rPr>
        <w:t xml:space="preserve">Instagram brings people closer to the people and things they love. Instagram Feed, Stories, Reels, </w:t>
      </w:r>
      <w:r>
        <w:rPr>
          <w:rFonts w:ascii="Times New Roman" w:eastAsia="宋体" w:hAnsi="Times New Roman"/>
          <w:color w:val="000000"/>
          <w:sz w:val="20"/>
          <w:szCs w:val="20"/>
        </w:rPr>
        <w:t xml:space="preserve">Video, Live, Shops, and messaging are places where people and creators can connect and express themselves through photos, video, and private messaging, and discover and shop from their favorite businesses. </w:t>
      </w:r>
    </w:p>
    <w:p w14:paraId="5CD8DEFC" w14:textId="77777777" w:rsidR="00BA49F5" w:rsidRDefault="00BA49F5">
      <w:pPr>
        <w:jc w:val="both"/>
      </w:pPr>
    </w:p>
    <w:p w14:paraId="5CD8DEFD" w14:textId="77777777" w:rsidR="00BA49F5" w:rsidRDefault="007E5E49">
      <w:pPr>
        <w:ind w:hanging="450"/>
        <w:jc w:val="both"/>
      </w:pPr>
      <w:r>
        <w:rPr>
          <w:rFonts w:ascii="Times New Roman" w:eastAsia="宋体" w:hAnsi="Times New Roman"/>
          <w:b/>
          <w:bCs/>
          <w:i/>
          <w:iCs/>
          <w:color w:val="000000"/>
          <w:sz w:val="20"/>
          <w:szCs w:val="20"/>
        </w:rPr>
        <w:t xml:space="preserve">•Messenger. </w:t>
      </w:r>
      <w:r>
        <w:rPr>
          <w:rFonts w:ascii="Times New Roman" w:eastAsia="宋体" w:hAnsi="Times New Roman"/>
          <w:color w:val="000000"/>
          <w:sz w:val="20"/>
          <w:szCs w:val="20"/>
        </w:rPr>
        <w:t>Messenger is a simple yet powerful m</w:t>
      </w:r>
      <w:r>
        <w:rPr>
          <w:rFonts w:ascii="Times New Roman" w:eastAsia="宋体" w:hAnsi="Times New Roman"/>
          <w:color w:val="000000"/>
          <w:sz w:val="20"/>
          <w:szCs w:val="20"/>
        </w:rPr>
        <w:t xml:space="preserve">essaging application for people to connect with friends, family, communities, and businesses across platforms and devices through text, audio and video calls. </w:t>
      </w:r>
    </w:p>
    <w:p w14:paraId="5CD8DEFE" w14:textId="77777777" w:rsidR="00BA49F5" w:rsidRDefault="00BA49F5">
      <w:pPr>
        <w:jc w:val="both"/>
      </w:pPr>
    </w:p>
    <w:p w14:paraId="5CD8DEFF" w14:textId="77777777" w:rsidR="00BA49F5" w:rsidRDefault="007E5E49">
      <w:pPr>
        <w:jc w:val="center"/>
      </w:pPr>
      <w:r>
        <w:rPr>
          <w:rFonts w:ascii="Times New Roman" w:eastAsia="宋体" w:hAnsi="Times New Roman"/>
          <w:color w:val="000000"/>
          <w:sz w:val="20"/>
          <w:szCs w:val="20"/>
        </w:rPr>
        <w:t>7</w:t>
      </w:r>
    </w:p>
    <w:p w14:paraId="5CD8DF00" w14:textId="77777777" w:rsidR="00BA49F5" w:rsidRDefault="007E5E49">
      <w:r>
        <w:pict w14:anchorId="5CD90CD2">
          <v:rect id="_x0000_i1031" style="width:415.3pt;height:1.5pt" o:hralign="center" o:hrstd="t" o:hr="t" fillcolor="#a0a0a0" stroked="f"/>
        </w:pict>
      </w:r>
    </w:p>
    <w:p w14:paraId="5CD8DF01" w14:textId="77777777" w:rsidR="00BA49F5" w:rsidRDefault="00BA49F5"/>
    <w:p w14:paraId="5CD8DF02" w14:textId="77777777" w:rsidR="00BA49F5" w:rsidRDefault="00BA49F5"/>
    <w:p w14:paraId="5CD8DF03" w14:textId="77777777" w:rsidR="00BA49F5" w:rsidRDefault="007E5E49">
      <w:hyperlink r:id="rId94" w:anchor="i6df229dad1864210ab76200083e26819_7" w:history="1">
        <w:r>
          <w:rPr>
            <w:rStyle w:val="a5"/>
            <w:rFonts w:ascii="Times New Roman" w:eastAsia="宋体" w:hAnsi="Times New Roman"/>
            <w:sz w:val="20"/>
            <w:szCs w:val="20"/>
          </w:rPr>
          <w:t>T</w:t>
        </w:r>
      </w:hyperlink>
      <w:hyperlink r:id="rId95" w:anchor="i6df229dad1864210ab76200083e26819_7" w:history="1">
        <w:r>
          <w:rPr>
            <w:rStyle w:val="a5"/>
            <w:rFonts w:ascii="Times New Roman" w:eastAsia="宋体" w:hAnsi="Times New Roman"/>
            <w:sz w:val="20"/>
            <w:szCs w:val="20"/>
          </w:rPr>
          <w:t>able of Contents</w:t>
        </w:r>
      </w:hyperlink>
    </w:p>
    <w:p w14:paraId="5CD8DF04" w14:textId="77777777" w:rsidR="00BA49F5" w:rsidRDefault="007E5E49">
      <w:pPr>
        <w:ind w:hanging="450"/>
        <w:jc w:val="both"/>
      </w:pPr>
      <w:r>
        <w:rPr>
          <w:rFonts w:ascii="Times New Roman" w:eastAsia="宋体" w:hAnsi="Times New Roman"/>
          <w:b/>
          <w:bCs/>
          <w:i/>
          <w:iCs/>
          <w:color w:val="000000"/>
          <w:sz w:val="20"/>
          <w:szCs w:val="20"/>
        </w:rPr>
        <w:t xml:space="preserve">•WhatsApp. </w:t>
      </w:r>
      <w:r>
        <w:rPr>
          <w:rFonts w:ascii="Times New Roman" w:eastAsia="宋体" w:hAnsi="Times New Roman"/>
          <w:color w:val="000000"/>
          <w:sz w:val="20"/>
          <w:szCs w:val="20"/>
        </w:rPr>
        <w:t>WhatsApp is a simple, reliable, and secure messaging application that is used by people and businesses around the world to communicate and transact in a private way.</w:t>
      </w:r>
    </w:p>
    <w:p w14:paraId="5CD8DF05" w14:textId="77777777" w:rsidR="00BA49F5" w:rsidRDefault="00BA49F5">
      <w:pPr>
        <w:jc w:val="both"/>
      </w:pPr>
    </w:p>
    <w:p w14:paraId="5CD8DF06" w14:textId="77777777" w:rsidR="00BA49F5" w:rsidRDefault="007E5E49">
      <w:pPr>
        <w:jc w:val="both"/>
      </w:pPr>
      <w:r>
        <w:rPr>
          <w:rFonts w:ascii="Times New Roman" w:eastAsia="宋体" w:hAnsi="Times New Roman"/>
          <w:b/>
          <w:bCs/>
          <w:color w:val="000000"/>
          <w:sz w:val="20"/>
          <w:szCs w:val="20"/>
        </w:rPr>
        <w:t>Reality Labs Products</w:t>
      </w:r>
    </w:p>
    <w:p w14:paraId="5CD8DF07" w14:textId="77777777" w:rsidR="00BA49F5" w:rsidRDefault="00BA49F5">
      <w:pPr>
        <w:jc w:val="both"/>
      </w:pPr>
    </w:p>
    <w:p w14:paraId="5CD8DF08" w14:textId="77777777" w:rsidR="00BA49F5" w:rsidRDefault="007E5E49">
      <w:pPr>
        <w:ind w:firstLine="540"/>
        <w:jc w:val="both"/>
      </w:pPr>
      <w:r>
        <w:rPr>
          <w:rFonts w:ascii="Times New Roman" w:eastAsia="宋体" w:hAnsi="Times New Roman"/>
          <w:color w:val="000000"/>
          <w:sz w:val="20"/>
          <w:szCs w:val="20"/>
        </w:rPr>
        <w:t>Many of our metaverse investments are directed toward l</w:t>
      </w:r>
      <w:r>
        <w:rPr>
          <w:rFonts w:ascii="Times New Roman" w:eastAsia="宋体" w:hAnsi="Times New Roman"/>
          <w:color w:val="000000"/>
          <w:sz w:val="20"/>
          <w:szCs w:val="20"/>
        </w:rPr>
        <w:t>ong-term, cutting edge research and development for products that are not on the market today and may only be fully realized in the next decade. This includes exploring new technologies such as neural interfaces using electromyography, which lets people co</w:t>
      </w:r>
      <w:r>
        <w:rPr>
          <w:rFonts w:ascii="Times New Roman" w:eastAsia="宋体" w:hAnsi="Times New Roman"/>
          <w:color w:val="000000"/>
          <w:sz w:val="20"/>
          <w:szCs w:val="20"/>
        </w:rPr>
        <w:t xml:space="preserve">ntrol their devices using neuromuscular signals, as well as innovations in artificial intelligence (AI) and hardware to help build next-generation interfaces. In the near term, we are continuing to develop early metaverse experiences through Reality Labs' </w:t>
      </w:r>
      <w:r>
        <w:rPr>
          <w:rFonts w:ascii="Times New Roman" w:eastAsia="宋体" w:hAnsi="Times New Roman"/>
          <w:color w:val="000000"/>
          <w:sz w:val="20"/>
          <w:szCs w:val="20"/>
        </w:rPr>
        <w:t>augmented and virtual reality products that help people feel connected, anytime, anywhere. Our current product offerings include Meta Quest virtual reality devices, as well as software and content available through the Meta Quest Store, which enable a rang</w:t>
      </w:r>
      <w:r>
        <w:rPr>
          <w:rFonts w:ascii="Times New Roman" w:eastAsia="宋体" w:hAnsi="Times New Roman"/>
          <w:color w:val="000000"/>
          <w:sz w:val="20"/>
          <w:szCs w:val="20"/>
        </w:rPr>
        <w:t>e of social experiences that allow people to defy physical distance, including gaming, fitness, entertainment, and more. For example, we have launched Horizon Worlds, a social platform where people can interact with friends, meet new people, play games, an</w:t>
      </w:r>
      <w:r>
        <w:rPr>
          <w:rFonts w:ascii="Times New Roman" w:eastAsia="宋体" w:hAnsi="Times New Roman"/>
          <w:color w:val="000000"/>
          <w:sz w:val="20"/>
          <w:szCs w:val="20"/>
        </w:rPr>
        <w:t>d attend virtual events, and Horizon Workrooms, a virtual reality space for teams to connect and collaborate at work. As part of our virtual reality initiatives, we have also introduced mixed reality capabilities through our Meta Reality system on Meta Que</w:t>
      </w:r>
      <w:r>
        <w:rPr>
          <w:rFonts w:ascii="Times New Roman" w:eastAsia="宋体" w:hAnsi="Times New Roman"/>
          <w:color w:val="000000"/>
          <w:sz w:val="20"/>
          <w:szCs w:val="20"/>
        </w:rPr>
        <w:t>st Pro, which allows users to experience the immersion and presence of virtual reality while still being grounded in the physical world. As part of our augmented reality initiatives, we have introduced Ray-Ban Stories smart glasses, which let people stay m</w:t>
      </w:r>
      <w:r>
        <w:rPr>
          <w:rFonts w:ascii="Times New Roman" w:eastAsia="宋体" w:hAnsi="Times New Roman"/>
          <w:color w:val="000000"/>
          <w:sz w:val="20"/>
          <w:szCs w:val="20"/>
        </w:rPr>
        <w:t>ore present through hands-free interaction, and Meta Spark, a platform that allows creators and businesses to build augmented reality experiences that bring the digital and physical worlds together in our apps. In general, while all of these investments ar</w:t>
      </w:r>
      <w:r>
        <w:rPr>
          <w:rFonts w:ascii="Times New Roman" w:eastAsia="宋体" w:hAnsi="Times New Roman"/>
          <w:color w:val="000000"/>
          <w:sz w:val="20"/>
          <w:szCs w:val="20"/>
        </w:rPr>
        <w:t xml:space="preserve">e part of our long-term initiative to help build the metaverse, our virtual reality and social platform efforts also include notable shorter-term projects developing specific products and services to go to market, whereas our augmented reality efforts are </w:t>
      </w:r>
      <w:r>
        <w:rPr>
          <w:rFonts w:ascii="Times New Roman" w:eastAsia="宋体" w:hAnsi="Times New Roman"/>
          <w:color w:val="000000"/>
          <w:sz w:val="20"/>
          <w:szCs w:val="20"/>
        </w:rPr>
        <w:t>primarily directed toward longer-term research and development projects. For example, in 2023, we expect to spend approximately 50% of our Reality Labs operating expenses on our augmented reality initiatives, approximately 40% on our virtual reality initia</w:t>
      </w:r>
      <w:r>
        <w:rPr>
          <w:rFonts w:ascii="Times New Roman" w:eastAsia="宋体" w:hAnsi="Times New Roman"/>
          <w:color w:val="000000"/>
          <w:sz w:val="20"/>
          <w:szCs w:val="20"/>
        </w:rPr>
        <w:t xml:space="preserve">tives, and approximately 10% on social platforms and other initiatives. We apply significant judgment in estimating this expense breakdown as there are certain shared costs across product lines, and our expectations are subject to change, including as the </w:t>
      </w:r>
      <w:r>
        <w:rPr>
          <w:rFonts w:ascii="Times New Roman" w:eastAsia="宋体" w:hAnsi="Times New Roman"/>
          <w:color w:val="000000"/>
          <w:sz w:val="20"/>
          <w:szCs w:val="20"/>
        </w:rPr>
        <w:t>metaverse ecosystem and our business strategies evolve. In particular, we regularly evaluate our product roadmaps and make significant changes as our understanding of the technological challenges and market landscape and our product ideas and designs evolv</w:t>
      </w:r>
      <w:r>
        <w:rPr>
          <w:rFonts w:ascii="Times New Roman" w:eastAsia="宋体" w:hAnsi="Times New Roman"/>
          <w:color w:val="000000"/>
          <w:sz w:val="20"/>
          <w:szCs w:val="20"/>
        </w:rPr>
        <w:t>e.</w:t>
      </w:r>
    </w:p>
    <w:p w14:paraId="5CD8DF09" w14:textId="77777777" w:rsidR="00BA49F5" w:rsidRDefault="00BA49F5">
      <w:pPr>
        <w:jc w:val="both"/>
      </w:pPr>
    </w:p>
    <w:p w14:paraId="5CD8DF0A" w14:textId="77777777" w:rsidR="00BA49F5" w:rsidRDefault="007E5E49">
      <w:pPr>
        <w:jc w:val="both"/>
      </w:pPr>
      <w:r>
        <w:rPr>
          <w:rFonts w:ascii="Times New Roman" w:eastAsia="宋体" w:hAnsi="Times New Roman"/>
          <w:b/>
          <w:bCs/>
          <w:color w:val="000000"/>
          <w:sz w:val="20"/>
          <w:szCs w:val="20"/>
        </w:rPr>
        <w:t>Competition</w:t>
      </w:r>
    </w:p>
    <w:p w14:paraId="5CD8DF0B" w14:textId="77777777" w:rsidR="00BA49F5" w:rsidRDefault="00BA49F5">
      <w:pPr>
        <w:jc w:val="both"/>
      </w:pPr>
    </w:p>
    <w:p w14:paraId="5CD8DF0C" w14:textId="77777777" w:rsidR="00BA49F5" w:rsidRDefault="007E5E49">
      <w:pPr>
        <w:ind w:firstLine="540"/>
        <w:jc w:val="both"/>
      </w:pPr>
      <w:r>
        <w:rPr>
          <w:rFonts w:ascii="Times New Roman" w:eastAsia="宋体" w:hAnsi="Times New Roman"/>
          <w:color w:val="000000"/>
          <w:sz w:val="20"/>
          <w:szCs w:val="20"/>
        </w:rPr>
        <w:t xml:space="preserve">Our business is characterized by innovation, rapid change, and disruptive technologies. We compete with companies providing connection, sharing, discovery, and communication products and services to users online, as well as </w:t>
      </w:r>
      <w:r>
        <w:rPr>
          <w:rFonts w:ascii="Times New Roman" w:eastAsia="宋体" w:hAnsi="Times New Roman"/>
          <w:color w:val="000000"/>
          <w:sz w:val="20"/>
          <w:szCs w:val="20"/>
        </w:rPr>
        <w:t>companies that sell advertising to businesses looking to reach consumers and/or develop tools and systems for managing and optimizing advertising campaigns. We face significant competition in every aspect of our business, including, but not limited to, com</w:t>
      </w:r>
      <w:r>
        <w:rPr>
          <w:rFonts w:ascii="Times New Roman" w:eastAsia="宋体" w:hAnsi="Times New Roman"/>
          <w:color w:val="000000"/>
          <w:sz w:val="20"/>
          <w:szCs w:val="20"/>
        </w:rPr>
        <w:t>panies that facilitate the ability of users to create, share, communicate, and discover content and information online or enable marketers to reach their existing or prospective audiences. We compete to attract, engage, and retain people who use our produc</w:t>
      </w:r>
      <w:r>
        <w:rPr>
          <w:rFonts w:ascii="Times New Roman" w:eastAsia="宋体" w:hAnsi="Times New Roman"/>
          <w:color w:val="000000"/>
          <w:sz w:val="20"/>
          <w:szCs w:val="20"/>
        </w:rPr>
        <w:t>ts, to attract and retain businesses that use our free or paid business and advertising services, and to attract and retain developers who build compelling applications that integrate with our products. We also compete with companies that develop and deliv</w:t>
      </w:r>
      <w:r>
        <w:rPr>
          <w:rFonts w:ascii="Times New Roman" w:eastAsia="宋体" w:hAnsi="Times New Roman"/>
          <w:color w:val="000000"/>
          <w:sz w:val="20"/>
          <w:szCs w:val="20"/>
        </w:rPr>
        <w:t>er consumer hardware and virtual and augmented reality products and services. As we introduce or acquire new products, as our existing products evolve, or as other companies introduce new products and services, including as part of efforts to develop the m</w:t>
      </w:r>
      <w:r>
        <w:rPr>
          <w:rFonts w:ascii="Times New Roman" w:eastAsia="宋体" w:hAnsi="Times New Roman"/>
          <w:color w:val="000000"/>
          <w:sz w:val="20"/>
          <w:szCs w:val="20"/>
        </w:rPr>
        <w:t>etaverse or innovate through the application of new technologies such as AI, we may become subject to additional competition.</w:t>
      </w:r>
    </w:p>
    <w:p w14:paraId="5CD8DF0D" w14:textId="77777777" w:rsidR="00BA49F5" w:rsidRDefault="00BA49F5">
      <w:pPr>
        <w:ind w:firstLine="540"/>
        <w:jc w:val="both"/>
      </w:pPr>
    </w:p>
    <w:p w14:paraId="5CD8DF0E" w14:textId="77777777" w:rsidR="00BA49F5" w:rsidRDefault="007E5E49">
      <w:pPr>
        <w:jc w:val="both"/>
      </w:pPr>
      <w:r>
        <w:rPr>
          <w:rFonts w:ascii="Times New Roman" w:eastAsia="宋体" w:hAnsi="Times New Roman"/>
          <w:b/>
          <w:bCs/>
          <w:color w:val="000000"/>
          <w:sz w:val="20"/>
          <w:szCs w:val="20"/>
        </w:rPr>
        <w:t>Technology</w:t>
      </w:r>
    </w:p>
    <w:p w14:paraId="5CD8DF0F" w14:textId="77777777" w:rsidR="00BA49F5" w:rsidRDefault="00BA49F5">
      <w:pPr>
        <w:jc w:val="both"/>
      </w:pPr>
    </w:p>
    <w:p w14:paraId="5CD8DF10" w14:textId="77777777" w:rsidR="00BA49F5" w:rsidRDefault="007E5E49">
      <w:pPr>
        <w:ind w:firstLine="540"/>
        <w:jc w:val="both"/>
      </w:pPr>
      <w:r>
        <w:rPr>
          <w:rFonts w:ascii="Times New Roman" w:eastAsia="宋体" w:hAnsi="Times New Roman"/>
          <w:color w:val="000000"/>
          <w:sz w:val="20"/>
          <w:szCs w:val="20"/>
        </w:rPr>
        <w:t>Our product development philosophy centers on continuous innovation in creating and improving products that are socia</w:t>
      </w:r>
      <w:r>
        <w:rPr>
          <w:rFonts w:ascii="Times New Roman" w:eastAsia="宋体" w:hAnsi="Times New Roman"/>
          <w:color w:val="000000"/>
          <w:sz w:val="20"/>
          <w:szCs w:val="20"/>
        </w:rPr>
        <w:t xml:space="preserve">l by design, which means that our products are designed to place people and their social interactions at the core of the product experience. As our user base grows, as engagement with products like video and virtual reality increases, and as we deepen our </w:t>
      </w:r>
      <w:r>
        <w:rPr>
          <w:rFonts w:ascii="Times New Roman" w:eastAsia="宋体" w:hAnsi="Times New Roman"/>
          <w:color w:val="000000"/>
          <w:sz w:val="20"/>
          <w:szCs w:val="20"/>
        </w:rPr>
        <w:t>investment in new technologies, our computing needs continue to expand. We make significant investments in technology both to improve our existing products and services and to develop new ones, as well as for our marketers and developers. We are also inves</w:t>
      </w:r>
      <w:r>
        <w:rPr>
          <w:rFonts w:ascii="Times New Roman" w:eastAsia="宋体" w:hAnsi="Times New Roman"/>
          <w:color w:val="000000"/>
          <w:sz w:val="20"/>
          <w:szCs w:val="20"/>
        </w:rPr>
        <w:t>ting in protecting the security, privacy, and integrity of our platform by investing in both people and technology to strengthen our systems against abuse. Across all of these efforts, we are making significant investments in AI and machine learning, inclu</w:t>
      </w:r>
      <w:r>
        <w:rPr>
          <w:rFonts w:ascii="Times New Roman" w:eastAsia="宋体" w:hAnsi="Times New Roman"/>
          <w:color w:val="000000"/>
          <w:sz w:val="20"/>
          <w:szCs w:val="20"/>
        </w:rPr>
        <w:t xml:space="preserve">ding to recommend relevant unconnected content across our products through our AI-powered discovery engine, to enhance our advertising tools and improve our ad delivery, targeting, and measurement capabilities, and </w:t>
      </w:r>
    </w:p>
    <w:p w14:paraId="5CD8DF11" w14:textId="77777777" w:rsidR="00BA49F5" w:rsidRDefault="007E5E49">
      <w:pPr>
        <w:jc w:val="center"/>
      </w:pPr>
      <w:r>
        <w:rPr>
          <w:rFonts w:ascii="Times New Roman" w:eastAsia="宋体" w:hAnsi="Times New Roman"/>
          <w:color w:val="000000"/>
          <w:sz w:val="20"/>
          <w:szCs w:val="20"/>
        </w:rPr>
        <w:t>8</w:t>
      </w:r>
    </w:p>
    <w:p w14:paraId="5CD8DF12" w14:textId="77777777" w:rsidR="00BA49F5" w:rsidRDefault="007E5E49">
      <w:r>
        <w:pict w14:anchorId="5CD90CD3">
          <v:rect id="_x0000_i1032" style="width:415.3pt;height:1.5pt" o:hralign="center" o:hrstd="t" o:hr="t" fillcolor="#a0a0a0" stroked="f"/>
        </w:pict>
      </w:r>
    </w:p>
    <w:p w14:paraId="5CD8DF13" w14:textId="77777777" w:rsidR="00BA49F5" w:rsidRDefault="00BA49F5"/>
    <w:p w14:paraId="5CD8DF14" w14:textId="77777777" w:rsidR="00BA49F5" w:rsidRDefault="00BA49F5"/>
    <w:p w14:paraId="5CD8DF15" w14:textId="77777777" w:rsidR="00BA49F5" w:rsidRDefault="007E5E49">
      <w:hyperlink r:id="rId96" w:anchor="i6df229dad1864210ab76200083e26819_7" w:history="1">
        <w:r>
          <w:rPr>
            <w:rStyle w:val="a5"/>
            <w:rFonts w:ascii="Times New Roman" w:eastAsia="宋体" w:hAnsi="Times New Roman"/>
            <w:sz w:val="20"/>
            <w:szCs w:val="20"/>
          </w:rPr>
          <w:t>T</w:t>
        </w:r>
      </w:hyperlink>
      <w:hyperlink r:id="rId97" w:anchor="i6df229dad1864210ab76200083e26819_7" w:history="1">
        <w:r>
          <w:rPr>
            <w:rStyle w:val="a5"/>
            <w:rFonts w:ascii="Times New Roman" w:eastAsia="宋体" w:hAnsi="Times New Roman"/>
            <w:sz w:val="20"/>
            <w:szCs w:val="20"/>
          </w:rPr>
          <w:t>able of Contents</w:t>
        </w:r>
      </w:hyperlink>
    </w:p>
    <w:p w14:paraId="5CD8DF16" w14:textId="77777777" w:rsidR="00BA49F5" w:rsidRDefault="007E5E49">
      <w:pPr>
        <w:jc w:val="both"/>
      </w:pPr>
      <w:r>
        <w:rPr>
          <w:rFonts w:ascii="Times New Roman" w:eastAsia="宋体" w:hAnsi="Times New Roman"/>
          <w:color w:val="000000"/>
          <w:sz w:val="20"/>
          <w:szCs w:val="20"/>
        </w:rPr>
        <w:t>to develop new product features using generative AI.</w:t>
      </w:r>
    </w:p>
    <w:p w14:paraId="5CD8DF17" w14:textId="77777777" w:rsidR="00BA49F5" w:rsidRDefault="00BA49F5">
      <w:pPr>
        <w:ind w:firstLine="540"/>
        <w:jc w:val="both"/>
      </w:pPr>
    </w:p>
    <w:p w14:paraId="5CD8DF18" w14:textId="77777777" w:rsidR="00BA49F5" w:rsidRDefault="007E5E49">
      <w:pPr>
        <w:jc w:val="both"/>
      </w:pPr>
      <w:r>
        <w:rPr>
          <w:rFonts w:ascii="Times New Roman" w:eastAsia="宋体" w:hAnsi="Times New Roman"/>
          <w:b/>
          <w:bCs/>
          <w:color w:val="000000"/>
          <w:sz w:val="20"/>
          <w:szCs w:val="20"/>
          <w:shd w:val="clear" w:color="auto" w:fill="FFFFFF"/>
        </w:rPr>
        <w:t xml:space="preserve">Sales and Operations </w:t>
      </w:r>
    </w:p>
    <w:p w14:paraId="5CD8DF19" w14:textId="77777777" w:rsidR="00BA49F5" w:rsidRDefault="00BA49F5">
      <w:pPr>
        <w:jc w:val="both"/>
      </w:pPr>
    </w:p>
    <w:p w14:paraId="5CD8DF1A" w14:textId="77777777" w:rsidR="00BA49F5" w:rsidRDefault="007E5E49">
      <w:pPr>
        <w:ind w:firstLine="540"/>
        <w:jc w:val="both"/>
      </w:pPr>
      <w:r>
        <w:rPr>
          <w:rFonts w:ascii="Times New Roman" w:eastAsia="宋体" w:hAnsi="Times New Roman"/>
          <w:color w:val="000000"/>
          <w:sz w:val="20"/>
          <w:szCs w:val="20"/>
        </w:rPr>
        <w:t xml:space="preserve">The majority of our marketers use our self-service ad platform to launch and manage their advertising campaigns. We also have a global sales </w:t>
      </w:r>
      <w:r>
        <w:rPr>
          <w:rFonts w:ascii="Times New Roman" w:eastAsia="宋体" w:hAnsi="Times New Roman"/>
          <w:color w:val="000000"/>
          <w:sz w:val="20"/>
          <w:szCs w:val="20"/>
        </w:rPr>
        <w:t>force that is focused on attracting and retaining advertisers and providing support to them throughout the stages of the marketing cycle from pre-purchase decision-making to real-time optimizations to post-campaign analytics. We work directly with these ad</w:t>
      </w:r>
      <w:r>
        <w:rPr>
          <w:rFonts w:ascii="Times New Roman" w:eastAsia="宋体" w:hAnsi="Times New Roman"/>
          <w:color w:val="000000"/>
          <w:sz w:val="20"/>
          <w:szCs w:val="20"/>
        </w:rPr>
        <w:t>vertisers, as well as through advertising agencies and resellers. We operate offices in more than 90 cities around the globe, the majority of which have a sales presence. We also invest in and rely on self-service tools to provide direct customer support t</w:t>
      </w:r>
      <w:r>
        <w:rPr>
          <w:rFonts w:ascii="Times New Roman" w:eastAsia="宋体" w:hAnsi="Times New Roman"/>
          <w:color w:val="000000"/>
          <w:sz w:val="20"/>
          <w:szCs w:val="20"/>
        </w:rPr>
        <w:t>o our users and partners.</w:t>
      </w:r>
    </w:p>
    <w:p w14:paraId="5CD8DF1B" w14:textId="77777777" w:rsidR="00BA49F5" w:rsidRDefault="00BA49F5">
      <w:pPr>
        <w:ind w:firstLine="540"/>
        <w:jc w:val="both"/>
      </w:pPr>
    </w:p>
    <w:p w14:paraId="5CD8DF1C" w14:textId="77777777" w:rsidR="00BA49F5" w:rsidRDefault="007E5E49">
      <w:pPr>
        <w:jc w:val="both"/>
      </w:pPr>
      <w:r>
        <w:rPr>
          <w:rFonts w:ascii="Times New Roman" w:eastAsia="宋体" w:hAnsi="Times New Roman"/>
          <w:b/>
          <w:bCs/>
          <w:color w:val="000000"/>
          <w:sz w:val="20"/>
          <w:szCs w:val="20"/>
        </w:rPr>
        <w:t>Marketing</w:t>
      </w:r>
    </w:p>
    <w:p w14:paraId="5CD8DF1D" w14:textId="77777777" w:rsidR="00BA49F5" w:rsidRDefault="00BA49F5">
      <w:pPr>
        <w:jc w:val="both"/>
      </w:pPr>
    </w:p>
    <w:p w14:paraId="5CD8DF1E" w14:textId="77777777" w:rsidR="00BA49F5" w:rsidRDefault="007E5E49">
      <w:pPr>
        <w:ind w:firstLine="540"/>
        <w:jc w:val="both"/>
      </w:pPr>
      <w:r>
        <w:rPr>
          <w:rFonts w:ascii="Times New Roman" w:eastAsia="宋体" w:hAnsi="Times New Roman"/>
          <w:color w:val="000000"/>
          <w:sz w:val="20"/>
          <w:szCs w:val="20"/>
        </w:rPr>
        <w:t>Historically, our communities have generally grown organically with people inviting their friends to connect with them, supported by internal efforts to stimulate awareness and interest. In addition, we have invested a</w:t>
      </w:r>
      <w:r>
        <w:rPr>
          <w:rFonts w:ascii="Times New Roman" w:eastAsia="宋体" w:hAnsi="Times New Roman"/>
          <w:color w:val="000000"/>
          <w:sz w:val="20"/>
          <w:szCs w:val="20"/>
        </w:rPr>
        <w:t xml:space="preserve">nd will continue to invest in marketing our products and services to grow our brand and help build community around the world. </w:t>
      </w:r>
    </w:p>
    <w:p w14:paraId="5CD8DF1F" w14:textId="77777777" w:rsidR="00BA49F5" w:rsidRDefault="00BA49F5">
      <w:pPr>
        <w:ind w:firstLine="540"/>
        <w:jc w:val="both"/>
      </w:pPr>
    </w:p>
    <w:p w14:paraId="5CD8DF20" w14:textId="77777777" w:rsidR="00BA49F5" w:rsidRDefault="007E5E49">
      <w:pPr>
        <w:jc w:val="both"/>
      </w:pPr>
      <w:r>
        <w:rPr>
          <w:rFonts w:ascii="Times New Roman" w:eastAsia="宋体" w:hAnsi="Times New Roman"/>
          <w:b/>
          <w:bCs/>
          <w:color w:val="000000"/>
          <w:sz w:val="20"/>
          <w:szCs w:val="20"/>
        </w:rPr>
        <w:t xml:space="preserve">Intellectual Property </w:t>
      </w:r>
    </w:p>
    <w:p w14:paraId="5CD8DF21" w14:textId="77777777" w:rsidR="00BA49F5" w:rsidRDefault="00BA49F5">
      <w:pPr>
        <w:jc w:val="both"/>
      </w:pPr>
    </w:p>
    <w:p w14:paraId="5CD8DF22" w14:textId="77777777" w:rsidR="00BA49F5" w:rsidRDefault="007E5E49">
      <w:pPr>
        <w:ind w:firstLine="540"/>
        <w:jc w:val="both"/>
      </w:pPr>
      <w:r>
        <w:rPr>
          <w:rFonts w:ascii="Times New Roman" w:eastAsia="宋体" w:hAnsi="Times New Roman"/>
          <w:color w:val="000000"/>
          <w:sz w:val="20"/>
          <w:szCs w:val="20"/>
        </w:rPr>
        <w:t>To establish and protect our proprietary rights, we rely on a combination of patents, trademarks, copyr</w:t>
      </w:r>
      <w:r>
        <w:rPr>
          <w:rFonts w:ascii="Times New Roman" w:eastAsia="宋体" w:hAnsi="Times New Roman"/>
          <w:color w:val="000000"/>
          <w:sz w:val="20"/>
          <w:szCs w:val="20"/>
        </w:rPr>
        <w:t>ights, trade secrets, including know-how, license agreements, confidentiality procedures, non-disclosure agreements with third parties, employee disclosure and invention assignment agreements, and other contractual rights. In addition, to further protect o</w:t>
      </w:r>
      <w:r>
        <w:rPr>
          <w:rFonts w:ascii="Times New Roman" w:eastAsia="宋体" w:hAnsi="Times New Roman"/>
          <w:color w:val="000000"/>
          <w:sz w:val="20"/>
          <w:szCs w:val="20"/>
        </w:rPr>
        <w:t>ur proprietary rights, from time to time we have purchased patents and patent applications from third parties. We do not believe that our proprietary technology is dependent on any single patent or copyright or groups of related patents or copyrights. We b</w:t>
      </w:r>
      <w:r>
        <w:rPr>
          <w:rFonts w:ascii="Times New Roman" w:eastAsia="宋体" w:hAnsi="Times New Roman"/>
          <w:color w:val="000000"/>
          <w:sz w:val="20"/>
          <w:szCs w:val="20"/>
        </w:rPr>
        <w:t>elieve the duration of our patents is adequate relative to the expected lives of our products.</w:t>
      </w:r>
    </w:p>
    <w:p w14:paraId="5CD8DF23" w14:textId="77777777" w:rsidR="00BA49F5" w:rsidRDefault="00BA49F5">
      <w:pPr>
        <w:ind w:firstLine="540"/>
        <w:jc w:val="both"/>
      </w:pPr>
    </w:p>
    <w:p w14:paraId="5CD8DF24" w14:textId="77777777" w:rsidR="00BA49F5" w:rsidRDefault="007E5E49">
      <w:pPr>
        <w:jc w:val="both"/>
      </w:pPr>
      <w:r>
        <w:rPr>
          <w:rFonts w:ascii="Times New Roman" w:eastAsia="宋体" w:hAnsi="Times New Roman"/>
          <w:b/>
          <w:bCs/>
          <w:color w:val="000000"/>
          <w:sz w:val="20"/>
          <w:szCs w:val="20"/>
        </w:rPr>
        <w:t xml:space="preserve">Government Regulation </w:t>
      </w:r>
    </w:p>
    <w:p w14:paraId="5CD8DF25" w14:textId="77777777" w:rsidR="00BA49F5" w:rsidRDefault="00BA49F5">
      <w:pPr>
        <w:jc w:val="both"/>
      </w:pPr>
    </w:p>
    <w:p w14:paraId="5CD8DF26" w14:textId="77777777" w:rsidR="00BA49F5" w:rsidRDefault="007E5E49">
      <w:pPr>
        <w:ind w:firstLine="540"/>
        <w:jc w:val="both"/>
      </w:pPr>
      <w:r>
        <w:rPr>
          <w:rFonts w:ascii="Times New Roman" w:eastAsia="宋体" w:hAnsi="Times New Roman"/>
          <w:color w:val="000000"/>
          <w:sz w:val="20"/>
          <w:szCs w:val="20"/>
        </w:rPr>
        <w:t xml:space="preserve">We are subject to a variety of laws and regulations in the United States and abroad that involve matters central to our </w:t>
      </w:r>
      <w:r>
        <w:rPr>
          <w:rFonts w:ascii="Times New Roman" w:eastAsia="宋体" w:hAnsi="Times New Roman"/>
          <w:color w:val="000000"/>
          <w:sz w:val="20"/>
          <w:szCs w:val="20"/>
        </w:rPr>
        <w:t>business, many of which are still evolving and being tested in courts, and could be interpreted in ways that could harm our business. These laws and regulations involve matters including privacy, data use, data protection and personal information, biometri</w:t>
      </w:r>
      <w:r>
        <w:rPr>
          <w:rFonts w:ascii="Times New Roman" w:eastAsia="宋体" w:hAnsi="Times New Roman"/>
          <w:color w:val="000000"/>
          <w:sz w:val="20"/>
          <w:szCs w:val="20"/>
        </w:rPr>
        <w:t xml:space="preserve">cs, encryption, rights of publicity, content, integrity, intellectual property, advertising, marketing, distribution, data security, data retention and deletion, data localization and storage, data disclosure, artificial intelligence and machine learning, </w:t>
      </w:r>
      <w:r>
        <w:rPr>
          <w:rFonts w:ascii="Times New Roman" w:eastAsia="宋体" w:hAnsi="Times New Roman"/>
          <w:color w:val="000000"/>
          <w:sz w:val="20"/>
          <w:szCs w:val="20"/>
        </w:rPr>
        <w:t>electronic contracts and other communications, competition, protection of minors, consumer protection, civil rights, accessibility, telecommunications, product liability, e-commerce, taxation, economic or other trade controls including sanctions, anti-corr</w:t>
      </w:r>
      <w:r>
        <w:rPr>
          <w:rFonts w:ascii="Times New Roman" w:eastAsia="宋体" w:hAnsi="Times New Roman"/>
          <w:color w:val="000000"/>
          <w:sz w:val="20"/>
          <w:szCs w:val="20"/>
        </w:rPr>
        <w:t>uption and political law compliance, securities law compliance, and online payment services. Foreign data protection, privacy, content, competition, consumer protection, and other laws and regulations can impose different obligations, or penalties or fines</w:t>
      </w:r>
      <w:r>
        <w:rPr>
          <w:rFonts w:ascii="Times New Roman" w:eastAsia="宋体" w:hAnsi="Times New Roman"/>
          <w:color w:val="000000"/>
          <w:sz w:val="20"/>
          <w:szCs w:val="20"/>
        </w:rPr>
        <w:t xml:space="preserve"> for non-compliance, or be more restrictive than those in the United States.</w:t>
      </w:r>
    </w:p>
    <w:p w14:paraId="5CD8DF27" w14:textId="77777777" w:rsidR="00BA49F5" w:rsidRDefault="00BA49F5">
      <w:pPr>
        <w:jc w:val="both"/>
      </w:pPr>
    </w:p>
    <w:p w14:paraId="5CD8DF28" w14:textId="77777777" w:rsidR="00BA49F5" w:rsidRDefault="007E5E49">
      <w:pPr>
        <w:ind w:firstLine="540"/>
        <w:jc w:val="both"/>
      </w:pPr>
      <w:r>
        <w:rPr>
          <w:rFonts w:ascii="Times New Roman" w:eastAsia="宋体" w:hAnsi="Times New Roman"/>
          <w:color w:val="000000"/>
          <w:sz w:val="20"/>
          <w:szCs w:val="20"/>
        </w:rPr>
        <w:t>These U.S. federal, state, and foreign laws and regulations, which in some cases can be enforced by private parties in addition to government entities, are constantly evolving an</w:t>
      </w:r>
      <w:r>
        <w:rPr>
          <w:rFonts w:ascii="Times New Roman" w:eastAsia="宋体" w:hAnsi="Times New Roman"/>
          <w:color w:val="000000"/>
          <w:sz w:val="20"/>
          <w:szCs w:val="20"/>
        </w:rPr>
        <w:t>d can be subject to significant change. As a result, the application, interpretation, and enforcement of these laws and regulations are often uncertain, particularly in the new and rapidly evolving industry in which we operate, and may be interpreted and a</w:t>
      </w:r>
      <w:r>
        <w:rPr>
          <w:rFonts w:ascii="Times New Roman" w:eastAsia="宋体" w:hAnsi="Times New Roman"/>
          <w:color w:val="000000"/>
          <w:sz w:val="20"/>
          <w:szCs w:val="20"/>
        </w:rPr>
        <w:t>pplied inconsistently from jurisdiction to jurisdiction and inconsistently with our current policies and practices. For example, regulatory or legislative actions or litigation affecting the manner in which we display content to our users, moderate content</w:t>
      </w:r>
      <w:r>
        <w:rPr>
          <w:rFonts w:ascii="Times New Roman" w:eastAsia="宋体" w:hAnsi="Times New Roman"/>
          <w:color w:val="000000"/>
          <w:sz w:val="20"/>
          <w:szCs w:val="20"/>
        </w:rPr>
        <w:t>, or obtain consent to various practices, or otherwise relating to content that is made available on our products, could adversely affect our financial results. In the United States, the U.S. Supreme Court recently agreed to review a matter in which the sc</w:t>
      </w:r>
      <w:r>
        <w:rPr>
          <w:rFonts w:ascii="Times New Roman" w:eastAsia="宋体" w:hAnsi="Times New Roman"/>
          <w:color w:val="000000"/>
          <w:sz w:val="20"/>
          <w:szCs w:val="20"/>
        </w:rPr>
        <w:t>ope of the protections available to online platforms under Section 230 of the Communications Decency Act (Section 230) is at issue. In addition, there have been, and continue to be, various efforts to remove or restrict the scope of the protections availab</w:t>
      </w:r>
      <w:r>
        <w:rPr>
          <w:rFonts w:ascii="Times New Roman" w:eastAsia="宋体" w:hAnsi="Times New Roman"/>
          <w:color w:val="000000"/>
          <w:sz w:val="20"/>
          <w:szCs w:val="20"/>
        </w:rPr>
        <w:t>le to online platforms under Section 230, and any such changes may increase our costs or require significant changes to our products, business practices, or operations, which could adversely affect our business and financial results.</w:t>
      </w:r>
    </w:p>
    <w:p w14:paraId="5CD8DF29" w14:textId="77777777" w:rsidR="00BA49F5" w:rsidRDefault="00BA49F5">
      <w:pPr>
        <w:ind w:firstLine="540"/>
        <w:jc w:val="both"/>
      </w:pPr>
    </w:p>
    <w:p w14:paraId="5CD8DF2A" w14:textId="77777777" w:rsidR="00BA49F5" w:rsidRDefault="007E5E49">
      <w:pPr>
        <w:ind w:firstLine="540"/>
        <w:jc w:val="both"/>
      </w:pPr>
      <w:r>
        <w:rPr>
          <w:rFonts w:ascii="Times New Roman" w:eastAsia="宋体" w:hAnsi="Times New Roman"/>
          <w:color w:val="000000"/>
          <w:sz w:val="20"/>
          <w:szCs w:val="20"/>
        </w:rPr>
        <w:t>We are also subject t</w:t>
      </w:r>
      <w:r>
        <w:rPr>
          <w:rFonts w:ascii="Times New Roman" w:eastAsia="宋体" w:hAnsi="Times New Roman"/>
          <w:color w:val="000000"/>
          <w:sz w:val="20"/>
          <w:szCs w:val="20"/>
        </w:rPr>
        <w:t>o evolving laws and regulations that dictate whether, how, and under what circumstances we can transfer, process and/or receive certain data that is critical to our operations, including data shared between countries or regions in which we operate and data</w:t>
      </w:r>
      <w:r>
        <w:rPr>
          <w:rFonts w:ascii="Times New Roman" w:eastAsia="宋体" w:hAnsi="Times New Roman"/>
          <w:color w:val="000000"/>
          <w:sz w:val="20"/>
          <w:szCs w:val="20"/>
        </w:rPr>
        <w:t xml:space="preserve"> shared among our products and services. If we are unable to transfer data between and among countries and regions in which we operate, or if we are restricted from sharing data among our products and services, </w:t>
      </w:r>
    </w:p>
    <w:p w14:paraId="5CD8DF2B" w14:textId="77777777" w:rsidR="00BA49F5" w:rsidRDefault="007E5E49">
      <w:pPr>
        <w:jc w:val="center"/>
      </w:pPr>
      <w:r>
        <w:rPr>
          <w:rFonts w:ascii="Times New Roman" w:eastAsia="宋体" w:hAnsi="Times New Roman"/>
          <w:color w:val="000000"/>
          <w:sz w:val="20"/>
          <w:szCs w:val="20"/>
        </w:rPr>
        <w:t>9</w:t>
      </w:r>
    </w:p>
    <w:p w14:paraId="5CD8DF2C" w14:textId="77777777" w:rsidR="00BA49F5" w:rsidRDefault="007E5E49">
      <w:r>
        <w:pict w14:anchorId="5CD90CD4">
          <v:rect id="_x0000_i1033" style="width:415.3pt;height:1.5pt" o:hralign="center" o:hrstd="t" o:hr="t" fillcolor="#a0a0a0" stroked="f"/>
        </w:pict>
      </w:r>
    </w:p>
    <w:p w14:paraId="5CD8DF2D" w14:textId="77777777" w:rsidR="00BA49F5" w:rsidRDefault="00BA49F5"/>
    <w:p w14:paraId="5CD8DF2E" w14:textId="77777777" w:rsidR="00BA49F5" w:rsidRDefault="00BA49F5"/>
    <w:p w14:paraId="5CD8DF2F" w14:textId="77777777" w:rsidR="00BA49F5" w:rsidRDefault="007E5E49">
      <w:hyperlink r:id="rId98" w:anchor="i6df229dad1864210ab76200083e26819_7" w:history="1">
        <w:r>
          <w:rPr>
            <w:rStyle w:val="a5"/>
            <w:rFonts w:ascii="Times New Roman" w:eastAsia="宋体" w:hAnsi="Times New Roman"/>
            <w:sz w:val="20"/>
            <w:szCs w:val="20"/>
          </w:rPr>
          <w:t>T</w:t>
        </w:r>
      </w:hyperlink>
      <w:hyperlink r:id="rId99" w:anchor="i6df229dad1864210ab76200083e26819_7" w:history="1">
        <w:r>
          <w:rPr>
            <w:rStyle w:val="a5"/>
            <w:rFonts w:ascii="Times New Roman" w:eastAsia="宋体" w:hAnsi="Times New Roman"/>
            <w:sz w:val="20"/>
            <w:szCs w:val="20"/>
          </w:rPr>
          <w:t>able of Contents</w:t>
        </w:r>
      </w:hyperlink>
    </w:p>
    <w:p w14:paraId="5CD8DF30" w14:textId="77777777" w:rsidR="00BA49F5" w:rsidRDefault="007E5E49">
      <w:pPr>
        <w:jc w:val="both"/>
      </w:pPr>
      <w:r>
        <w:rPr>
          <w:rFonts w:ascii="Times New Roman" w:eastAsia="宋体" w:hAnsi="Times New Roman"/>
          <w:color w:val="000000"/>
          <w:sz w:val="20"/>
          <w:szCs w:val="20"/>
        </w:rPr>
        <w:t>it could affect our ability to provide our services, the manner in which we provide our services or our ability to target ads, which could adversely affect our financial results. For example, the Privacy Shield, a transfer fra</w:t>
      </w:r>
      <w:r>
        <w:rPr>
          <w:rFonts w:ascii="Times New Roman" w:eastAsia="宋体" w:hAnsi="Times New Roman"/>
          <w:color w:val="000000"/>
          <w:sz w:val="20"/>
          <w:szCs w:val="20"/>
        </w:rPr>
        <w:t>mework we relied upon for data transferred from the European Union to the United States, was invalidated in July 2020 by the Court of Justice of the European Union (CJEU). In addition, the other bases upon which Meta relies to transfer such data, such as S</w:t>
      </w:r>
      <w:r>
        <w:rPr>
          <w:rFonts w:ascii="Times New Roman" w:eastAsia="宋体" w:hAnsi="Times New Roman"/>
          <w:color w:val="000000"/>
          <w:sz w:val="20"/>
          <w:szCs w:val="20"/>
        </w:rPr>
        <w:t xml:space="preserve">tandard Contractual Clauses (SCCs), have been subjected to regulatory and judicial scrutiny. On July 6, 2022, we received a draft decision from the Irish Data Protection Commission (IDPC) that preliminarily concluded that Meta Platforms Ireland's reliance </w:t>
      </w:r>
      <w:r>
        <w:rPr>
          <w:rFonts w:ascii="Times New Roman" w:eastAsia="宋体" w:hAnsi="Times New Roman"/>
          <w:color w:val="000000"/>
          <w:sz w:val="20"/>
          <w:szCs w:val="20"/>
        </w:rPr>
        <w:t xml:space="preserve">on SCCs in respect of European Union/European Economic Area Facebook user data does not achieve compliance with the General Data Protection Regulation (GDPR) and preliminarily proposed that such transfers of user data from the European Union to the United </w:t>
      </w:r>
      <w:r>
        <w:rPr>
          <w:rFonts w:ascii="Times New Roman" w:eastAsia="宋体" w:hAnsi="Times New Roman"/>
          <w:color w:val="000000"/>
          <w:sz w:val="20"/>
          <w:szCs w:val="20"/>
        </w:rPr>
        <w:t>States should therefore be suspended. Separately, on March 25, 2022, the European Union and United States announced that they had reached an agreement in principle on a new EU-U.S. Data Privacy Framework (EU-U.S. DPF). On October 7, 2022, President Biden s</w:t>
      </w:r>
      <w:r>
        <w:rPr>
          <w:rFonts w:ascii="Times New Roman" w:eastAsia="宋体" w:hAnsi="Times New Roman"/>
          <w:color w:val="000000"/>
          <w:sz w:val="20"/>
          <w:szCs w:val="20"/>
        </w:rPr>
        <w:t>igned the Executive Order on Enhancing Safeguards for United States Signals Intelligence Activities (E.O.), and on December 13, 2022, the European Commission published its draft adequacy decision on the proposed new EU-U.S. DPF. We believe a final decision</w:t>
      </w:r>
      <w:r>
        <w:rPr>
          <w:rFonts w:ascii="Times New Roman" w:eastAsia="宋体" w:hAnsi="Times New Roman"/>
          <w:color w:val="000000"/>
          <w:sz w:val="20"/>
          <w:szCs w:val="20"/>
        </w:rPr>
        <w:t xml:space="preserve"> in this inquiry may issue as early as the first quarter of 2023. Although the E.O. is a significant and positive step, if no adequacy decision is adopted by the European Commission and we are unable to continue to rely on SCCs or rely upon other alternati</w:t>
      </w:r>
      <w:r>
        <w:rPr>
          <w:rFonts w:ascii="Times New Roman" w:eastAsia="宋体" w:hAnsi="Times New Roman"/>
          <w:color w:val="000000"/>
          <w:sz w:val="20"/>
          <w:szCs w:val="20"/>
        </w:rPr>
        <w:t xml:space="preserve">ve means of data transfers from the European Union to the United States, we will likely be unable to offer a number of our most significant products and services, including Facebook and Instagram, in Europe, which would materially and adversely affect our </w:t>
      </w:r>
      <w:r>
        <w:rPr>
          <w:rFonts w:ascii="Times New Roman" w:eastAsia="宋体" w:hAnsi="Times New Roman"/>
          <w:color w:val="000000"/>
          <w:sz w:val="20"/>
          <w:szCs w:val="20"/>
        </w:rPr>
        <w:t>business, financial condition, and results of operations.</w:t>
      </w:r>
    </w:p>
    <w:p w14:paraId="5CD8DF31" w14:textId="77777777" w:rsidR="00BA49F5" w:rsidRDefault="00BA49F5">
      <w:pPr>
        <w:ind w:firstLine="540"/>
        <w:jc w:val="both"/>
      </w:pPr>
    </w:p>
    <w:p w14:paraId="5CD8DF32" w14:textId="77777777" w:rsidR="00BA49F5" w:rsidRDefault="007E5E49">
      <w:pPr>
        <w:ind w:firstLine="540"/>
        <w:jc w:val="both"/>
      </w:pPr>
      <w:r>
        <w:rPr>
          <w:rFonts w:ascii="Times New Roman" w:eastAsia="宋体" w:hAnsi="Times New Roman"/>
          <w:color w:val="000000"/>
          <w:sz w:val="20"/>
          <w:szCs w:val="20"/>
        </w:rPr>
        <w:t>We have been subject to other significant legislative and regulatory developments in the past, and proposed or new legislation and regulations could significantly affect our business in the future.</w:t>
      </w:r>
      <w:r>
        <w:rPr>
          <w:rFonts w:ascii="Times New Roman" w:eastAsia="宋体" w:hAnsi="Times New Roman"/>
          <w:color w:val="000000"/>
          <w:sz w:val="20"/>
          <w:szCs w:val="20"/>
        </w:rPr>
        <w:t xml:space="preserve"> For example, we have implemented a number of product changes and controls as a result of requirements under the GDPR, and may implement additional changes in the future. The GDPR also requires submission of personal data breach notifications to our lead E</w:t>
      </w:r>
      <w:r>
        <w:rPr>
          <w:rFonts w:ascii="Times New Roman" w:eastAsia="宋体" w:hAnsi="Times New Roman"/>
          <w:color w:val="000000"/>
          <w:sz w:val="20"/>
          <w:szCs w:val="20"/>
        </w:rPr>
        <w:t>uropean Union privacy regulator, the IDPC, and includes significant penalties for non-compliance with the notification obligation as well as other requirements of the regulation. The interpretation of the GDPR is still evolving and draft decisions in inves</w:t>
      </w:r>
      <w:r>
        <w:rPr>
          <w:rFonts w:ascii="Times New Roman" w:eastAsia="宋体" w:hAnsi="Times New Roman"/>
          <w:color w:val="000000"/>
          <w:sz w:val="20"/>
          <w:szCs w:val="20"/>
        </w:rPr>
        <w:t>tigations by the IDPC are subject to review by other European privacy regulators as part of the GDPR's consistency mechanism, which may lead to significant changes in the final outcome of such investigations. As a result, the interpretation and enforcement</w:t>
      </w:r>
      <w:r>
        <w:rPr>
          <w:rFonts w:ascii="Times New Roman" w:eastAsia="宋体" w:hAnsi="Times New Roman"/>
          <w:color w:val="000000"/>
          <w:sz w:val="20"/>
          <w:szCs w:val="20"/>
        </w:rPr>
        <w:t xml:space="preserve"> of the GDPR, as well as the imposition and amount of penalties for non-compliance, are subject to significant uncertainty. In addition, Brazil, the United Kingdom, and other countries have enacted similar data protection regulations imposing data privacy-</w:t>
      </w:r>
      <w:r>
        <w:rPr>
          <w:rFonts w:ascii="Times New Roman" w:eastAsia="宋体" w:hAnsi="Times New Roman"/>
          <w:color w:val="000000"/>
          <w:sz w:val="20"/>
          <w:szCs w:val="20"/>
        </w:rPr>
        <w:t>related requirements on products and services offered to users in their respective jurisdictions. The California Consumer Privacy Act, as amended by the California Privacy Rights Act, and similar laws recently enacted by other states also establish certain</w:t>
      </w:r>
      <w:r>
        <w:rPr>
          <w:rFonts w:ascii="Times New Roman" w:eastAsia="宋体" w:hAnsi="Times New Roman"/>
          <w:color w:val="000000"/>
          <w:sz w:val="20"/>
          <w:szCs w:val="20"/>
        </w:rPr>
        <w:t xml:space="preserve"> transparency rules and create certain data privacy rights for users. In addition, the European Union's ePrivacy Directive and national implementation laws impose additional limitations on the use of data across messaging products and include significant p</w:t>
      </w:r>
      <w:r>
        <w:rPr>
          <w:rFonts w:ascii="Times New Roman" w:eastAsia="宋体" w:hAnsi="Times New Roman"/>
          <w:color w:val="000000"/>
          <w:sz w:val="20"/>
          <w:szCs w:val="20"/>
        </w:rPr>
        <w:t xml:space="preserve">enalties for non-compliance. Changes to our products or business practices as a result of these or similar developments have in the past adversely affected, and may in the future adversely affect, our advertising business. Similarly, there are a number of </w:t>
      </w:r>
      <w:r>
        <w:rPr>
          <w:rFonts w:ascii="Times New Roman" w:eastAsia="宋体" w:hAnsi="Times New Roman"/>
          <w:color w:val="000000"/>
          <w:sz w:val="20"/>
          <w:szCs w:val="20"/>
        </w:rPr>
        <w:t xml:space="preserve">legislative proposals or recently enacted laws in the European Union, the United States, at both the federal and state level, as well as other jurisdictions that could impose new obligations or limitations in areas affecting our business. For example, the </w:t>
      </w:r>
      <w:r>
        <w:rPr>
          <w:rFonts w:ascii="Times New Roman" w:eastAsia="宋体" w:hAnsi="Times New Roman"/>
          <w:color w:val="000000"/>
          <w:sz w:val="20"/>
          <w:szCs w:val="20"/>
        </w:rPr>
        <w:t>Digital Markets Act (DMA) in the European Union imposes new restrictions and requirements on companies like ours, including in areas such as the combination of data across services, mergers and acquisitions, and product design. The DMA also includes signif</w:t>
      </w:r>
      <w:r>
        <w:rPr>
          <w:rFonts w:ascii="Times New Roman" w:eastAsia="宋体" w:hAnsi="Times New Roman"/>
          <w:color w:val="000000"/>
          <w:sz w:val="20"/>
          <w:szCs w:val="20"/>
        </w:rPr>
        <w:t>icant penalties for non-compliance, and its key requirements will be enforceable against designated gatekeeper companies in early 2024. We expect the DMA will cause us to incur significant compliance costs and make additional changes to our products or bus</w:t>
      </w:r>
      <w:r>
        <w:rPr>
          <w:rFonts w:ascii="Times New Roman" w:eastAsia="宋体" w:hAnsi="Times New Roman"/>
          <w:color w:val="000000"/>
          <w:sz w:val="20"/>
          <w:szCs w:val="20"/>
        </w:rPr>
        <w:t>iness practices. The requirements under the DMA will likely be subject to further interpretation and regulatory engagement. Pending or future proposals to modify competition laws in the United States and other jurisdictions could have similar effects. Furt</w:t>
      </w:r>
      <w:r>
        <w:rPr>
          <w:rFonts w:ascii="Times New Roman" w:eastAsia="宋体" w:hAnsi="Times New Roman"/>
          <w:color w:val="000000"/>
          <w:sz w:val="20"/>
          <w:szCs w:val="20"/>
        </w:rPr>
        <w:t>her, the Digital Services Act (DSA) in the European Union, which will apply to our business as early as June 2023, will impose new restrictions and requirements for our products and services and may significantly increase our compliance costs. The DSA also</w:t>
      </w:r>
      <w:r>
        <w:rPr>
          <w:rFonts w:ascii="Times New Roman" w:eastAsia="宋体" w:hAnsi="Times New Roman"/>
          <w:color w:val="000000"/>
          <w:sz w:val="20"/>
          <w:szCs w:val="20"/>
        </w:rPr>
        <w:t xml:space="preserve"> includes significant penalties for non-compliance. In addition, some countries, such as India and Turkey, are considering or have passed legislation implementing data protection requirements or requiring local storage and processing of data or similar req</w:t>
      </w:r>
      <w:r>
        <w:rPr>
          <w:rFonts w:ascii="Times New Roman" w:eastAsia="宋体" w:hAnsi="Times New Roman"/>
          <w:color w:val="000000"/>
          <w:sz w:val="20"/>
          <w:szCs w:val="20"/>
        </w:rPr>
        <w:t>uirements that could increase the cost and complexity of delivering our services, cause us to cease the offering of our products and services in certain countries, or result in fines or other penalties. New legislation or regulatory decisions that restrict</w:t>
      </w:r>
      <w:r>
        <w:rPr>
          <w:rFonts w:ascii="Times New Roman" w:eastAsia="宋体" w:hAnsi="Times New Roman"/>
          <w:color w:val="000000"/>
          <w:sz w:val="20"/>
          <w:szCs w:val="20"/>
        </w:rPr>
        <w:t xml:space="preserve"> our ability to collect and use information about minors may also result in limitations on our advertising services or our ability to offer products and services to minors in certain jurisdictions.</w:t>
      </w:r>
    </w:p>
    <w:p w14:paraId="5CD8DF33" w14:textId="77777777" w:rsidR="00BA49F5" w:rsidRDefault="00BA49F5">
      <w:pPr>
        <w:jc w:val="both"/>
      </w:pPr>
    </w:p>
    <w:p w14:paraId="5CD8DF34" w14:textId="77777777" w:rsidR="00BA49F5" w:rsidRDefault="007E5E49">
      <w:pPr>
        <w:ind w:firstLine="540"/>
        <w:jc w:val="both"/>
      </w:pPr>
      <w:r>
        <w:rPr>
          <w:rFonts w:ascii="Times New Roman" w:eastAsia="宋体" w:hAnsi="Times New Roman"/>
          <w:color w:val="000000"/>
          <w:sz w:val="20"/>
          <w:szCs w:val="20"/>
        </w:rPr>
        <w:t>We are, and expect to continue to be, the subject of inve</w:t>
      </w:r>
      <w:r>
        <w:rPr>
          <w:rFonts w:ascii="Times New Roman" w:eastAsia="宋体" w:hAnsi="Times New Roman"/>
          <w:color w:val="000000"/>
          <w:sz w:val="20"/>
          <w:szCs w:val="20"/>
        </w:rPr>
        <w:t>stigations, inquiries, data requests, requests for information, actions, and audits by government authorities and regulators in the United States, Europe, and around the world, particularly in the areas of privacy and data protection, including with respec</w:t>
      </w:r>
      <w:r>
        <w:rPr>
          <w:rFonts w:ascii="Times New Roman" w:eastAsia="宋体" w:hAnsi="Times New Roman"/>
          <w:color w:val="000000"/>
          <w:sz w:val="20"/>
          <w:szCs w:val="20"/>
        </w:rPr>
        <w:t xml:space="preserve">t to minors, law enforcement, consumer protection, civil </w:t>
      </w:r>
    </w:p>
    <w:p w14:paraId="5CD8DF35" w14:textId="77777777" w:rsidR="00BA49F5" w:rsidRDefault="007E5E49">
      <w:pPr>
        <w:jc w:val="center"/>
      </w:pPr>
      <w:r>
        <w:rPr>
          <w:rFonts w:ascii="Times New Roman" w:eastAsia="宋体" w:hAnsi="Times New Roman"/>
          <w:color w:val="000000"/>
          <w:sz w:val="20"/>
          <w:szCs w:val="20"/>
        </w:rPr>
        <w:t>10</w:t>
      </w:r>
    </w:p>
    <w:p w14:paraId="5CD8DF36" w14:textId="77777777" w:rsidR="00BA49F5" w:rsidRDefault="007E5E49">
      <w:r>
        <w:pict w14:anchorId="5CD90CD5">
          <v:rect id="_x0000_i1034" style="width:415.3pt;height:1.5pt" o:hralign="center" o:hrstd="t" o:hr="t" fillcolor="#a0a0a0" stroked="f"/>
        </w:pict>
      </w:r>
    </w:p>
    <w:p w14:paraId="5CD8DF37" w14:textId="77777777" w:rsidR="00BA49F5" w:rsidRDefault="00BA49F5"/>
    <w:p w14:paraId="5CD8DF38" w14:textId="77777777" w:rsidR="00BA49F5" w:rsidRDefault="00BA49F5"/>
    <w:p w14:paraId="5CD8DF39" w14:textId="77777777" w:rsidR="00BA49F5" w:rsidRDefault="007E5E49">
      <w:hyperlink r:id="rId100" w:anchor="i6df229dad1864210ab76200083e26819_7" w:history="1">
        <w:r>
          <w:rPr>
            <w:rStyle w:val="a5"/>
            <w:rFonts w:ascii="Times New Roman" w:eastAsia="宋体" w:hAnsi="Times New Roman"/>
            <w:sz w:val="20"/>
            <w:szCs w:val="20"/>
          </w:rPr>
          <w:t>T</w:t>
        </w:r>
      </w:hyperlink>
      <w:hyperlink r:id="rId101" w:anchor="i6df229dad1864210ab76200083e26819_7" w:history="1">
        <w:r>
          <w:rPr>
            <w:rStyle w:val="a5"/>
            <w:rFonts w:ascii="Times New Roman" w:eastAsia="宋体" w:hAnsi="Times New Roman"/>
            <w:sz w:val="20"/>
            <w:szCs w:val="20"/>
          </w:rPr>
          <w:t>able of Contents</w:t>
        </w:r>
      </w:hyperlink>
    </w:p>
    <w:p w14:paraId="5CD8DF3A" w14:textId="77777777" w:rsidR="00BA49F5" w:rsidRDefault="007E5E49">
      <w:pPr>
        <w:jc w:val="both"/>
      </w:pPr>
      <w:r>
        <w:rPr>
          <w:rFonts w:ascii="Times New Roman" w:eastAsia="宋体" w:hAnsi="Times New Roman"/>
          <w:color w:val="000000"/>
          <w:sz w:val="20"/>
          <w:szCs w:val="20"/>
        </w:rPr>
        <w:t>rights, content moderation, and competition. We are also currently, and may in the fut</w:t>
      </w:r>
      <w:r>
        <w:rPr>
          <w:rFonts w:ascii="Times New Roman" w:eastAsia="宋体" w:hAnsi="Times New Roman"/>
          <w:color w:val="000000"/>
          <w:sz w:val="20"/>
          <w:szCs w:val="20"/>
        </w:rPr>
        <w:t>ure be, subject to regulatory orders or consent decrees, including the modified consent order we entered into with the U.S. Federal Trade Commission (FTC), which took effect in April 2020 and, among other matters, requires us to maintain a comprehensive pr</w:t>
      </w:r>
      <w:r>
        <w:rPr>
          <w:rFonts w:ascii="Times New Roman" w:eastAsia="宋体" w:hAnsi="Times New Roman"/>
          <w:color w:val="000000"/>
          <w:sz w:val="20"/>
          <w:szCs w:val="20"/>
        </w:rPr>
        <w:t>ivacy program. Orders issued by, or inquiries or enforcement actions initiated by, government or regulatory authorities could cause us to incur substantial costs, expose us to civil and criminal liability (including liability for our personnel) or penaltie</w:t>
      </w:r>
      <w:r>
        <w:rPr>
          <w:rFonts w:ascii="Times New Roman" w:eastAsia="宋体" w:hAnsi="Times New Roman"/>
          <w:color w:val="000000"/>
          <w:sz w:val="20"/>
          <w:szCs w:val="20"/>
        </w:rPr>
        <w:t>s (including substantial monetary remedies), interrupt or require us to change our business practices in a manner materially adverse to our business (including changes to our products or user data practices), result in negative publicity and reputational h</w:t>
      </w:r>
      <w:r>
        <w:rPr>
          <w:rFonts w:ascii="Times New Roman" w:eastAsia="宋体" w:hAnsi="Times New Roman"/>
          <w:color w:val="000000"/>
          <w:sz w:val="20"/>
          <w:szCs w:val="20"/>
        </w:rPr>
        <w:t>arm, divert resources and the time and attention of management from our business, or subject us to other structural or behavioral remedies that adversely affect our business.</w:t>
      </w:r>
    </w:p>
    <w:p w14:paraId="5CD8DF3B" w14:textId="77777777" w:rsidR="00BA49F5" w:rsidRDefault="00BA49F5">
      <w:pPr>
        <w:ind w:firstLine="540"/>
        <w:jc w:val="both"/>
      </w:pPr>
    </w:p>
    <w:p w14:paraId="5CD8DF3C" w14:textId="77777777" w:rsidR="00BA49F5" w:rsidRDefault="007E5E49">
      <w:pPr>
        <w:ind w:firstLine="540"/>
        <w:jc w:val="both"/>
      </w:pPr>
      <w:r>
        <w:rPr>
          <w:rFonts w:ascii="Times New Roman" w:eastAsia="宋体" w:hAnsi="Times New Roman"/>
          <w:color w:val="000000"/>
          <w:sz w:val="20"/>
          <w:szCs w:val="20"/>
        </w:rPr>
        <w:t>For additional information about government regulation applicable to our busines</w:t>
      </w:r>
      <w:r>
        <w:rPr>
          <w:rFonts w:ascii="Times New Roman" w:eastAsia="宋体" w:hAnsi="Times New Roman"/>
          <w:color w:val="000000"/>
          <w:sz w:val="20"/>
          <w:szCs w:val="20"/>
        </w:rPr>
        <w:t>s, see Part I, Item 1A, "Risk Factors" in this Annual Report on Form 10-K.</w:t>
      </w:r>
    </w:p>
    <w:p w14:paraId="5CD8DF3D" w14:textId="77777777" w:rsidR="00BA49F5" w:rsidRDefault="00BA49F5">
      <w:pPr>
        <w:jc w:val="both"/>
      </w:pPr>
    </w:p>
    <w:p w14:paraId="5CD8DF3E" w14:textId="77777777" w:rsidR="00BA49F5" w:rsidRDefault="007E5E49">
      <w:pPr>
        <w:jc w:val="both"/>
      </w:pPr>
      <w:r>
        <w:rPr>
          <w:rFonts w:ascii="Times New Roman" w:eastAsia="宋体" w:hAnsi="Times New Roman"/>
          <w:b/>
          <w:bCs/>
          <w:color w:val="000000"/>
          <w:sz w:val="20"/>
          <w:szCs w:val="20"/>
        </w:rPr>
        <w:t xml:space="preserve">Human Capital </w:t>
      </w:r>
    </w:p>
    <w:p w14:paraId="5CD8DF3F" w14:textId="77777777" w:rsidR="00BA49F5" w:rsidRDefault="00BA49F5">
      <w:pPr>
        <w:jc w:val="both"/>
      </w:pPr>
    </w:p>
    <w:p w14:paraId="5CD8DF40" w14:textId="77777777" w:rsidR="00BA49F5" w:rsidRDefault="007E5E49">
      <w:pPr>
        <w:ind w:firstLine="540"/>
        <w:jc w:val="both"/>
      </w:pPr>
      <w:r>
        <w:rPr>
          <w:rFonts w:ascii="Times New Roman" w:eastAsia="宋体" w:hAnsi="Times New Roman"/>
          <w:color w:val="000000"/>
          <w:sz w:val="20"/>
          <w:szCs w:val="20"/>
        </w:rPr>
        <w:t>At Meta, our mission is to give people the power to build community and bring the world closer together. People are at the heart of every connection we empower, and we are proud of our unique company culture. We strive to build diverse teams across enginee</w:t>
      </w:r>
      <w:r>
        <w:rPr>
          <w:rFonts w:ascii="Times New Roman" w:eastAsia="宋体" w:hAnsi="Times New Roman"/>
          <w:color w:val="000000"/>
          <w:sz w:val="20"/>
          <w:szCs w:val="20"/>
        </w:rPr>
        <w:t xml:space="preserve">ring, product design, marketing, and other areas to further our mission. </w:t>
      </w:r>
    </w:p>
    <w:p w14:paraId="5CD8DF41" w14:textId="77777777" w:rsidR="00BA49F5" w:rsidRDefault="00BA49F5">
      <w:pPr>
        <w:ind w:firstLine="540"/>
        <w:jc w:val="both"/>
      </w:pPr>
    </w:p>
    <w:p w14:paraId="5CD8DF42" w14:textId="77777777" w:rsidR="00BA49F5" w:rsidRDefault="007E5E49">
      <w:pPr>
        <w:ind w:firstLine="540"/>
        <w:jc w:val="both"/>
      </w:pPr>
      <w:r>
        <w:rPr>
          <w:rFonts w:ascii="Times New Roman" w:eastAsia="宋体" w:hAnsi="Times New Roman"/>
          <w:color w:val="000000"/>
          <w:sz w:val="20"/>
          <w:szCs w:val="20"/>
        </w:rPr>
        <w:t>As we look forward, we expect the lasting effects of the global COVID-19 pandemic will change how we work and who we reach. We are proud of our response to the COVID-19 pandemic bot</w:t>
      </w:r>
      <w:r>
        <w:rPr>
          <w:rFonts w:ascii="Times New Roman" w:eastAsia="宋体" w:hAnsi="Times New Roman"/>
          <w:color w:val="000000"/>
          <w:sz w:val="20"/>
          <w:szCs w:val="20"/>
        </w:rPr>
        <w:t>h internally and externally. Employee benefits were robust and established quickly: we implemented 15 days of subsidized backup care for child, adult, or eldercare; we paid emergency leave to help address short-term or transitional needs; and we establishe</w:t>
      </w:r>
      <w:r>
        <w:rPr>
          <w:rFonts w:ascii="Times New Roman" w:eastAsia="宋体" w:hAnsi="Times New Roman"/>
          <w:color w:val="000000"/>
          <w:sz w:val="20"/>
          <w:szCs w:val="20"/>
        </w:rPr>
        <w:t xml:space="preserve">d a temporary stipend to help employees work from home, to name just a few of the benefits. </w:t>
      </w:r>
    </w:p>
    <w:p w14:paraId="5CD8DF43" w14:textId="77777777" w:rsidR="00BA49F5" w:rsidRDefault="00BA49F5">
      <w:pPr>
        <w:ind w:firstLine="540"/>
        <w:jc w:val="both"/>
      </w:pPr>
    </w:p>
    <w:p w14:paraId="5CD8DF44" w14:textId="77777777" w:rsidR="00BA49F5" w:rsidRDefault="007E5E49">
      <w:pPr>
        <w:ind w:firstLine="540"/>
        <w:jc w:val="both"/>
      </w:pPr>
      <w:r>
        <w:rPr>
          <w:rFonts w:ascii="Times New Roman" w:eastAsia="宋体" w:hAnsi="Times New Roman"/>
          <w:color w:val="000000"/>
          <w:sz w:val="20"/>
          <w:szCs w:val="20"/>
        </w:rPr>
        <w:t>We are committed to fostering an enriching environment for our global workforce, and we are focused on supporting our people in doing the best work of their caree</w:t>
      </w:r>
      <w:r>
        <w:rPr>
          <w:rFonts w:ascii="Times New Roman" w:eastAsia="宋体" w:hAnsi="Times New Roman"/>
          <w:color w:val="000000"/>
          <w:sz w:val="20"/>
          <w:szCs w:val="20"/>
        </w:rPr>
        <w:t>rs, no matter where they are located. For example:</w:t>
      </w:r>
    </w:p>
    <w:p w14:paraId="5CD8DF45" w14:textId="77777777" w:rsidR="00BA49F5" w:rsidRDefault="00BA49F5">
      <w:pPr>
        <w:ind w:firstLine="540"/>
        <w:jc w:val="both"/>
      </w:pPr>
    </w:p>
    <w:p w14:paraId="5CD8DF46" w14:textId="77777777" w:rsidR="00BA49F5" w:rsidRDefault="007E5E49">
      <w:pPr>
        <w:ind w:hanging="450"/>
        <w:jc w:val="both"/>
      </w:pPr>
      <w:r>
        <w:rPr>
          <w:rFonts w:ascii="Times New Roman" w:eastAsia="宋体" w:hAnsi="Times New Roman"/>
          <w:color w:val="000000"/>
          <w:sz w:val="20"/>
          <w:szCs w:val="20"/>
        </w:rPr>
        <w:t xml:space="preserve">•Location is flexible but presence is essential. As of September 30, 2022, 83% of managers at Meta had direct reports in a different location, and 24% of our employees were fully remote. </w:t>
      </w:r>
    </w:p>
    <w:p w14:paraId="5CD8DF47" w14:textId="77777777" w:rsidR="00BA49F5" w:rsidRDefault="00BA49F5">
      <w:pPr>
        <w:ind w:hanging="90"/>
        <w:jc w:val="both"/>
      </w:pPr>
    </w:p>
    <w:p w14:paraId="5CD8DF48" w14:textId="77777777" w:rsidR="00BA49F5" w:rsidRDefault="007E5E49">
      <w:pPr>
        <w:ind w:hanging="450"/>
        <w:jc w:val="both"/>
      </w:pPr>
      <w:r>
        <w:rPr>
          <w:rFonts w:ascii="Times New Roman" w:eastAsia="宋体" w:hAnsi="Times New Roman"/>
          <w:color w:val="000000"/>
          <w:sz w:val="20"/>
          <w:szCs w:val="20"/>
        </w:rPr>
        <w:t>•Remote work ha</w:t>
      </w:r>
      <w:r>
        <w:rPr>
          <w:rFonts w:ascii="Times New Roman" w:eastAsia="宋体" w:hAnsi="Times New Roman"/>
          <w:color w:val="000000"/>
          <w:sz w:val="20"/>
          <w:szCs w:val="20"/>
        </w:rPr>
        <w:t xml:space="preserve">s helped us reach new talent in a competitive tech landscape and broaden our representation. We have seen that candidates who accepted remote job offers were more often underrepresented people. </w:t>
      </w:r>
    </w:p>
    <w:p w14:paraId="5CD8DF49" w14:textId="77777777" w:rsidR="00BA49F5" w:rsidRDefault="00BA49F5">
      <w:pPr>
        <w:ind w:hanging="90"/>
        <w:jc w:val="both"/>
      </w:pPr>
    </w:p>
    <w:p w14:paraId="5CD8DF4A" w14:textId="77777777" w:rsidR="00BA49F5" w:rsidRDefault="007E5E49">
      <w:pPr>
        <w:ind w:hanging="450"/>
        <w:jc w:val="both"/>
      </w:pPr>
      <w:r>
        <w:rPr>
          <w:rFonts w:ascii="Times New Roman" w:eastAsia="宋体" w:hAnsi="Times New Roman"/>
          <w:color w:val="000000"/>
          <w:sz w:val="20"/>
          <w:szCs w:val="20"/>
        </w:rPr>
        <w:t>•Beginning March 2023, we are permitting employees in eligib</w:t>
      </w:r>
      <w:r>
        <w:rPr>
          <w:rFonts w:ascii="Times New Roman" w:eastAsia="宋体" w:hAnsi="Times New Roman"/>
          <w:color w:val="000000"/>
          <w:sz w:val="20"/>
          <w:szCs w:val="20"/>
        </w:rPr>
        <w:t xml:space="preserve">le roles to transfer to any Meta office within their country of employment. We expect distributed teams to establish strong norms that support efficiency, including more predictable and coordinated in-person working time. </w:t>
      </w:r>
    </w:p>
    <w:p w14:paraId="5CD8DF4B" w14:textId="77777777" w:rsidR="00BA49F5" w:rsidRDefault="00BA49F5">
      <w:pPr>
        <w:ind w:firstLine="540"/>
        <w:jc w:val="both"/>
      </w:pPr>
    </w:p>
    <w:p w14:paraId="5CD8DF4C" w14:textId="77777777" w:rsidR="00BA49F5" w:rsidRDefault="007E5E49">
      <w:pPr>
        <w:ind w:firstLine="540"/>
        <w:jc w:val="both"/>
      </w:pPr>
      <w:r>
        <w:rPr>
          <w:rFonts w:ascii="Times New Roman" w:eastAsia="宋体" w:hAnsi="Times New Roman"/>
          <w:color w:val="000000"/>
          <w:sz w:val="20"/>
          <w:szCs w:val="20"/>
        </w:rPr>
        <w:t>At the start of the COVID-19 pan</w:t>
      </w:r>
      <w:r>
        <w:rPr>
          <w:rFonts w:ascii="Times New Roman" w:eastAsia="宋体" w:hAnsi="Times New Roman"/>
          <w:color w:val="000000"/>
          <w:sz w:val="20"/>
          <w:szCs w:val="20"/>
        </w:rPr>
        <w:t xml:space="preserve">demic, the world rapidly moved online and the surge of online commerce led to accelerated revenue growth. Many people predicted this would be a permanent acceleration that would continue even after the pandemic ended. Instead, not only did online commerce </w:t>
      </w:r>
      <w:r>
        <w:rPr>
          <w:rFonts w:ascii="Times New Roman" w:eastAsia="宋体" w:hAnsi="Times New Roman"/>
          <w:color w:val="000000"/>
          <w:sz w:val="20"/>
          <w:szCs w:val="20"/>
        </w:rPr>
        <w:t xml:space="preserve">return to prior trends, but the more challenging macroeconomic environment and limitations on our ad targeting and measurement tools, among other factors, contributed to a decline in our revenue. </w:t>
      </w:r>
    </w:p>
    <w:p w14:paraId="5CD8DF4D" w14:textId="77777777" w:rsidR="00BA49F5" w:rsidRDefault="00BA49F5">
      <w:pPr>
        <w:ind w:firstLine="540"/>
        <w:jc w:val="both"/>
      </w:pPr>
    </w:p>
    <w:p w14:paraId="5CD8DF4E" w14:textId="77777777" w:rsidR="00BA49F5" w:rsidRDefault="007E5E49">
      <w:pPr>
        <w:ind w:firstLine="540"/>
        <w:jc w:val="both"/>
      </w:pPr>
      <w:r>
        <w:rPr>
          <w:rFonts w:ascii="Times New Roman" w:eastAsia="宋体" w:hAnsi="Times New Roman"/>
          <w:color w:val="000000"/>
          <w:sz w:val="20"/>
          <w:szCs w:val="20"/>
        </w:rPr>
        <w:t>To address this new environment, we took a number of steps</w:t>
      </w:r>
      <w:r>
        <w:rPr>
          <w:rFonts w:ascii="Times New Roman" w:eastAsia="宋体" w:hAnsi="Times New Roman"/>
          <w:color w:val="000000"/>
          <w:sz w:val="20"/>
          <w:szCs w:val="20"/>
        </w:rPr>
        <w:t xml:space="preserve"> to become a more capital efficient company and, in November 2022, made one of the most difficult changes in Meta's history and announced a layoff of approximately 11,000 employees. The cost reduction efforts that we announced, including our plans to scale</w:t>
      </w:r>
      <w:r>
        <w:rPr>
          <w:rFonts w:ascii="Times New Roman" w:eastAsia="宋体" w:hAnsi="Times New Roman"/>
          <w:color w:val="000000"/>
          <w:sz w:val="20"/>
          <w:szCs w:val="20"/>
        </w:rPr>
        <w:t xml:space="preserve"> back budgets, reduce company perks, shrink our real estate footprint, and restructure teams to increase efficiency alone would not bring our expenses in line with our revenue growth and we had to implement the layoff. We made it a priority to treat outgoi</w:t>
      </w:r>
      <w:r>
        <w:rPr>
          <w:rFonts w:ascii="Times New Roman" w:eastAsia="宋体" w:hAnsi="Times New Roman"/>
          <w:color w:val="000000"/>
          <w:sz w:val="20"/>
          <w:szCs w:val="20"/>
        </w:rPr>
        <w:t xml:space="preserve">ng employees with respect and announced a package for U.S. employees that included: </w:t>
      </w:r>
    </w:p>
    <w:p w14:paraId="5CD8DF4F" w14:textId="77777777" w:rsidR="00BA49F5" w:rsidRDefault="00BA49F5"/>
    <w:p w14:paraId="5CD8DF50" w14:textId="77777777" w:rsidR="00BA49F5" w:rsidRDefault="007E5E49">
      <w:pPr>
        <w:ind w:hanging="450"/>
        <w:jc w:val="both"/>
      </w:pPr>
      <w:r>
        <w:rPr>
          <w:rFonts w:ascii="Times New Roman" w:eastAsia="宋体" w:hAnsi="Times New Roman"/>
          <w:color w:val="000000"/>
          <w:sz w:val="20"/>
          <w:szCs w:val="20"/>
        </w:rPr>
        <w:t>•Severance: 16 weeks of base pay plus two additional weeks for every year of service.</w:t>
      </w:r>
    </w:p>
    <w:p w14:paraId="5CD8DF51" w14:textId="77777777" w:rsidR="00BA49F5" w:rsidRDefault="00BA49F5">
      <w:pPr>
        <w:ind w:hanging="90"/>
        <w:jc w:val="both"/>
      </w:pPr>
    </w:p>
    <w:p w14:paraId="5CD8DF52" w14:textId="77777777" w:rsidR="00BA49F5" w:rsidRDefault="007E5E49">
      <w:pPr>
        <w:ind w:hanging="450"/>
        <w:jc w:val="both"/>
      </w:pPr>
      <w:r>
        <w:rPr>
          <w:rFonts w:ascii="Times New Roman" w:eastAsia="宋体" w:hAnsi="Times New Roman"/>
          <w:color w:val="000000"/>
          <w:sz w:val="20"/>
          <w:szCs w:val="20"/>
        </w:rPr>
        <w:t>•Paid time off: payment for all remaining paid time off.</w:t>
      </w:r>
    </w:p>
    <w:p w14:paraId="5CD8DF53" w14:textId="77777777" w:rsidR="00BA49F5" w:rsidRDefault="00BA49F5">
      <w:pPr>
        <w:ind w:hanging="90"/>
        <w:jc w:val="both"/>
      </w:pPr>
    </w:p>
    <w:p w14:paraId="5CD8DF54" w14:textId="77777777" w:rsidR="00BA49F5" w:rsidRDefault="007E5E49">
      <w:pPr>
        <w:jc w:val="center"/>
      </w:pPr>
      <w:r>
        <w:rPr>
          <w:rFonts w:ascii="Times New Roman" w:eastAsia="宋体" w:hAnsi="Times New Roman"/>
          <w:color w:val="000000"/>
          <w:sz w:val="20"/>
          <w:szCs w:val="20"/>
        </w:rPr>
        <w:t>11</w:t>
      </w:r>
    </w:p>
    <w:p w14:paraId="5CD8DF55" w14:textId="77777777" w:rsidR="00BA49F5" w:rsidRDefault="007E5E49">
      <w:r>
        <w:pict w14:anchorId="5CD90CD6">
          <v:rect id="_x0000_i1035" style="width:415.3pt;height:1.5pt" o:hralign="center" o:hrstd="t" o:hr="t" fillcolor="#a0a0a0" stroked="f"/>
        </w:pict>
      </w:r>
    </w:p>
    <w:p w14:paraId="5CD8DF56" w14:textId="77777777" w:rsidR="00BA49F5" w:rsidRDefault="00BA49F5"/>
    <w:p w14:paraId="5CD8DF57" w14:textId="77777777" w:rsidR="00BA49F5" w:rsidRDefault="00BA49F5"/>
    <w:p w14:paraId="5CD8DF58" w14:textId="77777777" w:rsidR="00BA49F5" w:rsidRDefault="007E5E49">
      <w:hyperlink r:id="rId102" w:anchor="i6df229dad1864210ab76200083e26819_7" w:history="1">
        <w:r>
          <w:rPr>
            <w:rStyle w:val="a5"/>
            <w:rFonts w:ascii="Times New Roman" w:eastAsia="宋体" w:hAnsi="Times New Roman"/>
            <w:sz w:val="20"/>
            <w:szCs w:val="20"/>
          </w:rPr>
          <w:t>T</w:t>
        </w:r>
      </w:hyperlink>
      <w:hyperlink r:id="rId103" w:anchor="i6df229dad1864210ab76200083e26819_7" w:history="1">
        <w:r>
          <w:rPr>
            <w:rStyle w:val="a5"/>
            <w:rFonts w:ascii="Times New Roman" w:eastAsia="宋体" w:hAnsi="Times New Roman"/>
            <w:sz w:val="20"/>
            <w:szCs w:val="20"/>
          </w:rPr>
          <w:t>able of Contents</w:t>
        </w:r>
      </w:hyperlink>
    </w:p>
    <w:p w14:paraId="5CD8DF59" w14:textId="77777777" w:rsidR="00BA49F5" w:rsidRDefault="007E5E49">
      <w:pPr>
        <w:ind w:hanging="450"/>
        <w:jc w:val="both"/>
      </w:pPr>
      <w:r>
        <w:rPr>
          <w:rFonts w:ascii="Times New Roman" w:eastAsia="宋体" w:hAnsi="Times New Roman"/>
          <w:color w:val="000000"/>
          <w:sz w:val="20"/>
          <w:szCs w:val="20"/>
        </w:rPr>
        <w:t>•Restricted stock unit vesting: receipt of November 2022 vesting for outstanding employee restricted stock unit awards.</w:t>
      </w:r>
    </w:p>
    <w:p w14:paraId="5CD8DF5A" w14:textId="77777777" w:rsidR="00BA49F5" w:rsidRDefault="00BA49F5">
      <w:pPr>
        <w:ind w:hanging="90"/>
        <w:jc w:val="both"/>
      </w:pPr>
    </w:p>
    <w:p w14:paraId="5CD8DF5B" w14:textId="77777777" w:rsidR="00BA49F5" w:rsidRDefault="007E5E49">
      <w:pPr>
        <w:ind w:hanging="450"/>
        <w:jc w:val="both"/>
      </w:pPr>
      <w:r>
        <w:rPr>
          <w:rFonts w:ascii="Times New Roman" w:eastAsia="宋体" w:hAnsi="Times New Roman"/>
          <w:color w:val="000000"/>
          <w:sz w:val="20"/>
          <w:szCs w:val="20"/>
        </w:rPr>
        <w:t xml:space="preserve">•Health insurance: coverage of the cost of healthcare for employees and their </w:t>
      </w:r>
      <w:r>
        <w:rPr>
          <w:rFonts w:ascii="Times New Roman" w:eastAsia="宋体" w:hAnsi="Times New Roman"/>
          <w:color w:val="000000"/>
          <w:sz w:val="20"/>
          <w:szCs w:val="20"/>
        </w:rPr>
        <w:t>families for six months.</w:t>
      </w:r>
    </w:p>
    <w:p w14:paraId="5CD8DF5C" w14:textId="77777777" w:rsidR="00BA49F5" w:rsidRDefault="00BA49F5">
      <w:pPr>
        <w:ind w:hanging="90"/>
        <w:jc w:val="both"/>
      </w:pPr>
    </w:p>
    <w:p w14:paraId="5CD8DF5D" w14:textId="77777777" w:rsidR="00BA49F5" w:rsidRDefault="007E5E49">
      <w:pPr>
        <w:ind w:hanging="450"/>
        <w:jc w:val="both"/>
      </w:pPr>
      <w:r>
        <w:rPr>
          <w:rFonts w:ascii="Times New Roman" w:eastAsia="宋体" w:hAnsi="Times New Roman"/>
          <w:color w:val="000000"/>
          <w:sz w:val="20"/>
          <w:szCs w:val="20"/>
        </w:rPr>
        <w:t>•Career services: three months of career support with an external vendor, including early access to unpublished job leads.</w:t>
      </w:r>
    </w:p>
    <w:p w14:paraId="5CD8DF5E" w14:textId="77777777" w:rsidR="00BA49F5" w:rsidRDefault="00BA49F5">
      <w:pPr>
        <w:ind w:hanging="90"/>
        <w:jc w:val="both"/>
      </w:pPr>
    </w:p>
    <w:p w14:paraId="5CD8DF5F" w14:textId="77777777" w:rsidR="00BA49F5" w:rsidRDefault="007E5E49">
      <w:pPr>
        <w:ind w:hanging="450"/>
        <w:jc w:val="both"/>
      </w:pPr>
      <w:r>
        <w:rPr>
          <w:rFonts w:ascii="Times New Roman" w:eastAsia="宋体" w:hAnsi="Times New Roman"/>
          <w:color w:val="000000"/>
          <w:sz w:val="20"/>
          <w:szCs w:val="20"/>
        </w:rPr>
        <w:t>•Immigration support: dedicated immigration specialists to help guide employees based on their needs.</w:t>
      </w:r>
    </w:p>
    <w:p w14:paraId="5CD8DF60" w14:textId="77777777" w:rsidR="00BA49F5" w:rsidRDefault="00BA49F5">
      <w:pPr>
        <w:ind w:hanging="90"/>
        <w:jc w:val="both"/>
      </w:pPr>
    </w:p>
    <w:p w14:paraId="5CD8DF61" w14:textId="77777777" w:rsidR="00BA49F5" w:rsidRDefault="007E5E49">
      <w:pPr>
        <w:ind w:firstLine="54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 xml:space="preserve">offered similar support for outgoing employees outside of the United States, taking into account local employment laws. </w:t>
      </w:r>
    </w:p>
    <w:p w14:paraId="5CD8DF62" w14:textId="77777777" w:rsidR="00BA49F5" w:rsidRDefault="00BA49F5">
      <w:pPr>
        <w:ind w:firstLine="540"/>
        <w:jc w:val="both"/>
      </w:pPr>
    </w:p>
    <w:p w14:paraId="5CD8DF63" w14:textId="77777777" w:rsidR="00BA49F5" w:rsidRDefault="007E5E49">
      <w:pPr>
        <w:ind w:firstLine="540"/>
        <w:jc w:val="both"/>
      </w:pPr>
      <w:r>
        <w:rPr>
          <w:rFonts w:ascii="Times New Roman" w:eastAsia="宋体" w:hAnsi="Times New Roman"/>
          <w:b/>
          <w:bCs/>
          <w:i/>
          <w:iCs/>
          <w:color w:val="000000"/>
          <w:sz w:val="20"/>
          <w:szCs w:val="20"/>
        </w:rPr>
        <w:t>Employee Learning and Development</w:t>
      </w:r>
    </w:p>
    <w:p w14:paraId="5CD8DF64" w14:textId="77777777" w:rsidR="00BA49F5" w:rsidRDefault="00BA49F5">
      <w:pPr>
        <w:ind w:firstLine="540"/>
        <w:jc w:val="both"/>
      </w:pPr>
    </w:p>
    <w:p w14:paraId="5CD8DF65" w14:textId="77777777" w:rsidR="00BA49F5" w:rsidRDefault="007E5E49">
      <w:pPr>
        <w:ind w:firstLine="540"/>
        <w:jc w:val="both"/>
      </w:pPr>
      <w:r>
        <w:rPr>
          <w:rFonts w:ascii="Times New Roman" w:eastAsia="宋体" w:hAnsi="Times New Roman"/>
          <w:color w:val="000000"/>
          <w:sz w:val="20"/>
          <w:szCs w:val="20"/>
        </w:rPr>
        <w:t>We value our investment in growing and keeping a highly skilled and efficient workforce. In addition to permitting employees to seek education reimbursement, we offer career development opportunities and work experience programs that extend beyond the phys</w:t>
      </w:r>
      <w:r>
        <w:rPr>
          <w:rFonts w:ascii="Times New Roman" w:eastAsia="宋体" w:hAnsi="Times New Roman"/>
          <w:color w:val="000000"/>
          <w:sz w:val="20"/>
          <w:szCs w:val="20"/>
        </w:rPr>
        <w:t xml:space="preserve">ical and virtual classroom. To do this, we utilize various learning modalities, such as live virtual and in-person learning experiences, on-demand e-learning, self-service resources, learning communities, and coaching engagements. </w:t>
      </w:r>
    </w:p>
    <w:p w14:paraId="5CD8DF66" w14:textId="77777777" w:rsidR="00BA49F5" w:rsidRDefault="00BA49F5">
      <w:pPr>
        <w:ind w:firstLine="540"/>
        <w:jc w:val="both"/>
      </w:pPr>
    </w:p>
    <w:p w14:paraId="5CD8DF67" w14:textId="77777777" w:rsidR="00BA49F5" w:rsidRDefault="007E5E49">
      <w:pPr>
        <w:ind w:firstLine="540"/>
        <w:jc w:val="both"/>
      </w:pPr>
      <w:r>
        <w:rPr>
          <w:rFonts w:ascii="Times New Roman" w:eastAsia="宋体" w:hAnsi="Times New Roman"/>
          <w:b/>
          <w:bCs/>
          <w:i/>
          <w:iCs/>
          <w:color w:val="000000"/>
          <w:sz w:val="20"/>
          <w:szCs w:val="20"/>
        </w:rPr>
        <w:t>The Pulse of Our Workfo</w:t>
      </w:r>
      <w:r>
        <w:rPr>
          <w:rFonts w:ascii="Times New Roman" w:eastAsia="宋体" w:hAnsi="Times New Roman"/>
          <w:b/>
          <w:bCs/>
          <w:i/>
          <w:iCs/>
          <w:color w:val="000000"/>
          <w:sz w:val="20"/>
          <w:szCs w:val="20"/>
        </w:rPr>
        <w:t>rce</w:t>
      </w:r>
    </w:p>
    <w:p w14:paraId="5CD8DF68" w14:textId="77777777" w:rsidR="00BA49F5" w:rsidRDefault="00BA49F5">
      <w:pPr>
        <w:ind w:firstLine="540"/>
        <w:jc w:val="both"/>
      </w:pPr>
    </w:p>
    <w:p w14:paraId="5CD8DF69" w14:textId="77777777" w:rsidR="00BA49F5" w:rsidRDefault="007E5E49">
      <w:pPr>
        <w:ind w:firstLine="540"/>
        <w:jc w:val="both"/>
      </w:pPr>
      <w:r>
        <w:rPr>
          <w:rFonts w:ascii="Times New Roman" w:eastAsia="宋体" w:hAnsi="Times New Roman"/>
          <w:color w:val="000000"/>
          <w:sz w:val="20"/>
          <w:szCs w:val="20"/>
        </w:rPr>
        <w:t>Each year, we conduct company-wide employee surveys to help understand how employees feel about working at Meta and what we can do to improve their experience. Our surveys help us measure company, manager, and personal experience over time. Further, o</w:t>
      </w:r>
      <w:r>
        <w:rPr>
          <w:rFonts w:ascii="Times New Roman" w:eastAsia="宋体" w:hAnsi="Times New Roman"/>
          <w:color w:val="000000"/>
          <w:sz w:val="20"/>
          <w:szCs w:val="20"/>
        </w:rPr>
        <w:t>ur more frequent surveys, such as those that have been administered daily to an ongoing random sample of employees, allows us to measure real-time sentiment around emerging events and company changes. These surveys are designed to invite feedback and actio</w:t>
      </w:r>
      <w:r>
        <w:rPr>
          <w:rFonts w:ascii="Times New Roman" w:eastAsia="宋体" w:hAnsi="Times New Roman"/>
          <w:color w:val="000000"/>
          <w:sz w:val="20"/>
          <w:szCs w:val="20"/>
        </w:rPr>
        <w:t>nable suggestions, inform decisions, and drive change across the company.</w:t>
      </w:r>
    </w:p>
    <w:p w14:paraId="5CD8DF6A" w14:textId="77777777" w:rsidR="00BA49F5" w:rsidRDefault="00BA49F5">
      <w:pPr>
        <w:ind w:firstLine="540"/>
        <w:jc w:val="both"/>
      </w:pPr>
    </w:p>
    <w:p w14:paraId="5CD8DF6B" w14:textId="77777777" w:rsidR="00BA49F5" w:rsidRDefault="007E5E49">
      <w:pPr>
        <w:ind w:firstLine="540"/>
        <w:jc w:val="both"/>
      </w:pPr>
      <w:r>
        <w:rPr>
          <w:rFonts w:ascii="Times New Roman" w:eastAsia="宋体" w:hAnsi="Times New Roman"/>
          <w:b/>
          <w:bCs/>
          <w:i/>
          <w:iCs/>
          <w:color w:val="000000"/>
          <w:sz w:val="20"/>
          <w:szCs w:val="20"/>
        </w:rPr>
        <w:t>Health and Well-being</w:t>
      </w:r>
    </w:p>
    <w:p w14:paraId="5CD8DF6C" w14:textId="77777777" w:rsidR="00BA49F5" w:rsidRDefault="00BA49F5">
      <w:pPr>
        <w:ind w:firstLine="540"/>
        <w:jc w:val="both"/>
      </w:pPr>
    </w:p>
    <w:p w14:paraId="5CD8DF6D" w14:textId="77777777" w:rsidR="00BA49F5" w:rsidRDefault="007E5E49">
      <w:pPr>
        <w:ind w:firstLine="540"/>
        <w:jc w:val="both"/>
      </w:pPr>
      <w:r>
        <w:rPr>
          <w:rFonts w:ascii="Times New Roman" w:eastAsia="宋体" w:hAnsi="Times New Roman"/>
          <w:color w:val="000000"/>
          <w:sz w:val="20"/>
          <w:szCs w:val="20"/>
        </w:rPr>
        <w:t>Meta's health and well-being programs are designed to give employees a choice of flexible benefits to help them reach their personal well-being goals. Our pro</w:t>
      </w:r>
      <w:r>
        <w:rPr>
          <w:rFonts w:ascii="Times New Roman" w:eastAsia="宋体" w:hAnsi="Times New Roman"/>
          <w:color w:val="000000"/>
          <w:sz w:val="20"/>
          <w:szCs w:val="20"/>
        </w:rPr>
        <w:t>grams are tailored to help boost employee physical and mental health, create financial peace of mind, provide support for families, and help employees build a strong community. Programs are designed and funded to support needs like autism care, cancer care</w:t>
      </w:r>
      <w:r>
        <w:rPr>
          <w:rFonts w:ascii="Times New Roman" w:eastAsia="宋体" w:hAnsi="Times New Roman"/>
          <w:color w:val="000000"/>
          <w:sz w:val="20"/>
          <w:szCs w:val="20"/>
        </w:rPr>
        <w:t>, transgender services, holistic well-being, and mental health programs, which represent a few of the ways we support our employees and their dependents.</w:t>
      </w:r>
    </w:p>
    <w:p w14:paraId="5CD8DF6E" w14:textId="77777777" w:rsidR="00BA49F5" w:rsidRDefault="00BA49F5">
      <w:pPr>
        <w:ind w:firstLine="540"/>
        <w:jc w:val="both"/>
      </w:pPr>
    </w:p>
    <w:p w14:paraId="5CD8DF6F" w14:textId="77777777" w:rsidR="00BA49F5" w:rsidRDefault="007E5E49">
      <w:pPr>
        <w:ind w:firstLine="540"/>
        <w:jc w:val="both"/>
      </w:pPr>
      <w:r>
        <w:rPr>
          <w:rFonts w:ascii="Times New Roman" w:eastAsia="宋体" w:hAnsi="Times New Roman"/>
          <w:b/>
          <w:bCs/>
          <w:i/>
          <w:iCs/>
          <w:color w:val="000000"/>
          <w:sz w:val="20"/>
          <w:szCs w:val="20"/>
        </w:rPr>
        <w:t>Diversity, Equity and Inclusion</w:t>
      </w:r>
    </w:p>
    <w:p w14:paraId="5CD8DF70" w14:textId="77777777" w:rsidR="00BA49F5" w:rsidRDefault="00BA49F5">
      <w:pPr>
        <w:jc w:val="both"/>
      </w:pPr>
    </w:p>
    <w:p w14:paraId="5CD8DF71" w14:textId="77777777" w:rsidR="00BA49F5" w:rsidRDefault="007E5E49">
      <w:pPr>
        <w:ind w:firstLine="540"/>
        <w:jc w:val="both"/>
      </w:pPr>
      <w:r>
        <w:rPr>
          <w:rFonts w:ascii="Times New Roman" w:eastAsia="宋体" w:hAnsi="Times New Roman"/>
          <w:color w:val="000000"/>
          <w:sz w:val="20"/>
          <w:szCs w:val="20"/>
        </w:rPr>
        <w:t>We work to build a diverse and inclusive workplace where we can leve</w:t>
      </w:r>
      <w:r>
        <w:rPr>
          <w:rFonts w:ascii="Times New Roman" w:eastAsia="宋体" w:hAnsi="Times New Roman"/>
          <w:color w:val="000000"/>
          <w:sz w:val="20"/>
          <w:szCs w:val="20"/>
        </w:rPr>
        <w:t>rage our collective cognitive diversity to build the best products and make the best decisions for the global community we serve.</w:t>
      </w:r>
    </w:p>
    <w:p w14:paraId="5CD8DF72" w14:textId="77777777" w:rsidR="00BA49F5" w:rsidRDefault="00BA49F5">
      <w:pPr>
        <w:ind w:firstLine="540"/>
        <w:jc w:val="both"/>
      </w:pPr>
    </w:p>
    <w:p w14:paraId="5CD8DF73" w14:textId="77777777" w:rsidR="00BA49F5" w:rsidRDefault="007E5E49">
      <w:pPr>
        <w:ind w:firstLine="540"/>
        <w:jc w:val="both"/>
      </w:pPr>
      <w:r>
        <w:rPr>
          <w:rFonts w:ascii="Times New Roman" w:eastAsia="宋体" w:hAnsi="Times New Roman"/>
          <w:color w:val="000000"/>
          <w:sz w:val="20"/>
          <w:szCs w:val="20"/>
        </w:rPr>
        <w:t>We offer full-time fully remote positions, including in locations where we do not have offices, which has deepened the diversity of our candidate pool. As published in our Diversity Report in July 2022, we saw that providing remote optionality increased th</w:t>
      </w:r>
      <w:r>
        <w:rPr>
          <w:rFonts w:ascii="Times New Roman" w:eastAsia="宋体" w:hAnsi="Times New Roman"/>
          <w:color w:val="000000"/>
          <w:sz w:val="20"/>
          <w:szCs w:val="20"/>
        </w:rPr>
        <w:t>e diversity of the overall composition of our workforce: U.S candidates who accepted remote job offers were substantially more likely to be Black, Hispanic, Native American, Alaskan Native, Pacific Islander, veterans and/or people with disabilities, and gl</w:t>
      </w:r>
      <w:r>
        <w:rPr>
          <w:rFonts w:ascii="Times New Roman" w:eastAsia="宋体" w:hAnsi="Times New Roman"/>
          <w:color w:val="000000"/>
          <w:sz w:val="20"/>
          <w:szCs w:val="20"/>
        </w:rPr>
        <w:t xml:space="preserve">obally, candidates who accepted remote job offers were more likely to be women. </w:t>
      </w:r>
    </w:p>
    <w:p w14:paraId="5CD8DF74" w14:textId="77777777" w:rsidR="00BA49F5" w:rsidRDefault="00BA49F5">
      <w:pPr>
        <w:ind w:firstLine="540"/>
        <w:jc w:val="both"/>
      </w:pPr>
    </w:p>
    <w:p w14:paraId="5CD8DF75" w14:textId="77777777" w:rsidR="00BA49F5" w:rsidRDefault="007E5E49">
      <w:pPr>
        <w:ind w:firstLine="540"/>
        <w:jc w:val="both"/>
      </w:pPr>
      <w:r>
        <w:rPr>
          <w:rFonts w:ascii="Times New Roman" w:eastAsia="宋体" w:hAnsi="Times New Roman"/>
          <w:color w:val="000000"/>
          <w:sz w:val="20"/>
          <w:szCs w:val="20"/>
        </w:rPr>
        <w:t>As part of our 2022 Diversity Report, we published our global gender diversity and U.S. ethnic diversity workforce data. As of June 30, 2022, our global employee base was com</w:t>
      </w:r>
      <w:r>
        <w:rPr>
          <w:rFonts w:ascii="Times New Roman" w:eastAsia="宋体" w:hAnsi="Times New Roman"/>
          <w:color w:val="000000"/>
          <w:sz w:val="20"/>
          <w:szCs w:val="20"/>
        </w:rPr>
        <w:t>prised of 37.1% females and 62.9% males, and our U.S. employee base was comprised of the following ethnicities: 46.5% Asian, 37.6% White, 6.7% Hispanic, 4.9% Black, 4.0% two or more ethnicities, and 0.3% additional groups (including American Indian or Alas</w:t>
      </w:r>
      <w:r>
        <w:rPr>
          <w:rFonts w:ascii="Times New Roman" w:eastAsia="宋体" w:hAnsi="Times New Roman"/>
          <w:color w:val="000000"/>
          <w:sz w:val="20"/>
          <w:szCs w:val="20"/>
        </w:rPr>
        <w:t>ka Native and Native Hawaiian or Other Pacific Islander).</w:t>
      </w:r>
    </w:p>
    <w:p w14:paraId="5CD8DF76" w14:textId="77777777" w:rsidR="00BA49F5" w:rsidRDefault="00BA49F5">
      <w:pPr>
        <w:ind w:firstLine="540"/>
        <w:jc w:val="both"/>
      </w:pPr>
    </w:p>
    <w:p w14:paraId="5CD8DF77" w14:textId="77777777" w:rsidR="00BA49F5" w:rsidRDefault="007E5E49">
      <w:pPr>
        <w:ind w:firstLine="540"/>
        <w:jc w:val="both"/>
      </w:pPr>
      <w:r>
        <w:rPr>
          <w:rFonts w:ascii="Times New Roman" w:eastAsia="宋体" w:hAnsi="Times New Roman"/>
          <w:color w:val="000000"/>
          <w:sz w:val="20"/>
          <w:szCs w:val="20"/>
        </w:rPr>
        <w:t xml:space="preserve">We want our products to work for the world and we need to grow and keep the best talent in order to do that. To aid in this effort, we have taken steps to reduce bias from our hiring processes and </w:t>
      </w:r>
      <w:r>
        <w:rPr>
          <w:rFonts w:ascii="Times New Roman" w:eastAsia="宋体" w:hAnsi="Times New Roman"/>
          <w:color w:val="000000"/>
          <w:sz w:val="20"/>
          <w:szCs w:val="20"/>
        </w:rPr>
        <w:t xml:space="preserve">performance management systems. </w:t>
      </w:r>
    </w:p>
    <w:p w14:paraId="5CD8DF78" w14:textId="77777777" w:rsidR="00BA49F5" w:rsidRDefault="007E5E49">
      <w:pPr>
        <w:jc w:val="center"/>
      </w:pPr>
      <w:r>
        <w:rPr>
          <w:rFonts w:ascii="Times New Roman" w:eastAsia="宋体" w:hAnsi="Times New Roman"/>
          <w:color w:val="000000"/>
          <w:sz w:val="20"/>
          <w:szCs w:val="20"/>
        </w:rPr>
        <w:t>12</w:t>
      </w:r>
    </w:p>
    <w:p w14:paraId="5CD8DF79" w14:textId="77777777" w:rsidR="00BA49F5" w:rsidRDefault="007E5E49">
      <w:r>
        <w:pict w14:anchorId="5CD90CD7">
          <v:rect id="_x0000_i1036" style="width:415.3pt;height:1.5pt" o:hralign="center" o:hrstd="t" o:hr="t" fillcolor="#a0a0a0" stroked="f"/>
        </w:pict>
      </w:r>
    </w:p>
    <w:p w14:paraId="5CD8DF7A" w14:textId="77777777" w:rsidR="00BA49F5" w:rsidRDefault="00BA49F5"/>
    <w:p w14:paraId="5CD8DF7B" w14:textId="77777777" w:rsidR="00BA49F5" w:rsidRDefault="00BA49F5"/>
    <w:p w14:paraId="5CD8DF7C" w14:textId="77777777" w:rsidR="00BA49F5" w:rsidRDefault="007E5E49">
      <w:hyperlink r:id="rId104" w:anchor="i6df229dad1864210ab76200083e26819_7" w:history="1">
        <w:r>
          <w:rPr>
            <w:rStyle w:val="a5"/>
            <w:rFonts w:ascii="Times New Roman" w:eastAsia="宋体" w:hAnsi="Times New Roman"/>
            <w:sz w:val="20"/>
            <w:szCs w:val="20"/>
          </w:rPr>
          <w:t>T</w:t>
        </w:r>
      </w:hyperlink>
      <w:hyperlink r:id="rId105" w:anchor="i6df229dad1864210ab76200083e26819_7" w:history="1">
        <w:r>
          <w:rPr>
            <w:rStyle w:val="a5"/>
            <w:rFonts w:ascii="Times New Roman" w:eastAsia="宋体" w:hAnsi="Times New Roman"/>
            <w:sz w:val="20"/>
            <w:szCs w:val="20"/>
          </w:rPr>
          <w:t>able of Contents</w:t>
        </w:r>
      </w:hyperlink>
    </w:p>
    <w:p w14:paraId="5CD8DF7D" w14:textId="77777777" w:rsidR="00BA49F5" w:rsidRDefault="00BA49F5">
      <w:pPr>
        <w:ind w:firstLine="540"/>
        <w:jc w:val="both"/>
      </w:pPr>
    </w:p>
    <w:p w14:paraId="5CD8DF7E" w14:textId="77777777" w:rsidR="00BA49F5" w:rsidRDefault="007E5E49">
      <w:pPr>
        <w:ind w:firstLine="540"/>
        <w:jc w:val="both"/>
      </w:pPr>
      <w:r>
        <w:rPr>
          <w:rFonts w:ascii="Times New Roman" w:eastAsia="宋体" w:hAnsi="Times New Roman"/>
          <w:color w:val="000000"/>
          <w:sz w:val="20"/>
          <w:szCs w:val="20"/>
        </w:rPr>
        <w:t>We have also invested in learning opportunities to identify and reduce inherent bias through Diversity, Equity and Inclusion trainings for our empl</w:t>
      </w:r>
      <w:r>
        <w:rPr>
          <w:rFonts w:ascii="Times New Roman" w:eastAsia="宋体" w:hAnsi="Times New Roman"/>
          <w:color w:val="000000"/>
          <w:sz w:val="20"/>
          <w:szCs w:val="20"/>
        </w:rPr>
        <w:t>oyees and enhanced learning and development courses. In addition, we offer career development programs to employees, including opportunities for women leaders at Meta to connect, support and grow together and programs to help ensure that we develop leaders</w:t>
      </w:r>
      <w:r>
        <w:rPr>
          <w:rFonts w:ascii="Times New Roman" w:eastAsia="宋体" w:hAnsi="Times New Roman"/>
          <w:color w:val="000000"/>
          <w:sz w:val="20"/>
          <w:szCs w:val="20"/>
        </w:rPr>
        <w:t xml:space="preserve"> of color, build a more diverse leadership pipeline and foster a culture of sponsorship through leader advocacy. </w:t>
      </w:r>
    </w:p>
    <w:p w14:paraId="5CD8DF7F" w14:textId="77777777" w:rsidR="00BA49F5" w:rsidRDefault="00BA49F5">
      <w:pPr>
        <w:ind w:firstLine="540"/>
        <w:jc w:val="both"/>
      </w:pPr>
    </w:p>
    <w:p w14:paraId="5CD8DF80" w14:textId="77777777" w:rsidR="00BA49F5" w:rsidRDefault="007E5E49">
      <w:pPr>
        <w:ind w:firstLine="540"/>
        <w:jc w:val="both"/>
      </w:pPr>
      <w:r>
        <w:rPr>
          <w:rFonts w:ascii="Times New Roman" w:eastAsia="宋体" w:hAnsi="Times New Roman"/>
          <w:b/>
          <w:bCs/>
          <w:i/>
          <w:iCs/>
          <w:color w:val="000000"/>
          <w:sz w:val="20"/>
          <w:szCs w:val="20"/>
        </w:rPr>
        <w:t>Compensation and Benefits</w:t>
      </w:r>
    </w:p>
    <w:p w14:paraId="5CD8DF81" w14:textId="77777777" w:rsidR="00BA49F5" w:rsidRDefault="00BA49F5">
      <w:pPr>
        <w:jc w:val="both"/>
      </w:pPr>
    </w:p>
    <w:p w14:paraId="5CD8DF82" w14:textId="77777777" w:rsidR="00BA49F5" w:rsidRDefault="007E5E49">
      <w:pPr>
        <w:ind w:firstLine="540"/>
        <w:jc w:val="both"/>
      </w:pPr>
      <w:r>
        <w:rPr>
          <w:rFonts w:ascii="Times New Roman" w:eastAsia="宋体" w:hAnsi="Times New Roman"/>
          <w:color w:val="000000"/>
          <w:sz w:val="20"/>
          <w:szCs w:val="20"/>
        </w:rPr>
        <w:t>We offer competitive compensation to attract and retain the best people, and we help care for our people so they c</w:t>
      </w:r>
      <w:r>
        <w:rPr>
          <w:rFonts w:ascii="Times New Roman" w:eastAsia="宋体" w:hAnsi="Times New Roman"/>
          <w:color w:val="000000"/>
          <w:sz w:val="20"/>
          <w:szCs w:val="20"/>
        </w:rPr>
        <w:t>an focus on our mission. Our employees' total compensation package includes market-competitive salary, bonuses or sales incentives, and equity. We generally offer full-time employees equity at the time of hire and through annual equity grants because we wa</w:t>
      </w:r>
      <w:r>
        <w:rPr>
          <w:rFonts w:ascii="Times New Roman" w:eastAsia="宋体" w:hAnsi="Times New Roman"/>
          <w:color w:val="000000"/>
          <w:sz w:val="20"/>
          <w:szCs w:val="20"/>
        </w:rPr>
        <w:t>nt them to be owners of the company and committed to our long-term success. We have conducted pay equity analyses for many years, and continue to be committed to pay equity. In 2022, we announced that our analyses indicate that we continue to have pay equi</w:t>
      </w:r>
      <w:r>
        <w:rPr>
          <w:rFonts w:ascii="Times New Roman" w:eastAsia="宋体" w:hAnsi="Times New Roman"/>
          <w:color w:val="000000"/>
          <w:sz w:val="20"/>
          <w:szCs w:val="20"/>
        </w:rPr>
        <w:t>ty across genders globally and race in the United States for people in similar jobs, accounting for factors such as location, role, and level.</w:t>
      </w:r>
    </w:p>
    <w:p w14:paraId="5CD8DF83" w14:textId="77777777" w:rsidR="00BA49F5" w:rsidRDefault="00BA49F5">
      <w:pPr>
        <w:ind w:firstLine="540"/>
        <w:jc w:val="both"/>
      </w:pPr>
    </w:p>
    <w:p w14:paraId="5CD8DF84" w14:textId="77777777" w:rsidR="00BA49F5" w:rsidRDefault="007E5E49">
      <w:pPr>
        <w:ind w:firstLine="540"/>
        <w:jc w:val="both"/>
      </w:pPr>
      <w:r>
        <w:rPr>
          <w:rFonts w:ascii="Times New Roman" w:eastAsia="宋体" w:hAnsi="Times New Roman"/>
          <w:color w:val="000000"/>
          <w:sz w:val="20"/>
          <w:szCs w:val="20"/>
        </w:rPr>
        <w:t>Through Life@ Meta, our holistic approach to benefits, we provide our employees and their dependents with resour</w:t>
      </w:r>
      <w:r>
        <w:rPr>
          <w:rFonts w:ascii="Times New Roman" w:eastAsia="宋体" w:hAnsi="Times New Roman"/>
          <w:color w:val="000000"/>
          <w:sz w:val="20"/>
          <w:szCs w:val="20"/>
        </w:rPr>
        <w:t>ces to help them thrive. We offer a wide range of benefits across areas such as health, family, finance, community, and time away, including healthcare and wellness benefits, family building benefits, family care resources, retirement savings plans, access</w:t>
      </w:r>
      <w:r>
        <w:rPr>
          <w:rFonts w:ascii="Times New Roman" w:eastAsia="宋体" w:hAnsi="Times New Roman"/>
          <w:color w:val="000000"/>
          <w:sz w:val="20"/>
          <w:szCs w:val="20"/>
        </w:rPr>
        <w:t xml:space="preserve"> to tax and legal services, and Meta Resource Groups to build community at Meta.</w:t>
      </w:r>
    </w:p>
    <w:p w14:paraId="5CD8DF85" w14:textId="77777777" w:rsidR="00BA49F5" w:rsidRDefault="00BA49F5">
      <w:pPr>
        <w:ind w:firstLine="540"/>
        <w:jc w:val="both"/>
      </w:pPr>
    </w:p>
    <w:p w14:paraId="5CD8DF86" w14:textId="77777777" w:rsidR="00BA49F5" w:rsidRDefault="007E5E49">
      <w:pPr>
        <w:jc w:val="both"/>
      </w:pPr>
      <w:r>
        <w:rPr>
          <w:rFonts w:ascii="Times New Roman" w:eastAsia="宋体" w:hAnsi="Times New Roman"/>
          <w:b/>
          <w:bCs/>
          <w:color w:val="000000"/>
          <w:sz w:val="20"/>
          <w:szCs w:val="20"/>
        </w:rPr>
        <w:t>Corporate Information</w:t>
      </w:r>
    </w:p>
    <w:p w14:paraId="5CD8DF87" w14:textId="77777777" w:rsidR="00BA49F5" w:rsidRDefault="00BA49F5">
      <w:pPr>
        <w:jc w:val="both"/>
      </w:pPr>
    </w:p>
    <w:p w14:paraId="5CD8DF88" w14:textId="77777777" w:rsidR="00BA49F5" w:rsidRDefault="007E5E49">
      <w:pPr>
        <w:ind w:firstLine="540"/>
        <w:jc w:val="both"/>
      </w:pPr>
      <w:r>
        <w:rPr>
          <w:rFonts w:ascii="Times New Roman" w:eastAsia="宋体" w:hAnsi="Times New Roman"/>
          <w:color w:val="000000"/>
          <w:sz w:val="20"/>
          <w:szCs w:val="20"/>
        </w:rPr>
        <w:t>We were incorporated in Delaware in July 2004. We completed our initial public offering in May 2012 and our Class A common stock is currently listed on</w:t>
      </w:r>
      <w:r>
        <w:rPr>
          <w:rFonts w:ascii="Times New Roman" w:eastAsia="宋体" w:hAnsi="Times New Roman"/>
          <w:color w:val="000000"/>
          <w:sz w:val="20"/>
          <w:szCs w:val="20"/>
        </w:rPr>
        <w:t xml:space="preserve"> the Nasdaq Global Select Market under the symbol "META." Our principal executive offices are located at 1601 Willow Road, Menlo Park, California 94025, and our telephone number is (650) 543-4800.</w:t>
      </w:r>
    </w:p>
    <w:p w14:paraId="5CD8DF89" w14:textId="77777777" w:rsidR="00BA49F5" w:rsidRDefault="00BA49F5">
      <w:pPr>
        <w:ind w:firstLine="540"/>
        <w:jc w:val="both"/>
      </w:pPr>
    </w:p>
    <w:p w14:paraId="5CD8DF8A" w14:textId="77777777" w:rsidR="00BA49F5" w:rsidRDefault="007E5E49">
      <w:pPr>
        <w:ind w:firstLine="540"/>
        <w:jc w:val="both"/>
      </w:pPr>
      <w:r>
        <w:rPr>
          <w:rFonts w:ascii="Times New Roman" w:eastAsia="宋体" w:hAnsi="Times New Roman"/>
          <w:color w:val="000000"/>
          <w:sz w:val="20"/>
          <w:szCs w:val="20"/>
        </w:rPr>
        <w:t xml:space="preserve">Meta, the Meta logo, Facebook, FB, Instagram, </w:t>
      </w:r>
      <w:r>
        <w:rPr>
          <w:rFonts w:ascii="Times New Roman" w:eastAsia="宋体" w:hAnsi="Times New Roman"/>
          <w:color w:val="000000"/>
          <w:sz w:val="20"/>
          <w:szCs w:val="20"/>
        </w:rPr>
        <w:t>Oculus, WhatsApp, and our other registered or common law trademarks, service marks, or trade names appearing in this Annual Report on Form 10-K are the property of Meta Platforms, Inc. or its affiliates. Other trademarks, service marks, or trade names appe</w:t>
      </w:r>
      <w:r>
        <w:rPr>
          <w:rFonts w:ascii="Times New Roman" w:eastAsia="宋体" w:hAnsi="Times New Roman"/>
          <w:color w:val="000000"/>
          <w:sz w:val="20"/>
          <w:szCs w:val="20"/>
        </w:rPr>
        <w:t>aring in this Annual Report on Form 10</w:t>
      </w:r>
      <w:r>
        <w:rPr>
          <w:rFonts w:ascii="Times New Roman" w:eastAsia="宋体" w:hAnsi="Times New Roman"/>
          <w:color w:val="000000"/>
          <w:sz w:val="20"/>
          <w:szCs w:val="20"/>
        </w:rPr>
        <w:noBreakHyphen/>
        <w:t>K are the property of their respective owners.</w:t>
      </w:r>
    </w:p>
    <w:p w14:paraId="5CD8DF8B" w14:textId="77777777" w:rsidR="00BA49F5" w:rsidRDefault="00BA49F5">
      <w:pPr>
        <w:ind w:firstLine="540"/>
        <w:jc w:val="both"/>
      </w:pPr>
    </w:p>
    <w:p w14:paraId="5CD8DF8C" w14:textId="77777777" w:rsidR="00BA49F5" w:rsidRDefault="007E5E49">
      <w:pPr>
        <w:jc w:val="both"/>
      </w:pPr>
      <w:r>
        <w:rPr>
          <w:rFonts w:ascii="Times New Roman" w:eastAsia="宋体" w:hAnsi="Times New Roman"/>
          <w:b/>
          <w:bCs/>
          <w:color w:val="000000"/>
          <w:sz w:val="20"/>
          <w:szCs w:val="20"/>
        </w:rPr>
        <w:t>Available Information</w:t>
      </w:r>
    </w:p>
    <w:p w14:paraId="5CD8DF8D" w14:textId="77777777" w:rsidR="00BA49F5" w:rsidRDefault="00BA49F5">
      <w:pPr>
        <w:jc w:val="both"/>
      </w:pPr>
    </w:p>
    <w:p w14:paraId="5CD8DF8E" w14:textId="77777777" w:rsidR="00BA49F5" w:rsidRDefault="007E5E49">
      <w:pPr>
        <w:ind w:firstLine="540"/>
        <w:jc w:val="both"/>
      </w:pPr>
      <w:r>
        <w:rPr>
          <w:rFonts w:ascii="Times New Roman" w:eastAsia="宋体" w:hAnsi="Times New Roman"/>
          <w:color w:val="000000"/>
          <w:sz w:val="20"/>
          <w:szCs w:val="20"/>
        </w:rPr>
        <w:t>Our Annual Reports on Form 10-K, Quarterly Reports on Form 10-Q, Current Reports on Form 8-K, and amendments to reports filed pursuant to Sections 13(a) and 15(d) of the Securities Exchange Act of 1934, as amended (Exchange Act), are filed with the U.S. Se</w:t>
      </w:r>
      <w:r>
        <w:rPr>
          <w:rFonts w:ascii="Times New Roman" w:eastAsia="宋体" w:hAnsi="Times New Roman"/>
          <w:color w:val="000000"/>
          <w:sz w:val="20"/>
          <w:szCs w:val="20"/>
        </w:rPr>
        <w:t xml:space="preserve">curities and Exchange Commission (SEC). We are subject to the informational requirements of the Exchange Act and file or furnish reports, proxy statements, and other information with the SEC. Such reports and other information filed by us with the SEC are </w:t>
      </w:r>
      <w:r>
        <w:rPr>
          <w:rFonts w:ascii="Times New Roman" w:eastAsia="宋体" w:hAnsi="Times New Roman"/>
          <w:color w:val="000000"/>
          <w:sz w:val="20"/>
          <w:szCs w:val="20"/>
        </w:rPr>
        <w:t>available free of charge on our website at investor.fb.com when such reports are available on the SEC's website. We use our investor.fb.com and about.fb.com/news/ websites as well as Mark Zuckerberg's Facebook Page (www.facebook.com/zuck) and Instagram acc</w:t>
      </w:r>
      <w:r>
        <w:rPr>
          <w:rFonts w:ascii="Times New Roman" w:eastAsia="宋体" w:hAnsi="Times New Roman"/>
          <w:color w:val="000000"/>
          <w:sz w:val="20"/>
          <w:szCs w:val="20"/>
        </w:rPr>
        <w:t xml:space="preserve">ount (www.instagram.com/zuck) as means of disclosing material non-public information and for complying with our disclosure obligations under Regulation FD. </w:t>
      </w:r>
    </w:p>
    <w:p w14:paraId="5CD8DF8F" w14:textId="77777777" w:rsidR="00BA49F5" w:rsidRDefault="00BA49F5">
      <w:pPr>
        <w:ind w:firstLine="540"/>
        <w:jc w:val="both"/>
      </w:pPr>
    </w:p>
    <w:p w14:paraId="5CD8DF90" w14:textId="77777777" w:rsidR="00BA49F5" w:rsidRDefault="007E5E49">
      <w:pPr>
        <w:ind w:firstLine="540"/>
        <w:jc w:val="both"/>
      </w:pPr>
      <w:r>
        <w:rPr>
          <w:rFonts w:ascii="Times New Roman" w:eastAsia="宋体" w:hAnsi="Times New Roman"/>
          <w:color w:val="000000"/>
          <w:sz w:val="20"/>
          <w:szCs w:val="20"/>
        </w:rPr>
        <w:t>The SEC maintains an Internet site that contains reports, proxy and information statements, and ot</w:t>
      </w:r>
      <w:r>
        <w:rPr>
          <w:rFonts w:ascii="Times New Roman" w:eastAsia="宋体" w:hAnsi="Times New Roman"/>
          <w:color w:val="000000"/>
          <w:sz w:val="20"/>
          <w:szCs w:val="20"/>
        </w:rPr>
        <w:t>her information regarding issuers that file electronically with the SEC at www.sec.gov.</w:t>
      </w:r>
    </w:p>
    <w:p w14:paraId="5CD8DF91" w14:textId="77777777" w:rsidR="00BA49F5" w:rsidRDefault="00BA49F5">
      <w:pPr>
        <w:ind w:firstLine="540"/>
        <w:jc w:val="both"/>
      </w:pPr>
    </w:p>
    <w:p w14:paraId="5CD8DF92" w14:textId="77777777" w:rsidR="00BA49F5" w:rsidRDefault="007E5E49">
      <w:pPr>
        <w:ind w:firstLine="540"/>
        <w:jc w:val="both"/>
      </w:pPr>
      <w:r>
        <w:rPr>
          <w:rFonts w:ascii="Times New Roman" w:eastAsia="宋体" w:hAnsi="Times New Roman"/>
          <w:color w:val="000000"/>
          <w:sz w:val="20"/>
          <w:szCs w:val="20"/>
        </w:rPr>
        <w:t>The contents of the websites referred to above are not incorporated into this filing. Further, our references to the URLs for these websites are intended to be inactiv</w:t>
      </w:r>
      <w:r>
        <w:rPr>
          <w:rFonts w:ascii="Times New Roman" w:eastAsia="宋体" w:hAnsi="Times New Roman"/>
          <w:color w:val="000000"/>
          <w:sz w:val="20"/>
          <w:szCs w:val="20"/>
        </w:rPr>
        <w:t>e textual references only.</w:t>
      </w:r>
    </w:p>
    <w:p w14:paraId="5CD8DF93" w14:textId="77777777" w:rsidR="00BA49F5" w:rsidRDefault="007E5E49">
      <w:pPr>
        <w:jc w:val="center"/>
      </w:pPr>
      <w:r>
        <w:rPr>
          <w:rFonts w:ascii="Times New Roman" w:eastAsia="宋体" w:hAnsi="Times New Roman"/>
          <w:color w:val="000000"/>
          <w:sz w:val="20"/>
          <w:szCs w:val="20"/>
        </w:rPr>
        <w:t>13</w:t>
      </w:r>
    </w:p>
    <w:p w14:paraId="5CD8DF94" w14:textId="77777777" w:rsidR="00BA49F5" w:rsidRDefault="007E5E49">
      <w:r>
        <w:pict w14:anchorId="5CD90CD8">
          <v:rect id="_x0000_i1037" style="width:415.3pt;height:1.5pt" o:hralign="center" o:hrstd="t" o:hr="t" fillcolor="#a0a0a0" stroked="f"/>
        </w:pict>
      </w:r>
    </w:p>
    <w:p w14:paraId="5CD8DF95" w14:textId="77777777" w:rsidR="00BA49F5" w:rsidRDefault="00BA49F5"/>
    <w:p w14:paraId="5CD8DF96" w14:textId="77777777" w:rsidR="00BA49F5" w:rsidRDefault="00BA49F5"/>
    <w:p w14:paraId="5CD8DF97" w14:textId="77777777" w:rsidR="00BA49F5" w:rsidRDefault="007E5E49">
      <w:hyperlink r:id="rId106" w:anchor="i6df229dad1864210ab76200083e26819_7" w:history="1">
        <w:r>
          <w:rPr>
            <w:rStyle w:val="a5"/>
            <w:rFonts w:ascii="Times New Roman" w:eastAsia="宋体" w:hAnsi="Times New Roman"/>
            <w:sz w:val="20"/>
            <w:szCs w:val="20"/>
          </w:rPr>
          <w:t>T</w:t>
        </w:r>
      </w:hyperlink>
      <w:hyperlink r:id="rId107" w:anchor="i6df229dad1864210ab76200083e26819_7" w:history="1">
        <w:r>
          <w:rPr>
            <w:rStyle w:val="a5"/>
            <w:rFonts w:ascii="Times New Roman" w:eastAsia="宋体" w:hAnsi="Times New Roman"/>
            <w:sz w:val="20"/>
            <w:szCs w:val="20"/>
          </w:rPr>
          <w:t>able of Contents</w:t>
        </w:r>
      </w:hyperlink>
    </w:p>
    <w:p w14:paraId="5CD8DF98" w14:textId="77777777" w:rsidR="00BA49F5" w:rsidRDefault="007E5E49">
      <w:pPr>
        <w:ind w:hanging="810"/>
        <w:jc w:val="both"/>
      </w:pPr>
      <w:r>
        <w:rPr>
          <w:rFonts w:ascii="Times New Roman" w:eastAsia="宋体" w:hAnsi="Times New Roman"/>
          <w:b/>
          <w:bCs/>
          <w:color w:val="000000"/>
          <w:sz w:val="20"/>
          <w:szCs w:val="20"/>
          <w:shd w:val="clear" w:color="auto" w:fill="FFFFFF"/>
        </w:rPr>
        <w:t>Item 1A.Risk Factors</w:t>
      </w:r>
    </w:p>
    <w:p w14:paraId="5CD8DF99" w14:textId="77777777" w:rsidR="00BA49F5" w:rsidRDefault="00BA49F5">
      <w:pPr>
        <w:jc w:val="both"/>
      </w:pPr>
    </w:p>
    <w:p w14:paraId="5CD8DF9A" w14:textId="77777777" w:rsidR="00BA49F5" w:rsidRDefault="007E5E49">
      <w:pPr>
        <w:jc w:val="both"/>
      </w:pPr>
      <w:r>
        <w:rPr>
          <w:rFonts w:ascii="Times New Roman" w:eastAsia="宋体" w:hAnsi="Times New Roman"/>
          <w:i/>
          <w:iCs/>
          <w:color w:val="000000"/>
          <w:sz w:val="20"/>
          <w:szCs w:val="20"/>
        </w:rPr>
        <w:t>Certain factors may have a material adverse effect on our business, financial condition, and results of operations. You should consi</w:t>
      </w:r>
      <w:r>
        <w:rPr>
          <w:rFonts w:ascii="Times New Roman" w:eastAsia="宋体" w:hAnsi="Times New Roman"/>
          <w:i/>
          <w:iCs/>
          <w:color w:val="000000"/>
          <w:sz w:val="20"/>
          <w:szCs w:val="20"/>
        </w:rPr>
        <w:t>der carefully the risks and uncertainties described below, in addition to other information contained in this Annual Report on Form 10-K, including our consolidated financial statements and related notes. The risks and uncertainties described below are not</w:t>
      </w:r>
      <w:r>
        <w:rPr>
          <w:rFonts w:ascii="Times New Roman" w:eastAsia="宋体" w:hAnsi="Times New Roman"/>
          <w:i/>
          <w:iCs/>
          <w:color w:val="000000"/>
          <w:sz w:val="20"/>
          <w:szCs w:val="20"/>
        </w:rPr>
        <w:t xml:space="preserve"> the only ones we face. Additional risks and uncertainties that we are unaware of, or that we currently believe are not material, may also become important factors that adversely affect our business. If any of the following risks actually occurs, our busin</w:t>
      </w:r>
      <w:r>
        <w:rPr>
          <w:rFonts w:ascii="Times New Roman" w:eastAsia="宋体" w:hAnsi="Times New Roman"/>
          <w:i/>
          <w:iCs/>
          <w:color w:val="000000"/>
          <w:sz w:val="20"/>
          <w:szCs w:val="20"/>
        </w:rPr>
        <w:t>ess, financial condition, results of operations, and future prospects could be materially and adversely affected. In that event, the trading price of our Class A common stock could decline, and you could lose part or all of your investment.</w:t>
      </w:r>
    </w:p>
    <w:p w14:paraId="5CD8DF9B" w14:textId="77777777" w:rsidR="00BA49F5" w:rsidRDefault="00BA49F5">
      <w:pPr>
        <w:jc w:val="both"/>
      </w:pPr>
    </w:p>
    <w:p w14:paraId="5CD8DF9C" w14:textId="77777777" w:rsidR="00BA49F5" w:rsidRDefault="007E5E49">
      <w:pPr>
        <w:jc w:val="both"/>
      </w:pPr>
      <w:r>
        <w:rPr>
          <w:rFonts w:ascii="Times New Roman" w:eastAsia="宋体" w:hAnsi="Times New Roman"/>
          <w:b/>
          <w:bCs/>
          <w:color w:val="000000"/>
          <w:sz w:val="20"/>
          <w:szCs w:val="20"/>
        </w:rPr>
        <w:t>Summary Risk F</w:t>
      </w:r>
      <w:r>
        <w:rPr>
          <w:rFonts w:ascii="Times New Roman" w:eastAsia="宋体" w:hAnsi="Times New Roman"/>
          <w:b/>
          <w:bCs/>
          <w:color w:val="000000"/>
          <w:sz w:val="20"/>
          <w:szCs w:val="20"/>
        </w:rPr>
        <w:t xml:space="preserve">actors </w:t>
      </w:r>
    </w:p>
    <w:p w14:paraId="5CD8DF9D" w14:textId="77777777" w:rsidR="00BA49F5" w:rsidRDefault="00BA49F5">
      <w:pPr>
        <w:jc w:val="both"/>
      </w:pPr>
    </w:p>
    <w:p w14:paraId="5CD8DF9E" w14:textId="77777777" w:rsidR="00BA49F5" w:rsidRDefault="007E5E49">
      <w:pPr>
        <w:ind w:firstLine="540"/>
        <w:jc w:val="both"/>
      </w:pPr>
      <w:r>
        <w:rPr>
          <w:rFonts w:ascii="Times New Roman" w:eastAsia="宋体" w:hAnsi="Times New Roman"/>
          <w:color w:val="000000"/>
          <w:sz w:val="20"/>
          <w:szCs w:val="20"/>
        </w:rPr>
        <w:t>Our business is subject to a number of risks, including risks that may prevent us from achieving our business objectives or may adversely affect our business, financial condition, results of operations, cash flows, and prospects. These risks are d</w:t>
      </w:r>
      <w:r>
        <w:rPr>
          <w:rFonts w:ascii="Times New Roman" w:eastAsia="宋体" w:hAnsi="Times New Roman"/>
          <w:color w:val="000000"/>
          <w:sz w:val="20"/>
          <w:szCs w:val="20"/>
        </w:rPr>
        <w:t xml:space="preserve">iscussed more fully below and include, but are not limited to, risks related to: </w:t>
      </w:r>
    </w:p>
    <w:p w14:paraId="5CD8DF9F" w14:textId="77777777" w:rsidR="00BA49F5" w:rsidRDefault="00BA49F5">
      <w:pPr>
        <w:jc w:val="both"/>
      </w:pPr>
    </w:p>
    <w:p w14:paraId="5CD8DFA0" w14:textId="77777777" w:rsidR="00BA49F5" w:rsidRDefault="007E5E49">
      <w:pPr>
        <w:jc w:val="both"/>
      </w:pPr>
      <w:r>
        <w:rPr>
          <w:rFonts w:ascii="Times New Roman" w:eastAsia="宋体" w:hAnsi="Times New Roman"/>
          <w:b/>
          <w:bCs/>
          <w:i/>
          <w:iCs/>
          <w:color w:val="000000"/>
          <w:sz w:val="20"/>
          <w:szCs w:val="20"/>
        </w:rPr>
        <w:t>Risks Related to Our Product Offerings</w:t>
      </w:r>
    </w:p>
    <w:p w14:paraId="5CD8DFA1" w14:textId="77777777" w:rsidR="00BA49F5" w:rsidRDefault="00BA49F5">
      <w:pPr>
        <w:jc w:val="both"/>
      </w:pPr>
    </w:p>
    <w:p w14:paraId="5CD8DFA2" w14:textId="77777777" w:rsidR="00BA49F5" w:rsidRDefault="007E5E49">
      <w:pPr>
        <w:ind w:hanging="360"/>
        <w:jc w:val="both"/>
      </w:pPr>
      <w:r>
        <w:rPr>
          <w:rFonts w:ascii="Times New Roman" w:eastAsia="宋体" w:hAnsi="Times New Roman"/>
          <w:color w:val="000000"/>
          <w:sz w:val="20"/>
          <w:szCs w:val="20"/>
        </w:rPr>
        <w:t>•our ability to add and retain users and maintain levels of user engagement with our products;</w:t>
      </w:r>
    </w:p>
    <w:p w14:paraId="5CD8DFA3" w14:textId="77777777" w:rsidR="00BA49F5" w:rsidRDefault="00BA49F5">
      <w:pPr>
        <w:jc w:val="both"/>
      </w:pPr>
    </w:p>
    <w:p w14:paraId="5CD8DFA4" w14:textId="77777777" w:rsidR="00BA49F5" w:rsidRDefault="007E5E49">
      <w:pPr>
        <w:ind w:hanging="360"/>
        <w:jc w:val="both"/>
      </w:pPr>
      <w:r>
        <w:rPr>
          <w:rFonts w:ascii="Times New Roman" w:eastAsia="宋体" w:hAnsi="Times New Roman"/>
          <w:color w:val="000000"/>
          <w:sz w:val="20"/>
          <w:szCs w:val="20"/>
        </w:rPr>
        <w:t xml:space="preserve">•the loss of, or reduction in </w:t>
      </w:r>
      <w:r>
        <w:rPr>
          <w:rFonts w:ascii="Times New Roman" w:eastAsia="宋体" w:hAnsi="Times New Roman"/>
          <w:color w:val="000000"/>
          <w:sz w:val="20"/>
          <w:szCs w:val="20"/>
        </w:rPr>
        <w:t>spending by, our marketers;</w:t>
      </w:r>
    </w:p>
    <w:p w14:paraId="5CD8DFA5" w14:textId="77777777" w:rsidR="00BA49F5" w:rsidRDefault="00BA49F5">
      <w:pPr>
        <w:jc w:val="both"/>
      </w:pPr>
    </w:p>
    <w:p w14:paraId="5CD8DFA6" w14:textId="77777777" w:rsidR="00BA49F5" w:rsidRDefault="007E5E49">
      <w:pPr>
        <w:ind w:hanging="360"/>
        <w:jc w:val="both"/>
      </w:pPr>
      <w:r>
        <w:rPr>
          <w:rFonts w:ascii="Times New Roman" w:eastAsia="宋体" w:hAnsi="Times New Roman"/>
          <w:color w:val="000000"/>
          <w:sz w:val="20"/>
          <w:szCs w:val="20"/>
        </w:rPr>
        <w:t>•reduced availability of data signals used by our ad targeting and measurement tools;</w:t>
      </w:r>
    </w:p>
    <w:p w14:paraId="5CD8DFA7" w14:textId="77777777" w:rsidR="00BA49F5" w:rsidRDefault="00BA49F5">
      <w:pPr>
        <w:jc w:val="both"/>
      </w:pPr>
    </w:p>
    <w:p w14:paraId="5CD8DFA8" w14:textId="77777777" w:rsidR="00BA49F5" w:rsidRDefault="007E5E49">
      <w:pPr>
        <w:ind w:hanging="360"/>
        <w:jc w:val="both"/>
      </w:pPr>
      <w:r>
        <w:rPr>
          <w:rFonts w:ascii="Times New Roman" w:eastAsia="宋体" w:hAnsi="Times New Roman"/>
          <w:color w:val="000000"/>
          <w:sz w:val="20"/>
          <w:szCs w:val="20"/>
        </w:rPr>
        <w:t>•ineffective operation with mobile operating systems or changes in our relationships with mobile operating system partners;</w:t>
      </w:r>
    </w:p>
    <w:p w14:paraId="5CD8DFA9" w14:textId="77777777" w:rsidR="00BA49F5" w:rsidRDefault="00BA49F5">
      <w:pPr>
        <w:jc w:val="both"/>
      </w:pPr>
    </w:p>
    <w:p w14:paraId="5CD8DFAA" w14:textId="77777777" w:rsidR="00BA49F5" w:rsidRDefault="007E5E49">
      <w:pPr>
        <w:ind w:hanging="360"/>
        <w:jc w:val="both"/>
      </w:pPr>
      <w:r>
        <w:rPr>
          <w:rFonts w:ascii="Times New Roman" w:eastAsia="宋体" w:hAnsi="Times New Roman"/>
          <w:color w:val="000000"/>
          <w:sz w:val="20"/>
          <w:szCs w:val="20"/>
        </w:rPr>
        <w:t>•failure of our new products, or changes to our existing products, to attract or retain users or generate revenue;</w:t>
      </w:r>
    </w:p>
    <w:p w14:paraId="5CD8DFAB" w14:textId="77777777" w:rsidR="00BA49F5" w:rsidRDefault="00BA49F5">
      <w:pPr>
        <w:jc w:val="both"/>
      </w:pPr>
    </w:p>
    <w:p w14:paraId="5CD8DFAC" w14:textId="77777777" w:rsidR="00BA49F5" w:rsidRDefault="007E5E49">
      <w:r>
        <w:rPr>
          <w:rFonts w:ascii="Times New Roman" w:eastAsia="宋体" w:hAnsi="Times New Roman"/>
          <w:b/>
          <w:bCs/>
          <w:i/>
          <w:iCs/>
          <w:color w:val="000000"/>
          <w:sz w:val="20"/>
          <w:szCs w:val="20"/>
        </w:rPr>
        <w:t>Risks Related to Our Business Operations and Financial Results</w:t>
      </w:r>
    </w:p>
    <w:p w14:paraId="5CD8DFAD" w14:textId="77777777" w:rsidR="00BA49F5" w:rsidRDefault="00BA49F5">
      <w:pPr>
        <w:jc w:val="both"/>
      </w:pPr>
    </w:p>
    <w:p w14:paraId="5CD8DFAE" w14:textId="77777777" w:rsidR="00BA49F5" w:rsidRDefault="007E5E49">
      <w:pPr>
        <w:ind w:hanging="360"/>
        <w:jc w:val="both"/>
      </w:pPr>
      <w:r>
        <w:rPr>
          <w:rFonts w:ascii="Times New Roman" w:eastAsia="宋体" w:hAnsi="Times New Roman"/>
          <w:color w:val="000000"/>
          <w:sz w:val="20"/>
          <w:szCs w:val="20"/>
        </w:rPr>
        <w:t xml:space="preserve">•our ability to compete effectively; </w:t>
      </w:r>
    </w:p>
    <w:p w14:paraId="5CD8DFAF" w14:textId="77777777" w:rsidR="00BA49F5" w:rsidRDefault="00BA49F5">
      <w:pPr>
        <w:jc w:val="both"/>
      </w:pPr>
    </w:p>
    <w:p w14:paraId="5CD8DFB0" w14:textId="77777777" w:rsidR="00BA49F5" w:rsidRDefault="007E5E49">
      <w:pPr>
        <w:ind w:hanging="360"/>
        <w:jc w:val="both"/>
      </w:pPr>
      <w:r>
        <w:rPr>
          <w:rFonts w:ascii="Times New Roman" w:eastAsia="宋体" w:hAnsi="Times New Roman"/>
          <w:color w:val="000000"/>
          <w:sz w:val="20"/>
          <w:szCs w:val="20"/>
        </w:rPr>
        <w:t>•fluctuations in our financial result</w:t>
      </w:r>
      <w:r>
        <w:rPr>
          <w:rFonts w:ascii="Times New Roman" w:eastAsia="宋体" w:hAnsi="Times New Roman"/>
          <w:color w:val="000000"/>
          <w:sz w:val="20"/>
          <w:szCs w:val="20"/>
        </w:rPr>
        <w:t xml:space="preserve">s; </w:t>
      </w:r>
    </w:p>
    <w:p w14:paraId="5CD8DFB1" w14:textId="77777777" w:rsidR="00BA49F5" w:rsidRDefault="00BA49F5">
      <w:pPr>
        <w:jc w:val="both"/>
      </w:pPr>
    </w:p>
    <w:p w14:paraId="5CD8DFB2" w14:textId="77777777" w:rsidR="00BA49F5" w:rsidRDefault="007E5E49">
      <w:pPr>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5CD8DFB3" w14:textId="77777777" w:rsidR="00BA49F5" w:rsidRDefault="00BA49F5">
      <w:pPr>
        <w:jc w:val="both"/>
      </w:pPr>
    </w:p>
    <w:p w14:paraId="5CD8DFB4" w14:textId="77777777" w:rsidR="00BA49F5" w:rsidRDefault="007E5E49">
      <w:pPr>
        <w:ind w:hanging="360"/>
        <w:jc w:val="both"/>
      </w:pPr>
      <w:r>
        <w:rPr>
          <w:rFonts w:ascii="Times New Roman" w:eastAsia="宋体" w:hAnsi="Times New Roman"/>
          <w:color w:val="000000"/>
          <w:sz w:val="20"/>
          <w:szCs w:val="20"/>
        </w:rPr>
        <w:t>•the COVID-19 pandemic, including its impact on our advertising business;</w:t>
      </w:r>
    </w:p>
    <w:p w14:paraId="5CD8DFB5" w14:textId="77777777" w:rsidR="00BA49F5" w:rsidRDefault="00BA49F5">
      <w:pPr>
        <w:jc w:val="both"/>
      </w:pPr>
    </w:p>
    <w:p w14:paraId="5CD8DFB6" w14:textId="77777777" w:rsidR="00BA49F5" w:rsidRDefault="007E5E49">
      <w:pPr>
        <w:ind w:hanging="360"/>
        <w:jc w:val="both"/>
      </w:pPr>
      <w:r>
        <w:rPr>
          <w:rFonts w:ascii="Times New Roman" w:eastAsia="宋体" w:hAnsi="Times New Roman"/>
          <w:color w:val="000000"/>
          <w:sz w:val="20"/>
          <w:szCs w:val="20"/>
        </w:rPr>
        <w:t>•acquisitions and our ability to successfully integrate our acquisitions</w:t>
      </w:r>
      <w:r>
        <w:rPr>
          <w:rFonts w:ascii="Times New Roman" w:eastAsia="宋体" w:hAnsi="Times New Roman"/>
          <w:color w:val="000000"/>
          <w:sz w:val="20"/>
          <w:szCs w:val="20"/>
        </w:rPr>
        <w:t>;</w:t>
      </w:r>
    </w:p>
    <w:p w14:paraId="5CD8DFB7" w14:textId="77777777" w:rsidR="00BA49F5" w:rsidRDefault="00BA49F5">
      <w:pPr>
        <w:jc w:val="both"/>
      </w:pPr>
    </w:p>
    <w:p w14:paraId="5CD8DFB8" w14:textId="77777777" w:rsidR="00BA49F5" w:rsidRDefault="007E5E49">
      <w:pPr>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5CD8DFB9" w14:textId="77777777" w:rsidR="00BA49F5" w:rsidRDefault="00BA49F5">
      <w:pPr>
        <w:jc w:val="both"/>
      </w:pPr>
    </w:p>
    <w:p w14:paraId="5CD8DFBA" w14:textId="77777777" w:rsidR="00BA49F5" w:rsidRDefault="007E5E49">
      <w:pPr>
        <w:ind w:hanging="360"/>
        <w:jc w:val="both"/>
      </w:pPr>
      <w:r>
        <w:rPr>
          <w:rFonts w:ascii="Times New Roman" w:eastAsia="宋体" w:hAnsi="Times New Roman"/>
          <w:color w:val="000000"/>
          <w:sz w:val="20"/>
          <w:szCs w:val="20"/>
        </w:rPr>
        <w:t xml:space="preserve">•operating our business in multiple countries around the world; </w:t>
      </w:r>
    </w:p>
    <w:p w14:paraId="5CD8DFBB" w14:textId="77777777" w:rsidR="00BA49F5" w:rsidRDefault="00BA49F5">
      <w:pPr>
        <w:jc w:val="both"/>
      </w:pPr>
    </w:p>
    <w:p w14:paraId="5CD8DFBC" w14:textId="77777777" w:rsidR="00BA49F5" w:rsidRDefault="007E5E49">
      <w:pPr>
        <w:ind w:hanging="360"/>
        <w:jc w:val="both"/>
      </w:pPr>
      <w:r>
        <w:rPr>
          <w:rFonts w:ascii="Times New Roman" w:eastAsia="宋体" w:hAnsi="Times New Roman"/>
          <w:color w:val="000000"/>
          <w:sz w:val="20"/>
          <w:szCs w:val="20"/>
        </w:rPr>
        <w:t xml:space="preserve">•litigation, including class action lawsuits; </w:t>
      </w:r>
    </w:p>
    <w:p w14:paraId="5CD8DFBD" w14:textId="77777777" w:rsidR="00BA49F5" w:rsidRDefault="00BA49F5">
      <w:pPr>
        <w:jc w:val="both"/>
      </w:pPr>
    </w:p>
    <w:p w14:paraId="5CD8DFBE" w14:textId="77777777" w:rsidR="00BA49F5" w:rsidRDefault="007E5E49">
      <w:r>
        <w:rPr>
          <w:rFonts w:ascii="Times New Roman" w:eastAsia="宋体" w:hAnsi="Times New Roman"/>
          <w:b/>
          <w:bCs/>
          <w:i/>
          <w:iCs/>
          <w:color w:val="000000"/>
          <w:sz w:val="20"/>
          <w:szCs w:val="20"/>
        </w:rPr>
        <w:t>Risks Relat</w:t>
      </w:r>
      <w:r>
        <w:rPr>
          <w:rFonts w:ascii="Times New Roman" w:eastAsia="宋体" w:hAnsi="Times New Roman"/>
          <w:b/>
          <w:bCs/>
          <w:i/>
          <w:iCs/>
          <w:color w:val="000000"/>
          <w:sz w:val="20"/>
          <w:szCs w:val="20"/>
        </w:rPr>
        <w:t>ed to Government Regulation and Enforcement</w:t>
      </w:r>
    </w:p>
    <w:p w14:paraId="5CD8DFBF" w14:textId="77777777" w:rsidR="00BA49F5" w:rsidRDefault="00BA49F5">
      <w:pPr>
        <w:jc w:val="both"/>
      </w:pPr>
    </w:p>
    <w:p w14:paraId="5CD8DFC0" w14:textId="77777777" w:rsidR="00BA49F5" w:rsidRDefault="007E5E49">
      <w:pPr>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advertising, in their countries;</w:t>
      </w:r>
    </w:p>
    <w:p w14:paraId="5CD8DFC1" w14:textId="77777777" w:rsidR="00BA49F5" w:rsidRDefault="00BA49F5">
      <w:pPr>
        <w:jc w:val="both"/>
      </w:pPr>
    </w:p>
    <w:p w14:paraId="5CD8DFC2" w14:textId="77777777" w:rsidR="00BA49F5" w:rsidRDefault="007E5E49">
      <w:pPr>
        <w:ind w:hanging="360"/>
        <w:jc w:val="both"/>
      </w:pPr>
      <w:r>
        <w:rPr>
          <w:rFonts w:ascii="Times New Roman" w:eastAsia="宋体" w:hAnsi="Times New Roman"/>
          <w:color w:val="000000"/>
          <w:sz w:val="20"/>
          <w:szCs w:val="20"/>
        </w:rPr>
        <w:t xml:space="preserve">•complex and evolving U.S. and foreign privacy, data use and data protection, content, competition, consumer protection, and other laws and regulations; </w:t>
      </w:r>
    </w:p>
    <w:p w14:paraId="5CD8DFC3" w14:textId="77777777" w:rsidR="00BA49F5" w:rsidRDefault="007E5E49">
      <w:pPr>
        <w:jc w:val="center"/>
      </w:pPr>
      <w:r>
        <w:rPr>
          <w:rFonts w:ascii="Times New Roman" w:eastAsia="宋体" w:hAnsi="Times New Roman"/>
          <w:color w:val="000000"/>
          <w:sz w:val="20"/>
          <w:szCs w:val="20"/>
        </w:rPr>
        <w:t>14</w:t>
      </w:r>
    </w:p>
    <w:p w14:paraId="5CD8DFC4" w14:textId="77777777" w:rsidR="00BA49F5" w:rsidRDefault="007E5E49">
      <w:r>
        <w:pict w14:anchorId="5CD90CD9">
          <v:rect id="_x0000_i1038" style="width:415.3pt;height:1.5pt" o:hralign="center" o:hrstd="t" o:hr="t" fillcolor="#a0a0a0" stroked="f"/>
        </w:pict>
      </w:r>
    </w:p>
    <w:p w14:paraId="5CD8DFC5" w14:textId="77777777" w:rsidR="00BA49F5" w:rsidRDefault="00BA49F5"/>
    <w:p w14:paraId="5CD8DFC6" w14:textId="77777777" w:rsidR="00BA49F5" w:rsidRDefault="00BA49F5"/>
    <w:p w14:paraId="5CD8DFC7" w14:textId="77777777" w:rsidR="00BA49F5" w:rsidRDefault="007E5E49">
      <w:hyperlink r:id="rId108" w:anchor="i6df229dad1864210ab76200083e26819_7" w:history="1">
        <w:r>
          <w:rPr>
            <w:rStyle w:val="a5"/>
            <w:rFonts w:ascii="Times New Roman" w:eastAsia="宋体" w:hAnsi="Times New Roman"/>
            <w:sz w:val="20"/>
            <w:szCs w:val="20"/>
          </w:rPr>
          <w:t>T</w:t>
        </w:r>
      </w:hyperlink>
      <w:hyperlink r:id="rId109" w:anchor="i6df229dad1864210ab76200083e26819_7" w:history="1">
        <w:r>
          <w:rPr>
            <w:rStyle w:val="a5"/>
            <w:rFonts w:ascii="Times New Roman" w:eastAsia="宋体" w:hAnsi="Times New Roman"/>
            <w:sz w:val="20"/>
            <w:szCs w:val="20"/>
          </w:rPr>
          <w:t>able of Contents</w:t>
        </w:r>
      </w:hyperlink>
    </w:p>
    <w:p w14:paraId="5CD8DFC8" w14:textId="77777777" w:rsidR="00BA49F5" w:rsidRDefault="00BA49F5">
      <w:pPr>
        <w:jc w:val="both"/>
      </w:pPr>
    </w:p>
    <w:p w14:paraId="5CD8DFC9" w14:textId="77777777" w:rsidR="00BA49F5" w:rsidRDefault="007E5E49">
      <w:pPr>
        <w:ind w:hanging="360"/>
        <w:jc w:val="both"/>
      </w:pPr>
      <w:r>
        <w:rPr>
          <w:rFonts w:ascii="Times New Roman" w:eastAsia="宋体" w:hAnsi="Times New Roman"/>
          <w:color w:val="000000"/>
          <w:sz w:val="20"/>
          <w:szCs w:val="20"/>
        </w:rPr>
        <w:t xml:space="preserve">•the impact of government </w:t>
      </w:r>
      <w:r>
        <w:rPr>
          <w:rFonts w:ascii="Times New Roman" w:eastAsia="宋体" w:hAnsi="Times New Roman"/>
          <w:color w:val="000000"/>
          <w:sz w:val="20"/>
          <w:szCs w:val="20"/>
        </w:rPr>
        <w:t>investigations, enforcement actions, and settlements, including litigation and investigations by privacy and competition authorities;</w:t>
      </w:r>
    </w:p>
    <w:p w14:paraId="5CD8DFCA" w14:textId="77777777" w:rsidR="00BA49F5" w:rsidRDefault="00BA49F5">
      <w:pPr>
        <w:jc w:val="both"/>
      </w:pPr>
    </w:p>
    <w:p w14:paraId="5CD8DFCB" w14:textId="77777777" w:rsidR="00BA49F5" w:rsidRDefault="007E5E49">
      <w:pPr>
        <w:ind w:hanging="360"/>
        <w:jc w:val="both"/>
      </w:pPr>
      <w:r>
        <w:rPr>
          <w:rFonts w:ascii="Times New Roman" w:eastAsia="宋体" w:hAnsi="Times New Roman"/>
          <w:color w:val="000000"/>
          <w:sz w:val="20"/>
          <w:szCs w:val="20"/>
        </w:rPr>
        <w:t>•our ability to comply with regulatory and legislative privacy requirements, including our consent order with the Federal</w:t>
      </w:r>
      <w:r>
        <w:rPr>
          <w:rFonts w:ascii="Times New Roman" w:eastAsia="宋体" w:hAnsi="Times New Roman"/>
          <w:color w:val="000000"/>
          <w:sz w:val="20"/>
          <w:szCs w:val="20"/>
        </w:rPr>
        <w:t xml:space="preserve"> Trade Commission (FTC); </w:t>
      </w:r>
    </w:p>
    <w:p w14:paraId="5CD8DFCC" w14:textId="77777777" w:rsidR="00BA49F5" w:rsidRDefault="00BA49F5">
      <w:pPr>
        <w:jc w:val="both"/>
      </w:pPr>
    </w:p>
    <w:p w14:paraId="5CD8DFCD" w14:textId="77777777" w:rsidR="00BA49F5" w:rsidRDefault="007E5E49">
      <w:r>
        <w:rPr>
          <w:rFonts w:ascii="Times New Roman" w:eastAsia="宋体" w:hAnsi="Times New Roman"/>
          <w:b/>
          <w:bCs/>
          <w:i/>
          <w:iCs/>
          <w:color w:val="000000"/>
          <w:sz w:val="20"/>
          <w:szCs w:val="20"/>
        </w:rPr>
        <w:t>Risks Related to Data, Security, and Intellectual Property</w:t>
      </w:r>
    </w:p>
    <w:p w14:paraId="5CD8DFCE" w14:textId="77777777" w:rsidR="00BA49F5" w:rsidRDefault="00BA49F5"/>
    <w:p w14:paraId="5CD8DFCF" w14:textId="77777777" w:rsidR="00BA49F5" w:rsidRDefault="007E5E49">
      <w:pPr>
        <w:ind w:hanging="360"/>
        <w:jc w:val="both"/>
      </w:pPr>
      <w:r>
        <w:rPr>
          <w:rFonts w:ascii="Times New Roman" w:eastAsia="宋体" w:hAnsi="Times New Roman"/>
          <w:color w:val="000000"/>
          <w:sz w:val="20"/>
          <w:szCs w:val="20"/>
        </w:rPr>
        <w:t xml:space="preserve">•the occurrence of security breaches, improper access to or disclosure of our data or user data, and other cyber incidents or undesirable activity on our </w:t>
      </w:r>
      <w:r>
        <w:rPr>
          <w:rFonts w:ascii="Times New Roman" w:eastAsia="宋体" w:hAnsi="Times New Roman"/>
          <w:color w:val="000000"/>
          <w:sz w:val="20"/>
          <w:szCs w:val="20"/>
        </w:rPr>
        <w:t>platform;</w:t>
      </w:r>
    </w:p>
    <w:p w14:paraId="5CD8DFD0" w14:textId="77777777" w:rsidR="00BA49F5" w:rsidRDefault="00BA49F5">
      <w:pPr>
        <w:jc w:val="both"/>
      </w:pPr>
    </w:p>
    <w:p w14:paraId="5CD8DFD1" w14:textId="77777777" w:rsidR="00BA49F5" w:rsidRDefault="007E5E49">
      <w:pPr>
        <w:ind w:hanging="360"/>
        <w:jc w:val="both"/>
      </w:pPr>
      <w:r>
        <w:rPr>
          <w:rFonts w:ascii="Times New Roman" w:eastAsia="宋体" w:hAnsi="Times New Roman"/>
          <w:color w:val="000000"/>
          <w:sz w:val="20"/>
          <w:szCs w:val="20"/>
        </w:rPr>
        <w:t>•our ability to obtain, maintain, protect, and enforce our intellectual property rights; and</w:t>
      </w:r>
    </w:p>
    <w:p w14:paraId="5CD8DFD2" w14:textId="77777777" w:rsidR="00BA49F5" w:rsidRDefault="00BA49F5">
      <w:pPr>
        <w:jc w:val="both"/>
      </w:pPr>
    </w:p>
    <w:p w14:paraId="5CD8DFD3" w14:textId="77777777" w:rsidR="00BA49F5" w:rsidRDefault="007E5E49">
      <w:r>
        <w:rPr>
          <w:rFonts w:ascii="Times New Roman" w:eastAsia="宋体" w:hAnsi="Times New Roman"/>
          <w:b/>
          <w:bCs/>
          <w:i/>
          <w:iCs/>
          <w:color w:val="000000"/>
          <w:sz w:val="20"/>
          <w:szCs w:val="20"/>
        </w:rPr>
        <w:t>Risks Related to Ownership of Our Class A Common Stock</w:t>
      </w:r>
    </w:p>
    <w:p w14:paraId="5CD8DFD4" w14:textId="77777777" w:rsidR="00BA49F5" w:rsidRDefault="00BA49F5">
      <w:pPr>
        <w:jc w:val="both"/>
      </w:pPr>
    </w:p>
    <w:p w14:paraId="5CD8DFD5" w14:textId="77777777" w:rsidR="00BA49F5" w:rsidRDefault="007E5E49">
      <w:pPr>
        <w:ind w:hanging="360"/>
        <w:jc w:val="both"/>
      </w:pPr>
      <w:r>
        <w:rPr>
          <w:rFonts w:ascii="Times New Roman" w:eastAsia="宋体" w:hAnsi="Times New Roman"/>
          <w:color w:val="000000"/>
          <w:sz w:val="20"/>
          <w:szCs w:val="20"/>
        </w:rPr>
        <w:t>•limitations on the ability of holders of our Class A Common Stock to influence corporate matte</w:t>
      </w:r>
      <w:r>
        <w:rPr>
          <w:rFonts w:ascii="Times New Roman" w:eastAsia="宋体" w:hAnsi="Times New Roman"/>
          <w:color w:val="000000"/>
          <w:sz w:val="20"/>
          <w:szCs w:val="20"/>
        </w:rPr>
        <w:t>rs due to the dual class structure of our common stock and the control of a majority of the voting power of our outstanding capital stock by our founder, Chairman, and CEO.</w:t>
      </w:r>
    </w:p>
    <w:p w14:paraId="5CD8DFD6" w14:textId="77777777" w:rsidR="00BA49F5" w:rsidRDefault="00BA49F5">
      <w:pPr>
        <w:jc w:val="both"/>
      </w:pPr>
    </w:p>
    <w:p w14:paraId="5CD8DFD7" w14:textId="77777777" w:rsidR="00BA49F5" w:rsidRDefault="007E5E49">
      <w:pPr>
        <w:jc w:val="center"/>
      </w:pPr>
      <w:r>
        <w:rPr>
          <w:rFonts w:ascii="Times New Roman" w:eastAsia="宋体" w:hAnsi="Times New Roman"/>
          <w:b/>
          <w:bCs/>
          <w:color w:val="000000"/>
          <w:sz w:val="20"/>
          <w:szCs w:val="20"/>
        </w:rPr>
        <w:t>Risks Related to Our Product Offerings</w:t>
      </w:r>
    </w:p>
    <w:p w14:paraId="5CD8DFD8" w14:textId="77777777" w:rsidR="00BA49F5" w:rsidRDefault="00BA49F5">
      <w:pPr>
        <w:jc w:val="both"/>
      </w:pPr>
    </w:p>
    <w:p w14:paraId="5CD8DFD9" w14:textId="77777777" w:rsidR="00BA49F5" w:rsidRDefault="007E5E49">
      <w:pPr>
        <w:jc w:val="both"/>
      </w:pPr>
      <w:r>
        <w:rPr>
          <w:rFonts w:ascii="Times New Roman" w:eastAsia="宋体" w:hAnsi="Times New Roman"/>
          <w:b/>
          <w:bCs/>
          <w:i/>
          <w:iCs/>
          <w:color w:val="000000"/>
          <w:sz w:val="20"/>
          <w:szCs w:val="20"/>
        </w:rPr>
        <w:t>If we fail to retain existing users or add</w:t>
      </w:r>
      <w:r>
        <w:rPr>
          <w:rFonts w:ascii="Times New Roman" w:eastAsia="宋体" w:hAnsi="Times New Roman"/>
          <w:b/>
          <w:bCs/>
          <w:i/>
          <w:iCs/>
          <w:color w:val="000000"/>
          <w:sz w:val="20"/>
          <w:szCs w:val="20"/>
        </w:rPr>
        <w:t xml:space="preserve"> new users, or if our users decrease their level of engagement with our products, our revenue, financial results, and business may be significantly harmed.</w:t>
      </w:r>
    </w:p>
    <w:p w14:paraId="5CD8DFDA" w14:textId="77777777" w:rsidR="00BA49F5" w:rsidRDefault="00BA49F5">
      <w:pPr>
        <w:ind w:firstLine="540"/>
        <w:jc w:val="both"/>
      </w:pPr>
    </w:p>
    <w:p w14:paraId="5CD8DFDB" w14:textId="77777777" w:rsidR="00BA49F5" w:rsidRDefault="007E5E49">
      <w:pPr>
        <w:ind w:firstLine="540"/>
        <w:jc w:val="both"/>
      </w:pPr>
      <w:r>
        <w:rPr>
          <w:rFonts w:ascii="Times New Roman" w:eastAsia="宋体" w:hAnsi="Times New Roman"/>
          <w:color w:val="000000"/>
          <w:sz w:val="20"/>
          <w:szCs w:val="20"/>
        </w:rPr>
        <w:t>The size of our user base and our users' level of engagement across our products are critical to ou</w:t>
      </w:r>
      <w:r>
        <w:rPr>
          <w:rFonts w:ascii="Times New Roman" w:eastAsia="宋体" w:hAnsi="Times New Roman"/>
          <w:color w:val="000000"/>
          <w:sz w:val="20"/>
          <w:szCs w:val="20"/>
        </w:rPr>
        <w:t>r success. Our financial performance has been and will continue to be significantly determined by our success in adding, retaining, and engaging active users of our products that deliver ad impressions, particularly for Facebook and Instagram. We have expe</w:t>
      </w:r>
      <w:r>
        <w:rPr>
          <w:rFonts w:ascii="Times New Roman" w:eastAsia="宋体" w:hAnsi="Times New Roman"/>
          <w:color w:val="000000"/>
          <w:sz w:val="20"/>
          <w:szCs w:val="20"/>
        </w:rPr>
        <w:t>rienced, and expect to continue to experience, fluctuations and declines in the size of our active user base in one or more markets from time to time, particularly in markets where we have achieved higher penetration rates. User growth and engagement are a</w:t>
      </w:r>
      <w:r>
        <w:rPr>
          <w:rFonts w:ascii="Times New Roman" w:eastAsia="宋体" w:hAnsi="Times New Roman"/>
          <w:color w:val="000000"/>
          <w:sz w:val="20"/>
          <w:szCs w:val="20"/>
        </w:rPr>
        <w:t>lso impacted by a number of other factors, including competitive products and services, such as TikTok, that have reduced some users' engagement with our products and services, as well as global and regional business, macroeconomic, and geopolitical condit</w:t>
      </w:r>
      <w:r>
        <w:rPr>
          <w:rFonts w:ascii="Times New Roman" w:eastAsia="宋体" w:hAnsi="Times New Roman"/>
          <w:color w:val="000000"/>
          <w:sz w:val="20"/>
          <w:szCs w:val="20"/>
        </w:rPr>
        <w:t>ions. For example, the COVID-19 pandemic has led to increases and decreases in the size and engagement of our active user base from period to period at different points during the pandemic, and may continue to have a varied impact on the size and engagemen</w:t>
      </w:r>
      <w:r>
        <w:rPr>
          <w:rFonts w:ascii="Times New Roman" w:eastAsia="宋体" w:hAnsi="Times New Roman"/>
          <w:color w:val="000000"/>
          <w:sz w:val="20"/>
          <w:szCs w:val="20"/>
        </w:rPr>
        <w:t>t of our active user base in the future. In addition, in connection with the war in Ukraine, access to Facebook and Instagram was restricted in Russia and these services were then prohibited by the Russian government, which contributed to slight declines o</w:t>
      </w:r>
      <w:r>
        <w:rPr>
          <w:rFonts w:ascii="Times New Roman" w:eastAsia="宋体" w:hAnsi="Times New Roman"/>
          <w:color w:val="000000"/>
          <w:sz w:val="20"/>
          <w:szCs w:val="20"/>
        </w:rPr>
        <w:t>n a quarter-over-quarter basis in the number of DAUs and MAUs on Facebook in Europe in the first quarter and the second quarter of 2022, as well as a slight decline on a quarter-over-quarter basis in the total number of MAUs on Facebook in the second quart</w:t>
      </w:r>
      <w:r>
        <w:rPr>
          <w:rFonts w:ascii="Times New Roman" w:eastAsia="宋体" w:hAnsi="Times New Roman"/>
          <w:color w:val="000000"/>
          <w:sz w:val="20"/>
          <w:szCs w:val="20"/>
        </w:rPr>
        <w:t>er of 2022. Any future declines in the size of our active user base may adversely impact our ability to deliver ad impressions and, in turn, our financial performance.</w:t>
      </w:r>
    </w:p>
    <w:p w14:paraId="5CD8DFDC" w14:textId="77777777" w:rsidR="00BA49F5" w:rsidRDefault="00BA49F5">
      <w:pPr>
        <w:ind w:firstLine="540"/>
        <w:jc w:val="both"/>
      </w:pPr>
    </w:p>
    <w:p w14:paraId="5CD8DFDD" w14:textId="77777777" w:rsidR="00BA49F5" w:rsidRDefault="007E5E49">
      <w:pPr>
        <w:ind w:firstLine="540"/>
        <w:jc w:val="both"/>
      </w:pPr>
      <w:r>
        <w:rPr>
          <w:rFonts w:ascii="Times New Roman" w:eastAsia="宋体" w:hAnsi="Times New Roman"/>
          <w:color w:val="000000"/>
          <w:sz w:val="20"/>
          <w:szCs w:val="20"/>
        </w:rPr>
        <w:t xml:space="preserve">If people do not perceive our products to be useful, reliable, and </w:t>
      </w:r>
      <w:r>
        <w:rPr>
          <w:rFonts w:ascii="Times New Roman" w:eastAsia="宋体" w:hAnsi="Times New Roman"/>
          <w:color w:val="000000"/>
          <w:sz w:val="20"/>
          <w:szCs w:val="20"/>
        </w:rPr>
        <w:t>trustworthy, we may not be able to attract or retain users or otherwise maintain or increase the frequency and duration of their engagement. A number of other social networking companies that achieved early popularity have since seen their active user base</w:t>
      </w:r>
      <w:r>
        <w:rPr>
          <w:rFonts w:ascii="Times New Roman" w:eastAsia="宋体" w:hAnsi="Times New Roman"/>
          <w:color w:val="000000"/>
          <w:sz w:val="20"/>
          <w:szCs w:val="20"/>
        </w:rPr>
        <w:t>s or levels of engagement decline, in some cases precipitously. There is no guarantee that we will not experience a similar erosion of our active user base or engagement levels. Our user engagement patterns have changed over time, and user engagement can b</w:t>
      </w:r>
      <w:r>
        <w:rPr>
          <w:rFonts w:ascii="Times New Roman" w:eastAsia="宋体" w:hAnsi="Times New Roman"/>
          <w:color w:val="000000"/>
          <w:sz w:val="20"/>
          <w:szCs w:val="20"/>
        </w:rPr>
        <w:t>e difficult to measure, particularly as we introduce new and different products and services. Any number of factors can negatively affect user retention, growth, and engagement, including if:</w:t>
      </w:r>
    </w:p>
    <w:p w14:paraId="5CD8DFDE" w14:textId="77777777" w:rsidR="00BA49F5" w:rsidRDefault="00BA49F5">
      <w:pPr>
        <w:ind w:firstLine="540"/>
        <w:jc w:val="both"/>
      </w:pPr>
    </w:p>
    <w:p w14:paraId="5CD8DFDF" w14:textId="77777777" w:rsidR="00BA49F5" w:rsidRDefault="007E5E49">
      <w:pPr>
        <w:ind w:hanging="360"/>
        <w:jc w:val="both"/>
      </w:pPr>
      <w:r>
        <w:rPr>
          <w:rFonts w:ascii="Times New Roman" w:eastAsia="宋体" w:hAnsi="Times New Roman"/>
          <w:color w:val="000000"/>
          <w:sz w:val="20"/>
          <w:szCs w:val="20"/>
        </w:rPr>
        <w:t>•users increasingly engage with other competitive products or s</w:t>
      </w:r>
      <w:r>
        <w:rPr>
          <w:rFonts w:ascii="Times New Roman" w:eastAsia="宋体" w:hAnsi="Times New Roman"/>
          <w:color w:val="000000"/>
          <w:sz w:val="20"/>
          <w:szCs w:val="20"/>
        </w:rPr>
        <w:t>ervices;</w:t>
      </w:r>
    </w:p>
    <w:p w14:paraId="5CD8DFE0" w14:textId="77777777" w:rsidR="00BA49F5" w:rsidRDefault="00BA49F5">
      <w:pPr>
        <w:ind w:hanging="360"/>
        <w:jc w:val="both"/>
      </w:pPr>
    </w:p>
    <w:p w14:paraId="5CD8DFE1" w14:textId="77777777" w:rsidR="00BA49F5" w:rsidRDefault="007E5E49">
      <w:pPr>
        <w:ind w:hanging="360"/>
        <w:jc w:val="both"/>
      </w:pPr>
      <w:r>
        <w:rPr>
          <w:rFonts w:ascii="Times New Roman" w:eastAsia="宋体" w:hAnsi="Times New Roman"/>
          <w:color w:val="000000"/>
          <w:sz w:val="20"/>
          <w:szCs w:val="20"/>
        </w:rPr>
        <w:t>•we fail to introduce new features, products, or services that users find engaging or if we introduce new products or services, or make changes to existing products and services, that are not favorably received;</w:t>
      </w:r>
    </w:p>
    <w:p w14:paraId="5CD8DFE2" w14:textId="77777777" w:rsidR="00BA49F5" w:rsidRDefault="00BA49F5">
      <w:pPr>
        <w:ind w:hanging="360"/>
        <w:jc w:val="both"/>
      </w:pPr>
    </w:p>
    <w:p w14:paraId="5CD8DFE3" w14:textId="77777777" w:rsidR="00BA49F5" w:rsidRDefault="007E5E49">
      <w:pPr>
        <w:ind w:hanging="360"/>
        <w:jc w:val="both"/>
      </w:pPr>
      <w:r>
        <w:rPr>
          <w:rFonts w:ascii="Times New Roman" w:eastAsia="宋体" w:hAnsi="Times New Roman"/>
          <w:color w:val="000000"/>
          <w:sz w:val="20"/>
          <w:szCs w:val="20"/>
        </w:rPr>
        <w:t>•users feel that their experience</w:t>
      </w:r>
      <w:r>
        <w:rPr>
          <w:rFonts w:ascii="Times New Roman" w:eastAsia="宋体" w:hAnsi="Times New Roman"/>
          <w:color w:val="000000"/>
          <w:sz w:val="20"/>
          <w:szCs w:val="20"/>
        </w:rPr>
        <w:t xml:space="preserve"> is diminished as a result of the decisions we make with respect to the frequency, prominence, format, size, and quality of ads that we display;</w:t>
      </w:r>
    </w:p>
    <w:p w14:paraId="5CD8DFE4" w14:textId="77777777" w:rsidR="00BA49F5" w:rsidRDefault="007E5E49">
      <w:pPr>
        <w:jc w:val="center"/>
      </w:pPr>
      <w:r>
        <w:rPr>
          <w:rFonts w:ascii="Times New Roman" w:eastAsia="宋体" w:hAnsi="Times New Roman"/>
          <w:color w:val="000000"/>
          <w:sz w:val="20"/>
          <w:szCs w:val="20"/>
        </w:rPr>
        <w:t>15</w:t>
      </w:r>
    </w:p>
    <w:p w14:paraId="5CD8DFE5" w14:textId="77777777" w:rsidR="00BA49F5" w:rsidRDefault="007E5E49">
      <w:r>
        <w:pict w14:anchorId="5CD90CDA">
          <v:rect id="_x0000_i1039" style="width:415.3pt;height:1.5pt" o:hralign="center" o:hrstd="t" o:hr="t" fillcolor="#a0a0a0" stroked="f"/>
        </w:pict>
      </w:r>
    </w:p>
    <w:p w14:paraId="5CD8DFE6" w14:textId="77777777" w:rsidR="00BA49F5" w:rsidRDefault="00BA49F5"/>
    <w:p w14:paraId="5CD8DFE7" w14:textId="77777777" w:rsidR="00BA49F5" w:rsidRDefault="00BA49F5"/>
    <w:p w14:paraId="5CD8DFE8" w14:textId="77777777" w:rsidR="00BA49F5" w:rsidRDefault="007E5E49">
      <w:hyperlink r:id="rId110" w:anchor="i6df229dad1864210ab76200083e26819_7" w:history="1">
        <w:r>
          <w:rPr>
            <w:rStyle w:val="a5"/>
            <w:rFonts w:ascii="Times New Roman" w:eastAsia="宋体" w:hAnsi="Times New Roman"/>
            <w:sz w:val="20"/>
            <w:szCs w:val="20"/>
          </w:rPr>
          <w:t>T</w:t>
        </w:r>
      </w:hyperlink>
      <w:hyperlink r:id="rId111" w:anchor="i6df229dad1864210ab76200083e26819_7" w:history="1">
        <w:r>
          <w:rPr>
            <w:rStyle w:val="a5"/>
            <w:rFonts w:ascii="Times New Roman" w:eastAsia="宋体" w:hAnsi="Times New Roman"/>
            <w:sz w:val="20"/>
            <w:szCs w:val="20"/>
          </w:rPr>
          <w:t>able of Contents</w:t>
        </w:r>
      </w:hyperlink>
    </w:p>
    <w:p w14:paraId="5CD8DFE9" w14:textId="77777777" w:rsidR="00BA49F5" w:rsidRDefault="00BA49F5">
      <w:pPr>
        <w:ind w:hanging="360"/>
        <w:jc w:val="both"/>
      </w:pPr>
    </w:p>
    <w:p w14:paraId="5CD8DFEA" w14:textId="77777777" w:rsidR="00BA49F5" w:rsidRDefault="007E5E49">
      <w:pPr>
        <w:ind w:hanging="360"/>
        <w:jc w:val="both"/>
      </w:pPr>
      <w:r>
        <w:rPr>
          <w:rFonts w:ascii="Times New Roman" w:eastAsia="宋体" w:hAnsi="Times New Roman"/>
          <w:color w:val="000000"/>
          <w:sz w:val="20"/>
          <w:szCs w:val="20"/>
        </w:rPr>
        <w:t xml:space="preserve">•users have difficulty installing, </w:t>
      </w:r>
      <w:r>
        <w:rPr>
          <w:rFonts w:ascii="Times New Roman" w:eastAsia="宋体" w:hAnsi="Times New Roman"/>
          <w:color w:val="000000"/>
          <w:sz w:val="20"/>
          <w:szCs w:val="20"/>
        </w:rPr>
        <w:t>updating, or otherwise accessing our products on mobile devices as a result of actions by us or third parties that we rely on to distribute our products and deliver our services;</w:t>
      </w:r>
    </w:p>
    <w:p w14:paraId="5CD8DFEB" w14:textId="77777777" w:rsidR="00BA49F5" w:rsidRDefault="00BA49F5">
      <w:pPr>
        <w:ind w:hanging="360"/>
        <w:jc w:val="both"/>
      </w:pPr>
    </w:p>
    <w:p w14:paraId="5CD8DFEC" w14:textId="77777777" w:rsidR="00BA49F5" w:rsidRDefault="007E5E49">
      <w:pPr>
        <w:ind w:hanging="360"/>
        <w:jc w:val="both"/>
      </w:pPr>
      <w:r>
        <w:rPr>
          <w:rFonts w:ascii="Times New Roman" w:eastAsia="宋体" w:hAnsi="Times New Roman"/>
          <w:color w:val="000000"/>
          <w:sz w:val="20"/>
          <w:szCs w:val="20"/>
        </w:rPr>
        <w:t>•user behavior on any of our products changes, including decreases in the qu</w:t>
      </w:r>
      <w:r>
        <w:rPr>
          <w:rFonts w:ascii="Times New Roman" w:eastAsia="宋体" w:hAnsi="Times New Roman"/>
          <w:color w:val="000000"/>
          <w:sz w:val="20"/>
          <w:szCs w:val="20"/>
        </w:rPr>
        <w:t>ality and frequency of content shared on our products and services;</w:t>
      </w:r>
    </w:p>
    <w:p w14:paraId="5CD8DFED" w14:textId="77777777" w:rsidR="00BA49F5" w:rsidRDefault="00BA49F5">
      <w:pPr>
        <w:ind w:hanging="360"/>
        <w:jc w:val="both"/>
      </w:pPr>
    </w:p>
    <w:p w14:paraId="5CD8DFEE" w14:textId="77777777" w:rsidR="00BA49F5" w:rsidRDefault="007E5E49">
      <w:pPr>
        <w:ind w:hanging="360"/>
        <w:jc w:val="both"/>
      </w:pPr>
      <w:r>
        <w:rPr>
          <w:rFonts w:ascii="Times New Roman" w:eastAsia="宋体" w:hAnsi="Times New Roman"/>
          <w:color w:val="000000"/>
          <w:sz w:val="20"/>
          <w:szCs w:val="20"/>
        </w:rPr>
        <w:t>•we are unable to continue to develop products for mobile devices that users find engaging, that work with a variety of mobile operating systems and networks, and that achieve a high leve</w:t>
      </w:r>
      <w:r>
        <w:rPr>
          <w:rFonts w:ascii="Times New Roman" w:eastAsia="宋体" w:hAnsi="Times New Roman"/>
          <w:color w:val="000000"/>
          <w:sz w:val="20"/>
          <w:szCs w:val="20"/>
        </w:rPr>
        <w:t>l of market acceptance;</w:t>
      </w:r>
    </w:p>
    <w:p w14:paraId="5CD8DFEF" w14:textId="77777777" w:rsidR="00BA49F5" w:rsidRDefault="00BA49F5">
      <w:pPr>
        <w:ind w:hanging="360"/>
        <w:jc w:val="both"/>
      </w:pPr>
    </w:p>
    <w:p w14:paraId="5CD8DFF0" w14:textId="77777777" w:rsidR="00BA49F5" w:rsidRDefault="007E5E49">
      <w:pPr>
        <w:ind w:hanging="360"/>
        <w:jc w:val="both"/>
      </w:pPr>
      <w:r>
        <w:rPr>
          <w:rFonts w:ascii="Times New Roman" w:eastAsia="宋体" w:hAnsi="Times New Roman"/>
          <w:color w:val="000000"/>
          <w:sz w:val="20"/>
          <w:szCs w:val="20"/>
        </w:rPr>
        <w:t>•there are decreases in user sentiment due to questions about the quality or usefulness of our products or our user data practices, concerns about the nature of content made available on our products, or concerns related to privacy</w:t>
      </w:r>
      <w:r>
        <w:rPr>
          <w:rFonts w:ascii="Times New Roman" w:eastAsia="宋体" w:hAnsi="Times New Roman"/>
          <w:color w:val="000000"/>
          <w:sz w:val="20"/>
          <w:szCs w:val="20"/>
        </w:rPr>
        <w:t>, safety, security, well-being, or other factors;</w:t>
      </w:r>
    </w:p>
    <w:p w14:paraId="5CD8DFF1" w14:textId="77777777" w:rsidR="00BA49F5" w:rsidRDefault="00BA49F5">
      <w:pPr>
        <w:ind w:hanging="360"/>
        <w:jc w:val="both"/>
      </w:pPr>
    </w:p>
    <w:p w14:paraId="5CD8DFF2" w14:textId="77777777" w:rsidR="00BA49F5" w:rsidRDefault="007E5E49">
      <w:pPr>
        <w:ind w:hanging="360"/>
        <w:jc w:val="both"/>
      </w:pPr>
      <w:r>
        <w:rPr>
          <w:rFonts w:ascii="Times New Roman" w:eastAsia="宋体" w:hAnsi="Times New Roman"/>
          <w:color w:val="000000"/>
          <w:sz w:val="20"/>
          <w:szCs w:val="20"/>
        </w:rPr>
        <w:t>•we are unable to manage and prioritize information to ensure users are presented with content that is appropriate, interesting, useful, and relevant to them;</w:t>
      </w:r>
    </w:p>
    <w:p w14:paraId="5CD8DFF3" w14:textId="77777777" w:rsidR="00BA49F5" w:rsidRDefault="00BA49F5">
      <w:pPr>
        <w:ind w:hanging="360"/>
        <w:jc w:val="both"/>
      </w:pPr>
    </w:p>
    <w:p w14:paraId="5CD8DFF4" w14:textId="77777777" w:rsidR="00BA49F5" w:rsidRDefault="007E5E49">
      <w:pPr>
        <w:ind w:hanging="360"/>
        <w:jc w:val="both"/>
      </w:pPr>
      <w:r>
        <w:rPr>
          <w:rFonts w:ascii="Times New Roman" w:eastAsia="宋体" w:hAnsi="Times New Roman"/>
          <w:color w:val="000000"/>
          <w:sz w:val="20"/>
          <w:szCs w:val="20"/>
        </w:rPr>
        <w:t xml:space="preserve">•we are unable to obtain or attract engaging </w:t>
      </w:r>
      <w:r>
        <w:rPr>
          <w:rFonts w:ascii="Times New Roman" w:eastAsia="宋体" w:hAnsi="Times New Roman"/>
          <w:color w:val="000000"/>
          <w:sz w:val="20"/>
          <w:szCs w:val="20"/>
        </w:rPr>
        <w:t>third-party content;</w:t>
      </w:r>
    </w:p>
    <w:p w14:paraId="5CD8DFF5" w14:textId="77777777" w:rsidR="00BA49F5" w:rsidRDefault="00BA49F5">
      <w:pPr>
        <w:ind w:hanging="360"/>
        <w:jc w:val="both"/>
      </w:pPr>
    </w:p>
    <w:p w14:paraId="5CD8DFF6" w14:textId="77777777" w:rsidR="00BA49F5" w:rsidRDefault="007E5E49">
      <w:pPr>
        <w:ind w:hanging="360"/>
        <w:jc w:val="both"/>
      </w:pPr>
      <w:r>
        <w:rPr>
          <w:rFonts w:ascii="Times New Roman" w:eastAsia="宋体" w:hAnsi="Times New Roman"/>
          <w:color w:val="000000"/>
          <w:sz w:val="20"/>
          <w:szCs w:val="20"/>
        </w:rPr>
        <w:t>•we are unable to successfully maintain or grow usage of and engagement with applications that integrate with our products;</w:t>
      </w:r>
    </w:p>
    <w:p w14:paraId="5CD8DFF7" w14:textId="77777777" w:rsidR="00BA49F5" w:rsidRDefault="00BA49F5">
      <w:pPr>
        <w:ind w:hanging="360"/>
        <w:jc w:val="both"/>
      </w:pPr>
    </w:p>
    <w:p w14:paraId="5CD8DFF8" w14:textId="77777777" w:rsidR="00BA49F5" w:rsidRDefault="007E5E49">
      <w:pPr>
        <w:ind w:hanging="360"/>
        <w:jc w:val="both"/>
      </w:pPr>
      <w:r>
        <w:rPr>
          <w:rFonts w:ascii="Times New Roman" w:eastAsia="宋体" w:hAnsi="Times New Roman"/>
          <w:color w:val="000000"/>
          <w:sz w:val="20"/>
          <w:szCs w:val="20"/>
        </w:rPr>
        <w:t xml:space="preserve">•users adopt new technologies where our products may be displaced in favor of other products or </w:t>
      </w:r>
      <w:r>
        <w:rPr>
          <w:rFonts w:ascii="Times New Roman" w:eastAsia="宋体" w:hAnsi="Times New Roman"/>
          <w:color w:val="000000"/>
          <w:sz w:val="20"/>
          <w:szCs w:val="20"/>
        </w:rPr>
        <w:t>services, or may not be featured or otherwise available;</w:t>
      </w:r>
    </w:p>
    <w:p w14:paraId="5CD8DFF9" w14:textId="77777777" w:rsidR="00BA49F5" w:rsidRDefault="00BA49F5">
      <w:pPr>
        <w:ind w:hanging="360"/>
        <w:jc w:val="both"/>
      </w:pPr>
    </w:p>
    <w:p w14:paraId="5CD8DFFA" w14:textId="77777777" w:rsidR="00BA49F5" w:rsidRDefault="007E5E49">
      <w:pPr>
        <w:ind w:hanging="360"/>
        <w:jc w:val="both"/>
      </w:pPr>
      <w:r>
        <w:rPr>
          <w:rFonts w:ascii="Times New Roman" w:eastAsia="宋体" w:hAnsi="Times New Roman"/>
          <w:color w:val="000000"/>
          <w:sz w:val="20"/>
          <w:szCs w:val="20"/>
        </w:rPr>
        <w:t>•there are changes mandated by legislation, government and regulatory authorities, or litigation that adversely affect our products or users;</w:t>
      </w:r>
    </w:p>
    <w:p w14:paraId="5CD8DFFB" w14:textId="77777777" w:rsidR="00BA49F5" w:rsidRDefault="00BA49F5">
      <w:pPr>
        <w:ind w:hanging="360"/>
        <w:jc w:val="both"/>
      </w:pPr>
    </w:p>
    <w:p w14:paraId="5CD8DFFC" w14:textId="77777777" w:rsidR="00BA49F5" w:rsidRDefault="007E5E49">
      <w:pPr>
        <w:ind w:hanging="360"/>
        <w:jc w:val="both"/>
      </w:pPr>
      <w:r>
        <w:rPr>
          <w:rFonts w:ascii="Times New Roman" w:eastAsia="宋体" w:hAnsi="Times New Roman"/>
          <w:color w:val="000000"/>
          <w:sz w:val="20"/>
          <w:szCs w:val="20"/>
        </w:rPr>
        <w:t>•we are unable to offer a number of our most significan</w:t>
      </w:r>
      <w:r>
        <w:rPr>
          <w:rFonts w:ascii="Times New Roman" w:eastAsia="宋体" w:hAnsi="Times New Roman"/>
          <w:color w:val="000000"/>
          <w:sz w:val="20"/>
          <w:szCs w:val="20"/>
        </w:rPr>
        <w:t>t products and services, including Facebook and Instagram, in Europe, or are otherwise limited in our business operations, as a result of European regulators, courts, or legislative bodies determining that our reliance on Standard Contractual Clauses (SCCs</w:t>
      </w:r>
      <w:r>
        <w:rPr>
          <w:rFonts w:ascii="Times New Roman" w:eastAsia="宋体" w:hAnsi="Times New Roman"/>
          <w:color w:val="000000"/>
          <w:sz w:val="20"/>
          <w:szCs w:val="20"/>
        </w:rPr>
        <w:t>) or other legal bases we rely upon to transfer user data from the European Union to the United States is invalid;</w:t>
      </w:r>
    </w:p>
    <w:p w14:paraId="5CD8DFFD" w14:textId="77777777" w:rsidR="00BA49F5" w:rsidRDefault="00BA49F5">
      <w:pPr>
        <w:ind w:hanging="360"/>
        <w:jc w:val="both"/>
      </w:pPr>
    </w:p>
    <w:p w14:paraId="5CD8DFFE" w14:textId="77777777" w:rsidR="00BA49F5" w:rsidRDefault="007E5E49">
      <w:pPr>
        <w:ind w:hanging="360"/>
        <w:jc w:val="both"/>
      </w:pPr>
      <w:r>
        <w:rPr>
          <w:rFonts w:ascii="Times New Roman" w:eastAsia="宋体" w:hAnsi="Times New Roman"/>
          <w:color w:val="000000"/>
          <w:sz w:val="20"/>
          <w:szCs w:val="20"/>
        </w:rPr>
        <w:t>•there is decreased engagement with our products, or failure to accept our terms of service, as part of privacy-focused changes that we have</w:t>
      </w:r>
      <w:r>
        <w:rPr>
          <w:rFonts w:ascii="Times New Roman" w:eastAsia="宋体" w:hAnsi="Times New Roman"/>
          <w:color w:val="000000"/>
          <w:sz w:val="20"/>
          <w:szCs w:val="20"/>
        </w:rPr>
        <w:t xml:space="preserve"> implemented or may implement in the future, whether voluntarily, in connection with the General Data Protection Regulation (GDPR), the European Union's ePrivacy Directive, the California Privacy Rights Act (CPRA), or other laws, regulations, or regulatory</w:t>
      </w:r>
      <w:r>
        <w:rPr>
          <w:rFonts w:ascii="Times New Roman" w:eastAsia="宋体" w:hAnsi="Times New Roman"/>
          <w:color w:val="000000"/>
          <w:sz w:val="20"/>
          <w:szCs w:val="20"/>
        </w:rPr>
        <w:t xml:space="preserve"> actions, or otherwise;</w:t>
      </w:r>
    </w:p>
    <w:p w14:paraId="5CD8DFFF" w14:textId="77777777" w:rsidR="00BA49F5" w:rsidRDefault="00BA49F5">
      <w:pPr>
        <w:ind w:hanging="360"/>
        <w:jc w:val="both"/>
      </w:pPr>
    </w:p>
    <w:p w14:paraId="5CD8E000" w14:textId="77777777" w:rsidR="00BA49F5" w:rsidRDefault="007E5E49">
      <w:pPr>
        <w:ind w:hanging="360"/>
        <w:jc w:val="both"/>
      </w:pPr>
      <w:r>
        <w:rPr>
          <w:rFonts w:ascii="Times New Roman" w:eastAsia="宋体" w:hAnsi="Times New Roman"/>
          <w:color w:val="000000"/>
          <w:sz w:val="20"/>
          <w:szCs w:val="20"/>
        </w:rPr>
        <w:t>•technical or other problems prevent us from delivering our products in a rapid and reliable manner or otherwise affect the user experience, such as security breaches or failure to prevent or limit spam or similar content, or users</w:t>
      </w:r>
      <w:r>
        <w:rPr>
          <w:rFonts w:ascii="Times New Roman" w:eastAsia="宋体" w:hAnsi="Times New Roman"/>
          <w:color w:val="000000"/>
          <w:sz w:val="20"/>
          <w:szCs w:val="20"/>
        </w:rPr>
        <w:t xml:space="preserve"> feel their experience is diminished as a result of our efforts to protect the security and integrity of our platform; </w:t>
      </w:r>
    </w:p>
    <w:p w14:paraId="5CD8E001" w14:textId="77777777" w:rsidR="00BA49F5" w:rsidRDefault="00BA49F5">
      <w:pPr>
        <w:ind w:hanging="360"/>
        <w:jc w:val="both"/>
      </w:pPr>
    </w:p>
    <w:p w14:paraId="5CD8E002" w14:textId="77777777" w:rsidR="00BA49F5" w:rsidRDefault="007E5E49">
      <w:pPr>
        <w:ind w:hanging="360"/>
        <w:jc w:val="both"/>
      </w:pPr>
      <w:r>
        <w:rPr>
          <w:rFonts w:ascii="Times New Roman" w:eastAsia="宋体" w:hAnsi="Times New Roman"/>
          <w:color w:val="000000"/>
          <w:sz w:val="20"/>
          <w:szCs w:val="20"/>
        </w:rPr>
        <w:t>•we adopt terms, policies, or procedures related to areas such as sharing, content, user data, or advertising, or we take, or fail to t</w:t>
      </w:r>
      <w:r>
        <w:rPr>
          <w:rFonts w:ascii="Times New Roman" w:eastAsia="宋体" w:hAnsi="Times New Roman"/>
          <w:color w:val="000000"/>
          <w:sz w:val="20"/>
          <w:szCs w:val="20"/>
        </w:rPr>
        <w:t>ake, actions to enforce our policies, that are perceived negatively by our users or the general public, including as a result of decisions or recommendations from the independent Oversight Board regarding content on our platform;</w:t>
      </w:r>
    </w:p>
    <w:p w14:paraId="5CD8E003" w14:textId="77777777" w:rsidR="00BA49F5" w:rsidRDefault="00BA49F5">
      <w:pPr>
        <w:ind w:hanging="360"/>
        <w:jc w:val="both"/>
      </w:pPr>
    </w:p>
    <w:p w14:paraId="5CD8E004" w14:textId="77777777" w:rsidR="00BA49F5" w:rsidRDefault="007E5E49">
      <w:pPr>
        <w:ind w:hanging="360"/>
        <w:jc w:val="both"/>
      </w:pPr>
      <w:r>
        <w:rPr>
          <w:rFonts w:ascii="Times New Roman" w:eastAsia="宋体" w:hAnsi="Times New Roman"/>
          <w:color w:val="000000"/>
          <w:sz w:val="20"/>
          <w:szCs w:val="20"/>
        </w:rPr>
        <w:t>•we elect to focus our pr</w:t>
      </w:r>
      <w:r>
        <w:rPr>
          <w:rFonts w:ascii="Times New Roman" w:eastAsia="宋体" w:hAnsi="Times New Roman"/>
          <w:color w:val="000000"/>
          <w:sz w:val="20"/>
          <w:szCs w:val="20"/>
        </w:rPr>
        <w:t>oduct decisions on longer-term initiatives that do not prioritize near-term user growth and engagement (for example, we have announced plans to focus product decisions on optimizing the young adult experience in the long term);</w:t>
      </w:r>
    </w:p>
    <w:p w14:paraId="5CD8E005" w14:textId="77777777" w:rsidR="00BA49F5" w:rsidRDefault="00BA49F5">
      <w:pPr>
        <w:ind w:hanging="360"/>
        <w:jc w:val="both"/>
      </w:pPr>
    </w:p>
    <w:p w14:paraId="5CD8E006" w14:textId="77777777" w:rsidR="00BA49F5" w:rsidRDefault="007E5E49">
      <w:pPr>
        <w:ind w:hanging="360"/>
        <w:jc w:val="both"/>
      </w:pPr>
      <w:r>
        <w:rPr>
          <w:rFonts w:ascii="Times New Roman" w:eastAsia="宋体" w:hAnsi="Times New Roman"/>
          <w:color w:val="000000"/>
          <w:sz w:val="20"/>
          <w:szCs w:val="20"/>
        </w:rPr>
        <w:t>•we make changes in our use</w:t>
      </w:r>
      <w:r>
        <w:rPr>
          <w:rFonts w:ascii="Times New Roman" w:eastAsia="宋体" w:hAnsi="Times New Roman"/>
          <w:color w:val="000000"/>
          <w:sz w:val="20"/>
          <w:szCs w:val="20"/>
        </w:rPr>
        <w:t>r account login or registration processes or changes in how we promote different products and services across our family of products;</w:t>
      </w:r>
    </w:p>
    <w:p w14:paraId="5CD8E007" w14:textId="77777777" w:rsidR="00BA49F5" w:rsidRDefault="00BA49F5">
      <w:pPr>
        <w:ind w:hanging="360"/>
        <w:jc w:val="both"/>
      </w:pPr>
    </w:p>
    <w:p w14:paraId="5CD8E008" w14:textId="77777777" w:rsidR="00BA49F5" w:rsidRDefault="007E5E49">
      <w:pPr>
        <w:jc w:val="center"/>
      </w:pPr>
      <w:r>
        <w:rPr>
          <w:rFonts w:ascii="Times New Roman" w:eastAsia="宋体" w:hAnsi="Times New Roman"/>
          <w:color w:val="000000"/>
          <w:sz w:val="20"/>
          <w:szCs w:val="20"/>
        </w:rPr>
        <w:t>16</w:t>
      </w:r>
    </w:p>
    <w:p w14:paraId="5CD8E009" w14:textId="77777777" w:rsidR="00BA49F5" w:rsidRDefault="007E5E49">
      <w:r>
        <w:pict w14:anchorId="5CD90CDB">
          <v:rect id="_x0000_i1040" style="width:415.3pt;height:1.5pt" o:hralign="center" o:hrstd="t" o:hr="t" fillcolor="#a0a0a0" stroked="f"/>
        </w:pict>
      </w:r>
    </w:p>
    <w:p w14:paraId="5CD8E00A" w14:textId="77777777" w:rsidR="00BA49F5" w:rsidRDefault="00BA49F5"/>
    <w:p w14:paraId="5CD8E00B" w14:textId="77777777" w:rsidR="00BA49F5" w:rsidRDefault="00BA49F5"/>
    <w:p w14:paraId="5CD8E00C" w14:textId="77777777" w:rsidR="00BA49F5" w:rsidRDefault="007E5E49">
      <w:hyperlink r:id="rId112" w:anchor="i6df229dad1864210ab76200083e26819_7" w:history="1">
        <w:r>
          <w:rPr>
            <w:rStyle w:val="a5"/>
            <w:rFonts w:ascii="Times New Roman" w:eastAsia="宋体" w:hAnsi="Times New Roman"/>
            <w:sz w:val="20"/>
            <w:szCs w:val="20"/>
          </w:rPr>
          <w:t>T</w:t>
        </w:r>
      </w:hyperlink>
      <w:hyperlink r:id="rId113" w:anchor="i6df229dad1864210ab76200083e26819_7" w:history="1">
        <w:r>
          <w:rPr>
            <w:rStyle w:val="a5"/>
            <w:rFonts w:ascii="Times New Roman" w:eastAsia="宋体" w:hAnsi="Times New Roman"/>
            <w:sz w:val="20"/>
            <w:szCs w:val="20"/>
          </w:rPr>
          <w:t>able of Contents</w:t>
        </w:r>
      </w:hyperlink>
    </w:p>
    <w:p w14:paraId="5CD8E00D" w14:textId="77777777" w:rsidR="00BA49F5" w:rsidRDefault="007E5E49">
      <w:pPr>
        <w:ind w:hanging="360"/>
        <w:jc w:val="both"/>
      </w:pPr>
      <w:r>
        <w:rPr>
          <w:rFonts w:ascii="Times New Roman" w:eastAsia="宋体" w:hAnsi="Times New Roman"/>
          <w:color w:val="000000"/>
          <w:sz w:val="20"/>
          <w:szCs w:val="20"/>
        </w:rPr>
        <w:t>•initiatives designed to attract and retain us</w:t>
      </w:r>
      <w:r>
        <w:rPr>
          <w:rFonts w:ascii="Times New Roman" w:eastAsia="宋体" w:hAnsi="Times New Roman"/>
          <w:color w:val="000000"/>
          <w:sz w:val="20"/>
          <w:szCs w:val="20"/>
        </w:rPr>
        <w:t>ers and engagement, including the use of new technologies such as artificial intelligence, are unsuccessful or discontinued, whether as a result of actions by us, our competitors, or other third parties, or otherwise;</w:t>
      </w:r>
    </w:p>
    <w:p w14:paraId="5CD8E00E" w14:textId="77777777" w:rsidR="00BA49F5" w:rsidRDefault="00BA49F5">
      <w:pPr>
        <w:ind w:hanging="360"/>
        <w:jc w:val="both"/>
      </w:pPr>
    </w:p>
    <w:p w14:paraId="5CD8E00F" w14:textId="77777777" w:rsidR="00BA49F5" w:rsidRDefault="007E5E49">
      <w:pPr>
        <w:ind w:hanging="360"/>
        <w:jc w:val="both"/>
      </w:pPr>
      <w:r>
        <w:rPr>
          <w:rFonts w:ascii="Times New Roman" w:eastAsia="宋体" w:hAnsi="Times New Roman"/>
          <w:color w:val="000000"/>
          <w:sz w:val="20"/>
          <w:szCs w:val="20"/>
        </w:rPr>
        <w:t>•third-party initiatives that may ena</w:t>
      </w:r>
      <w:r>
        <w:rPr>
          <w:rFonts w:ascii="Times New Roman" w:eastAsia="宋体" w:hAnsi="Times New Roman"/>
          <w:color w:val="000000"/>
          <w:sz w:val="20"/>
          <w:szCs w:val="20"/>
        </w:rPr>
        <w:t>ble greater use of our products, including low-cost or discounted data plans, are scaled back or discontinued, or the pricing of data plans otherwise increases;</w:t>
      </w:r>
    </w:p>
    <w:p w14:paraId="5CD8E010" w14:textId="77777777" w:rsidR="00BA49F5" w:rsidRDefault="00BA49F5">
      <w:pPr>
        <w:ind w:hanging="360"/>
        <w:jc w:val="both"/>
      </w:pPr>
    </w:p>
    <w:p w14:paraId="5CD8E011" w14:textId="77777777" w:rsidR="00BA49F5" w:rsidRDefault="007E5E49">
      <w:pPr>
        <w:ind w:hanging="360"/>
        <w:jc w:val="both"/>
      </w:pPr>
      <w:r>
        <w:rPr>
          <w:rFonts w:ascii="Times New Roman" w:eastAsia="宋体" w:hAnsi="Times New Roman"/>
          <w:color w:val="000000"/>
          <w:sz w:val="20"/>
          <w:szCs w:val="20"/>
        </w:rPr>
        <w:t xml:space="preserve">•there is decreased engagement with our products as a result of taxes imposed on the use of </w:t>
      </w:r>
      <w:r>
        <w:rPr>
          <w:rFonts w:ascii="Times New Roman" w:eastAsia="宋体" w:hAnsi="Times New Roman"/>
          <w:color w:val="000000"/>
          <w:sz w:val="20"/>
          <w:szCs w:val="20"/>
        </w:rPr>
        <w:t>social media or other mobile applications in certain countries, internet shutdowns, or other actions by governments that affect the accessibility of our products in their countries (for example, beginning in the first quarter of 2022, our user growth and e</w:t>
      </w:r>
      <w:r>
        <w:rPr>
          <w:rFonts w:ascii="Times New Roman" w:eastAsia="宋体" w:hAnsi="Times New Roman"/>
          <w:color w:val="000000"/>
          <w:sz w:val="20"/>
          <w:szCs w:val="20"/>
        </w:rPr>
        <w:t>ngagement were adversely affected by the war in Ukraine and service restrictions imposed by the Russian government);</w:t>
      </w:r>
    </w:p>
    <w:p w14:paraId="5CD8E012" w14:textId="77777777" w:rsidR="00BA49F5" w:rsidRDefault="00BA49F5">
      <w:pPr>
        <w:ind w:hanging="360"/>
        <w:jc w:val="both"/>
      </w:pPr>
    </w:p>
    <w:p w14:paraId="5CD8E013" w14:textId="77777777" w:rsidR="00BA49F5" w:rsidRDefault="007E5E49">
      <w:pPr>
        <w:ind w:hanging="360"/>
        <w:jc w:val="both"/>
      </w:pPr>
      <w:r>
        <w:rPr>
          <w:rFonts w:ascii="Times New Roman" w:eastAsia="宋体" w:hAnsi="Times New Roman"/>
          <w:color w:val="000000"/>
          <w:sz w:val="20"/>
          <w:szCs w:val="20"/>
        </w:rPr>
        <w:t>•we fail to provide adequate customer service to users, marketers, developers, or other partners;</w:t>
      </w:r>
    </w:p>
    <w:p w14:paraId="5CD8E014" w14:textId="77777777" w:rsidR="00BA49F5" w:rsidRDefault="00BA49F5">
      <w:pPr>
        <w:ind w:hanging="360"/>
        <w:jc w:val="both"/>
      </w:pPr>
    </w:p>
    <w:p w14:paraId="5CD8E015" w14:textId="77777777" w:rsidR="00BA49F5" w:rsidRDefault="007E5E49">
      <w:pPr>
        <w:ind w:hanging="360"/>
        <w:jc w:val="both"/>
      </w:pPr>
      <w:r>
        <w:rPr>
          <w:rFonts w:ascii="Times New Roman" w:eastAsia="宋体" w:hAnsi="Times New Roman"/>
          <w:color w:val="000000"/>
          <w:sz w:val="20"/>
          <w:szCs w:val="20"/>
        </w:rPr>
        <w:t>•we, developers whose products are inte</w:t>
      </w:r>
      <w:r>
        <w:rPr>
          <w:rFonts w:ascii="Times New Roman" w:eastAsia="宋体" w:hAnsi="Times New Roman"/>
          <w:color w:val="000000"/>
          <w:sz w:val="20"/>
          <w:szCs w:val="20"/>
        </w:rPr>
        <w:t>grated with our products, or other partners and companies in our industry are the subject of adverse media reports or other negative publicity, including as a result of our or their user data practices; or</w:t>
      </w:r>
    </w:p>
    <w:p w14:paraId="5CD8E016" w14:textId="77777777" w:rsidR="00BA49F5" w:rsidRDefault="00BA49F5">
      <w:pPr>
        <w:ind w:hanging="360"/>
        <w:jc w:val="both"/>
      </w:pPr>
    </w:p>
    <w:p w14:paraId="5CD8E017" w14:textId="77777777" w:rsidR="00BA49F5" w:rsidRDefault="007E5E49">
      <w:pPr>
        <w:ind w:hanging="360"/>
        <w:jc w:val="both"/>
      </w:pPr>
      <w:r>
        <w:rPr>
          <w:rFonts w:ascii="Times New Roman" w:eastAsia="宋体" w:hAnsi="Times New Roman"/>
          <w:color w:val="000000"/>
          <w:sz w:val="20"/>
          <w:szCs w:val="20"/>
        </w:rPr>
        <w:t>•our current or future products, such as our deve</w:t>
      </w:r>
      <w:r>
        <w:rPr>
          <w:rFonts w:ascii="Times New Roman" w:eastAsia="宋体" w:hAnsi="Times New Roman"/>
          <w:color w:val="000000"/>
          <w:sz w:val="20"/>
          <w:szCs w:val="20"/>
        </w:rPr>
        <w:t>lopment tools and application programming interfaces that enable developers to build, grow, and monetize applications, reduce user activity on our products by making it easier for our users to interact and share on third-party applications.</w:t>
      </w:r>
    </w:p>
    <w:p w14:paraId="5CD8E018" w14:textId="77777777" w:rsidR="00BA49F5" w:rsidRDefault="00BA49F5">
      <w:pPr>
        <w:jc w:val="both"/>
      </w:pPr>
    </w:p>
    <w:p w14:paraId="5CD8E019" w14:textId="77777777" w:rsidR="00BA49F5" w:rsidRDefault="007E5E49">
      <w:pPr>
        <w:ind w:firstLine="540"/>
        <w:jc w:val="both"/>
      </w:pPr>
      <w:r>
        <w:rPr>
          <w:rFonts w:ascii="Times New Roman" w:eastAsia="宋体" w:hAnsi="Times New Roman"/>
          <w:color w:val="000000"/>
          <w:sz w:val="20"/>
          <w:szCs w:val="20"/>
        </w:rPr>
        <w:t>From time to t</w:t>
      </w:r>
      <w:r>
        <w:rPr>
          <w:rFonts w:ascii="Times New Roman" w:eastAsia="宋体" w:hAnsi="Times New Roman"/>
          <w:color w:val="000000"/>
          <w:sz w:val="20"/>
          <w:szCs w:val="20"/>
        </w:rPr>
        <w:t xml:space="preserve">ime, certain of these factors have negatively affected user retention, growth, and engagement to varying degrees. If we are unable to maintain or increase our user base and user engagement, particularly for our significant revenue-generating products like </w:t>
      </w:r>
      <w:r>
        <w:rPr>
          <w:rFonts w:ascii="Times New Roman" w:eastAsia="宋体" w:hAnsi="Times New Roman"/>
          <w:color w:val="000000"/>
          <w:sz w:val="20"/>
          <w:szCs w:val="20"/>
        </w:rPr>
        <w:t xml:space="preserve">Facebook and Instagram, our revenue and financial results may be adversely affected. Any significant decrease in user retention, growth, or engagement could render our products less attractive to users, marketers, and developers, which is likely to have a </w:t>
      </w:r>
      <w:r>
        <w:rPr>
          <w:rFonts w:ascii="Times New Roman" w:eastAsia="宋体" w:hAnsi="Times New Roman"/>
          <w:color w:val="000000"/>
          <w:sz w:val="20"/>
          <w:szCs w:val="20"/>
        </w:rPr>
        <w:t>material and adverse impact on our ability to deliver ad impressions and, accordingly, our revenue, business, financial condition, and results of operations. As the size of our active user base fluctuates in one or more markets from time to time, we will b</w:t>
      </w:r>
      <w:r>
        <w:rPr>
          <w:rFonts w:ascii="Times New Roman" w:eastAsia="宋体" w:hAnsi="Times New Roman"/>
          <w:color w:val="000000"/>
          <w:sz w:val="20"/>
          <w:szCs w:val="20"/>
        </w:rPr>
        <w:t>ecome increasingly dependent on our ability to maintain or increase levels of user engagement and monetization in order to grow revenue.</w:t>
      </w:r>
    </w:p>
    <w:p w14:paraId="5CD8E01A" w14:textId="77777777" w:rsidR="00BA49F5" w:rsidRDefault="00BA49F5">
      <w:pPr>
        <w:ind w:firstLine="540"/>
        <w:jc w:val="both"/>
      </w:pPr>
    </w:p>
    <w:p w14:paraId="5CD8E01B" w14:textId="77777777" w:rsidR="00BA49F5" w:rsidRDefault="007E5E49">
      <w:pPr>
        <w:jc w:val="both"/>
      </w:pPr>
      <w:r>
        <w:rPr>
          <w:rFonts w:ascii="Times New Roman" w:eastAsia="宋体" w:hAnsi="Times New Roman"/>
          <w:b/>
          <w:bCs/>
          <w:i/>
          <w:iCs/>
          <w:color w:val="000000"/>
          <w:sz w:val="20"/>
          <w:szCs w:val="20"/>
        </w:rPr>
        <w:t>We generate substantially all of our revenue from advertising. The loss of marketers, or reduction in spending by mark</w:t>
      </w:r>
      <w:r>
        <w:rPr>
          <w:rFonts w:ascii="Times New Roman" w:eastAsia="宋体" w:hAnsi="Times New Roman"/>
          <w:b/>
          <w:bCs/>
          <w:i/>
          <w:iCs/>
          <w:color w:val="000000"/>
          <w:sz w:val="20"/>
          <w:szCs w:val="20"/>
        </w:rPr>
        <w:t>eters, could seriously harm our business.</w:t>
      </w:r>
    </w:p>
    <w:p w14:paraId="5CD8E01C" w14:textId="77777777" w:rsidR="00BA49F5" w:rsidRDefault="00BA49F5">
      <w:pPr>
        <w:jc w:val="both"/>
      </w:pPr>
    </w:p>
    <w:p w14:paraId="5CD8E01D" w14:textId="77777777" w:rsidR="00BA49F5" w:rsidRDefault="007E5E49">
      <w:pPr>
        <w:ind w:firstLine="540"/>
        <w:jc w:val="both"/>
      </w:pPr>
      <w:r>
        <w:rPr>
          <w:rFonts w:ascii="Times New Roman" w:eastAsia="宋体" w:hAnsi="Times New Roman"/>
          <w:color w:val="000000"/>
          <w:sz w:val="20"/>
          <w:szCs w:val="20"/>
        </w:rPr>
        <w:t>Substantially all of our revenue is currently generated from marketers advertising on Facebook and Instagram. As is common in the industry, our marketers do not have long-term advertising commitments with us. Many</w:t>
      </w:r>
      <w:r>
        <w:rPr>
          <w:rFonts w:ascii="Times New Roman" w:eastAsia="宋体" w:hAnsi="Times New Roman"/>
          <w:color w:val="000000"/>
          <w:sz w:val="20"/>
          <w:szCs w:val="20"/>
        </w:rPr>
        <w:t xml:space="preserve"> of our marketers spend only a relatively small portion of their overall advertising budget with us. Marketers will not continue to do business with us, or they will reduce the budgets they are willing to commit to us, if we do not deliver ads in an effect</w:t>
      </w:r>
      <w:r>
        <w:rPr>
          <w:rFonts w:ascii="Times New Roman" w:eastAsia="宋体" w:hAnsi="Times New Roman"/>
          <w:color w:val="000000"/>
          <w:sz w:val="20"/>
          <w:szCs w:val="20"/>
        </w:rPr>
        <w:t>ive manner, if they do not believe that their investment in advertising with us will generate a competitive return relative to other alternatives, or if they are not satisfied for any other reason. We have implemented, and we will continue to implement, ch</w:t>
      </w:r>
      <w:r>
        <w:rPr>
          <w:rFonts w:ascii="Times New Roman" w:eastAsia="宋体" w:hAnsi="Times New Roman"/>
          <w:color w:val="000000"/>
          <w:sz w:val="20"/>
          <w:szCs w:val="20"/>
        </w:rPr>
        <w:t>anges to our user data practices. Some of these changes reduce our ability to effectively target ads, which has to some extent adversely affected, and will continue to adversely affect, our advertising business. If we are unable to provide marketers with a</w:t>
      </w:r>
      <w:r>
        <w:rPr>
          <w:rFonts w:ascii="Times New Roman" w:eastAsia="宋体" w:hAnsi="Times New Roman"/>
          <w:color w:val="000000"/>
          <w:sz w:val="20"/>
          <w:szCs w:val="20"/>
        </w:rPr>
        <w:t xml:space="preserve"> suitable return on investment, the demand for our ads may not increase, or may decline, in which case our revenue and financial results may be harmed.</w:t>
      </w:r>
    </w:p>
    <w:p w14:paraId="5CD8E01E" w14:textId="77777777" w:rsidR="00BA49F5" w:rsidRDefault="00BA49F5">
      <w:pPr>
        <w:ind w:firstLine="540"/>
        <w:jc w:val="both"/>
      </w:pPr>
    </w:p>
    <w:p w14:paraId="5CD8E01F" w14:textId="77777777" w:rsidR="00BA49F5" w:rsidRDefault="007E5E49">
      <w:pPr>
        <w:ind w:firstLine="540"/>
        <w:jc w:val="both"/>
      </w:pPr>
      <w:r>
        <w:rPr>
          <w:rFonts w:ascii="Times New Roman" w:eastAsia="宋体" w:hAnsi="Times New Roman"/>
          <w:color w:val="000000"/>
          <w:sz w:val="20"/>
          <w:szCs w:val="20"/>
        </w:rPr>
        <w:t>Our advertising revenue can also be adversely affected by a number of other factors, including:</w:t>
      </w:r>
    </w:p>
    <w:p w14:paraId="5CD8E020" w14:textId="77777777" w:rsidR="00BA49F5" w:rsidRDefault="00BA49F5">
      <w:pPr>
        <w:ind w:firstLine="540"/>
        <w:jc w:val="both"/>
      </w:pPr>
    </w:p>
    <w:p w14:paraId="5CD8E021" w14:textId="77777777" w:rsidR="00BA49F5" w:rsidRDefault="007E5E49">
      <w:pPr>
        <w:ind w:hanging="360"/>
        <w:jc w:val="both"/>
      </w:pPr>
      <w:r>
        <w:rPr>
          <w:rFonts w:ascii="Times New Roman" w:eastAsia="宋体" w:hAnsi="Times New Roman"/>
          <w:color w:val="000000"/>
          <w:sz w:val="20"/>
          <w:szCs w:val="20"/>
        </w:rPr>
        <w:t>•decre</w:t>
      </w:r>
      <w:r>
        <w:rPr>
          <w:rFonts w:ascii="Times New Roman" w:eastAsia="宋体" w:hAnsi="Times New Roman"/>
          <w:color w:val="000000"/>
          <w:sz w:val="20"/>
          <w:szCs w:val="20"/>
        </w:rPr>
        <w:t>ases in user engagement, including time spent on our products;</w:t>
      </w:r>
    </w:p>
    <w:p w14:paraId="5CD8E022" w14:textId="77777777" w:rsidR="00BA49F5" w:rsidRDefault="00BA49F5">
      <w:pPr>
        <w:ind w:hanging="360"/>
        <w:jc w:val="both"/>
      </w:pPr>
    </w:p>
    <w:p w14:paraId="5CD8E023" w14:textId="77777777" w:rsidR="00BA49F5" w:rsidRDefault="007E5E49">
      <w:pPr>
        <w:ind w:hanging="360"/>
        <w:jc w:val="both"/>
      </w:pPr>
      <w:r>
        <w:rPr>
          <w:rFonts w:ascii="Times New Roman" w:eastAsia="宋体" w:hAnsi="Times New Roman"/>
          <w:color w:val="000000"/>
          <w:sz w:val="20"/>
          <w:szCs w:val="20"/>
        </w:rPr>
        <w:t>•our inability to continue to increase user access to and engagement with our products;</w:t>
      </w:r>
    </w:p>
    <w:p w14:paraId="5CD8E024" w14:textId="77777777" w:rsidR="00BA49F5" w:rsidRDefault="00BA49F5">
      <w:pPr>
        <w:ind w:hanging="360"/>
        <w:jc w:val="both"/>
      </w:pPr>
    </w:p>
    <w:p w14:paraId="5CD8E025" w14:textId="77777777" w:rsidR="00BA49F5" w:rsidRDefault="007E5E49">
      <w:pPr>
        <w:ind w:hanging="360"/>
        <w:jc w:val="both"/>
      </w:pPr>
      <w:r>
        <w:rPr>
          <w:rFonts w:ascii="Times New Roman" w:eastAsia="宋体" w:hAnsi="Times New Roman"/>
          <w:color w:val="000000"/>
          <w:sz w:val="20"/>
          <w:szCs w:val="20"/>
        </w:rPr>
        <w:t xml:space="preserve">•product changes or inventory management decisions we may make that change the size, format, </w:t>
      </w:r>
      <w:r>
        <w:rPr>
          <w:rFonts w:ascii="Times New Roman" w:eastAsia="宋体" w:hAnsi="Times New Roman"/>
          <w:color w:val="000000"/>
          <w:sz w:val="20"/>
          <w:szCs w:val="20"/>
        </w:rPr>
        <w:t>frequency, or relative prominence of ads displayed on our products or of other unpaid content shared by marketers on our products;</w:t>
      </w:r>
    </w:p>
    <w:p w14:paraId="5CD8E026" w14:textId="77777777" w:rsidR="00BA49F5" w:rsidRDefault="00BA49F5">
      <w:pPr>
        <w:ind w:hanging="360"/>
        <w:jc w:val="both"/>
      </w:pPr>
    </w:p>
    <w:p w14:paraId="5CD8E027" w14:textId="77777777" w:rsidR="00BA49F5" w:rsidRDefault="007E5E49">
      <w:pPr>
        <w:jc w:val="center"/>
      </w:pPr>
      <w:r>
        <w:rPr>
          <w:rFonts w:ascii="Times New Roman" w:eastAsia="宋体" w:hAnsi="Times New Roman"/>
          <w:color w:val="000000"/>
          <w:sz w:val="20"/>
          <w:szCs w:val="20"/>
        </w:rPr>
        <w:t>17</w:t>
      </w:r>
    </w:p>
    <w:p w14:paraId="5CD8E028" w14:textId="77777777" w:rsidR="00BA49F5" w:rsidRDefault="007E5E49">
      <w:r>
        <w:pict w14:anchorId="5CD90CDC">
          <v:rect id="_x0000_i1041" style="width:415.3pt;height:1.5pt" o:hralign="center" o:hrstd="t" o:hr="t" fillcolor="#a0a0a0" stroked="f"/>
        </w:pict>
      </w:r>
    </w:p>
    <w:p w14:paraId="5CD8E029" w14:textId="77777777" w:rsidR="00BA49F5" w:rsidRDefault="00BA49F5"/>
    <w:p w14:paraId="5CD8E02A" w14:textId="77777777" w:rsidR="00BA49F5" w:rsidRDefault="00BA49F5"/>
    <w:p w14:paraId="5CD8E02B" w14:textId="77777777" w:rsidR="00BA49F5" w:rsidRDefault="007E5E49">
      <w:hyperlink r:id="rId114" w:anchor="i6df229dad1864210ab76200083e26819_7" w:history="1">
        <w:r>
          <w:rPr>
            <w:rStyle w:val="a5"/>
            <w:rFonts w:ascii="Times New Roman" w:eastAsia="宋体" w:hAnsi="Times New Roman"/>
            <w:sz w:val="20"/>
            <w:szCs w:val="20"/>
          </w:rPr>
          <w:t>T</w:t>
        </w:r>
      </w:hyperlink>
      <w:hyperlink r:id="rId115" w:anchor="i6df229dad1864210ab76200083e26819_7" w:history="1">
        <w:r>
          <w:rPr>
            <w:rStyle w:val="a5"/>
            <w:rFonts w:ascii="Times New Roman" w:eastAsia="宋体" w:hAnsi="Times New Roman"/>
            <w:sz w:val="20"/>
            <w:szCs w:val="20"/>
          </w:rPr>
          <w:t>able of Contents</w:t>
        </w:r>
      </w:hyperlink>
    </w:p>
    <w:p w14:paraId="5CD8E02C" w14:textId="77777777" w:rsidR="00BA49F5" w:rsidRDefault="007E5E49">
      <w:pPr>
        <w:ind w:hanging="360"/>
        <w:jc w:val="both"/>
      </w:pPr>
      <w:r>
        <w:rPr>
          <w:rFonts w:ascii="Times New Roman" w:eastAsia="宋体" w:hAnsi="Times New Roman"/>
          <w:color w:val="000000"/>
          <w:sz w:val="20"/>
          <w:szCs w:val="20"/>
        </w:rPr>
        <w:t>•our inability to maintain or increase marketer demand, the pricing of our ads, or both;</w:t>
      </w:r>
    </w:p>
    <w:p w14:paraId="5CD8E02D" w14:textId="77777777" w:rsidR="00BA49F5" w:rsidRDefault="00BA49F5">
      <w:pPr>
        <w:ind w:hanging="360"/>
        <w:jc w:val="both"/>
      </w:pPr>
    </w:p>
    <w:p w14:paraId="5CD8E02E" w14:textId="77777777" w:rsidR="00BA49F5" w:rsidRDefault="007E5E49">
      <w:pPr>
        <w:ind w:hanging="360"/>
        <w:jc w:val="both"/>
      </w:pPr>
      <w:r>
        <w:rPr>
          <w:rFonts w:ascii="Times New Roman" w:eastAsia="宋体" w:hAnsi="Times New Roman"/>
          <w:color w:val="000000"/>
          <w:sz w:val="20"/>
          <w:szCs w:val="20"/>
        </w:rPr>
        <w:t>•our inability to maintain or increase the quantity or quality of ads shown to users;</w:t>
      </w:r>
    </w:p>
    <w:p w14:paraId="5CD8E02F" w14:textId="77777777" w:rsidR="00BA49F5" w:rsidRDefault="00BA49F5">
      <w:pPr>
        <w:ind w:hanging="360"/>
        <w:jc w:val="both"/>
      </w:pPr>
    </w:p>
    <w:p w14:paraId="5CD8E030" w14:textId="77777777" w:rsidR="00BA49F5" w:rsidRDefault="007E5E49">
      <w:pPr>
        <w:ind w:hanging="360"/>
        <w:jc w:val="both"/>
      </w:pPr>
      <w:r>
        <w:rPr>
          <w:rFonts w:ascii="Times New Roman" w:eastAsia="宋体" w:hAnsi="Times New Roman"/>
          <w:color w:val="000000"/>
          <w:sz w:val="20"/>
          <w:szCs w:val="20"/>
        </w:rPr>
        <w:t>•changes to</w:t>
      </w:r>
      <w:r>
        <w:rPr>
          <w:rFonts w:ascii="Times New Roman" w:eastAsia="宋体" w:hAnsi="Times New Roman"/>
          <w:color w:val="000000"/>
          <w:sz w:val="20"/>
          <w:szCs w:val="20"/>
        </w:rPr>
        <w:t xml:space="preserve"> the content or application of third-party policies that limit our ability to deliver, target, or measure the effectiveness of advertising, including changes by mobile operating system and browser providers such as Apple and Google;</w:t>
      </w:r>
    </w:p>
    <w:p w14:paraId="5CD8E031" w14:textId="77777777" w:rsidR="00BA49F5" w:rsidRDefault="00BA49F5">
      <w:pPr>
        <w:ind w:hanging="360"/>
        <w:jc w:val="both"/>
      </w:pPr>
    </w:p>
    <w:p w14:paraId="5CD8E032" w14:textId="77777777" w:rsidR="00BA49F5" w:rsidRDefault="007E5E49">
      <w:pPr>
        <w:ind w:hanging="360"/>
        <w:jc w:val="both"/>
      </w:pPr>
      <w:r>
        <w:rPr>
          <w:rFonts w:ascii="Times New Roman" w:eastAsia="宋体" w:hAnsi="Times New Roman"/>
          <w:color w:val="000000"/>
          <w:sz w:val="20"/>
          <w:szCs w:val="20"/>
        </w:rPr>
        <w:t>•adverse litigation, g</w:t>
      </w:r>
      <w:r>
        <w:rPr>
          <w:rFonts w:ascii="Times New Roman" w:eastAsia="宋体" w:hAnsi="Times New Roman"/>
          <w:color w:val="000000"/>
          <w:sz w:val="20"/>
          <w:szCs w:val="20"/>
        </w:rPr>
        <w:t>overnment actions, or legislative, regulatory, or other legal developments relating to advertising, including developments that may impact our ability to deliver, target, or measure the effectiveness of advertising;</w:t>
      </w:r>
    </w:p>
    <w:p w14:paraId="5CD8E033" w14:textId="77777777" w:rsidR="00BA49F5" w:rsidRDefault="00BA49F5">
      <w:pPr>
        <w:ind w:hanging="360"/>
        <w:jc w:val="both"/>
      </w:pPr>
    </w:p>
    <w:p w14:paraId="5CD8E034" w14:textId="77777777" w:rsidR="00BA49F5" w:rsidRDefault="007E5E49">
      <w:pPr>
        <w:ind w:hanging="360"/>
        <w:jc w:val="both"/>
      </w:pPr>
      <w:r>
        <w:rPr>
          <w:rFonts w:ascii="Times New Roman" w:eastAsia="宋体" w:hAnsi="Times New Roman"/>
          <w:color w:val="000000"/>
          <w:sz w:val="20"/>
          <w:szCs w:val="20"/>
        </w:rPr>
        <w:t xml:space="preserve">•user behavior or product changes that </w:t>
      </w:r>
      <w:r>
        <w:rPr>
          <w:rFonts w:ascii="Times New Roman" w:eastAsia="宋体" w:hAnsi="Times New Roman"/>
          <w:color w:val="000000"/>
          <w:sz w:val="20"/>
          <w:szCs w:val="20"/>
        </w:rPr>
        <w:t>may reduce traffic to features or products that we successfully monetize, such as our feed and Stories products, including as a result of increased usage of our Reels or other video or messaging products;</w:t>
      </w:r>
    </w:p>
    <w:p w14:paraId="5CD8E035" w14:textId="77777777" w:rsidR="00BA49F5" w:rsidRDefault="00BA49F5">
      <w:pPr>
        <w:ind w:hanging="360"/>
        <w:jc w:val="both"/>
      </w:pPr>
    </w:p>
    <w:p w14:paraId="5CD8E036" w14:textId="77777777" w:rsidR="00BA49F5" w:rsidRDefault="007E5E49">
      <w:pPr>
        <w:ind w:hanging="360"/>
        <w:jc w:val="both"/>
      </w:pPr>
      <w:r>
        <w:rPr>
          <w:rFonts w:ascii="Times New Roman" w:eastAsia="宋体" w:hAnsi="Times New Roman"/>
          <w:color w:val="000000"/>
          <w:sz w:val="20"/>
          <w:szCs w:val="20"/>
        </w:rPr>
        <w:t>•reductions of advertising by marketers due to our</w:t>
      </w:r>
      <w:r>
        <w:rPr>
          <w:rFonts w:ascii="Times New Roman" w:eastAsia="宋体" w:hAnsi="Times New Roman"/>
          <w:color w:val="000000"/>
          <w:sz w:val="20"/>
          <w:szCs w:val="20"/>
        </w:rPr>
        <w:t xml:space="preserve"> efforts to implement or enforce advertising policies that protect the security and integrity of our platform;</w:t>
      </w:r>
    </w:p>
    <w:p w14:paraId="5CD8E037" w14:textId="77777777" w:rsidR="00BA49F5" w:rsidRDefault="00BA49F5">
      <w:pPr>
        <w:ind w:hanging="360"/>
        <w:jc w:val="both"/>
      </w:pPr>
    </w:p>
    <w:p w14:paraId="5CD8E038" w14:textId="77777777" w:rsidR="00BA49F5" w:rsidRDefault="007E5E49">
      <w:pPr>
        <w:ind w:hanging="360"/>
        <w:jc w:val="both"/>
      </w:pPr>
      <w:r>
        <w:rPr>
          <w:rFonts w:ascii="Times New Roman" w:eastAsia="宋体" w:hAnsi="Times New Roman"/>
          <w:color w:val="000000"/>
          <w:sz w:val="20"/>
          <w:szCs w:val="20"/>
        </w:rPr>
        <w:t>•the availability, accuracy, utility, and security of analytics and measurement solutions offered by us or third parties that demonstrate the va</w:t>
      </w:r>
      <w:r>
        <w:rPr>
          <w:rFonts w:ascii="Times New Roman" w:eastAsia="宋体" w:hAnsi="Times New Roman"/>
          <w:color w:val="000000"/>
          <w:sz w:val="20"/>
          <w:szCs w:val="20"/>
        </w:rPr>
        <w:t>lue of our ads to marketers, or our ability to further improve such tools;</w:t>
      </w:r>
    </w:p>
    <w:p w14:paraId="5CD8E039" w14:textId="77777777" w:rsidR="00BA49F5" w:rsidRDefault="00BA49F5">
      <w:pPr>
        <w:ind w:hanging="360"/>
        <w:jc w:val="both"/>
      </w:pPr>
    </w:p>
    <w:p w14:paraId="5CD8E03A" w14:textId="77777777" w:rsidR="00BA49F5" w:rsidRDefault="007E5E49">
      <w:pPr>
        <w:ind w:hanging="360"/>
        <w:jc w:val="both"/>
      </w:pPr>
      <w:r>
        <w:rPr>
          <w:rFonts w:ascii="Times New Roman" w:eastAsia="宋体" w:hAnsi="Times New Roman"/>
          <w:color w:val="000000"/>
          <w:sz w:val="20"/>
          <w:szCs w:val="20"/>
        </w:rPr>
        <w:t>•loss of advertising market share to our competitors, including if prices to purchase our ads increase or if competitors offer lower priced, more integrated, or otherwise more effe</w:t>
      </w:r>
      <w:r>
        <w:rPr>
          <w:rFonts w:ascii="Times New Roman" w:eastAsia="宋体" w:hAnsi="Times New Roman"/>
          <w:color w:val="000000"/>
          <w:sz w:val="20"/>
          <w:szCs w:val="20"/>
        </w:rPr>
        <w:t xml:space="preserve">ctive products; </w:t>
      </w:r>
    </w:p>
    <w:p w14:paraId="5CD8E03B" w14:textId="77777777" w:rsidR="00BA49F5" w:rsidRDefault="00BA49F5">
      <w:pPr>
        <w:ind w:hanging="360"/>
        <w:jc w:val="both"/>
      </w:pPr>
    </w:p>
    <w:p w14:paraId="5CD8E03C" w14:textId="77777777" w:rsidR="00BA49F5" w:rsidRDefault="007E5E49">
      <w:pPr>
        <w:ind w:hanging="360"/>
        <w:jc w:val="both"/>
      </w:pPr>
      <w:r>
        <w:rPr>
          <w:rFonts w:ascii="Times New Roman" w:eastAsia="宋体" w:hAnsi="Times New Roman"/>
          <w:color w:val="000000"/>
          <w:sz w:val="20"/>
          <w:szCs w:val="20"/>
        </w:rPr>
        <w:t>•limitations on our ability to offer a number of our most significant products and services, including Facebook and Instagram, in Europe as a result of European regulators, courts, or legislative bodies determining that our reliance on SC</w:t>
      </w:r>
      <w:r>
        <w:rPr>
          <w:rFonts w:ascii="Times New Roman" w:eastAsia="宋体" w:hAnsi="Times New Roman"/>
          <w:color w:val="000000"/>
          <w:sz w:val="20"/>
          <w:szCs w:val="20"/>
        </w:rPr>
        <w:t>Cs or other legal bases we rely upon to transfer user data from the European Union to the United States is invalid;</w:t>
      </w:r>
    </w:p>
    <w:p w14:paraId="5CD8E03D" w14:textId="77777777" w:rsidR="00BA49F5" w:rsidRDefault="00BA49F5">
      <w:pPr>
        <w:ind w:hanging="360"/>
        <w:jc w:val="both"/>
      </w:pPr>
    </w:p>
    <w:p w14:paraId="5CD8E03E" w14:textId="77777777" w:rsidR="00BA49F5" w:rsidRDefault="007E5E49">
      <w:pPr>
        <w:ind w:hanging="360"/>
        <w:jc w:val="both"/>
      </w:pPr>
      <w:r>
        <w:rPr>
          <w:rFonts w:ascii="Times New Roman" w:eastAsia="宋体" w:hAnsi="Times New Roman"/>
          <w:color w:val="000000"/>
          <w:sz w:val="20"/>
          <w:szCs w:val="20"/>
        </w:rPr>
        <w:t xml:space="preserve">•changes in our marketing and sales or other operations that we are required to or elect to make as a result of risks related to complying </w:t>
      </w:r>
      <w:r>
        <w:rPr>
          <w:rFonts w:ascii="Times New Roman" w:eastAsia="宋体" w:hAnsi="Times New Roman"/>
          <w:color w:val="000000"/>
          <w:sz w:val="20"/>
          <w:szCs w:val="20"/>
        </w:rPr>
        <w:t>with foreign laws or regulatory requirements or other government actions;</w:t>
      </w:r>
    </w:p>
    <w:p w14:paraId="5CD8E03F" w14:textId="77777777" w:rsidR="00BA49F5" w:rsidRDefault="00BA49F5">
      <w:pPr>
        <w:ind w:hanging="360"/>
        <w:jc w:val="both"/>
      </w:pPr>
    </w:p>
    <w:p w14:paraId="5CD8E040" w14:textId="77777777" w:rsidR="00BA49F5" w:rsidRDefault="007E5E49">
      <w:pPr>
        <w:ind w:hanging="360"/>
        <w:jc w:val="both"/>
      </w:pPr>
      <w:r>
        <w:rPr>
          <w:rFonts w:ascii="Times New Roman" w:eastAsia="宋体" w:hAnsi="Times New Roman"/>
          <w:color w:val="000000"/>
          <w:sz w:val="20"/>
          <w:szCs w:val="20"/>
        </w:rPr>
        <w:t>•decisions by marketers to reduce their advertising as a result of announcements by us or adverse media reports or other negative publicity involving us, our user data practices, ou</w:t>
      </w:r>
      <w:r>
        <w:rPr>
          <w:rFonts w:ascii="Times New Roman" w:eastAsia="宋体" w:hAnsi="Times New Roman"/>
          <w:color w:val="000000"/>
          <w:sz w:val="20"/>
          <w:szCs w:val="20"/>
        </w:rPr>
        <w:t>r advertising metrics or tools, content on our products, our interpretation, implementation, or enforcement of policies relating to content on our products (including as a result of decisions or recommendations from the independent Oversight Board), develo</w:t>
      </w:r>
      <w:r>
        <w:rPr>
          <w:rFonts w:ascii="Times New Roman" w:eastAsia="宋体" w:hAnsi="Times New Roman"/>
          <w:color w:val="000000"/>
          <w:sz w:val="20"/>
          <w:szCs w:val="20"/>
        </w:rPr>
        <w:t>pers with applications that are integrated with our products, or other companies in our industry;</w:t>
      </w:r>
    </w:p>
    <w:p w14:paraId="5CD8E041" w14:textId="77777777" w:rsidR="00BA49F5" w:rsidRDefault="00BA49F5">
      <w:pPr>
        <w:ind w:hanging="360"/>
        <w:jc w:val="both"/>
      </w:pPr>
    </w:p>
    <w:p w14:paraId="5CD8E042" w14:textId="77777777" w:rsidR="00BA49F5" w:rsidRDefault="007E5E49">
      <w:pPr>
        <w:ind w:hanging="360"/>
        <w:jc w:val="both"/>
      </w:pPr>
      <w:r>
        <w:rPr>
          <w:rFonts w:ascii="Times New Roman" w:eastAsia="宋体" w:hAnsi="Times New Roman"/>
          <w:color w:val="000000"/>
          <w:sz w:val="20"/>
          <w:szCs w:val="20"/>
        </w:rPr>
        <w:t>•reductions of advertising by marketers due to objectionable content made available on our products by third parties, questions about our user data practices</w:t>
      </w:r>
      <w:r>
        <w:rPr>
          <w:rFonts w:ascii="Times New Roman" w:eastAsia="宋体" w:hAnsi="Times New Roman"/>
          <w:color w:val="000000"/>
          <w:sz w:val="20"/>
          <w:szCs w:val="20"/>
        </w:rPr>
        <w:t xml:space="preserve"> or the security of our platform, concerns about brand safety or potential legal liability, or uncertainty regarding their own legal and compliance obligations;</w:t>
      </w:r>
    </w:p>
    <w:p w14:paraId="5CD8E043" w14:textId="77777777" w:rsidR="00BA49F5" w:rsidRDefault="00BA49F5">
      <w:pPr>
        <w:ind w:hanging="360"/>
        <w:jc w:val="both"/>
      </w:pPr>
    </w:p>
    <w:p w14:paraId="5CD8E044" w14:textId="77777777" w:rsidR="00BA49F5" w:rsidRDefault="007E5E49">
      <w:pPr>
        <w:ind w:hanging="360"/>
        <w:jc w:val="both"/>
      </w:pPr>
      <w:r>
        <w:rPr>
          <w:rFonts w:ascii="Times New Roman" w:eastAsia="宋体" w:hAnsi="Times New Roman"/>
          <w:color w:val="000000"/>
          <w:sz w:val="20"/>
          <w:szCs w:val="20"/>
        </w:rPr>
        <w:t>•the effectiveness of our ad targeting or degree to which users opt in or out of the use of da</w:t>
      </w:r>
      <w:r>
        <w:rPr>
          <w:rFonts w:ascii="Times New Roman" w:eastAsia="宋体" w:hAnsi="Times New Roman"/>
          <w:color w:val="000000"/>
          <w:sz w:val="20"/>
          <w:szCs w:val="20"/>
        </w:rPr>
        <w:t>ta for ads, including as a result of product changes and controls that we have implemented or may implement in the future in connection with the GDPR, ePrivacy Directive, California Privacy Rights Act (CPRA), the Digital Markets Act (DMA), other laws, regu</w:t>
      </w:r>
      <w:r>
        <w:rPr>
          <w:rFonts w:ascii="Times New Roman" w:eastAsia="宋体" w:hAnsi="Times New Roman"/>
          <w:color w:val="000000"/>
          <w:sz w:val="20"/>
          <w:szCs w:val="20"/>
        </w:rPr>
        <w:t>lations, regulatory actions, or litigation, or otherwise, that impact our ability to use data for advertising purposes;</w:t>
      </w:r>
    </w:p>
    <w:p w14:paraId="5CD8E045" w14:textId="77777777" w:rsidR="00BA49F5" w:rsidRDefault="00BA49F5">
      <w:pPr>
        <w:ind w:hanging="360"/>
        <w:jc w:val="both"/>
      </w:pPr>
    </w:p>
    <w:p w14:paraId="5CD8E046" w14:textId="77777777" w:rsidR="00BA49F5" w:rsidRDefault="007E5E49">
      <w:pPr>
        <w:ind w:hanging="360"/>
        <w:jc w:val="both"/>
      </w:pPr>
      <w:r>
        <w:rPr>
          <w:rFonts w:ascii="Times New Roman" w:eastAsia="宋体" w:hAnsi="Times New Roman"/>
          <w:color w:val="000000"/>
          <w:sz w:val="20"/>
          <w:szCs w:val="20"/>
        </w:rPr>
        <w:t>•the degree to which users cease or reduce the number of times they engage with our ads;</w:t>
      </w:r>
    </w:p>
    <w:p w14:paraId="5CD8E047" w14:textId="77777777" w:rsidR="00BA49F5" w:rsidRDefault="00BA49F5">
      <w:pPr>
        <w:ind w:hanging="360"/>
        <w:jc w:val="both"/>
      </w:pPr>
    </w:p>
    <w:p w14:paraId="5CD8E048" w14:textId="77777777" w:rsidR="00BA49F5" w:rsidRDefault="007E5E49">
      <w:pPr>
        <w:ind w:hanging="360"/>
        <w:jc w:val="both"/>
      </w:pPr>
      <w:r>
        <w:rPr>
          <w:rFonts w:ascii="Times New Roman" w:eastAsia="宋体" w:hAnsi="Times New Roman"/>
          <w:color w:val="000000"/>
          <w:sz w:val="20"/>
          <w:szCs w:val="20"/>
        </w:rPr>
        <w:t xml:space="preserve">•changes in the way advertising on </w:t>
      </w:r>
      <w:r>
        <w:rPr>
          <w:rFonts w:ascii="Times New Roman" w:eastAsia="宋体" w:hAnsi="Times New Roman"/>
          <w:color w:val="000000"/>
          <w:sz w:val="20"/>
          <w:szCs w:val="20"/>
        </w:rPr>
        <w:t>mobile devices or on personal computers is measured or priced;</w:t>
      </w:r>
    </w:p>
    <w:p w14:paraId="5CD8E049" w14:textId="77777777" w:rsidR="00BA49F5" w:rsidRDefault="00BA49F5">
      <w:pPr>
        <w:ind w:hanging="360"/>
        <w:jc w:val="both"/>
      </w:pPr>
    </w:p>
    <w:p w14:paraId="5CD8E04A" w14:textId="77777777" w:rsidR="00BA49F5" w:rsidRDefault="007E5E49">
      <w:pPr>
        <w:ind w:hanging="360"/>
        <w:jc w:val="both"/>
      </w:pPr>
      <w:r>
        <w:rPr>
          <w:rFonts w:ascii="Times New Roman" w:eastAsia="宋体" w:hAnsi="Times New Roman"/>
          <w:color w:val="000000"/>
          <w:sz w:val="20"/>
          <w:szCs w:val="20"/>
        </w:rPr>
        <w:t>•the success of technologies designed to block the display of ads or ad measurement tools;</w:t>
      </w:r>
    </w:p>
    <w:p w14:paraId="5CD8E04B" w14:textId="77777777" w:rsidR="00BA49F5" w:rsidRDefault="00BA49F5">
      <w:pPr>
        <w:ind w:hanging="360"/>
        <w:jc w:val="both"/>
      </w:pPr>
    </w:p>
    <w:p w14:paraId="5CD8E04C" w14:textId="77777777" w:rsidR="00BA49F5" w:rsidRDefault="007E5E49">
      <w:pPr>
        <w:ind w:hanging="360"/>
        <w:jc w:val="both"/>
      </w:pPr>
      <w:r>
        <w:rPr>
          <w:rFonts w:ascii="Times New Roman" w:eastAsia="宋体" w:hAnsi="Times New Roman"/>
          <w:color w:val="000000"/>
          <w:sz w:val="20"/>
          <w:szCs w:val="20"/>
        </w:rPr>
        <w:t>•changes in the composition of our marketer base or our inability to maintain or grow our marketer b</w:t>
      </w:r>
      <w:r>
        <w:rPr>
          <w:rFonts w:ascii="Times New Roman" w:eastAsia="宋体" w:hAnsi="Times New Roman"/>
          <w:color w:val="000000"/>
          <w:sz w:val="20"/>
          <w:szCs w:val="20"/>
        </w:rPr>
        <w:t>ase; and</w:t>
      </w:r>
    </w:p>
    <w:p w14:paraId="5CD8E04D" w14:textId="77777777" w:rsidR="00BA49F5" w:rsidRDefault="00BA49F5">
      <w:pPr>
        <w:ind w:hanging="360"/>
        <w:jc w:val="both"/>
      </w:pPr>
    </w:p>
    <w:p w14:paraId="5CD8E04E" w14:textId="77777777" w:rsidR="00BA49F5" w:rsidRDefault="007E5E49">
      <w:pPr>
        <w:jc w:val="center"/>
      </w:pPr>
      <w:r>
        <w:rPr>
          <w:rFonts w:ascii="Times New Roman" w:eastAsia="宋体" w:hAnsi="Times New Roman"/>
          <w:color w:val="000000"/>
          <w:sz w:val="20"/>
          <w:szCs w:val="20"/>
        </w:rPr>
        <w:t>18</w:t>
      </w:r>
    </w:p>
    <w:p w14:paraId="5CD8E04F" w14:textId="77777777" w:rsidR="00BA49F5" w:rsidRDefault="007E5E49">
      <w:r>
        <w:pict w14:anchorId="5CD90CDD">
          <v:rect id="_x0000_i1042" style="width:415.3pt;height:1.5pt" o:hralign="center" o:hrstd="t" o:hr="t" fillcolor="#a0a0a0" stroked="f"/>
        </w:pict>
      </w:r>
    </w:p>
    <w:p w14:paraId="5CD8E050" w14:textId="77777777" w:rsidR="00BA49F5" w:rsidRDefault="00BA49F5"/>
    <w:p w14:paraId="5CD8E051" w14:textId="77777777" w:rsidR="00BA49F5" w:rsidRDefault="00BA49F5"/>
    <w:p w14:paraId="5CD8E052" w14:textId="77777777" w:rsidR="00BA49F5" w:rsidRDefault="007E5E49">
      <w:hyperlink r:id="rId116" w:anchor="i6df229dad1864210ab76200083e26819_7" w:history="1">
        <w:r>
          <w:rPr>
            <w:rStyle w:val="a5"/>
            <w:rFonts w:ascii="Times New Roman" w:eastAsia="宋体" w:hAnsi="Times New Roman"/>
            <w:sz w:val="20"/>
            <w:szCs w:val="20"/>
          </w:rPr>
          <w:t>T</w:t>
        </w:r>
      </w:hyperlink>
      <w:hyperlink r:id="rId117" w:anchor="i6df229dad1864210ab76200083e26819_7" w:history="1">
        <w:r>
          <w:rPr>
            <w:rStyle w:val="a5"/>
            <w:rFonts w:ascii="Times New Roman" w:eastAsia="宋体" w:hAnsi="Times New Roman"/>
            <w:sz w:val="20"/>
            <w:szCs w:val="20"/>
          </w:rPr>
          <w:t>able of Contents</w:t>
        </w:r>
      </w:hyperlink>
    </w:p>
    <w:p w14:paraId="5CD8E053" w14:textId="77777777" w:rsidR="00BA49F5" w:rsidRDefault="007E5E49">
      <w:pPr>
        <w:ind w:hanging="360"/>
      </w:pPr>
      <w:r>
        <w:rPr>
          <w:rFonts w:ascii="Times New Roman" w:eastAsia="宋体" w:hAnsi="Times New Roman"/>
          <w:color w:val="000000"/>
          <w:sz w:val="20"/>
          <w:szCs w:val="20"/>
        </w:rPr>
        <w:t>•the impact of macroeconomic and geopolitical conditions, whether in the advertising industry in general, or among specific types of marketers or within particular geograp</w:t>
      </w:r>
      <w:r>
        <w:rPr>
          <w:rFonts w:ascii="Times New Roman" w:eastAsia="宋体" w:hAnsi="Times New Roman"/>
          <w:color w:val="000000"/>
          <w:sz w:val="20"/>
          <w:szCs w:val="20"/>
        </w:rPr>
        <w:t>hies (for example, the war in Ukraine and service restrictions imposed by the Russian government have adversely affected our advertising business in Europe and other regions).</w:t>
      </w:r>
    </w:p>
    <w:p w14:paraId="5CD8E054" w14:textId="77777777" w:rsidR="00BA49F5" w:rsidRDefault="00BA49F5">
      <w:pPr>
        <w:ind w:firstLine="540"/>
      </w:pPr>
    </w:p>
    <w:p w14:paraId="5CD8E055" w14:textId="77777777" w:rsidR="00BA49F5" w:rsidRDefault="007E5E49">
      <w:pPr>
        <w:ind w:firstLine="540"/>
        <w:jc w:val="both"/>
      </w:pPr>
      <w:r>
        <w:rPr>
          <w:rFonts w:ascii="Times New Roman" w:eastAsia="宋体" w:hAnsi="Times New Roman"/>
          <w:color w:val="000000"/>
          <w:sz w:val="20"/>
          <w:szCs w:val="20"/>
        </w:rPr>
        <w:t xml:space="preserve">From time to time, certain of these factors have adversely affected our advertising revenue to varying degrees. The occurrence of any of these or other factors in the future could result in a reduction in demand for our ads, which may reduce the prices we </w:t>
      </w:r>
      <w:r>
        <w:rPr>
          <w:rFonts w:ascii="Times New Roman" w:eastAsia="宋体" w:hAnsi="Times New Roman"/>
          <w:color w:val="000000"/>
          <w:sz w:val="20"/>
          <w:szCs w:val="20"/>
        </w:rPr>
        <w:t xml:space="preserve">receive for our ads, or cause marketers to stop advertising with us altogether, either of which would negatively affect our revenue and financial results. </w:t>
      </w:r>
    </w:p>
    <w:p w14:paraId="5CD8E056" w14:textId="77777777" w:rsidR="00BA49F5" w:rsidRDefault="00BA49F5">
      <w:pPr>
        <w:jc w:val="both"/>
      </w:pPr>
    </w:p>
    <w:p w14:paraId="5CD8E057" w14:textId="77777777" w:rsidR="00BA49F5" w:rsidRDefault="007E5E49">
      <w:pPr>
        <w:jc w:val="both"/>
      </w:pPr>
      <w:r>
        <w:rPr>
          <w:rFonts w:ascii="Times New Roman" w:eastAsia="宋体" w:hAnsi="Times New Roman"/>
          <w:b/>
          <w:bCs/>
          <w:i/>
          <w:iCs/>
          <w:color w:val="000000"/>
          <w:sz w:val="20"/>
          <w:szCs w:val="20"/>
        </w:rPr>
        <w:t xml:space="preserve">Our ad targeting and measurement tools incorporate data signals from user activity on websites and </w:t>
      </w:r>
      <w:r>
        <w:rPr>
          <w:rFonts w:ascii="Times New Roman" w:eastAsia="宋体" w:hAnsi="Times New Roman"/>
          <w:b/>
          <w:bCs/>
          <w:i/>
          <w:iCs/>
          <w:color w:val="000000"/>
          <w:sz w:val="20"/>
          <w:szCs w:val="20"/>
        </w:rPr>
        <w:t xml:space="preserve">services that we do not control, as well as signals generated within our products, and changes to the regulatory environment, third-party mobile operating systems and browsers, and our own products have impacted, and we expect will continue to impact, the </w:t>
      </w:r>
      <w:r>
        <w:rPr>
          <w:rFonts w:ascii="Times New Roman" w:eastAsia="宋体" w:hAnsi="Times New Roman"/>
          <w:b/>
          <w:bCs/>
          <w:i/>
          <w:iCs/>
          <w:color w:val="000000"/>
          <w:sz w:val="20"/>
          <w:szCs w:val="20"/>
        </w:rPr>
        <w:t>availability of such signals, which will adversely affect our advertising revenue.</w:t>
      </w:r>
    </w:p>
    <w:p w14:paraId="5CD8E058" w14:textId="77777777" w:rsidR="00BA49F5" w:rsidRDefault="00BA49F5">
      <w:pPr>
        <w:jc w:val="both"/>
      </w:pPr>
    </w:p>
    <w:p w14:paraId="5CD8E059" w14:textId="77777777" w:rsidR="00BA49F5" w:rsidRDefault="007E5E49">
      <w:pPr>
        <w:ind w:firstLine="540"/>
        <w:jc w:val="both"/>
      </w:pPr>
      <w:r>
        <w:rPr>
          <w:rFonts w:ascii="Times New Roman" w:eastAsia="宋体" w:hAnsi="Times New Roman"/>
          <w:color w:val="000000"/>
          <w:sz w:val="20"/>
          <w:szCs w:val="20"/>
        </w:rPr>
        <w:t>Our ad targeting and measurement tools rely on data signals from user activity on websites and services that we do not control, as well as signals generated within our prod</w:t>
      </w:r>
      <w:r>
        <w:rPr>
          <w:rFonts w:ascii="Times New Roman" w:eastAsia="宋体" w:hAnsi="Times New Roman"/>
          <w:color w:val="000000"/>
          <w:sz w:val="20"/>
          <w:szCs w:val="20"/>
        </w:rPr>
        <w:t>ucts, in order to deliver relevant and effective ads to our users, and any changes in our ability to use such signals will adversely affect our business. For example, legislative and regulatory developments, such as the GDPR, ePrivacy Directive, and Califo</w:t>
      </w:r>
      <w:r>
        <w:rPr>
          <w:rFonts w:ascii="Times New Roman" w:eastAsia="宋体" w:hAnsi="Times New Roman"/>
          <w:color w:val="000000"/>
          <w:sz w:val="20"/>
          <w:szCs w:val="20"/>
        </w:rPr>
        <w:t>rnia Consumer Privacy Act (CCPA), as amended by the CPRA, have impacted, and we expect will continue to impact, our ability to use such signals in our ad products. In particular, we have seen increases in the number of users opting to control certain types</w:t>
      </w:r>
      <w:r>
        <w:rPr>
          <w:rFonts w:ascii="Times New Roman" w:eastAsia="宋体" w:hAnsi="Times New Roman"/>
          <w:color w:val="000000"/>
          <w:sz w:val="20"/>
          <w:szCs w:val="20"/>
        </w:rPr>
        <w:t xml:space="preserve"> of ad targeting in Europe following product changes implemented in connection with our GDPR and ePrivacy Directive compliance, and we have introduced product changes that limit data signal use for certain users in California following adoption of the CCPA</w:t>
      </w:r>
      <w:r>
        <w:rPr>
          <w:rFonts w:ascii="Times New Roman" w:eastAsia="宋体" w:hAnsi="Times New Roman"/>
          <w:color w:val="000000"/>
          <w:sz w:val="20"/>
          <w:szCs w:val="20"/>
        </w:rPr>
        <w:t>. Regulatory guidance, decisions, or new legislation in these or other jurisdictions, such as the DMA, may require us to make additional changes to our products in the future that further reduce our ability to use these signals, which has occurred in the p</w:t>
      </w:r>
      <w:r>
        <w:rPr>
          <w:rFonts w:ascii="Times New Roman" w:eastAsia="宋体" w:hAnsi="Times New Roman"/>
          <w:color w:val="000000"/>
          <w:sz w:val="20"/>
          <w:szCs w:val="20"/>
        </w:rPr>
        <w:t>ast. For example, we expect to implement additional changes in response to the December 2022 decision by the IDPC regarding the legal basis for our delivery of behavioral advertising in Europe.</w:t>
      </w:r>
    </w:p>
    <w:p w14:paraId="5CD8E05A" w14:textId="77777777" w:rsidR="00BA49F5" w:rsidRDefault="00BA49F5">
      <w:pPr>
        <w:ind w:firstLine="540"/>
        <w:jc w:val="both"/>
      </w:pPr>
    </w:p>
    <w:p w14:paraId="5CD8E05B" w14:textId="77777777" w:rsidR="00BA49F5" w:rsidRDefault="007E5E49">
      <w:pPr>
        <w:ind w:firstLine="540"/>
        <w:jc w:val="both"/>
      </w:pPr>
      <w:r>
        <w:rPr>
          <w:rFonts w:ascii="Times New Roman" w:eastAsia="宋体" w:hAnsi="Times New Roman"/>
          <w:color w:val="000000"/>
          <w:sz w:val="20"/>
          <w:szCs w:val="20"/>
        </w:rPr>
        <w:t>In addition, mobile operating system and browser providers, s</w:t>
      </w:r>
      <w:r>
        <w:rPr>
          <w:rFonts w:ascii="Times New Roman" w:eastAsia="宋体" w:hAnsi="Times New Roman"/>
          <w:color w:val="000000"/>
          <w:sz w:val="20"/>
          <w:szCs w:val="20"/>
        </w:rPr>
        <w:t>uch as Apple and Google, have implemented product changes and/or announced future plans to limit the ability of websites and application developers to collect and use these signals to target and measure advertising. For example, in 2021, Apple made certain</w:t>
      </w:r>
      <w:r>
        <w:rPr>
          <w:rFonts w:ascii="Times New Roman" w:eastAsia="宋体" w:hAnsi="Times New Roman"/>
          <w:color w:val="000000"/>
          <w:sz w:val="20"/>
          <w:szCs w:val="20"/>
        </w:rPr>
        <w:t xml:space="preserve"> changes to its products and data use policies in connection with changes to its iOS operating system that reduce our and other iOS developers' ability to target and measure advertising, which has negatively impacted, and we expect will continue to negativ</w:t>
      </w:r>
      <w:r>
        <w:rPr>
          <w:rFonts w:ascii="Times New Roman" w:eastAsia="宋体" w:hAnsi="Times New Roman"/>
          <w:color w:val="000000"/>
          <w:sz w:val="20"/>
          <w:szCs w:val="20"/>
        </w:rPr>
        <w:t>ely impact, the size of the budgets marketers are willing to commit to us and other advertising platforms. In addition, we have implemented, and may continue to implement, product changes that give users the ability to limit our use of such data signals to</w:t>
      </w:r>
      <w:r>
        <w:rPr>
          <w:rFonts w:ascii="Times New Roman" w:eastAsia="宋体" w:hAnsi="Times New Roman"/>
          <w:color w:val="000000"/>
          <w:sz w:val="20"/>
          <w:szCs w:val="20"/>
        </w:rPr>
        <w:t xml:space="preserve"> improve ads and other experiences on our products and services, including changes implemented in connection with the GDPR and other regulatory frameworks. </w:t>
      </w:r>
    </w:p>
    <w:p w14:paraId="5CD8E05C" w14:textId="77777777" w:rsidR="00BA49F5" w:rsidRDefault="00BA49F5">
      <w:pPr>
        <w:ind w:firstLine="540"/>
        <w:jc w:val="both"/>
      </w:pPr>
    </w:p>
    <w:p w14:paraId="5CD8E05D" w14:textId="77777777" w:rsidR="00BA49F5" w:rsidRDefault="007E5E49">
      <w:pPr>
        <w:ind w:firstLine="540"/>
        <w:jc w:val="both"/>
      </w:pPr>
      <w:r>
        <w:rPr>
          <w:rFonts w:ascii="Times New Roman" w:eastAsia="宋体" w:hAnsi="Times New Roman"/>
          <w:color w:val="000000"/>
          <w:sz w:val="20"/>
          <w:szCs w:val="20"/>
        </w:rPr>
        <w:t xml:space="preserve">These developments have limited our ability to target and measure the effectiveness of ads on our </w:t>
      </w:r>
      <w:r>
        <w:rPr>
          <w:rFonts w:ascii="Times New Roman" w:eastAsia="宋体" w:hAnsi="Times New Roman"/>
          <w:color w:val="000000"/>
          <w:sz w:val="20"/>
          <w:szCs w:val="20"/>
        </w:rPr>
        <w:t>platform and negatively impacted our advertising revenue. For example, our advertising revenue has been negatively impacted by marketer reaction to targeting and measurement challenges associated with iOS changes beginning in 2021. If we are unable to miti</w:t>
      </w:r>
      <w:r>
        <w:rPr>
          <w:rFonts w:ascii="Times New Roman" w:eastAsia="宋体" w:hAnsi="Times New Roman"/>
          <w:color w:val="000000"/>
          <w:sz w:val="20"/>
          <w:szCs w:val="20"/>
        </w:rPr>
        <w:t>gate these developments as they take further effect in the future, our targeting and measurement capabilities will be materially and adversely affected, which would in turn significantly impact our advertising revenue.</w:t>
      </w:r>
    </w:p>
    <w:p w14:paraId="5CD8E05E" w14:textId="77777777" w:rsidR="00BA49F5" w:rsidRDefault="00BA49F5">
      <w:pPr>
        <w:jc w:val="both"/>
      </w:pPr>
    </w:p>
    <w:p w14:paraId="5CD8E05F" w14:textId="77777777" w:rsidR="00BA49F5" w:rsidRDefault="007E5E49">
      <w:pPr>
        <w:jc w:val="both"/>
      </w:pPr>
      <w:r>
        <w:rPr>
          <w:rFonts w:ascii="Times New Roman" w:eastAsia="宋体" w:hAnsi="Times New Roman"/>
          <w:b/>
          <w:bCs/>
          <w:i/>
          <w:iCs/>
          <w:color w:val="000000"/>
          <w:sz w:val="20"/>
          <w:szCs w:val="20"/>
        </w:rPr>
        <w:t xml:space="preserve">Our user growth, </w:t>
      </w:r>
      <w:r>
        <w:rPr>
          <w:rFonts w:ascii="Times New Roman" w:eastAsia="宋体" w:hAnsi="Times New Roman"/>
          <w:b/>
          <w:bCs/>
          <w:i/>
          <w:iCs/>
          <w:color w:val="000000"/>
          <w:sz w:val="20"/>
          <w:szCs w:val="20"/>
        </w:rPr>
        <w:t>engagement, and monetization on mobile devices depend upon effective operation with mobile operating systems, networks, technologies, products, and standards that we do not control.</w:t>
      </w:r>
    </w:p>
    <w:p w14:paraId="5CD8E060" w14:textId="77777777" w:rsidR="00BA49F5" w:rsidRDefault="00BA49F5">
      <w:pPr>
        <w:jc w:val="both"/>
      </w:pPr>
    </w:p>
    <w:p w14:paraId="5CD8E061" w14:textId="77777777" w:rsidR="00BA49F5" w:rsidRDefault="007E5E49">
      <w:pPr>
        <w:ind w:firstLine="540"/>
        <w:jc w:val="both"/>
      </w:pPr>
      <w:r>
        <w:rPr>
          <w:rFonts w:ascii="Times New Roman" w:eastAsia="宋体" w:hAnsi="Times New Roman"/>
          <w:color w:val="000000"/>
          <w:sz w:val="20"/>
          <w:szCs w:val="20"/>
        </w:rPr>
        <w:t xml:space="preserve">The substantial majority of our revenue is generated from advertising on </w:t>
      </w:r>
      <w:r>
        <w:rPr>
          <w:rFonts w:ascii="Times New Roman" w:eastAsia="宋体" w:hAnsi="Times New Roman"/>
          <w:color w:val="000000"/>
          <w:sz w:val="20"/>
          <w:szCs w:val="20"/>
        </w:rPr>
        <w:t xml:space="preserve">mobile devices. There is no guarantee that popular mobile devices will continue to feature our products, or that mobile device users will continue to use our products rather than competing products. We are dependent on the interoperability of our products </w:t>
      </w:r>
      <w:r>
        <w:rPr>
          <w:rFonts w:ascii="Times New Roman" w:eastAsia="宋体" w:hAnsi="Times New Roman"/>
          <w:color w:val="000000"/>
          <w:sz w:val="20"/>
          <w:szCs w:val="20"/>
        </w:rPr>
        <w:t>with popular mobile operating systems, networks, technologies, products, and standards that we do not control, such as the Android and iOS operating systems and mobile browsers. Changes, bugs, or technical issues in such systems, or changes in our relation</w:t>
      </w:r>
      <w:r>
        <w:rPr>
          <w:rFonts w:ascii="Times New Roman" w:eastAsia="宋体" w:hAnsi="Times New Roman"/>
          <w:color w:val="000000"/>
          <w:sz w:val="20"/>
          <w:szCs w:val="20"/>
        </w:rPr>
        <w:t>ships with mobile operating system partners, handset manufacturers, browser developers, or mobile carriers, or in the content or application of their terms of service or policies (which they have made in the past and continue to seek to implement) that deg</w:t>
      </w:r>
      <w:r>
        <w:rPr>
          <w:rFonts w:ascii="Times New Roman" w:eastAsia="宋体" w:hAnsi="Times New Roman"/>
          <w:color w:val="000000"/>
          <w:sz w:val="20"/>
          <w:szCs w:val="20"/>
        </w:rPr>
        <w:t>rade our products' functionality, reduce or eliminate our ability to update or distribute our products, give preferential treatment to competitive products, limit our ability to deliver, target, or measure the effectiveness of ads, or charge fees related t</w:t>
      </w:r>
      <w:r>
        <w:rPr>
          <w:rFonts w:ascii="Times New Roman" w:eastAsia="宋体" w:hAnsi="Times New Roman"/>
          <w:color w:val="000000"/>
          <w:sz w:val="20"/>
          <w:szCs w:val="20"/>
        </w:rPr>
        <w:t xml:space="preserve">o the distribution of our products or our delivery of ads have in the past adversely affected, and could in the future adversely affect, </w:t>
      </w:r>
    </w:p>
    <w:p w14:paraId="5CD8E062" w14:textId="77777777" w:rsidR="00BA49F5" w:rsidRDefault="007E5E49">
      <w:pPr>
        <w:jc w:val="center"/>
      </w:pPr>
      <w:r>
        <w:rPr>
          <w:rFonts w:ascii="Times New Roman" w:eastAsia="宋体" w:hAnsi="Times New Roman"/>
          <w:color w:val="000000"/>
          <w:sz w:val="20"/>
          <w:szCs w:val="20"/>
        </w:rPr>
        <w:t>19</w:t>
      </w:r>
    </w:p>
    <w:p w14:paraId="5CD8E063" w14:textId="77777777" w:rsidR="00BA49F5" w:rsidRDefault="007E5E49">
      <w:r>
        <w:pict w14:anchorId="5CD90CDE">
          <v:rect id="_x0000_i1043" style="width:415.3pt;height:1.5pt" o:hralign="center" o:hrstd="t" o:hr="t" fillcolor="#a0a0a0" stroked="f"/>
        </w:pict>
      </w:r>
    </w:p>
    <w:p w14:paraId="5CD8E064" w14:textId="77777777" w:rsidR="00BA49F5" w:rsidRDefault="00BA49F5"/>
    <w:p w14:paraId="5CD8E065" w14:textId="77777777" w:rsidR="00BA49F5" w:rsidRDefault="00BA49F5"/>
    <w:p w14:paraId="5CD8E066" w14:textId="77777777" w:rsidR="00BA49F5" w:rsidRDefault="007E5E49">
      <w:hyperlink r:id="rId118" w:anchor="i6df229dad1864210ab76200083e26819_7" w:history="1">
        <w:r>
          <w:rPr>
            <w:rStyle w:val="a5"/>
            <w:rFonts w:ascii="Times New Roman" w:eastAsia="宋体" w:hAnsi="Times New Roman"/>
            <w:sz w:val="20"/>
            <w:szCs w:val="20"/>
          </w:rPr>
          <w:t>T</w:t>
        </w:r>
      </w:hyperlink>
      <w:hyperlink r:id="rId119" w:anchor="i6df229dad1864210ab76200083e26819_7" w:history="1">
        <w:r>
          <w:rPr>
            <w:rStyle w:val="a5"/>
            <w:rFonts w:ascii="Times New Roman" w:eastAsia="宋体" w:hAnsi="Times New Roman"/>
            <w:sz w:val="20"/>
            <w:szCs w:val="20"/>
          </w:rPr>
          <w:t>able of Contents</w:t>
        </w:r>
      </w:hyperlink>
    </w:p>
    <w:p w14:paraId="5CD8E067" w14:textId="77777777" w:rsidR="00BA49F5" w:rsidRDefault="007E5E49">
      <w:pPr>
        <w:jc w:val="both"/>
      </w:pPr>
      <w:r>
        <w:rPr>
          <w:rFonts w:ascii="Times New Roman" w:eastAsia="宋体" w:hAnsi="Times New Roman"/>
          <w:color w:val="000000"/>
          <w:sz w:val="20"/>
          <w:szCs w:val="20"/>
        </w:rPr>
        <w:t xml:space="preserve">the usage of our products and monetization </w:t>
      </w:r>
      <w:r>
        <w:rPr>
          <w:rFonts w:ascii="Times New Roman" w:eastAsia="宋体" w:hAnsi="Times New Roman"/>
          <w:color w:val="000000"/>
          <w:sz w:val="20"/>
          <w:szCs w:val="20"/>
        </w:rPr>
        <w:t>on mobile devices. For example, Apple previously released an update to its Safari browser that limits the use of third-party cookies, which reduces our ability to provide the most relevant ads to our users and impacts monetization, and also released change</w:t>
      </w:r>
      <w:r>
        <w:rPr>
          <w:rFonts w:ascii="Times New Roman" w:eastAsia="宋体" w:hAnsi="Times New Roman"/>
          <w:color w:val="000000"/>
          <w:sz w:val="20"/>
          <w:szCs w:val="20"/>
        </w:rPr>
        <w:t>s to iOS that limit our ability to target and measure ads effectively, while expanding their own advertising business. We expect that any similar changes to its, Google's, or other browser or mobile platforms will further limit our ability to target and me</w:t>
      </w:r>
      <w:r>
        <w:rPr>
          <w:rFonts w:ascii="Times New Roman" w:eastAsia="宋体" w:hAnsi="Times New Roman"/>
          <w:color w:val="000000"/>
          <w:sz w:val="20"/>
          <w:szCs w:val="20"/>
        </w:rPr>
        <w:t>asure the effectiveness of ads and impact monetization. Additionally, in order to deliver high quality mobile products, it is important that our products work well with a range of mobile technologies, products, systems, networks, and standards that we do n</w:t>
      </w:r>
      <w:r>
        <w:rPr>
          <w:rFonts w:ascii="Times New Roman" w:eastAsia="宋体" w:hAnsi="Times New Roman"/>
          <w:color w:val="000000"/>
          <w:sz w:val="20"/>
          <w:szCs w:val="20"/>
        </w:rPr>
        <w:t>ot control, and that we have good relationships with handset manufacturers, mobile carriers, and browser developers. We may not be successful in maintaining or developing relationships with key participants in the mobile ecosystem or in developing products</w:t>
      </w:r>
      <w:r>
        <w:rPr>
          <w:rFonts w:ascii="Times New Roman" w:eastAsia="宋体" w:hAnsi="Times New Roman"/>
          <w:color w:val="000000"/>
          <w:sz w:val="20"/>
          <w:szCs w:val="20"/>
        </w:rPr>
        <w:t xml:space="preserve"> that operate effectively with these technologies, products, systems, networks, or standards. In the event that it is more difficult for our users to access and use our products on their mobile devices, or if our users choose not to access or use our produ</w:t>
      </w:r>
      <w:r>
        <w:rPr>
          <w:rFonts w:ascii="Times New Roman" w:eastAsia="宋体" w:hAnsi="Times New Roman"/>
          <w:color w:val="000000"/>
          <w:sz w:val="20"/>
          <w:szCs w:val="20"/>
        </w:rPr>
        <w:t>cts on their mobile devices or use mobile products that do not offer access to our products, our user growth and user engagement could be harmed. From time to time, we may also take actions regarding the distribution of our products or the operation of our</w:t>
      </w:r>
      <w:r>
        <w:rPr>
          <w:rFonts w:ascii="Times New Roman" w:eastAsia="宋体" w:hAnsi="Times New Roman"/>
          <w:color w:val="000000"/>
          <w:sz w:val="20"/>
          <w:szCs w:val="20"/>
        </w:rPr>
        <w:t xml:space="preserve"> business based on what we believe to be in our long-term best interests. Such actions may adversely affect our users and our relationships with the operators of mobile operating systems, handset manufacturers, mobile carriers, browser developers, other bu</w:t>
      </w:r>
      <w:r>
        <w:rPr>
          <w:rFonts w:ascii="Times New Roman" w:eastAsia="宋体" w:hAnsi="Times New Roman"/>
          <w:color w:val="000000"/>
          <w:sz w:val="20"/>
          <w:szCs w:val="20"/>
        </w:rPr>
        <w:t>siness partners, or advertisers, and there is no assurance that these actions will result in the anticipated long-term benefits. In the event that our users are adversely affected by these actions or if our relationships with such third parties deteriorate</w:t>
      </w:r>
      <w:r>
        <w:rPr>
          <w:rFonts w:ascii="Times New Roman" w:eastAsia="宋体" w:hAnsi="Times New Roman"/>
          <w:color w:val="000000"/>
          <w:sz w:val="20"/>
          <w:szCs w:val="20"/>
        </w:rPr>
        <w:t xml:space="preserve">, our user growth, engagement, and monetization could be adversely affected and our business could be harmed. We have in the past experienced challenges in operating with mobile operating systems, networks, technologies, products, and standards that we do </w:t>
      </w:r>
      <w:r>
        <w:rPr>
          <w:rFonts w:ascii="Times New Roman" w:eastAsia="宋体" w:hAnsi="Times New Roman"/>
          <w:color w:val="000000"/>
          <w:sz w:val="20"/>
          <w:szCs w:val="20"/>
        </w:rPr>
        <w:t>not control, and any such occurrences in the future may negatively impact our user growth, engagement, and monetization on mobile devices, which may in turn materially and adversely affect our business and financial results.</w:t>
      </w:r>
    </w:p>
    <w:p w14:paraId="5CD8E068" w14:textId="77777777" w:rsidR="00BA49F5" w:rsidRDefault="00BA49F5">
      <w:pPr>
        <w:ind w:firstLine="540"/>
        <w:jc w:val="both"/>
      </w:pPr>
    </w:p>
    <w:p w14:paraId="5CD8E069" w14:textId="77777777" w:rsidR="00BA49F5" w:rsidRDefault="007E5E49">
      <w:pPr>
        <w:jc w:val="both"/>
      </w:pPr>
      <w:r>
        <w:rPr>
          <w:rFonts w:ascii="Times New Roman" w:eastAsia="宋体" w:hAnsi="Times New Roman"/>
          <w:b/>
          <w:bCs/>
          <w:i/>
          <w:iCs/>
          <w:color w:val="000000"/>
          <w:sz w:val="20"/>
          <w:szCs w:val="20"/>
        </w:rPr>
        <w:t>Our new products and changes t</w:t>
      </w:r>
      <w:r>
        <w:rPr>
          <w:rFonts w:ascii="Times New Roman" w:eastAsia="宋体" w:hAnsi="Times New Roman"/>
          <w:b/>
          <w:bCs/>
          <w:i/>
          <w:iCs/>
          <w:color w:val="000000"/>
          <w:sz w:val="20"/>
          <w:szCs w:val="20"/>
        </w:rPr>
        <w:t>o existing products could fail to attract or retain users or generate revenue and profits, or otherwise adversely affect our business.</w:t>
      </w:r>
    </w:p>
    <w:p w14:paraId="5CD8E06A" w14:textId="77777777" w:rsidR="00BA49F5" w:rsidRDefault="00BA49F5">
      <w:pPr>
        <w:ind w:firstLine="540"/>
        <w:jc w:val="both"/>
      </w:pPr>
    </w:p>
    <w:p w14:paraId="5CD8E06B" w14:textId="77777777" w:rsidR="00BA49F5" w:rsidRDefault="007E5E49">
      <w:pPr>
        <w:ind w:firstLine="540"/>
        <w:jc w:val="both"/>
      </w:pPr>
      <w:r>
        <w:rPr>
          <w:rFonts w:ascii="Times New Roman" w:eastAsia="宋体" w:hAnsi="Times New Roman"/>
          <w:color w:val="000000"/>
          <w:sz w:val="20"/>
          <w:szCs w:val="20"/>
        </w:rPr>
        <w:t xml:space="preserve">Our ability to retain, increase, and engage our user base and to increase our revenue depends heavily on our ability to </w:t>
      </w:r>
      <w:r>
        <w:rPr>
          <w:rFonts w:ascii="Times New Roman" w:eastAsia="宋体" w:hAnsi="Times New Roman"/>
          <w:color w:val="000000"/>
          <w:sz w:val="20"/>
          <w:szCs w:val="20"/>
        </w:rPr>
        <w:t>continue to evolve our existing products and to create successful new products, both independently and in conjunction with developers or other third parties. We may introduce significant changes to our existing products or acquire or introduce new and unpr</w:t>
      </w:r>
      <w:r>
        <w:rPr>
          <w:rFonts w:ascii="Times New Roman" w:eastAsia="宋体" w:hAnsi="Times New Roman"/>
          <w:color w:val="000000"/>
          <w:sz w:val="20"/>
          <w:szCs w:val="20"/>
        </w:rPr>
        <w:t xml:space="preserve">oven products, including using technologies with which we have little or no prior development or operating experience. For example, we do not have significant experience with consumer hardware products or virtual or augmented reality technology, which may </w:t>
      </w:r>
      <w:r>
        <w:rPr>
          <w:rFonts w:ascii="Times New Roman" w:eastAsia="宋体" w:hAnsi="Times New Roman"/>
          <w:color w:val="000000"/>
          <w:sz w:val="20"/>
          <w:szCs w:val="20"/>
        </w:rPr>
        <w:t>adversely affect our ability to successfully develop and market these products and technologies. We continue to incur substantial costs, and we may not be successful in generating profits, in connection with these efforts. We are also making significant in</w:t>
      </w:r>
      <w:r>
        <w:rPr>
          <w:rFonts w:ascii="Times New Roman" w:eastAsia="宋体" w:hAnsi="Times New Roman"/>
          <w:color w:val="000000"/>
          <w:sz w:val="20"/>
          <w:szCs w:val="20"/>
        </w:rPr>
        <w:t>vestments in artificial intelligence (AI) initiatives, including to recommend relevant unconnected content across our products, enhance our advertising tools, and develop new product features using generative AI. These efforts, including the introduction o</w:t>
      </w:r>
      <w:r>
        <w:rPr>
          <w:rFonts w:ascii="Times New Roman" w:eastAsia="宋体" w:hAnsi="Times New Roman"/>
          <w:color w:val="000000"/>
          <w:sz w:val="20"/>
          <w:szCs w:val="20"/>
        </w:rPr>
        <w:t>f new products or changes to existing products, may result in new or enhanced governmental or regulatory scrutiny, litigation, ethical concerns, or other complications that could adversely affect our business, reputation, or financial results. We have also</w:t>
      </w:r>
      <w:r>
        <w:rPr>
          <w:rFonts w:ascii="Times New Roman" w:eastAsia="宋体" w:hAnsi="Times New Roman"/>
          <w:color w:val="000000"/>
          <w:sz w:val="20"/>
          <w:szCs w:val="20"/>
        </w:rPr>
        <w:t xml:space="preserve"> invested, and expect to continue to invest, significant resources in growing our messaging products to support increasing usage of such products. We have historically monetized messaging in only a limited fashion, and we may not be successful in our effor</w:t>
      </w:r>
      <w:r>
        <w:rPr>
          <w:rFonts w:ascii="Times New Roman" w:eastAsia="宋体" w:hAnsi="Times New Roman"/>
          <w:color w:val="000000"/>
          <w:sz w:val="20"/>
          <w:szCs w:val="20"/>
        </w:rPr>
        <w:t>ts to generate meaningful revenue or profits from messaging over the long term. In addition, we are moving forward with plans to implement end-to-end encryption across our messaging services, as well as facilitate cross-app communication between these plat</w:t>
      </w:r>
      <w:r>
        <w:rPr>
          <w:rFonts w:ascii="Times New Roman" w:eastAsia="宋体" w:hAnsi="Times New Roman"/>
          <w:color w:val="000000"/>
          <w:sz w:val="20"/>
          <w:szCs w:val="20"/>
        </w:rPr>
        <w:t>forms, which are subject to governmental and regulatory scrutiny in multiple jurisdictions. If our new products or changes to existing products fail to engage users, marketers, or developers, or if our business plans are unsuccessful, we may fail to attrac</w:t>
      </w:r>
      <w:r>
        <w:rPr>
          <w:rFonts w:ascii="Times New Roman" w:eastAsia="宋体" w:hAnsi="Times New Roman"/>
          <w:color w:val="000000"/>
          <w:sz w:val="20"/>
          <w:szCs w:val="20"/>
        </w:rPr>
        <w:t>t or retain users or to generate sufficient revenue, operating margin, or other value to justify our investments, and our business may be adversely affected.</w:t>
      </w:r>
    </w:p>
    <w:p w14:paraId="5CD8E06C" w14:textId="77777777" w:rsidR="00BA49F5" w:rsidRDefault="00BA49F5">
      <w:pPr>
        <w:jc w:val="both"/>
      </w:pPr>
    </w:p>
    <w:p w14:paraId="5CD8E06D" w14:textId="77777777" w:rsidR="00BA49F5" w:rsidRDefault="007E5E49">
      <w:pPr>
        <w:jc w:val="both"/>
      </w:pPr>
      <w:r>
        <w:rPr>
          <w:rFonts w:ascii="Times New Roman" w:eastAsia="宋体" w:hAnsi="Times New Roman"/>
          <w:b/>
          <w:bCs/>
          <w:i/>
          <w:iCs/>
          <w:color w:val="000000"/>
          <w:sz w:val="20"/>
          <w:szCs w:val="20"/>
        </w:rPr>
        <w:t>We make product and investment decisions that may not prioritize short-term financial results and</w:t>
      </w:r>
      <w:r>
        <w:rPr>
          <w:rFonts w:ascii="Times New Roman" w:eastAsia="宋体" w:hAnsi="Times New Roman"/>
          <w:b/>
          <w:bCs/>
          <w:i/>
          <w:iCs/>
          <w:color w:val="000000"/>
          <w:sz w:val="20"/>
          <w:szCs w:val="20"/>
        </w:rPr>
        <w:t xml:space="preserve"> may not produce the long-term benefits that we expect.</w:t>
      </w:r>
    </w:p>
    <w:p w14:paraId="5CD8E06E" w14:textId="77777777" w:rsidR="00BA49F5" w:rsidRDefault="00BA49F5">
      <w:pPr>
        <w:jc w:val="both"/>
      </w:pPr>
    </w:p>
    <w:p w14:paraId="5CD8E06F" w14:textId="77777777" w:rsidR="00BA49F5" w:rsidRDefault="007E5E49">
      <w:pPr>
        <w:ind w:firstLine="540"/>
        <w:jc w:val="both"/>
      </w:pPr>
      <w:r>
        <w:rPr>
          <w:rFonts w:ascii="Times New Roman" w:eastAsia="宋体" w:hAnsi="Times New Roman"/>
          <w:color w:val="000000"/>
          <w:sz w:val="20"/>
          <w:szCs w:val="20"/>
        </w:rPr>
        <w:t>We frequently make product and investment decisions that may not prioritize short-term financial results if we believe that the decisions are consistent with our mission and benefit the aggregate use</w:t>
      </w:r>
      <w:r>
        <w:rPr>
          <w:rFonts w:ascii="Times New Roman" w:eastAsia="宋体" w:hAnsi="Times New Roman"/>
          <w:color w:val="000000"/>
          <w:sz w:val="20"/>
          <w:szCs w:val="20"/>
        </w:rPr>
        <w:t>r experience and will thereby improve our financial performance over the long term. For example, we have implemented, and we will continue to implement, changes to our user data practices. Some of these changes reduce our ability to effectively target ads,</w:t>
      </w:r>
      <w:r>
        <w:rPr>
          <w:rFonts w:ascii="Times New Roman" w:eastAsia="宋体" w:hAnsi="Times New Roman"/>
          <w:color w:val="000000"/>
          <w:sz w:val="20"/>
          <w:szCs w:val="20"/>
        </w:rPr>
        <w:t xml:space="preserve"> which has to some extent adversely affected, and will continue to adversely affect, our advertising business. For example, our Off-Facebook Activity tool enables users to place limits on our storage and use of information about their interactions with adv</w:t>
      </w:r>
      <w:r>
        <w:rPr>
          <w:rFonts w:ascii="Times New Roman" w:eastAsia="宋体" w:hAnsi="Times New Roman"/>
          <w:color w:val="000000"/>
          <w:sz w:val="20"/>
          <w:szCs w:val="20"/>
        </w:rPr>
        <w:t>ertisers' apps and websites, which reduces our ability to deliver the most relevant and effective ads to our users. Similarly, from time to time we update our feed display and ranking algorithms or other product features to optimize the user experience, an</w:t>
      </w:r>
      <w:r>
        <w:rPr>
          <w:rFonts w:ascii="Times New Roman" w:eastAsia="宋体" w:hAnsi="Times New Roman"/>
          <w:color w:val="000000"/>
          <w:sz w:val="20"/>
          <w:szCs w:val="20"/>
        </w:rPr>
        <w:t xml:space="preserve">d these changes have had, and </w:t>
      </w:r>
    </w:p>
    <w:p w14:paraId="5CD8E070" w14:textId="77777777" w:rsidR="00BA49F5" w:rsidRDefault="007E5E49">
      <w:pPr>
        <w:jc w:val="center"/>
      </w:pPr>
      <w:r>
        <w:rPr>
          <w:rFonts w:ascii="Times New Roman" w:eastAsia="宋体" w:hAnsi="Times New Roman"/>
          <w:color w:val="000000"/>
          <w:sz w:val="20"/>
          <w:szCs w:val="20"/>
        </w:rPr>
        <w:t>20</w:t>
      </w:r>
    </w:p>
    <w:p w14:paraId="5CD8E071" w14:textId="77777777" w:rsidR="00BA49F5" w:rsidRDefault="007E5E49">
      <w:r>
        <w:pict w14:anchorId="5CD90CDF">
          <v:rect id="_x0000_i1044" style="width:415.3pt;height:1.5pt" o:hralign="center" o:hrstd="t" o:hr="t" fillcolor="#a0a0a0" stroked="f"/>
        </w:pict>
      </w:r>
    </w:p>
    <w:p w14:paraId="5CD8E072" w14:textId="77777777" w:rsidR="00BA49F5" w:rsidRDefault="00BA49F5"/>
    <w:p w14:paraId="5CD8E073" w14:textId="77777777" w:rsidR="00BA49F5" w:rsidRDefault="00BA49F5"/>
    <w:p w14:paraId="5CD8E074" w14:textId="77777777" w:rsidR="00BA49F5" w:rsidRDefault="007E5E49">
      <w:hyperlink r:id="rId120" w:anchor="i6df229dad1864210ab76200083e26819_7" w:history="1">
        <w:r>
          <w:rPr>
            <w:rStyle w:val="a5"/>
            <w:rFonts w:ascii="Times New Roman" w:eastAsia="宋体" w:hAnsi="Times New Roman"/>
            <w:sz w:val="20"/>
            <w:szCs w:val="20"/>
          </w:rPr>
          <w:t>T</w:t>
        </w:r>
      </w:hyperlink>
      <w:hyperlink r:id="rId121" w:anchor="i6df229dad1864210ab76200083e26819_7" w:history="1">
        <w:r>
          <w:rPr>
            <w:rStyle w:val="a5"/>
            <w:rFonts w:ascii="Times New Roman" w:eastAsia="宋体" w:hAnsi="Times New Roman"/>
            <w:sz w:val="20"/>
            <w:szCs w:val="20"/>
          </w:rPr>
          <w:t>able of Contents</w:t>
        </w:r>
      </w:hyperlink>
    </w:p>
    <w:p w14:paraId="5CD8E075" w14:textId="77777777" w:rsidR="00BA49F5" w:rsidRDefault="007E5E49">
      <w:pPr>
        <w:jc w:val="both"/>
      </w:pPr>
      <w:r>
        <w:rPr>
          <w:rFonts w:ascii="Times New Roman" w:eastAsia="宋体" w:hAnsi="Times New Roman"/>
          <w:color w:val="000000"/>
          <w:sz w:val="20"/>
          <w:szCs w:val="20"/>
        </w:rPr>
        <w:t>may in the future have, the effect of reducing time spent and some measures of user engagement with our products, which could adversely affect our fin</w:t>
      </w:r>
      <w:r>
        <w:rPr>
          <w:rFonts w:ascii="Times New Roman" w:eastAsia="宋体" w:hAnsi="Times New Roman"/>
          <w:color w:val="000000"/>
          <w:sz w:val="20"/>
          <w:szCs w:val="20"/>
        </w:rPr>
        <w:t>ancial results. From time to time, we also change the size, frequency, or relative prominence of ads as part of our product and monetization strategies. In addition, we have made, and we expect to continue to make, other changes to our products which may a</w:t>
      </w:r>
      <w:r>
        <w:rPr>
          <w:rFonts w:ascii="Times New Roman" w:eastAsia="宋体" w:hAnsi="Times New Roman"/>
          <w:color w:val="000000"/>
          <w:sz w:val="20"/>
          <w:szCs w:val="20"/>
        </w:rPr>
        <w:t>dversely affect the distribution of content of publishers, marketers, and developers, and could reduce their incentive to invest in their efforts on our products. We also may introduce new features or other changes to existing products, or introduce new st</w:t>
      </w:r>
      <w:r>
        <w:rPr>
          <w:rFonts w:ascii="Times New Roman" w:eastAsia="宋体" w:hAnsi="Times New Roman"/>
          <w:color w:val="000000"/>
          <w:sz w:val="20"/>
          <w:szCs w:val="20"/>
        </w:rPr>
        <w:t>and-alone products, that attract users away from properties, formats, or use cases where we have more proven means of monetization, such as our feed products. In addition, as we focus on growing users and engagement across our family of products, from time</w:t>
      </w:r>
      <w:r>
        <w:rPr>
          <w:rFonts w:ascii="Times New Roman" w:eastAsia="宋体" w:hAnsi="Times New Roman"/>
          <w:color w:val="000000"/>
          <w:sz w:val="20"/>
          <w:szCs w:val="20"/>
        </w:rPr>
        <w:t xml:space="preserve"> to time these efforts have reduced, and may in the future reduce, engagement with one or more products and services in favor of other products or services that we monetize less successfully or that are not growing as quickly. For example, we plan to conti</w:t>
      </w:r>
      <w:r>
        <w:rPr>
          <w:rFonts w:ascii="Times New Roman" w:eastAsia="宋体" w:hAnsi="Times New Roman"/>
          <w:color w:val="000000"/>
          <w:sz w:val="20"/>
          <w:szCs w:val="20"/>
        </w:rPr>
        <w:t>nue to promote Reels, which we do not currently monetize at the same rate as our feed or Stories products. These decisions may adversely affect our business and results of operations and may not produce the long-term benefits that we expect.</w:t>
      </w:r>
    </w:p>
    <w:p w14:paraId="5CD8E076" w14:textId="77777777" w:rsidR="00BA49F5" w:rsidRDefault="00BA49F5">
      <w:pPr>
        <w:ind w:firstLine="540"/>
        <w:jc w:val="both"/>
      </w:pPr>
    </w:p>
    <w:p w14:paraId="5CD8E077" w14:textId="77777777" w:rsidR="00BA49F5" w:rsidRDefault="007E5E49">
      <w:pPr>
        <w:jc w:val="both"/>
      </w:pPr>
      <w:r>
        <w:rPr>
          <w:rFonts w:ascii="Times New Roman" w:eastAsia="宋体" w:hAnsi="Times New Roman"/>
          <w:b/>
          <w:bCs/>
          <w:i/>
          <w:iCs/>
          <w:color w:val="000000"/>
          <w:sz w:val="20"/>
          <w:szCs w:val="20"/>
        </w:rPr>
        <w:t>We may not be</w:t>
      </w:r>
      <w:r>
        <w:rPr>
          <w:rFonts w:ascii="Times New Roman" w:eastAsia="宋体" w:hAnsi="Times New Roman"/>
          <w:b/>
          <w:bCs/>
          <w:i/>
          <w:iCs/>
          <w:color w:val="000000"/>
          <w:sz w:val="20"/>
          <w:szCs w:val="20"/>
        </w:rPr>
        <w:t xml:space="preserve"> successful in our metaverse strategy and investments, which could adversely affect our business, reputation, or financial results.</w:t>
      </w:r>
    </w:p>
    <w:p w14:paraId="5CD8E078" w14:textId="77777777" w:rsidR="00BA49F5" w:rsidRDefault="00BA49F5"/>
    <w:p w14:paraId="5CD8E079" w14:textId="77777777" w:rsidR="00BA49F5" w:rsidRDefault="007E5E49">
      <w:pPr>
        <w:ind w:firstLine="540"/>
        <w:jc w:val="both"/>
      </w:pPr>
      <w:r>
        <w:rPr>
          <w:rFonts w:ascii="Times New Roman" w:eastAsia="宋体" w:hAnsi="Times New Roman"/>
          <w:color w:val="000000"/>
          <w:sz w:val="20"/>
          <w:szCs w:val="20"/>
        </w:rPr>
        <w:t>We believe the metaverse, an embodied internet where people have immersive experiences beyond two-dimensional screens, is t</w:t>
      </w:r>
      <w:r>
        <w:rPr>
          <w:rFonts w:ascii="Times New Roman" w:eastAsia="宋体" w:hAnsi="Times New Roman"/>
          <w:color w:val="000000"/>
          <w:sz w:val="20"/>
          <w:szCs w:val="20"/>
        </w:rPr>
        <w:t>he next evolution in social technology. In 2021, we announced a shift in our business and product strategy to focus on helping to bring the metaverse to life. We expect this will b</w:t>
      </w:r>
      <w:r>
        <w:rPr>
          <w:rFonts w:ascii="Times New Roman" w:eastAsia="宋体" w:hAnsi="Times New Roman"/>
          <w:color w:val="000000"/>
          <w:sz w:val="20"/>
          <w:szCs w:val="20"/>
          <w:shd w:val="clear" w:color="auto" w:fill="FFFFFF"/>
        </w:rPr>
        <w:t>e a complex, evolving, and long-term initiative that will involve the develo</w:t>
      </w:r>
      <w:r>
        <w:rPr>
          <w:rFonts w:ascii="Times New Roman" w:eastAsia="宋体" w:hAnsi="Times New Roman"/>
          <w:color w:val="000000"/>
          <w:sz w:val="20"/>
          <w:szCs w:val="20"/>
          <w:shd w:val="clear" w:color="auto" w:fill="FFFFFF"/>
        </w:rPr>
        <w:t>pment of new and emerging technologies, continued investment in infrastructure as well as pri</w:t>
      </w:r>
      <w:r>
        <w:rPr>
          <w:rFonts w:ascii="Times New Roman" w:eastAsia="宋体" w:hAnsi="Times New Roman"/>
          <w:color w:val="000000"/>
          <w:sz w:val="20"/>
          <w:szCs w:val="20"/>
        </w:rPr>
        <w:t xml:space="preserve">vacy, safety, and security efforts, and collaboration with other companies, developers, partners, and other participants. However, the metaverse may not </w:t>
      </w:r>
      <w:r>
        <w:rPr>
          <w:rFonts w:ascii="Times New Roman" w:eastAsia="宋体" w:hAnsi="Times New Roman"/>
          <w:color w:val="000000"/>
          <w:sz w:val="20"/>
          <w:szCs w:val="20"/>
        </w:rPr>
        <w:t>develop in accordance with our expectations, and market acceptance of features, products, or services we build for the metaverse is uncertain. We regularly evaluate our product roadmaps and make significant changes as our understanding of the technological</w:t>
      </w:r>
      <w:r>
        <w:rPr>
          <w:rFonts w:ascii="Times New Roman" w:eastAsia="宋体" w:hAnsi="Times New Roman"/>
          <w:color w:val="000000"/>
          <w:sz w:val="20"/>
          <w:szCs w:val="20"/>
        </w:rPr>
        <w:t xml:space="preserve"> challenges and market landscape and our product ideas and designs evolve. In addition, we have limited experience with consumer hardware products and virtual and augmented reality technology, which may enable other companies to compete more effectively th</w:t>
      </w:r>
      <w:r>
        <w:rPr>
          <w:rFonts w:ascii="Times New Roman" w:eastAsia="宋体" w:hAnsi="Times New Roman"/>
          <w:color w:val="000000"/>
          <w:sz w:val="20"/>
          <w:szCs w:val="20"/>
        </w:rPr>
        <w:t>an us. We may be unsuccessful in our research and product development efforts, including if we are unable to develop relationships with key participants in the metaverse or develop products that operate effectively with metaverse technologies, products, sy</w:t>
      </w:r>
      <w:r>
        <w:rPr>
          <w:rFonts w:ascii="Times New Roman" w:eastAsia="宋体" w:hAnsi="Times New Roman"/>
          <w:color w:val="000000"/>
          <w:sz w:val="20"/>
          <w:szCs w:val="20"/>
        </w:rPr>
        <w:t>stems, networks, or standards. Our metaverse efforts may also divert resources and management attention from other areas of our business. We expect to continue to make significant investments in virtual and augmented reality and other technologies to suppo</w:t>
      </w:r>
      <w:r>
        <w:rPr>
          <w:rFonts w:ascii="Times New Roman" w:eastAsia="宋体" w:hAnsi="Times New Roman"/>
          <w:color w:val="000000"/>
          <w:sz w:val="20"/>
          <w:szCs w:val="20"/>
        </w:rPr>
        <w:t xml:space="preserve">rt these efforts, and our ability to support these efforts is dependent on generating sufficient profits from other areas of our business. In addition, as our metaverse efforts evolve, we may be subject to a variety of existing or new laws and regulations </w:t>
      </w:r>
      <w:r>
        <w:rPr>
          <w:rFonts w:ascii="Times New Roman" w:eastAsia="宋体" w:hAnsi="Times New Roman"/>
          <w:color w:val="000000"/>
          <w:sz w:val="20"/>
          <w:szCs w:val="20"/>
        </w:rPr>
        <w:t>in the United States and international jurisdictions, including in the areas of privacy, safety, competition, content regulation, consumer protection, and e-commerce, which may delay or impede the development of our products and services, increase our oper</w:t>
      </w:r>
      <w:r>
        <w:rPr>
          <w:rFonts w:ascii="Times New Roman" w:eastAsia="宋体" w:hAnsi="Times New Roman"/>
          <w:color w:val="000000"/>
          <w:sz w:val="20"/>
          <w:szCs w:val="20"/>
        </w:rPr>
        <w:t xml:space="preserve">ating costs, require significant management time and attention, or otherwise harm our business. As a result of these or other factors, our metaverse strategy and investments may not be successful in the foreseeable future, or at all, which could adversely </w:t>
      </w:r>
      <w:r>
        <w:rPr>
          <w:rFonts w:ascii="Times New Roman" w:eastAsia="宋体" w:hAnsi="Times New Roman"/>
          <w:color w:val="000000"/>
          <w:sz w:val="20"/>
          <w:szCs w:val="20"/>
        </w:rPr>
        <w:t>affect our business, reputation, or financial results.</w:t>
      </w:r>
    </w:p>
    <w:p w14:paraId="5CD8E07A" w14:textId="77777777" w:rsidR="00BA49F5" w:rsidRDefault="00BA49F5"/>
    <w:p w14:paraId="5CD8E07B" w14:textId="77777777" w:rsidR="00BA49F5" w:rsidRDefault="007E5E49">
      <w:r>
        <w:rPr>
          <w:rFonts w:ascii="Times New Roman" w:eastAsia="宋体" w:hAnsi="Times New Roman"/>
          <w:b/>
          <w:bCs/>
          <w:i/>
          <w:iCs/>
          <w:color w:val="000000"/>
          <w:sz w:val="20"/>
          <w:szCs w:val="20"/>
        </w:rPr>
        <w:t>If we are not able to maintain and enhance our brands, our ability to expand our base of users, marketers, and developers may be impaired, and our business and financial results may be harmed.</w:t>
      </w:r>
    </w:p>
    <w:p w14:paraId="5CD8E07C" w14:textId="77777777" w:rsidR="00BA49F5" w:rsidRDefault="00BA49F5">
      <w:pPr>
        <w:jc w:val="both"/>
      </w:pPr>
    </w:p>
    <w:p w14:paraId="5CD8E07D" w14:textId="77777777" w:rsidR="00BA49F5" w:rsidRDefault="007E5E49">
      <w:pPr>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critical to expanding our base of users, marketers, and developers. Many of our new users are referred by</w:t>
      </w:r>
      <w:r>
        <w:rPr>
          <w:rFonts w:ascii="Times New Roman" w:eastAsia="宋体" w:hAnsi="Times New Roman"/>
          <w:color w:val="000000"/>
          <w:sz w:val="20"/>
          <w:szCs w:val="20"/>
        </w:rPr>
        <w:t xml:space="preserve"> existing users. Maintaining and enhancing our brands will depend largely on our ability to continue to provide useful, reliable, trustworthy, and innovative products, which we may not do successfully. We may introduce new products or terms of service or p</w:t>
      </w:r>
      <w:r>
        <w:rPr>
          <w:rFonts w:ascii="Times New Roman" w:eastAsia="宋体" w:hAnsi="Times New Roman"/>
          <w:color w:val="000000"/>
          <w:sz w:val="20"/>
          <w:szCs w:val="20"/>
        </w:rPr>
        <w:t xml:space="preserve">olicies that users do not like, which may negatively affect our brands. Additionally, the actions of our developers or advertisers may affect our brands if users do not have a positive experience using third-party applications integrated with our products </w:t>
      </w:r>
      <w:r>
        <w:rPr>
          <w:rFonts w:ascii="Times New Roman" w:eastAsia="宋体" w:hAnsi="Times New Roman"/>
          <w:color w:val="000000"/>
          <w:sz w:val="20"/>
          <w:szCs w:val="20"/>
        </w:rPr>
        <w:t>or interacting with parties that advertise through our products. We will also continue to experience media, legislative, or regulatory scrutiny of our actions or decisions regarding user privacy, data use, encryption, content, product design, algorithms, a</w:t>
      </w:r>
      <w:r>
        <w:rPr>
          <w:rFonts w:ascii="Times New Roman" w:eastAsia="宋体" w:hAnsi="Times New Roman"/>
          <w:color w:val="000000"/>
          <w:sz w:val="20"/>
          <w:szCs w:val="20"/>
        </w:rPr>
        <w:t>dvertising, competition, and other issues, including actions or decisions in connection with elections, the COVID-19 pandemic, or geopolitical events, which has in the past adversely affected, and may in the future adversely affect, our reputation and bran</w:t>
      </w:r>
      <w:r>
        <w:rPr>
          <w:rFonts w:ascii="Times New Roman" w:eastAsia="宋体" w:hAnsi="Times New Roman"/>
          <w:color w:val="000000"/>
          <w:sz w:val="20"/>
          <w:szCs w:val="20"/>
        </w:rPr>
        <w:t>ds. For example, beginning in September 2021, we became the subject of media, legislative, and regulatory scrutiny as a result of a former employee's allegations and release of internal company documents relating to, among other things, our algorithms, adv</w:t>
      </w:r>
      <w:r>
        <w:rPr>
          <w:rFonts w:ascii="Times New Roman" w:eastAsia="宋体" w:hAnsi="Times New Roman"/>
          <w:color w:val="000000"/>
          <w:sz w:val="20"/>
          <w:szCs w:val="20"/>
        </w:rPr>
        <w:t>ertising and user metrics, and content enforcement practices, as well as misinformation and other undesirable activity on our platform, and user well-being. In addition, in March 2018, we announced developments regarding the misuse of certain data by a dev</w:t>
      </w:r>
      <w:r>
        <w:rPr>
          <w:rFonts w:ascii="Times New Roman" w:eastAsia="宋体" w:hAnsi="Times New Roman"/>
          <w:color w:val="000000"/>
          <w:sz w:val="20"/>
          <w:szCs w:val="20"/>
        </w:rPr>
        <w:t xml:space="preserve">eloper that shared such data with third parties in </w:t>
      </w:r>
    </w:p>
    <w:p w14:paraId="5CD8E07E" w14:textId="77777777" w:rsidR="00BA49F5" w:rsidRDefault="007E5E49">
      <w:pPr>
        <w:jc w:val="center"/>
      </w:pPr>
      <w:r>
        <w:rPr>
          <w:rFonts w:ascii="Times New Roman" w:eastAsia="宋体" w:hAnsi="Times New Roman"/>
          <w:color w:val="000000"/>
          <w:sz w:val="20"/>
          <w:szCs w:val="20"/>
        </w:rPr>
        <w:t>21</w:t>
      </w:r>
    </w:p>
    <w:p w14:paraId="5CD8E07F" w14:textId="77777777" w:rsidR="00BA49F5" w:rsidRDefault="007E5E49">
      <w:r>
        <w:pict w14:anchorId="5CD90CE0">
          <v:rect id="_x0000_i1045" style="width:415.3pt;height:1.5pt" o:hralign="center" o:hrstd="t" o:hr="t" fillcolor="#a0a0a0" stroked="f"/>
        </w:pict>
      </w:r>
    </w:p>
    <w:p w14:paraId="5CD8E080" w14:textId="77777777" w:rsidR="00BA49F5" w:rsidRDefault="00BA49F5"/>
    <w:p w14:paraId="5CD8E081" w14:textId="77777777" w:rsidR="00BA49F5" w:rsidRDefault="00BA49F5"/>
    <w:p w14:paraId="5CD8E082" w14:textId="77777777" w:rsidR="00BA49F5" w:rsidRDefault="007E5E49">
      <w:hyperlink r:id="rId122" w:anchor="i6df229dad1864210ab76200083e26819_7" w:history="1">
        <w:r>
          <w:rPr>
            <w:rStyle w:val="a5"/>
            <w:rFonts w:ascii="Times New Roman" w:eastAsia="宋体" w:hAnsi="Times New Roman"/>
            <w:sz w:val="20"/>
            <w:szCs w:val="20"/>
          </w:rPr>
          <w:t>T</w:t>
        </w:r>
      </w:hyperlink>
      <w:hyperlink r:id="rId123" w:anchor="i6df229dad1864210ab76200083e26819_7" w:history="1">
        <w:r>
          <w:rPr>
            <w:rStyle w:val="a5"/>
            <w:rFonts w:ascii="Times New Roman" w:eastAsia="宋体" w:hAnsi="Times New Roman"/>
            <w:sz w:val="20"/>
            <w:szCs w:val="20"/>
          </w:rPr>
          <w:t>able of Contents</w:t>
        </w:r>
      </w:hyperlink>
    </w:p>
    <w:p w14:paraId="5CD8E083" w14:textId="77777777" w:rsidR="00BA49F5" w:rsidRDefault="007E5E49">
      <w:pPr>
        <w:jc w:val="both"/>
      </w:pPr>
      <w:r>
        <w:rPr>
          <w:rFonts w:ascii="Times New Roman" w:eastAsia="宋体" w:hAnsi="Times New Roman"/>
          <w:color w:val="000000"/>
          <w:sz w:val="20"/>
          <w:szCs w:val="20"/>
        </w:rPr>
        <w:t>violation of our terms and policies. We also may fail to respond expeditiously or appropriately to the sharing of objectionable c</w:t>
      </w:r>
      <w:r>
        <w:rPr>
          <w:rFonts w:ascii="Times New Roman" w:eastAsia="宋体" w:hAnsi="Times New Roman"/>
          <w:color w:val="000000"/>
          <w:sz w:val="20"/>
          <w:szCs w:val="20"/>
        </w:rPr>
        <w:t xml:space="preserve">ontent on our services or objectionable practices by advertisers or developers, or to otherwise enforce our policies or address user concerns, which has occurred in the past and which could erode confidence in our brands. Our brands may also be negatively </w:t>
      </w:r>
      <w:r>
        <w:rPr>
          <w:rFonts w:ascii="Times New Roman" w:eastAsia="宋体" w:hAnsi="Times New Roman"/>
          <w:color w:val="000000"/>
          <w:sz w:val="20"/>
          <w:szCs w:val="20"/>
        </w:rPr>
        <w:t>affected by the actions of users that are deemed to be hostile or inappropriate to other users, by the actions of users acting under false or inauthentic identities, by the use of our products or services to disseminate information that is deemed to be mis</w:t>
      </w:r>
      <w:r>
        <w:rPr>
          <w:rFonts w:ascii="Times New Roman" w:eastAsia="宋体" w:hAnsi="Times New Roman"/>
          <w:color w:val="000000"/>
          <w:sz w:val="20"/>
          <w:szCs w:val="20"/>
        </w:rPr>
        <w:t xml:space="preserve">leading (or intended to manipulate opinions), by perceived or actual efforts by governments to obtain access to user information for security-related purposes or to censor certain content on our platform, by the use of our products or services for illicit </w:t>
      </w:r>
      <w:r>
        <w:rPr>
          <w:rFonts w:ascii="Times New Roman" w:eastAsia="宋体" w:hAnsi="Times New Roman"/>
          <w:color w:val="000000"/>
          <w:sz w:val="20"/>
          <w:szCs w:val="20"/>
        </w:rPr>
        <w:t>or objectionable ends, including, for example, any such actions around the pandemic, geopolitical events, or elections in the United States and around the world, by decisions or recommendations regarding content on our platform from the independent Oversig</w:t>
      </w:r>
      <w:r>
        <w:rPr>
          <w:rFonts w:ascii="Times New Roman" w:eastAsia="宋体" w:hAnsi="Times New Roman"/>
          <w:color w:val="000000"/>
          <w:sz w:val="20"/>
          <w:szCs w:val="20"/>
        </w:rPr>
        <w:t>ht Board, by research or media reports concerning the perceived or actual impacts of our products or services on user well-being, or by our decisions regarding whether to remove content or suspend participation on our platform by persons who violate our co</w:t>
      </w:r>
      <w:r>
        <w:rPr>
          <w:rFonts w:ascii="Times New Roman" w:eastAsia="宋体" w:hAnsi="Times New Roman"/>
          <w:color w:val="000000"/>
          <w:sz w:val="20"/>
          <w:szCs w:val="20"/>
        </w:rPr>
        <w:t>mmunity standards or terms of service. Maintaining and enhancing our brands will require us to make substantial investments and these investments may not be successful. Certain of our actions, such as the foregoing matter regarding developer misuse of data</w:t>
      </w:r>
      <w:r>
        <w:rPr>
          <w:rFonts w:ascii="Times New Roman" w:eastAsia="宋体" w:hAnsi="Times New Roman"/>
          <w:color w:val="000000"/>
          <w:sz w:val="20"/>
          <w:szCs w:val="20"/>
        </w:rPr>
        <w:t xml:space="preserve"> and concerns around our handling of political speech and advertising, hate speech, and other content, as well as user well-being issues, have eroded confidence in our brands and may continue to do so in the future. If we fail to successfully promote and m</w:t>
      </w:r>
      <w:r>
        <w:rPr>
          <w:rFonts w:ascii="Times New Roman" w:eastAsia="宋体" w:hAnsi="Times New Roman"/>
          <w:color w:val="000000"/>
          <w:sz w:val="20"/>
          <w:szCs w:val="20"/>
        </w:rPr>
        <w:t>aintain our brands or if we incur excessive expenses in this effort, our business and financial results may be adversely affected.</w:t>
      </w:r>
    </w:p>
    <w:p w14:paraId="5CD8E084" w14:textId="77777777" w:rsidR="00BA49F5" w:rsidRDefault="00BA49F5">
      <w:pPr>
        <w:ind w:firstLine="540"/>
        <w:jc w:val="both"/>
      </w:pPr>
    </w:p>
    <w:p w14:paraId="5CD8E085" w14:textId="77777777" w:rsidR="00BA49F5" w:rsidRDefault="007E5E49">
      <w:pPr>
        <w:jc w:val="both"/>
      </w:pPr>
      <w:r>
        <w:rPr>
          <w:rFonts w:ascii="Times New Roman" w:eastAsia="宋体" w:hAnsi="Times New Roman"/>
          <w:b/>
          <w:bCs/>
          <w:i/>
          <w:iCs/>
          <w:color w:val="000000"/>
          <w:sz w:val="20"/>
          <w:szCs w:val="20"/>
        </w:rPr>
        <w:t>We may not be able to continue to successfully maintain or grow usage of and engagement with applications that integrate wit</w:t>
      </w:r>
      <w:r>
        <w:rPr>
          <w:rFonts w:ascii="Times New Roman" w:eastAsia="宋体" w:hAnsi="Times New Roman"/>
          <w:b/>
          <w:bCs/>
          <w:i/>
          <w:iCs/>
          <w:color w:val="000000"/>
          <w:sz w:val="20"/>
          <w:szCs w:val="20"/>
        </w:rPr>
        <w:t>h our products.</w:t>
      </w:r>
    </w:p>
    <w:p w14:paraId="5CD8E086" w14:textId="77777777" w:rsidR="00BA49F5" w:rsidRDefault="00BA49F5">
      <w:pPr>
        <w:ind w:firstLine="540"/>
        <w:jc w:val="both"/>
      </w:pPr>
    </w:p>
    <w:p w14:paraId="5CD8E087" w14:textId="77777777" w:rsidR="00BA49F5" w:rsidRDefault="007E5E49">
      <w:pPr>
        <w:ind w:firstLine="540"/>
        <w:jc w:val="both"/>
      </w:pPr>
      <w:r>
        <w:rPr>
          <w:rFonts w:ascii="Times New Roman" w:eastAsia="宋体" w:hAnsi="Times New Roman"/>
          <w:color w:val="000000"/>
          <w:sz w:val="20"/>
          <w:szCs w:val="20"/>
        </w:rPr>
        <w:t>We have made and are continuing to make investments to enable developers to build, grow, and monetize applications that integrate with our products. Such existing and prospective developers may not be successful in building, growing, or mo</w:t>
      </w:r>
      <w:r>
        <w:rPr>
          <w:rFonts w:ascii="Times New Roman" w:eastAsia="宋体" w:hAnsi="Times New Roman"/>
          <w:color w:val="000000"/>
          <w:sz w:val="20"/>
          <w:szCs w:val="20"/>
        </w:rPr>
        <w:t>netizing applications that create and maintain user engagement. Additionally, developers may choose to build on other platforms, including platforms controlled by third parties, rather than building products that integrate with our products. We are continu</w:t>
      </w:r>
      <w:r>
        <w:rPr>
          <w:rFonts w:ascii="Times New Roman" w:eastAsia="宋体" w:hAnsi="Times New Roman"/>
          <w:color w:val="000000"/>
          <w:sz w:val="20"/>
          <w:szCs w:val="20"/>
        </w:rPr>
        <w:t>ously seeking to balance the distribution objectives of our developers with our desire to provide an optimal user experience, and we may not be successful in achieving a balance that continues to attract and retain such developers. For example, from time t</w:t>
      </w:r>
      <w:r>
        <w:rPr>
          <w:rFonts w:ascii="Times New Roman" w:eastAsia="宋体" w:hAnsi="Times New Roman"/>
          <w:color w:val="000000"/>
          <w:sz w:val="20"/>
          <w:szCs w:val="20"/>
        </w:rPr>
        <w:t>o time, we have taken actions to reduce the volume of communications from these developers to users on our products with the objective of enhancing the user experience, and such actions have reduced distribution from, user engagement with, and our monetiza</w:t>
      </w:r>
      <w:r>
        <w:rPr>
          <w:rFonts w:ascii="Times New Roman" w:eastAsia="宋体" w:hAnsi="Times New Roman"/>
          <w:color w:val="000000"/>
          <w:sz w:val="20"/>
          <w:szCs w:val="20"/>
        </w:rPr>
        <w:t>tion opportunities from, applications integrated with our products. In addition, as part of our efforts related to privacy, safety, and security, we conduct investigations and audits of platform applications from time to time, and we also have announced se</w:t>
      </w:r>
      <w:r>
        <w:rPr>
          <w:rFonts w:ascii="Times New Roman" w:eastAsia="宋体" w:hAnsi="Times New Roman"/>
          <w:color w:val="000000"/>
          <w:sz w:val="20"/>
          <w:szCs w:val="20"/>
        </w:rPr>
        <w:t>veral product changes that restrict developer access to certain user data. In some instances, these actions, as well as other actions to enforce our policies applicable to developers, have adversely affected, or will adversely affect, our relationships wit</w:t>
      </w:r>
      <w:r>
        <w:rPr>
          <w:rFonts w:ascii="Times New Roman" w:eastAsia="宋体" w:hAnsi="Times New Roman"/>
          <w:color w:val="000000"/>
          <w:sz w:val="20"/>
          <w:szCs w:val="20"/>
        </w:rPr>
        <w:t>h developers. If we are not successful in our efforts to maintain or grow the number of developers that choose to build products that integrate with our products or if we are unable to continue to build and maintain good relations with such developers, our</w:t>
      </w:r>
      <w:r>
        <w:rPr>
          <w:rFonts w:ascii="Times New Roman" w:eastAsia="宋体" w:hAnsi="Times New Roman"/>
          <w:color w:val="000000"/>
          <w:sz w:val="20"/>
          <w:szCs w:val="20"/>
        </w:rPr>
        <w:t xml:space="preserve"> user growth and user engagement and our financial results may be adversely affected.</w:t>
      </w:r>
    </w:p>
    <w:p w14:paraId="5CD8E088" w14:textId="77777777" w:rsidR="00BA49F5" w:rsidRDefault="00BA49F5">
      <w:pPr>
        <w:jc w:val="both"/>
      </w:pPr>
    </w:p>
    <w:p w14:paraId="5CD8E089" w14:textId="77777777" w:rsidR="00BA49F5" w:rsidRDefault="007E5E49">
      <w:pPr>
        <w:jc w:val="center"/>
      </w:pPr>
      <w:r>
        <w:rPr>
          <w:rFonts w:ascii="Times New Roman" w:eastAsia="宋体" w:hAnsi="Times New Roman"/>
          <w:b/>
          <w:bCs/>
          <w:color w:val="000000"/>
          <w:sz w:val="20"/>
          <w:szCs w:val="20"/>
        </w:rPr>
        <w:t>Risks Related to Our Business Operations and Financial Results</w:t>
      </w:r>
    </w:p>
    <w:p w14:paraId="5CD8E08A" w14:textId="77777777" w:rsidR="00BA49F5" w:rsidRDefault="00BA49F5">
      <w:pPr>
        <w:jc w:val="both"/>
      </w:pPr>
    </w:p>
    <w:p w14:paraId="5CD8E08B" w14:textId="77777777" w:rsidR="00BA49F5" w:rsidRDefault="007E5E49">
      <w:pPr>
        <w:jc w:val="both"/>
      </w:pPr>
      <w:r>
        <w:rPr>
          <w:rFonts w:ascii="Times New Roman" w:eastAsia="宋体" w:hAnsi="Times New Roman"/>
          <w:b/>
          <w:bCs/>
          <w:i/>
          <w:iCs/>
          <w:color w:val="000000"/>
          <w:sz w:val="20"/>
          <w:szCs w:val="20"/>
        </w:rPr>
        <w:t>Our business is highly competitive. Competition presents an ongoing threat to the success of our business</w:t>
      </w:r>
      <w:r>
        <w:rPr>
          <w:rFonts w:ascii="Times New Roman" w:eastAsia="宋体" w:hAnsi="Times New Roman"/>
          <w:b/>
          <w:bCs/>
          <w:i/>
          <w:iCs/>
          <w:color w:val="000000"/>
          <w:sz w:val="20"/>
          <w:szCs w:val="20"/>
        </w:rPr>
        <w:t>.</w:t>
      </w:r>
    </w:p>
    <w:p w14:paraId="5CD8E08C" w14:textId="77777777" w:rsidR="00BA49F5" w:rsidRDefault="00BA49F5">
      <w:pPr>
        <w:jc w:val="both"/>
      </w:pPr>
    </w:p>
    <w:p w14:paraId="5CD8E08D" w14:textId="77777777" w:rsidR="00BA49F5" w:rsidRDefault="007E5E49">
      <w:pPr>
        <w:ind w:firstLine="540"/>
        <w:jc w:val="both"/>
      </w:pPr>
      <w:r>
        <w:rPr>
          <w:rFonts w:ascii="Times New Roman" w:eastAsia="宋体" w:hAnsi="Times New Roman"/>
          <w:color w:val="000000"/>
          <w:sz w:val="20"/>
          <w:szCs w:val="20"/>
        </w:rPr>
        <w:t>We compete with companies providing connection, sharing, discovery, and communication products and services to users online, as well as companies that sell advertising to businesses looking to reach consumers and/or develop tools and systems for managin</w:t>
      </w:r>
      <w:r>
        <w:rPr>
          <w:rFonts w:ascii="Times New Roman" w:eastAsia="宋体" w:hAnsi="Times New Roman"/>
          <w:color w:val="000000"/>
          <w:sz w:val="20"/>
          <w:szCs w:val="20"/>
        </w:rPr>
        <w:t>g and optimizing advertising campaigns. We face significant competition in every aspect of our business, including, but not limited to, companies that facilitate the ability of users to create, share, communicate, and discover content and information onlin</w:t>
      </w:r>
      <w:r>
        <w:rPr>
          <w:rFonts w:ascii="Times New Roman" w:eastAsia="宋体" w:hAnsi="Times New Roman"/>
          <w:color w:val="000000"/>
          <w:sz w:val="20"/>
          <w:szCs w:val="20"/>
        </w:rPr>
        <w:t xml:space="preserve">e or enable marketers to reach their existing or prospective audiences. We compete to attract, engage, and retain people who use our products, to attract and retain businesses that use our free or paid business and advertising services, and to attract and </w:t>
      </w:r>
      <w:r>
        <w:rPr>
          <w:rFonts w:ascii="Times New Roman" w:eastAsia="宋体" w:hAnsi="Times New Roman"/>
          <w:color w:val="000000"/>
          <w:sz w:val="20"/>
          <w:szCs w:val="20"/>
        </w:rPr>
        <w:t>retain developers who build compelling applications that integrate with our products. We also compete with companies that develop and deliver consumer hardware and virtual and augmented reality products and services. As we introduce or acquire new products</w:t>
      </w:r>
      <w:r>
        <w:rPr>
          <w:rFonts w:ascii="Times New Roman" w:eastAsia="宋体" w:hAnsi="Times New Roman"/>
          <w:color w:val="000000"/>
          <w:sz w:val="20"/>
          <w:szCs w:val="20"/>
        </w:rPr>
        <w:t>, as our existing products evolve, or as other companies introduce new products and services, including as part of efforts to develop the metaverse or innovate through the application of new technologies such as artificial intelligence, we may become subje</w:t>
      </w:r>
      <w:r>
        <w:rPr>
          <w:rFonts w:ascii="Times New Roman" w:eastAsia="宋体" w:hAnsi="Times New Roman"/>
          <w:color w:val="000000"/>
          <w:sz w:val="20"/>
          <w:szCs w:val="20"/>
        </w:rPr>
        <w:t>ct to additional competition.</w:t>
      </w:r>
    </w:p>
    <w:p w14:paraId="5CD8E08E" w14:textId="77777777" w:rsidR="00BA49F5" w:rsidRDefault="00BA49F5">
      <w:pPr>
        <w:ind w:firstLine="540"/>
        <w:jc w:val="both"/>
      </w:pPr>
    </w:p>
    <w:p w14:paraId="5CD8E08F" w14:textId="77777777" w:rsidR="00BA49F5" w:rsidRDefault="007E5E49">
      <w:pPr>
        <w:jc w:val="center"/>
      </w:pPr>
      <w:r>
        <w:rPr>
          <w:rFonts w:ascii="Times New Roman" w:eastAsia="宋体" w:hAnsi="Times New Roman"/>
          <w:color w:val="000000"/>
          <w:sz w:val="20"/>
          <w:szCs w:val="20"/>
        </w:rPr>
        <w:t>22</w:t>
      </w:r>
    </w:p>
    <w:p w14:paraId="5CD8E090" w14:textId="77777777" w:rsidR="00BA49F5" w:rsidRDefault="007E5E49">
      <w:r>
        <w:pict w14:anchorId="5CD90CE1">
          <v:rect id="_x0000_i1046" style="width:415.3pt;height:1.5pt" o:hralign="center" o:hrstd="t" o:hr="t" fillcolor="#a0a0a0" stroked="f"/>
        </w:pict>
      </w:r>
    </w:p>
    <w:p w14:paraId="5CD8E091" w14:textId="77777777" w:rsidR="00BA49F5" w:rsidRDefault="00BA49F5"/>
    <w:p w14:paraId="5CD8E092" w14:textId="77777777" w:rsidR="00BA49F5" w:rsidRDefault="00BA49F5"/>
    <w:p w14:paraId="5CD8E093" w14:textId="77777777" w:rsidR="00BA49F5" w:rsidRDefault="007E5E49">
      <w:hyperlink r:id="rId124" w:anchor="i6df229dad1864210ab76200083e26819_7" w:history="1">
        <w:r>
          <w:rPr>
            <w:rStyle w:val="a5"/>
            <w:rFonts w:ascii="Times New Roman" w:eastAsia="宋体" w:hAnsi="Times New Roman"/>
            <w:sz w:val="20"/>
            <w:szCs w:val="20"/>
          </w:rPr>
          <w:t>T</w:t>
        </w:r>
      </w:hyperlink>
      <w:hyperlink r:id="rId125" w:anchor="i6df229dad1864210ab76200083e26819_7" w:history="1">
        <w:r>
          <w:rPr>
            <w:rStyle w:val="a5"/>
            <w:rFonts w:ascii="Times New Roman" w:eastAsia="宋体" w:hAnsi="Times New Roman"/>
            <w:sz w:val="20"/>
            <w:szCs w:val="20"/>
          </w:rPr>
          <w:t>able of Contents</w:t>
        </w:r>
      </w:hyperlink>
    </w:p>
    <w:p w14:paraId="5CD8E094" w14:textId="77777777" w:rsidR="00BA49F5" w:rsidRDefault="007E5E49">
      <w:pPr>
        <w:ind w:firstLine="540"/>
        <w:jc w:val="both"/>
      </w:pPr>
      <w:r>
        <w:rPr>
          <w:rFonts w:ascii="Times New Roman" w:eastAsia="宋体" w:hAnsi="Times New Roman"/>
          <w:color w:val="000000"/>
          <w:sz w:val="20"/>
          <w:szCs w:val="20"/>
        </w:rPr>
        <w:t xml:space="preserve">Some of our current and potential competitors may have greater resources, experience, </w:t>
      </w:r>
      <w:r>
        <w:rPr>
          <w:rFonts w:ascii="Times New Roman" w:eastAsia="宋体" w:hAnsi="Times New Roman"/>
          <w:color w:val="000000"/>
          <w:sz w:val="20"/>
          <w:szCs w:val="20"/>
        </w:rPr>
        <w:t>or stronger competitive positions in certain product segments, geographic regions, or user demographics than we do. For example, some of our competitors may be domiciled in different countries and subject to political, legal, and regulatory regimes that en</w:t>
      </w:r>
      <w:r>
        <w:rPr>
          <w:rFonts w:ascii="Times New Roman" w:eastAsia="宋体" w:hAnsi="Times New Roman"/>
          <w:color w:val="000000"/>
          <w:sz w:val="20"/>
          <w:szCs w:val="20"/>
        </w:rPr>
        <w:t>able them to compete more effectively than us. These factors may allow our competitors to respond more effectively than us to new or emerging technologies and changes in market conditions. We believe that some users, particularly younger users, are aware o</w:t>
      </w:r>
      <w:r>
        <w:rPr>
          <w:rFonts w:ascii="Times New Roman" w:eastAsia="宋体" w:hAnsi="Times New Roman"/>
          <w:color w:val="000000"/>
          <w:sz w:val="20"/>
          <w:szCs w:val="20"/>
        </w:rPr>
        <w:t xml:space="preserve">f and actively engaging with other products and services similar to, or as a substitute for, our products and services, and we believe that some users have reduced their use of and engagement with our products and services in favor of these other products </w:t>
      </w:r>
      <w:r>
        <w:rPr>
          <w:rFonts w:ascii="Times New Roman" w:eastAsia="宋体" w:hAnsi="Times New Roman"/>
          <w:color w:val="000000"/>
          <w:sz w:val="20"/>
          <w:szCs w:val="20"/>
        </w:rPr>
        <w:t>and services. In the event that users increasingly engage with other products and services, we may experience a decline in use and engagement in key user demographics or more broadly, in which case our business would likely be harmed.</w:t>
      </w:r>
    </w:p>
    <w:p w14:paraId="5CD8E095" w14:textId="77777777" w:rsidR="00BA49F5" w:rsidRDefault="00BA49F5">
      <w:pPr>
        <w:ind w:firstLine="540"/>
        <w:jc w:val="both"/>
      </w:pPr>
    </w:p>
    <w:p w14:paraId="5CD8E096" w14:textId="77777777" w:rsidR="00BA49F5" w:rsidRDefault="007E5E49">
      <w:pPr>
        <w:ind w:firstLine="54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competitors may develop products, features, or services that are similar to ours or that achieve greater acceptance, may undertake more far-reaching and successful product development efforts or marketing campaigns, or may adopt more aggressive pricing pol</w:t>
      </w:r>
      <w:r>
        <w:rPr>
          <w:rFonts w:ascii="Times New Roman" w:eastAsia="宋体" w:hAnsi="Times New Roman"/>
          <w:color w:val="000000"/>
          <w:sz w:val="20"/>
          <w:szCs w:val="20"/>
        </w:rPr>
        <w:t xml:space="preserve">icies. Some competitors may gain a competitive advantage against us in areas where we operate, including: by making acquisitions; by limiting our ability to deliver, target, or measure the effectiveness of ads; by imposing fees or other charges related to </w:t>
      </w:r>
      <w:r>
        <w:rPr>
          <w:rFonts w:ascii="Times New Roman" w:eastAsia="宋体" w:hAnsi="Times New Roman"/>
          <w:color w:val="000000"/>
          <w:sz w:val="20"/>
          <w:szCs w:val="20"/>
        </w:rPr>
        <w:t>our delivery of ads; by making access to our products more difficult or impossible; by making it more difficult to communicate with our users; or by integrating competing platforms, applications, or features into products they control such as mobile device</w:t>
      </w:r>
      <w:r>
        <w:rPr>
          <w:rFonts w:ascii="Times New Roman" w:eastAsia="宋体" w:hAnsi="Times New Roman"/>
          <w:color w:val="000000"/>
          <w:sz w:val="20"/>
          <w:szCs w:val="20"/>
        </w:rPr>
        <w:t xml:space="preserve"> operating systems, search engines, browsers, or e-commerce platforms. For example, each of Apple and Google have integrated competitive products with iOS and Android, respectively. In addition, Apple has released changes to iOS that limit our ability, and</w:t>
      </w:r>
      <w:r>
        <w:rPr>
          <w:rFonts w:ascii="Times New Roman" w:eastAsia="宋体" w:hAnsi="Times New Roman"/>
          <w:color w:val="000000"/>
          <w:sz w:val="20"/>
          <w:szCs w:val="20"/>
        </w:rPr>
        <w:t xml:space="preserve"> the ability of others in the digital advertising industry, to target and measure ads effectively. As a result, our competitors may, and in some cases will, acquire and engage users or generate advertising or other revenue at the expense of our own efforts</w:t>
      </w:r>
      <w:r>
        <w:rPr>
          <w:rFonts w:ascii="Times New Roman" w:eastAsia="宋体" w:hAnsi="Times New Roman"/>
          <w:color w:val="000000"/>
          <w:sz w:val="20"/>
          <w:szCs w:val="20"/>
        </w:rPr>
        <w:t>, which would negatively affect our business and financial results. In addition, from time to time, we may take actions in response to competitive threats, but we cannot assure you that these actions will be successful or that they will not negatively affe</w:t>
      </w:r>
      <w:r>
        <w:rPr>
          <w:rFonts w:ascii="Times New Roman" w:eastAsia="宋体" w:hAnsi="Times New Roman"/>
          <w:color w:val="000000"/>
          <w:sz w:val="20"/>
          <w:szCs w:val="20"/>
        </w:rPr>
        <w:t>ct our business and financial results.</w:t>
      </w:r>
    </w:p>
    <w:p w14:paraId="5CD8E097" w14:textId="77777777" w:rsidR="00BA49F5" w:rsidRDefault="00BA49F5">
      <w:pPr>
        <w:ind w:firstLine="540"/>
        <w:jc w:val="both"/>
      </w:pPr>
    </w:p>
    <w:p w14:paraId="5CD8E098" w14:textId="77777777" w:rsidR="00BA49F5" w:rsidRDefault="007E5E49">
      <w:pPr>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including:</w:t>
      </w:r>
    </w:p>
    <w:p w14:paraId="5CD8E099" w14:textId="77777777" w:rsidR="00BA49F5" w:rsidRDefault="00BA49F5">
      <w:pPr>
        <w:ind w:firstLine="540"/>
        <w:jc w:val="both"/>
      </w:pPr>
    </w:p>
    <w:p w14:paraId="5CD8E09A" w14:textId="77777777" w:rsidR="00BA49F5" w:rsidRDefault="007E5E49">
      <w:pPr>
        <w:ind w:hanging="360"/>
        <w:jc w:val="both"/>
      </w:pPr>
      <w:r>
        <w:rPr>
          <w:rFonts w:ascii="Times New Roman" w:eastAsia="宋体" w:hAnsi="Times New Roman"/>
          <w:color w:val="000000"/>
          <w:sz w:val="20"/>
          <w:szCs w:val="20"/>
        </w:rPr>
        <w:t>•the popularity, usefulness, ease of use, performance, and reliability of our products comp</w:t>
      </w:r>
      <w:r>
        <w:rPr>
          <w:rFonts w:ascii="Times New Roman" w:eastAsia="宋体" w:hAnsi="Times New Roman"/>
          <w:color w:val="000000"/>
          <w:sz w:val="20"/>
          <w:szCs w:val="20"/>
        </w:rPr>
        <w:t>ared to our competitors' products;</w:t>
      </w:r>
    </w:p>
    <w:p w14:paraId="5CD8E09B" w14:textId="77777777" w:rsidR="00BA49F5" w:rsidRDefault="00BA49F5">
      <w:pPr>
        <w:ind w:hanging="360"/>
        <w:jc w:val="both"/>
      </w:pPr>
    </w:p>
    <w:p w14:paraId="5CD8E09C" w14:textId="77777777" w:rsidR="00BA49F5" w:rsidRDefault="007E5E49">
      <w:pPr>
        <w:ind w:hanging="360"/>
        <w:jc w:val="both"/>
      </w:pPr>
      <w:r>
        <w:rPr>
          <w:rFonts w:ascii="Times New Roman" w:eastAsia="宋体" w:hAnsi="Times New Roman"/>
          <w:color w:val="000000"/>
          <w:sz w:val="20"/>
          <w:szCs w:val="20"/>
        </w:rPr>
        <w:t>•the size and composition of our user base;</w:t>
      </w:r>
    </w:p>
    <w:p w14:paraId="5CD8E09D" w14:textId="77777777" w:rsidR="00BA49F5" w:rsidRDefault="00BA49F5">
      <w:pPr>
        <w:ind w:hanging="360"/>
        <w:jc w:val="both"/>
      </w:pPr>
    </w:p>
    <w:p w14:paraId="5CD8E09E" w14:textId="77777777" w:rsidR="00BA49F5" w:rsidRDefault="007E5E49">
      <w:pPr>
        <w:ind w:hanging="360"/>
        <w:jc w:val="both"/>
      </w:pPr>
      <w:r>
        <w:rPr>
          <w:rFonts w:ascii="Times New Roman" w:eastAsia="宋体" w:hAnsi="Times New Roman"/>
          <w:color w:val="000000"/>
          <w:sz w:val="20"/>
          <w:szCs w:val="20"/>
        </w:rPr>
        <w:t>•the engagement of users with our products and competing products;</w:t>
      </w:r>
    </w:p>
    <w:p w14:paraId="5CD8E09F" w14:textId="77777777" w:rsidR="00BA49F5" w:rsidRDefault="00BA49F5">
      <w:pPr>
        <w:ind w:hanging="360"/>
        <w:jc w:val="both"/>
      </w:pPr>
    </w:p>
    <w:p w14:paraId="5CD8E0A0" w14:textId="77777777" w:rsidR="00BA49F5" w:rsidRDefault="007E5E49">
      <w:pPr>
        <w:ind w:hanging="360"/>
        <w:jc w:val="both"/>
      </w:pPr>
      <w:r>
        <w:rPr>
          <w:rFonts w:ascii="Times New Roman" w:eastAsia="宋体" w:hAnsi="Times New Roman"/>
          <w:color w:val="000000"/>
          <w:sz w:val="20"/>
          <w:szCs w:val="20"/>
        </w:rPr>
        <w:t>•our ability to attract and retain businesses who use our free or paid business and advertising services;</w:t>
      </w:r>
    </w:p>
    <w:p w14:paraId="5CD8E0A1" w14:textId="77777777" w:rsidR="00BA49F5" w:rsidRDefault="00BA49F5">
      <w:pPr>
        <w:ind w:hanging="360"/>
        <w:jc w:val="both"/>
      </w:pPr>
    </w:p>
    <w:p w14:paraId="5CD8E0A2" w14:textId="77777777" w:rsidR="00BA49F5" w:rsidRDefault="007E5E49">
      <w:pPr>
        <w:ind w:hanging="360"/>
        <w:jc w:val="both"/>
      </w:pPr>
      <w:r>
        <w:rPr>
          <w:rFonts w:ascii="Times New Roman" w:eastAsia="宋体" w:hAnsi="Times New Roman"/>
          <w:color w:val="000000"/>
          <w:sz w:val="20"/>
          <w:szCs w:val="20"/>
        </w:rPr>
        <w:t>•the timing and market acceptance of products, including developments and enhancements to our or our competitors' products;</w:t>
      </w:r>
    </w:p>
    <w:p w14:paraId="5CD8E0A3" w14:textId="77777777" w:rsidR="00BA49F5" w:rsidRDefault="00BA49F5">
      <w:pPr>
        <w:ind w:hanging="360"/>
        <w:jc w:val="both"/>
      </w:pPr>
    </w:p>
    <w:p w14:paraId="5CD8E0A4" w14:textId="77777777" w:rsidR="00BA49F5" w:rsidRDefault="007E5E49">
      <w:pPr>
        <w:ind w:hanging="360"/>
        <w:jc w:val="both"/>
      </w:pPr>
      <w:r>
        <w:rPr>
          <w:rFonts w:ascii="Times New Roman" w:eastAsia="宋体" w:hAnsi="Times New Roman"/>
          <w:color w:val="000000"/>
          <w:sz w:val="20"/>
          <w:szCs w:val="20"/>
        </w:rPr>
        <w:t>•our safety and security efforts and our ability to protect user data and to provide users with control over their data;</w:t>
      </w:r>
    </w:p>
    <w:p w14:paraId="5CD8E0A5" w14:textId="77777777" w:rsidR="00BA49F5" w:rsidRDefault="00BA49F5">
      <w:pPr>
        <w:ind w:hanging="360"/>
        <w:jc w:val="both"/>
      </w:pPr>
    </w:p>
    <w:p w14:paraId="5CD8E0A6" w14:textId="77777777" w:rsidR="00BA49F5" w:rsidRDefault="007E5E49">
      <w:pPr>
        <w:ind w:hanging="360"/>
        <w:jc w:val="both"/>
      </w:pPr>
      <w:r>
        <w:rPr>
          <w:rFonts w:ascii="Times New Roman" w:eastAsia="宋体" w:hAnsi="Times New Roman"/>
          <w:color w:val="000000"/>
          <w:sz w:val="20"/>
          <w:szCs w:val="20"/>
        </w:rPr>
        <w:t>•our abil</w:t>
      </w:r>
      <w:r>
        <w:rPr>
          <w:rFonts w:ascii="Times New Roman" w:eastAsia="宋体" w:hAnsi="Times New Roman"/>
          <w:color w:val="000000"/>
          <w:sz w:val="20"/>
          <w:szCs w:val="20"/>
        </w:rPr>
        <w:t>ity to distribute our products to new and existing users;</w:t>
      </w:r>
    </w:p>
    <w:p w14:paraId="5CD8E0A7" w14:textId="77777777" w:rsidR="00BA49F5" w:rsidRDefault="00BA49F5">
      <w:pPr>
        <w:ind w:hanging="360"/>
        <w:jc w:val="both"/>
      </w:pPr>
    </w:p>
    <w:p w14:paraId="5CD8E0A8" w14:textId="77777777" w:rsidR="00BA49F5" w:rsidRDefault="007E5E49">
      <w:pPr>
        <w:ind w:hanging="360"/>
        <w:jc w:val="both"/>
      </w:pPr>
      <w:r>
        <w:rPr>
          <w:rFonts w:ascii="Times New Roman" w:eastAsia="宋体" w:hAnsi="Times New Roman"/>
          <w:color w:val="000000"/>
          <w:sz w:val="20"/>
          <w:szCs w:val="20"/>
        </w:rPr>
        <w:t>•our ability to monetize our products;</w:t>
      </w:r>
    </w:p>
    <w:p w14:paraId="5CD8E0A9" w14:textId="77777777" w:rsidR="00BA49F5" w:rsidRDefault="00BA49F5">
      <w:pPr>
        <w:ind w:hanging="360"/>
        <w:jc w:val="both"/>
      </w:pPr>
    </w:p>
    <w:p w14:paraId="5CD8E0AA" w14:textId="77777777" w:rsidR="00BA49F5" w:rsidRDefault="007E5E49">
      <w:pPr>
        <w:ind w:hanging="360"/>
        <w:jc w:val="both"/>
      </w:pPr>
      <w:r>
        <w:rPr>
          <w:rFonts w:ascii="Times New Roman" w:eastAsia="宋体" w:hAnsi="Times New Roman"/>
          <w:color w:val="000000"/>
          <w:sz w:val="20"/>
          <w:szCs w:val="20"/>
        </w:rPr>
        <w:t>•the frequency, size, format, quality, and relative prominence of the ads displayed by us or our competitors;</w:t>
      </w:r>
    </w:p>
    <w:p w14:paraId="5CD8E0AB" w14:textId="77777777" w:rsidR="00BA49F5" w:rsidRDefault="00BA49F5">
      <w:pPr>
        <w:ind w:hanging="360"/>
        <w:jc w:val="both"/>
      </w:pPr>
    </w:p>
    <w:p w14:paraId="5CD8E0AC" w14:textId="77777777" w:rsidR="00BA49F5" w:rsidRDefault="007E5E49">
      <w:pPr>
        <w:ind w:hanging="360"/>
        <w:jc w:val="both"/>
      </w:pPr>
      <w:r>
        <w:rPr>
          <w:rFonts w:ascii="Times New Roman" w:eastAsia="宋体" w:hAnsi="Times New Roman"/>
          <w:color w:val="000000"/>
          <w:sz w:val="20"/>
          <w:szCs w:val="20"/>
        </w:rPr>
        <w:t>•customer service and support efforts;</w:t>
      </w:r>
    </w:p>
    <w:p w14:paraId="5CD8E0AD" w14:textId="77777777" w:rsidR="00BA49F5" w:rsidRDefault="00BA49F5">
      <w:pPr>
        <w:ind w:hanging="360"/>
        <w:jc w:val="both"/>
      </w:pPr>
    </w:p>
    <w:p w14:paraId="5CD8E0AE" w14:textId="77777777" w:rsidR="00BA49F5" w:rsidRDefault="007E5E49">
      <w:pPr>
        <w:ind w:hanging="360"/>
        <w:jc w:val="both"/>
      </w:pPr>
      <w:r>
        <w:rPr>
          <w:rFonts w:ascii="Times New Roman" w:eastAsia="宋体" w:hAnsi="Times New Roman"/>
          <w:color w:val="000000"/>
          <w:sz w:val="20"/>
          <w:szCs w:val="20"/>
        </w:rPr>
        <w:t>•marke</w:t>
      </w:r>
      <w:r>
        <w:rPr>
          <w:rFonts w:ascii="Times New Roman" w:eastAsia="宋体" w:hAnsi="Times New Roman"/>
          <w:color w:val="000000"/>
          <w:sz w:val="20"/>
          <w:szCs w:val="20"/>
        </w:rPr>
        <w:t>ting and selling efforts, including our ability to measure the effectiveness of our ads and to provide marketers with a compelling return on their investments;</w:t>
      </w:r>
    </w:p>
    <w:p w14:paraId="5CD8E0AF" w14:textId="77777777" w:rsidR="00BA49F5" w:rsidRDefault="00BA49F5">
      <w:pPr>
        <w:ind w:hanging="360"/>
        <w:jc w:val="both"/>
      </w:pPr>
    </w:p>
    <w:p w14:paraId="5CD8E0B0" w14:textId="77777777" w:rsidR="00BA49F5" w:rsidRDefault="007E5E49">
      <w:pPr>
        <w:ind w:hanging="360"/>
        <w:jc w:val="both"/>
      </w:pPr>
      <w:r>
        <w:rPr>
          <w:rFonts w:ascii="Times New Roman" w:eastAsia="宋体" w:hAnsi="Times New Roman"/>
          <w:color w:val="000000"/>
          <w:sz w:val="20"/>
          <w:szCs w:val="20"/>
        </w:rPr>
        <w:t xml:space="preserve">•our ability to establish and maintain developers' interest in building </w:t>
      </w:r>
      <w:r>
        <w:rPr>
          <w:rFonts w:ascii="Times New Roman" w:eastAsia="宋体" w:hAnsi="Times New Roman"/>
          <w:color w:val="000000"/>
          <w:sz w:val="20"/>
          <w:szCs w:val="20"/>
        </w:rPr>
        <w:t>applications that integrate with our products;</w:t>
      </w:r>
    </w:p>
    <w:p w14:paraId="5CD8E0B1" w14:textId="77777777" w:rsidR="00BA49F5" w:rsidRDefault="00BA49F5">
      <w:pPr>
        <w:ind w:hanging="360"/>
        <w:jc w:val="both"/>
      </w:pPr>
    </w:p>
    <w:p w14:paraId="5CD8E0B2" w14:textId="77777777" w:rsidR="00BA49F5" w:rsidRDefault="007E5E49">
      <w:pPr>
        <w:ind w:hanging="360"/>
        <w:jc w:val="both"/>
      </w:pPr>
      <w:r>
        <w:rPr>
          <w:rFonts w:ascii="Times New Roman" w:eastAsia="宋体" w:hAnsi="Times New Roman"/>
          <w:color w:val="000000"/>
          <w:sz w:val="20"/>
          <w:szCs w:val="20"/>
        </w:rPr>
        <w:t>•our ability to establish and maintain publisher interest in integrating their content with our products;</w:t>
      </w:r>
    </w:p>
    <w:p w14:paraId="5CD8E0B3" w14:textId="77777777" w:rsidR="00BA49F5" w:rsidRDefault="007E5E49">
      <w:pPr>
        <w:jc w:val="center"/>
      </w:pPr>
      <w:r>
        <w:rPr>
          <w:rFonts w:ascii="Times New Roman" w:eastAsia="宋体" w:hAnsi="Times New Roman"/>
          <w:color w:val="000000"/>
          <w:sz w:val="20"/>
          <w:szCs w:val="20"/>
        </w:rPr>
        <w:t>23</w:t>
      </w:r>
    </w:p>
    <w:p w14:paraId="5CD8E0B4" w14:textId="77777777" w:rsidR="00BA49F5" w:rsidRDefault="007E5E49">
      <w:r>
        <w:pict w14:anchorId="5CD90CE2">
          <v:rect id="_x0000_i1047" style="width:415.3pt;height:1.5pt" o:hralign="center" o:hrstd="t" o:hr="t" fillcolor="#a0a0a0" stroked="f"/>
        </w:pict>
      </w:r>
    </w:p>
    <w:p w14:paraId="5CD8E0B5" w14:textId="77777777" w:rsidR="00BA49F5" w:rsidRDefault="00BA49F5"/>
    <w:p w14:paraId="5CD8E0B6" w14:textId="77777777" w:rsidR="00BA49F5" w:rsidRDefault="00BA49F5"/>
    <w:p w14:paraId="5CD8E0B7" w14:textId="77777777" w:rsidR="00BA49F5" w:rsidRDefault="007E5E49">
      <w:hyperlink r:id="rId126" w:anchor="i6df229dad1864210ab76200083e26819_7" w:history="1">
        <w:r>
          <w:rPr>
            <w:rStyle w:val="a5"/>
            <w:rFonts w:ascii="Times New Roman" w:eastAsia="宋体" w:hAnsi="Times New Roman"/>
            <w:sz w:val="20"/>
            <w:szCs w:val="20"/>
          </w:rPr>
          <w:t>T</w:t>
        </w:r>
      </w:hyperlink>
      <w:hyperlink r:id="rId127" w:anchor="i6df229dad1864210ab76200083e26819_7" w:history="1">
        <w:r>
          <w:rPr>
            <w:rStyle w:val="a5"/>
            <w:rFonts w:ascii="Times New Roman" w:eastAsia="宋体" w:hAnsi="Times New Roman"/>
            <w:sz w:val="20"/>
            <w:szCs w:val="20"/>
          </w:rPr>
          <w:t>able of Contents</w:t>
        </w:r>
      </w:hyperlink>
    </w:p>
    <w:p w14:paraId="5CD8E0B8" w14:textId="77777777" w:rsidR="00BA49F5" w:rsidRDefault="00BA49F5">
      <w:pPr>
        <w:ind w:hanging="360"/>
        <w:jc w:val="both"/>
      </w:pPr>
    </w:p>
    <w:p w14:paraId="5CD8E0B9" w14:textId="77777777" w:rsidR="00BA49F5" w:rsidRDefault="007E5E49">
      <w:pPr>
        <w:ind w:hanging="360"/>
        <w:jc w:val="both"/>
      </w:pPr>
      <w:r>
        <w:rPr>
          <w:rFonts w:ascii="Times New Roman" w:eastAsia="宋体" w:hAnsi="Times New Roman"/>
          <w:color w:val="000000"/>
          <w:sz w:val="20"/>
          <w:szCs w:val="20"/>
        </w:rPr>
        <w:t>•changes mandated by legis</w:t>
      </w:r>
      <w:r>
        <w:rPr>
          <w:rFonts w:ascii="Times New Roman" w:eastAsia="宋体" w:hAnsi="Times New Roman"/>
          <w:color w:val="000000"/>
          <w:sz w:val="20"/>
          <w:szCs w:val="20"/>
        </w:rPr>
        <w:t>lation, regulatory authorities, or litigation, some of which may have a disproportionate effect on us;</w:t>
      </w:r>
    </w:p>
    <w:p w14:paraId="5CD8E0BA" w14:textId="77777777" w:rsidR="00BA49F5" w:rsidRDefault="00BA49F5">
      <w:pPr>
        <w:ind w:hanging="360"/>
        <w:jc w:val="both"/>
      </w:pPr>
    </w:p>
    <w:p w14:paraId="5CD8E0BB" w14:textId="77777777" w:rsidR="00BA49F5" w:rsidRDefault="007E5E49">
      <w:pPr>
        <w:ind w:hanging="360"/>
        <w:jc w:val="both"/>
      </w:pPr>
      <w:r>
        <w:rPr>
          <w:rFonts w:ascii="Times New Roman" w:eastAsia="宋体" w:hAnsi="Times New Roman"/>
          <w:color w:val="000000"/>
          <w:sz w:val="20"/>
          <w:szCs w:val="20"/>
        </w:rPr>
        <w:t>•acquisitions or consolidation within our industry, which may result in more formidable competitors;</w:t>
      </w:r>
    </w:p>
    <w:p w14:paraId="5CD8E0BC" w14:textId="77777777" w:rsidR="00BA49F5" w:rsidRDefault="00BA49F5">
      <w:pPr>
        <w:ind w:hanging="360"/>
        <w:jc w:val="both"/>
      </w:pPr>
    </w:p>
    <w:p w14:paraId="5CD8E0BD" w14:textId="77777777" w:rsidR="00BA49F5" w:rsidRDefault="007E5E49">
      <w:pPr>
        <w:ind w:hanging="360"/>
        <w:jc w:val="both"/>
      </w:pPr>
      <w:r>
        <w:rPr>
          <w:rFonts w:ascii="Times New Roman" w:eastAsia="宋体" w:hAnsi="Times New Roman"/>
          <w:color w:val="000000"/>
          <w:sz w:val="20"/>
          <w:szCs w:val="20"/>
        </w:rPr>
        <w:t>•our ability to attract, retain, and motivate tale</w:t>
      </w:r>
      <w:r>
        <w:rPr>
          <w:rFonts w:ascii="Times New Roman" w:eastAsia="宋体" w:hAnsi="Times New Roman"/>
          <w:color w:val="000000"/>
          <w:sz w:val="20"/>
          <w:szCs w:val="20"/>
        </w:rPr>
        <w:t>nted employees, particularly software engineers, designers, and product managers;</w:t>
      </w:r>
    </w:p>
    <w:p w14:paraId="5CD8E0BE" w14:textId="77777777" w:rsidR="00BA49F5" w:rsidRDefault="00BA49F5">
      <w:pPr>
        <w:ind w:hanging="360"/>
        <w:jc w:val="both"/>
      </w:pPr>
    </w:p>
    <w:p w14:paraId="5CD8E0BF" w14:textId="77777777" w:rsidR="00BA49F5" w:rsidRDefault="007E5E49">
      <w:pPr>
        <w:ind w:hanging="360"/>
        <w:jc w:val="both"/>
      </w:pPr>
      <w:r>
        <w:rPr>
          <w:rFonts w:ascii="Times New Roman" w:eastAsia="宋体" w:hAnsi="Times New Roman"/>
          <w:color w:val="000000"/>
          <w:sz w:val="20"/>
          <w:szCs w:val="20"/>
        </w:rPr>
        <w:t>•our ability to cost-effectively manage and grow our operations; and</w:t>
      </w:r>
    </w:p>
    <w:p w14:paraId="5CD8E0C0" w14:textId="77777777" w:rsidR="00BA49F5" w:rsidRDefault="00BA49F5">
      <w:pPr>
        <w:ind w:hanging="360"/>
        <w:jc w:val="both"/>
      </w:pPr>
    </w:p>
    <w:p w14:paraId="5CD8E0C1" w14:textId="77777777" w:rsidR="00BA49F5" w:rsidRDefault="007E5E49">
      <w:pPr>
        <w:ind w:hanging="360"/>
        <w:jc w:val="both"/>
      </w:pPr>
      <w:r>
        <w:rPr>
          <w:rFonts w:ascii="Times New Roman" w:eastAsia="宋体" w:hAnsi="Times New Roman"/>
          <w:color w:val="000000"/>
          <w:sz w:val="20"/>
          <w:szCs w:val="20"/>
        </w:rPr>
        <w:t>•our reputation and brand strength relative to those of our competitors.</w:t>
      </w:r>
    </w:p>
    <w:p w14:paraId="5CD8E0C2" w14:textId="77777777" w:rsidR="00BA49F5" w:rsidRDefault="00BA49F5">
      <w:pPr>
        <w:jc w:val="both"/>
      </w:pPr>
    </w:p>
    <w:p w14:paraId="5CD8E0C3" w14:textId="77777777" w:rsidR="00BA49F5" w:rsidRDefault="007E5E49">
      <w:pPr>
        <w:ind w:firstLine="540"/>
        <w:jc w:val="both"/>
      </w:pPr>
      <w:r>
        <w:rPr>
          <w:rFonts w:ascii="Times New Roman" w:eastAsia="宋体" w:hAnsi="Times New Roman"/>
          <w:color w:val="000000"/>
          <w:sz w:val="20"/>
          <w:szCs w:val="20"/>
        </w:rPr>
        <w:t>If we are not able to compete</w:t>
      </w:r>
      <w:r>
        <w:rPr>
          <w:rFonts w:ascii="Times New Roman" w:eastAsia="宋体" w:hAnsi="Times New Roman"/>
          <w:color w:val="000000"/>
          <w:sz w:val="20"/>
          <w:szCs w:val="20"/>
        </w:rPr>
        <w:t xml:space="preserve"> effectively, our user base, level of user engagement, and ability to deliver ad impressions may decrease, we may become less attractive to developers and marketers, and our revenue and results of operations may be materially and adversely affected.</w:t>
      </w:r>
    </w:p>
    <w:p w14:paraId="5CD8E0C4" w14:textId="77777777" w:rsidR="00BA49F5" w:rsidRDefault="00BA49F5">
      <w:pPr>
        <w:ind w:firstLine="540"/>
        <w:jc w:val="both"/>
      </w:pPr>
    </w:p>
    <w:p w14:paraId="5CD8E0C5" w14:textId="77777777" w:rsidR="00BA49F5" w:rsidRDefault="007E5E49">
      <w:pPr>
        <w:jc w:val="both"/>
      </w:pPr>
      <w:r>
        <w:rPr>
          <w:rFonts w:ascii="Times New Roman" w:eastAsia="宋体" w:hAnsi="Times New Roman"/>
          <w:b/>
          <w:bCs/>
          <w:i/>
          <w:iCs/>
          <w:color w:val="000000"/>
          <w:sz w:val="20"/>
          <w:szCs w:val="20"/>
        </w:rPr>
        <w:t xml:space="preserve">Our </w:t>
      </w:r>
      <w:r>
        <w:rPr>
          <w:rFonts w:ascii="Times New Roman" w:eastAsia="宋体" w:hAnsi="Times New Roman"/>
          <w:b/>
          <w:bCs/>
          <w:i/>
          <w:iCs/>
          <w:color w:val="000000"/>
          <w:sz w:val="20"/>
          <w:szCs w:val="20"/>
        </w:rPr>
        <w:t>financial results will fluctuate from quarter to quarter and are difficult to predict.</w:t>
      </w:r>
    </w:p>
    <w:p w14:paraId="5CD8E0C6" w14:textId="77777777" w:rsidR="00BA49F5" w:rsidRDefault="00BA49F5">
      <w:pPr>
        <w:jc w:val="both"/>
      </w:pPr>
    </w:p>
    <w:p w14:paraId="5CD8E0C7" w14:textId="77777777" w:rsidR="00BA49F5" w:rsidRDefault="007E5E49">
      <w:pPr>
        <w:ind w:firstLine="540"/>
        <w:jc w:val="both"/>
      </w:pPr>
      <w:r>
        <w:rPr>
          <w:rFonts w:ascii="Times New Roman" w:eastAsia="宋体" w:hAnsi="Times New Roman"/>
          <w:color w:val="000000"/>
          <w:sz w:val="20"/>
          <w:szCs w:val="20"/>
        </w:rPr>
        <w:t>Our quarterly financial results have fluctuated in the past and will fluctuate in the future. Additionally, we have a limited operating history with the current scale o</w:t>
      </w:r>
      <w:r>
        <w:rPr>
          <w:rFonts w:ascii="Times New Roman" w:eastAsia="宋体" w:hAnsi="Times New Roman"/>
          <w:color w:val="000000"/>
          <w:sz w:val="20"/>
          <w:szCs w:val="20"/>
        </w:rPr>
        <w:t>f our business, which makes it difficult to forecast our future results. As a result, you should not rely upon our past quarterly financial results as indicators of future performance. You should take into account the risks and uncertainties frequently enc</w:t>
      </w:r>
      <w:r>
        <w:rPr>
          <w:rFonts w:ascii="Times New Roman" w:eastAsia="宋体" w:hAnsi="Times New Roman"/>
          <w:color w:val="000000"/>
          <w:sz w:val="20"/>
          <w:szCs w:val="20"/>
        </w:rPr>
        <w:t>ountered by companies in rapidly evolving markets. Our financial results in any given quarter can be influenced by numerous factors, many of which we are unable to predict or are outside of our control, including:</w:t>
      </w:r>
    </w:p>
    <w:p w14:paraId="5CD8E0C8" w14:textId="77777777" w:rsidR="00BA49F5" w:rsidRDefault="00BA49F5">
      <w:pPr>
        <w:ind w:firstLine="540"/>
        <w:jc w:val="both"/>
      </w:pPr>
    </w:p>
    <w:p w14:paraId="5CD8E0C9" w14:textId="77777777" w:rsidR="00BA49F5" w:rsidRDefault="007E5E49">
      <w:pPr>
        <w:ind w:hanging="360"/>
        <w:jc w:val="both"/>
      </w:pPr>
      <w:r>
        <w:rPr>
          <w:rFonts w:ascii="Times New Roman" w:eastAsia="宋体" w:hAnsi="Times New Roman"/>
          <w:color w:val="000000"/>
          <w:sz w:val="20"/>
          <w:szCs w:val="20"/>
        </w:rPr>
        <w:t>•our ability to maintain and grow our use</w:t>
      </w:r>
      <w:r>
        <w:rPr>
          <w:rFonts w:ascii="Times New Roman" w:eastAsia="宋体" w:hAnsi="Times New Roman"/>
          <w:color w:val="000000"/>
          <w:sz w:val="20"/>
          <w:szCs w:val="20"/>
        </w:rPr>
        <w:t>r base and user engagement, particularly for our products that deliver ad impressions;</w:t>
      </w:r>
    </w:p>
    <w:p w14:paraId="5CD8E0CA" w14:textId="77777777" w:rsidR="00BA49F5" w:rsidRDefault="00BA49F5">
      <w:pPr>
        <w:ind w:hanging="360"/>
        <w:jc w:val="both"/>
      </w:pPr>
    </w:p>
    <w:p w14:paraId="5CD8E0CB" w14:textId="77777777" w:rsidR="00BA49F5" w:rsidRDefault="007E5E49">
      <w:pPr>
        <w:ind w:hanging="360"/>
        <w:jc w:val="both"/>
      </w:pPr>
      <w:r>
        <w:rPr>
          <w:rFonts w:ascii="Times New Roman" w:eastAsia="宋体" w:hAnsi="Times New Roman"/>
          <w:color w:val="000000"/>
          <w:sz w:val="20"/>
          <w:szCs w:val="20"/>
        </w:rPr>
        <w:t>•our ability to attract and retain marketers in a particular period;</w:t>
      </w:r>
    </w:p>
    <w:p w14:paraId="5CD8E0CC" w14:textId="77777777" w:rsidR="00BA49F5" w:rsidRDefault="00BA49F5">
      <w:pPr>
        <w:ind w:hanging="360"/>
        <w:jc w:val="both"/>
      </w:pPr>
    </w:p>
    <w:p w14:paraId="5CD8E0CD" w14:textId="77777777" w:rsidR="00BA49F5" w:rsidRDefault="007E5E49">
      <w:pPr>
        <w:ind w:hanging="360"/>
        <w:jc w:val="both"/>
      </w:pPr>
      <w:r>
        <w:rPr>
          <w:rFonts w:ascii="Times New Roman" w:eastAsia="宋体" w:hAnsi="Times New Roman"/>
          <w:color w:val="000000"/>
          <w:sz w:val="20"/>
          <w:szCs w:val="20"/>
        </w:rPr>
        <w:t xml:space="preserve">•our ability to recognize revenue or collect payments from marketers in a particular </w:t>
      </w:r>
      <w:r>
        <w:rPr>
          <w:rFonts w:ascii="Times New Roman" w:eastAsia="宋体" w:hAnsi="Times New Roman"/>
          <w:color w:val="000000"/>
          <w:sz w:val="20"/>
          <w:szCs w:val="20"/>
        </w:rPr>
        <w:t>period;</w:t>
      </w:r>
    </w:p>
    <w:p w14:paraId="5CD8E0CE" w14:textId="77777777" w:rsidR="00BA49F5" w:rsidRDefault="00BA49F5">
      <w:pPr>
        <w:ind w:hanging="360"/>
        <w:jc w:val="both"/>
      </w:pPr>
    </w:p>
    <w:p w14:paraId="5CD8E0CF" w14:textId="77777777" w:rsidR="00BA49F5" w:rsidRDefault="007E5E49">
      <w:pPr>
        <w:ind w:hanging="360"/>
        <w:jc w:val="both"/>
      </w:pPr>
      <w:r>
        <w:rPr>
          <w:rFonts w:ascii="Times New Roman" w:eastAsia="宋体" w:hAnsi="Times New Roman"/>
          <w:color w:val="000000"/>
          <w:sz w:val="20"/>
          <w:szCs w:val="20"/>
        </w:rPr>
        <w:t>•fluctuations in spending by our marketers due to seasonality, such as historically strong spending in the fourth quarter of each year, episodic regional or global events, including the COVID-19 pandemic, or other factors;</w:t>
      </w:r>
    </w:p>
    <w:p w14:paraId="5CD8E0D0" w14:textId="77777777" w:rsidR="00BA49F5" w:rsidRDefault="00BA49F5">
      <w:pPr>
        <w:ind w:hanging="360"/>
        <w:jc w:val="both"/>
      </w:pPr>
    </w:p>
    <w:p w14:paraId="5CD8E0D1" w14:textId="77777777" w:rsidR="00BA49F5" w:rsidRDefault="007E5E49">
      <w:pPr>
        <w:ind w:hanging="360"/>
        <w:jc w:val="both"/>
      </w:pPr>
      <w:r>
        <w:rPr>
          <w:rFonts w:ascii="Times New Roman" w:eastAsia="宋体" w:hAnsi="Times New Roman"/>
          <w:color w:val="000000"/>
          <w:sz w:val="20"/>
          <w:szCs w:val="20"/>
        </w:rPr>
        <w:t>•the frequency, promine</w:t>
      </w:r>
      <w:r>
        <w:rPr>
          <w:rFonts w:ascii="Times New Roman" w:eastAsia="宋体" w:hAnsi="Times New Roman"/>
          <w:color w:val="000000"/>
          <w:sz w:val="20"/>
          <w:szCs w:val="20"/>
        </w:rPr>
        <w:t>nce, size, format, and quality of ads shown to users;</w:t>
      </w:r>
    </w:p>
    <w:p w14:paraId="5CD8E0D2" w14:textId="77777777" w:rsidR="00BA49F5" w:rsidRDefault="00BA49F5">
      <w:pPr>
        <w:ind w:hanging="360"/>
        <w:jc w:val="both"/>
      </w:pPr>
    </w:p>
    <w:p w14:paraId="5CD8E0D3" w14:textId="77777777" w:rsidR="00BA49F5" w:rsidRDefault="007E5E49">
      <w:pPr>
        <w:ind w:hanging="360"/>
        <w:jc w:val="both"/>
      </w:pPr>
      <w:r>
        <w:rPr>
          <w:rFonts w:ascii="Times New Roman" w:eastAsia="宋体" w:hAnsi="Times New Roman"/>
          <w:color w:val="000000"/>
          <w:sz w:val="20"/>
          <w:szCs w:val="20"/>
        </w:rPr>
        <w:t>•the success of technologies designed to block the display of ads;</w:t>
      </w:r>
    </w:p>
    <w:p w14:paraId="5CD8E0D4" w14:textId="77777777" w:rsidR="00BA49F5" w:rsidRDefault="00BA49F5">
      <w:pPr>
        <w:ind w:hanging="360"/>
        <w:jc w:val="both"/>
      </w:pPr>
    </w:p>
    <w:p w14:paraId="5CD8E0D5" w14:textId="77777777" w:rsidR="00BA49F5" w:rsidRDefault="007E5E49">
      <w:pPr>
        <w:ind w:hanging="360"/>
        <w:jc w:val="both"/>
      </w:pPr>
      <w:r>
        <w:rPr>
          <w:rFonts w:ascii="Times New Roman" w:eastAsia="宋体" w:hAnsi="Times New Roman"/>
          <w:color w:val="000000"/>
          <w:sz w:val="20"/>
          <w:szCs w:val="20"/>
        </w:rPr>
        <w:t>•changes to the content or application of third-party policies that limit our ability to deliver, target, or measure the effectivenes</w:t>
      </w:r>
      <w:r>
        <w:rPr>
          <w:rFonts w:ascii="Times New Roman" w:eastAsia="宋体" w:hAnsi="Times New Roman"/>
          <w:color w:val="000000"/>
          <w:sz w:val="20"/>
          <w:szCs w:val="20"/>
        </w:rPr>
        <w:t>s of advertising, including changes by mobile operating system and browser providers such as Apple and Google;</w:t>
      </w:r>
    </w:p>
    <w:p w14:paraId="5CD8E0D6" w14:textId="77777777" w:rsidR="00BA49F5" w:rsidRDefault="00BA49F5">
      <w:pPr>
        <w:ind w:hanging="360"/>
        <w:jc w:val="both"/>
      </w:pPr>
    </w:p>
    <w:p w14:paraId="5CD8E0D7" w14:textId="77777777" w:rsidR="00BA49F5" w:rsidRDefault="007E5E49">
      <w:pPr>
        <w:ind w:hanging="360"/>
        <w:jc w:val="both"/>
      </w:pPr>
      <w:r>
        <w:rPr>
          <w:rFonts w:ascii="Times New Roman" w:eastAsia="宋体" w:hAnsi="Times New Roman"/>
          <w:color w:val="000000"/>
          <w:sz w:val="20"/>
          <w:szCs w:val="20"/>
        </w:rPr>
        <w:t>•the pricing of our ads and other products;</w:t>
      </w:r>
    </w:p>
    <w:p w14:paraId="5CD8E0D8" w14:textId="77777777" w:rsidR="00BA49F5" w:rsidRDefault="00BA49F5">
      <w:pPr>
        <w:ind w:hanging="360"/>
        <w:jc w:val="both"/>
      </w:pPr>
    </w:p>
    <w:p w14:paraId="5CD8E0D9" w14:textId="77777777" w:rsidR="00BA49F5" w:rsidRDefault="007E5E49">
      <w:pPr>
        <w:ind w:hanging="360"/>
        <w:jc w:val="both"/>
      </w:pPr>
      <w:r>
        <w:rPr>
          <w:rFonts w:ascii="Times New Roman" w:eastAsia="宋体" w:hAnsi="Times New Roman"/>
          <w:color w:val="000000"/>
          <w:sz w:val="20"/>
          <w:szCs w:val="20"/>
        </w:rPr>
        <w:t>•the diversification and growth of revenue sources beyond advertising on Facebook and Instagram;</w:t>
      </w:r>
    </w:p>
    <w:p w14:paraId="5CD8E0DA" w14:textId="77777777" w:rsidR="00BA49F5" w:rsidRDefault="00BA49F5">
      <w:pPr>
        <w:ind w:hanging="360"/>
        <w:jc w:val="both"/>
      </w:pPr>
    </w:p>
    <w:p w14:paraId="5CD8E0DB" w14:textId="77777777" w:rsidR="00BA49F5" w:rsidRDefault="007E5E49">
      <w:pPr>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our ability to generate revenue from Payments, or the sale of our consumer hardware products or other products we may introduce in the future;</w:t>
      </w:r>
    </w:p>
    <w:p w14:paraId="5CD8E0DC" w14:textId="77777777" w:rsidR="00BA49F5" w:rsidRDefault="00BA49F5">
      <w:pPr>
        <w:ind w:hanging="360"/>
        <w:jc w:val="both"/>
      </w:pPr>
    </w:p>
    <w:p w14:paraId="5CD8E0DD" w14:textId="77777777" w:rsidR="00BA49F5" w:rsidRDefault="007E5E49">
      <w:pPr>
        <w:ind w:hanging="360"/>
        <w:jc w:val="both"/>
      </w:pPr>
      <w:r>
        <w:rPr>
          <w:rFonts w:ascii="Times New Roman" w:eastAsia="宋体" w:hAnsi="Times New Roman"/>
          <w:color w:val="000000"/>
          <w:sz w:val="20"/>
          <w:szCs w:val="20"/>
        </w:rPr>
        <w:t xml:space="preserve">•changes to existing products or services or the development and introduction of new products or services by us </w:t>
      </w:r>
      <w:r>
        <w:rPr>
          <w:rFonts w:ascii="Times New Roman" w:eastAsia="宋体" w:hAnsi="Times New Roman"/>
          <w:color w:val="000000"/>
          <w:sz w:val="20"/>
          <w:szCs w:val="20"/>
        </w:rPr>
        <w:t>or our competitors;</w:t>
      </w:r>
    </w:p>
    <w:p w14:paraId="5CD8E0DE" w14:textId="77777777" w:rsidR="00BA49F5" w:rsidRDefault="00BA49F5">
      <w:pPr>
        <w:ind w:hanging="360"/>
        <w:jc w:val="both"/>
      </w:pPr>
    </w:p>
    <w:p w14:paraId="5CD8E0DF" w14:textId="77777777" w:rsidR="00BA49F5" w:rsidRDefault="007E5E49">
      <w:pPr>
        <w:ind w:hanging="360"/>
        <w:jc w:val="both"/>
      </w:pPr>
      <w:r>
        <w:rPr>
          <w:rFonts w:ascii="Times New Roman" w:eastAsia="宋体" w:hAnsi="Times New Roman"/>
          <w:color w:val="000000"/>
          <w:sz w:val="20"/>
          <w:szCs w:val="20"/>
        </w:rPr>
        <w:t>•user behavior or product changes that may reduce traffic to features or products that we successfully monetize;</w:t>
      </w:r>
    </w:p>
    <w:p w14:paraId="5CD8E0E0" w14:textId="77777777" w:rsidR="00BA49F5" w:rsidRDefault="00BA49F5">
      <w:pPr>
        <w:ind w:hanging="360"/>
        <w:jc w:val="both"/>
      </w:pPr>
    </w:p>
    <w:p w14:paraId="5CD8E0E1" w14:textId="77777777" w:rsidR="00BA49F5" w:rsidRDefault="007E5E49">
      <w:pPr>
        <w:jc w:val="center"/>
      </w:pPr>
      <w:r>
        <w:rPr>
          <w:rFonts w:ascii="Times New Roman" w:eastAsia="宋体" w:hAnsi="Times New Roman"/>
          <w:color w:val="000000"/>
          <w:sz w:val="20"/>
          <w:szCs w:val="20"/>
        </w:rPr>
        <w:t>24</w:t>
      </w:r>
    </w:p>
    <w:p w14:paraId="5CD8E0E2" w14:textId="77777777" w:rsidR="00BA49F5" w:rsidRDefault="007E5E49">
      <w:r>
        <w:pict w14:anchorId="5CD90CE3">
          <v:rect id="_x0000_i1048" style="width:415.3pt;height:1.5pt" o:hralign="center" o:hrstd="t" o:hr="t" fillcolor="#a0a0a0" stroked="f"/>
        </w:pict>
      </w:r>
    </w:p>
    <w:p w14:paraId="5CD8E0E3" w14:textId="77777777" w:rsidR="00BA49F5" w:rsidRDefault="00BA49F5"/>
    <w:p w14:paraId="5CD8E0E4" w14:textId="77777777" w:rsidR="00BA49F5" w:rsidRDefault="00BA49F5"/>
    <w:p w14:paraId="5CD8E0E5" w14:textId="77777777" w:rsidR="00BA49F5" w:rsidRDefault="007E5E49">
      <w:hyperlink r:id="rId128" w:anchor="i6df229dad1864210ab76200083e26819_7" w:history="1">
        <w:r>
          <w:rPr>
            <w:rStyle w:val="a5"/>
            <w:rFonts w:ascii="Times New Roman" w:eastAsia="宋体" w:hAnsi="Times New Roman"/>
            <w:sz w:val="20"/>
            <w:szCs w:val="20"/>
          </w:rPr>
          <w:t>T</w:t>
        </w:r>
      </w:hyperlink>
      <w:hyperlink r:id="rId129" w:anchor="i6df229dad1864210ab76200083e26819_7" w:history="1">
        <w:r>
          <w:rPr>
            <w:rStyle w:val="a5"/>
            <w:rFonts w:ascii="Times New Roman" w:eastAsia="宋体" w:hAnsi="Times New Roman"/>
            <w:sz w:val="20"/>
            <w:szCs w:val="20"/>
          </w:rPr>
          <w:t>able of Contents</w:t>
        </w:r>
      </w:hyperlink>
    </w:p>
    <w:p w14:paraId="5CD8E0E6" w14:textId="77777777" w:rsidR="00BA49F5" w:rsidRDefault="007E5E49">
      <w:pPr>
        <w:ind w:hanging="36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related to our data centers and</w:t>
      </w:r>
      <w:r>
        <w:rPr>
          <w:rFonts w:ascii="Times New Roman" w:eastAsia="宋体" w:hAnsi="Times New Roman"/>
          <w:color w:val="000000"/>
          <w:sz w:val="20"/>
          <w:szCs w:val="20"/>
        </w:rPr>
        <w:t xml:space="preserve"> technical infrastructure;</w:t>
      </w:r>
    </w:p>
    <w:p w14:paraId="5CD8E0E7" w14:textId="77777777" w:rsidR="00BA49F5" w:rsidRDefault="00BA49F5">
      <w:pPr>
        <w:ind w:hanging="360"/>
        <w:jc w:val="both"/>
      </w:pPr>
    </w:p>
    <w:p w14:paraId="5CD8E0E8" w14:textId="77777777" w:rsidR="00BA49F5" w:rsidRDefault="007E5E49">
      <w:pPr>
        <w:ind w:hanging="360"/>
        <w:jc w:val="both"/>
      </w:pPr>
      <w:r>
        <w:rPr>
          <w:rFonts w:ascii="Times New Roman" w:eastAsia="宋体" w:hAnsi="Times New Roman"/>
          <w:color w:val="000000"/>
          <w:sz w:val="20"/>
          <w:szCs w:val="20"/>
        </w:rPr>
        <w:t>•costs related to our privacy, safety, security, and content review efforts, including as a result of implementing changes to our practices, whether voluntarily, in connection with laws, regulations, regulatory actions, or decis</w:t>
      </w:r>
      <w:r>
        <w:rPr>
          <w:rFonts w:ascii="Times New Roman" w:eastAsia="宋体" w:hAnsi="Times New Roman"/>
          <w:color w:val="000000"/>
          <w:sz w:val="20"/>
          <w:szCs w:val="20"/>
        </w:rPr>
        <w:t>ions or recommendations from the independent Oversight Board, or otherwise;</w:t>
      </w:r>
    </w:p>
    <w:p w14:paraId="5CD8E0E9" w14:textId="77777777" w:rsidR="00BA49F5" w:rsidRDefault="00BA49F5">
      <w:pPr>
        <w:ind w:hanging="360"/>
        <w:jc w:val="both"/>
      </w:pPr>
    </w:p>
    <w:p w14:paraId="5CD8E0EA" w14:textId="77777777" w:rsidR="00BA49F5" w:rsidRDefault="007E5E49">
      <w:pPr>
        <w:ind w:hanging="360"/>
        <w:jc w:val="both"/>
      </w:pPr>
      <w:r>
        <w:rPr>
          <w:rFonts w:ascii="Times New Roman" w:eastAsia="宋体" w:hAnsi="Times New Roman"/>
          <w:color w:val="000000"/>
          <w:sz w:val="20"/>
          <w:szCs w:val="20"/>
        </w:rPr>
        <w:t>•costs and expenses related to the development, manufacturing, and delivery of our consumer hardware products;</w:t>
      </w:r>
    </w:p>
    <w:p w14:paraId="5CD8E0EB" w14:textId="77777777" w:rsidR="00BA49F5" w:rsidRDefault="00BA49F5">
      <w:pPr>
        <w:ind w:hanging="360"/>
        <w:jc w:val="both"/>
      </w:pPr>
    </w:p>
    <w:p w14:paraId="5CD8E0EC" w14:textId="77777777" w:rsidR="00BA49F5" w:rsidRDefault="007E5E49">
      <w:pPr>
        <w:ind w:hanging="360"/>
        <w:jc w:val="both"/>
      </w:pPr>
      <w:r>
        <w:rPr>
          <w:rFonts w:ascii="Times New Roman" w:eastAsia="宋体" w:hAnsi="Times New Roman"/>
          <w:color w:val="000000"/>
          <w:sz w:val="20"/>
          <w:szCs w:val="20"/>
        </w:rPr>
        <w:t>•our ability to maintain gross margins and operating margins;</w:t>
      </w:r>
    </w:p>
    <w:p w14:paraId="5CD8E0ED" w14:textId="77777777" w:rsidR="00BA49F5" w:rsidRDefault="00BA49F5">
      <w:pPr>
        <w:ind w:hanging="360"/>
        <w:jc w:val="both"/>
      </w:pPr>
    </w:p>
    <w:p w14:paraId="5CD8E0EE" w14:textId="77777777" w:rsidR="00BA49F5" w:rsidRDefault="007E5E49">
      <w:pPr>
        <w:ind w:hanging="360"/>
        <w:jc w:val="both"/>
      </w:pPr>
      <w:r>
        <w:rPr>
          <w:rFonts w:ascii="Times New Roman" w:eastAsia="宋体" w:hAnsi="Times New Roman"/>
          <w:color w:val="000000"/>
          <w:sz w:val="20"/>
          <w:szCs w:val="20"/>
        </w:rPr>
        <w:t>•cos</w:t>
      </w:r>
      <w:r>
        <w:rPr>
          <w:rFonts w:ascii="Times New Roman" w:eastAsia="宋体" w:hAnsi="Times New Roman"/>
          <w:color w:val="000000"/>
          <w:sz w:val="20"/>
          <w:szCs w:val="20"/>
        </w:rPr>
        <w:t>ts related to acquisitions, including costs associated with amortization and additional investments to develop the acquired technologies;</w:t>
      </w:r>
    </w:p>
    <w:p w14:paraId="5CD8E0EF" w14:textId="77777777" w:rsidR="00BA49F5" w:rsidRDefault="00BA49F5">
      <w:pPr>
        <w:ind w:hanging="360"/>
        <w:jc w:val="both"/>
      </w:pPr>
    </w:p>
    <w:p w14:paraId="5CD8E0F0" w14:textId="77777777" w:rsidR="00BA49F5" w:rsidRDefault="007E5E49">
      <w:pPr>
        <w:ind w:hanging="360"/>
        <w:jc w:val="both"/>
      </w:pPr>
      <w:r>
        <w:rPr>
          <w:rFonts w:ascii="Times New Roman" w:eastAsia="宋体" w:hAnsi="Times New Roman"/>
          <w:color w:val="000000"/>
          <w:sz w:val="20"/>
          <w:szCs w:val="20"/>
        </w:rPr>
        <w:t>•charges associated with impairment or abandonment of any assets on our balance sheet, including as a result of chang</w:t>
      </w:r>
      <w:r>
        <w:rPr>
          <w:rFonts w:ascii="Times New Roman" w:eastAsia="宋体" w:hAnsi="Times New Roman"/>
          <w:color w:val="000000"/>
          <w:sz w:val="20"/>
          <w:szCs w:val="20"/>
        </w:rPr>
        <w:t>es to our real property lease arrangements and data center assets;</w:t>
      </w:r>
    </w:p>
    <w:p w14:paraId="5CD8E0F1" w14:textId="77777777" w:rsidR="00BA49F5" w:rsidRDefault="00BA49F5">
      <w:pPr>
        <w:ind w:hanging="360"/>
        <w:jc w:val="both"/>
      </w:pPr>
    </w:p>
    <w:p w14:paraId="5CD8E0F2" w14:textId="77777777" w:rsidR="00BA49F5" w:rsidRDefault="007E5E49">
      <w:pPr>
        <w:ind w:hanging="360"/>
        <w:jc w:val="both"/>
      </w:pPr>
      <w:r>
        <w:rPr>
          <w:rFonts w:ascii="Times New Roman" w:eastAsia="宋体" w:hAnsi="Times New Roman"/>
          <w:color w:val="000000"/>
          <w:sz w:val="20"/>
          <w:szCs w:val="20"/>
        </w:rPr>
        <w:t>•our ability to obtain equipment, components, and labor for our data centers and other technical infrastructure in a timely and cost-effective manner;</w:t>
      </w:r>
    </w:p>
    <w:p w14:paraId="5CD8E0F3" w14:textId="77777777" w:rsidR="00BA49F5" w:rsidRDefault="00BA49F5">
      <w:pPr>
        <w:ind w:hanging="360"/>
        <w:jc w:val="both"/>
      </w:pPr>
    </w:p>
    <w:p w14:paraId="5CD8E0F4" w14:textId="77777777" w:rsidR="00BA49F5" w:rsidRDefault="007E5E49">
      <w:pPr>
        <w:ind w:hanging="360"/>
        <w:jc w:val="both"/>
      </w:pPr>
      <w:r>
        <w:rPr>
          <w:rFonts w:ascii="Times New Roman" w:eastAsia="宋体" w:hAnsi="Times New Roman"/>
          <w:color w:val="000000"/>
          <w:sz w:val="20"/>
          <w:szCs w:val="20"/>
        </w:rPr>
        <w:t xml:space="preserve">•system failures or outages or </w:t>
      </w:r>
      <w:r>
        <w:rPr>
          <w:rFonts w:ascii="Times New Roman" w:eastAsia="宋体" w:hAnsi="Times New Roman"/>
          <w:color w:val="000000"/>
          <w:sz w:val="20"/>
          <w:szCs w:val="20"/>
        </w:rPr>
        <w:t>government blocking that prevent us from serving ads for any period of time;</w:t>
      </w:r>
    </w:p>
    <w:p w14:paraId="5CD8E0F5" w14:textId="77777777" w:rsidR="00BA49F5" w:rsidRDefault="00BA49F5">
      <w:pPr>
        <w:ind w:hanging="360"/>
        <w:jc w:val="both"/>
      </w:pPr>
    </w:p>
    <w:p w14:paraId="5CD8E0F6" w14:textId="77777777" w:rsidR="00BA49F5" w:rsidRDefault="007E5E49">
      <w:pPr>
        <w:ind w:hanging="360"/>
        <w:jc w:val="both"/>
      </w:pPr>
      <w:r>
        <w:rPr>
          <w:rFonts w:ascii="Times New Roman" w:eastAsia="宋体" w:hAnsi="Times New Roman"/>
          <w:color w:val="000000"/>
          <w:sz w:val="20"/>
          <w:szCs w:val="20"/>
        </w:rPr>
        <w:t>•breaches of security or privacy, and the costs associated with any such breaches and remediation;</w:t>
      </w:r>
    </w:p>
    <w:p w14:paraId="5CD8E0F7" w14:textId="77777777" w:rsidR="00BA49F5" w:rsidRDefault="00BA49F5">
      <w:pPr>
        <w:ind w:hanging="360"/>
        <w:jc w:val="both"/>
      </w:pPr>
    </w:p>
    <w:p w14:paraId="5CD8E0F8" w14:textId="77777777" w:rsidR="00BA49F5" w:rsidRDefault="007E5E49">
      <w:pPr>
        <w:ind w:hanging="360"/>
        <w:jc w:val="both"/>
      </w:pPr>
      <w:r>
        <w:rPr>
          <w:rFonts w:ascii="Times New Roman" w:eastAsia="宋体" w:hAnsi="Times New Roman"/>
          <w:color w:val="000000"/>
          <w:sz w:val="20"/>
          <w:szCs w:val="20"/>
        </w:rPr>
        <w:t xml:space="preserve">•changes in the manner in which we distribute our products or inaccessibility </w:t>
      </w:r>
      <w:r>
        <w:rPr>
          <w:rFonts w:ascii="Times New Roman" w:eastAsia="宋体" w:hAnsi="Times New Roman"/>
          <w:color w:val="000000"/>
          <w:sz w:val="20"/>
          <w:szCs w:val="20"/>
        </w:rPr>
        <w:t>of our products due to third-party actions;</w:t>
      </w:r>
    </w:p>
    <w:p w14:paraId="5CD8E0F9" w14:textId="77777777" w:rsidR="00BA49F5" w:rsidRDefault="00BA49F5">
      <w:pPr>
        <w:ind w:hanging="360"/>
        <w:jc w:val="both"/>
      </w:pPr>
    </w:p>
    <w:p w14:paraId="5CD8E0FA" w14:textId="77777777" w:rsidR="00BA49F5" w:rsidRDefault="007E5E49">
      <w:pPr>
        <w:ind w:hanging="360"/>
        <w:jc w:val="both"/>
      </w:pPr>
      <w:r>
        <w:rPr>
          <w:rFonts w:ascii="Times New Roman" w:eastAsia="宋体" w:hAnsi="Times New Roman"/>
          <w:color w:val="000000"/>
          <w:sz w:val="20"/>
          <w:szCs w:val="20"/>
        </w:rPr>
        <w:t>•fees paid to third parties for content or the distribution of our products;</w:t>
      </w:r>
    </w:p>
    <w:p w14:paraId="5CD8E0FB" w14:textId="77777777" w:rsidR="00BA49F5" w:rsidRDefault="00BA49F5">
      <w:pPr>
        <w:ind w:hanging="360"/>
        <w:jc w:val="both"/>
      </w:pPr>
    </w:p>
    <w:p w14:paraId="5CD8E0FC" w14:textId="77777777" w:rsidR="00BA49F5" w:rsidRDefault="007E5E49">
      <w:pPr>
        <w:ind w:hanging="360"/>
        <w:jc w:val="both"/>
      </w:pPr>
      <w:r>
        <w:rPr>
          <w:rFonts w:ascii="Times New Roman" w:eastAsia="宋体" w:hAnsi="Times New Roman"/>
          <w:color w:val="000000"/>
          <w:sz w:val="20"/>
          <w:szCs w:val="20"/>
        </w:rPr>
        <w:t>•refunds or other concessions provided to advertisers;</w:t>
      </w:r>
    </w:p>
    <w:p w14:paraId="5CD8E0FD" w14:textId="77777777" w:rsidR="00BA49F5" w:rsidRDefault="00BA49F5">
      <w:pPr>
        <w:ind w:hanging="360"/>
        <w:jc w:val="both"/>
      </w:pPr>
    </w:p>
    <w:p w14:paraId="5CD8E0FE" w14:textId="77777777" w:rsidR="00BA49F5" w:rsidRDefault="007E5E49">
      <w:pPr>
        <w:ind w:hanging="360"/>
        <w:jc w:val="both"/>
      </w:pPr>
      <w:r>
        <w:rPr>
          <w:rFonts w:ascii="Times New Roman" w:eastAsia="宋体" w:hAnsi="Times New Roman"/>
          <w:color w:val="000000"/>
          <w:sz w:val="20"/>
          <w:szCs w:val="20"/>
        </w:rPr>
        <w:t>•share-based compensation expense, including acquisition-related expense;</w:t>
      </w:r>
    </w:p>
    <w:p w14:paraId="5CD8E0FF" w14:textId="77777777" w:rsidR="00BA49F5" w:rsidRDefault="00BA49F5">
      <w:pPr>
        <w:ind w:hanging="360"/>
        <w:jc w:val="both"/>
      </w:pPr>
    </w:p>
    <w:p w14:paraId="5CD8E100" w14:textId="77777777" w:rsidR="00BA49F5" w:rsidRDefault="007E5E49">
      <w:pPr>
        <w:ind w:hanging="360"/>
        <w:jc w:val="both"/>
      </w:pPr>
      <w:r>
        <w:rPr>
          <w:rFonts w:ascii="Times New Roman" w:eastAsia="宋体" w:hAnsi="Times New Roman"/>
          <w:color w:val="000000"/>
          <w:sz w:val="20"/>
          <w:szCs w:val="20"/>
        </w:rPr>
        <w:t>•a</w:t>
      </w:r>
      <w:r>
        <w:rPr>
          <w:rFonts w:ascii="Times New Roman" w:eastAsia="宋体" w:hAnsi="Times New Roman"/>
          <w:color w:val="000000"/>
          <w:sz w:val="20"/>
          <w:szCs w:val="20"/>
        </w:rPr>
        <w:t>dverse litigation judgments, settlements, or other litigation-related costs;</w:t>
      </w:r>
    </w:p>
    <w:p w14:paraId="5CD8E101" w14:textId="77777777" w:rsidR="00BA49F5" w:rsidRDefault="00BA49F5">
      <w:pPr>
        <w:ind w:hanging="360"/>
        <w:jc w:val="both"/>
      </w:pPr>
    </w:p>
    <w:p w14:paraId="5CD8E102" w14:textId="77777777" w:rsidR="00BA49F5" w:rsidRDefault="007E5E49">
      <w:pPr>
        <w:ind w:hanging="360"/>
        <w:jc w:val="both"/>
      </w:pPr>
      <w:r>
        <w:rPr>
          <w:rFonts w:ascii="Times New Roman" w:eastAsia="宋体" w:hAnsi="Times New Roman"/>
          <w:color w:val="000000"/>
          <w:sz w:val="20"/>
          <w:szCs w:val="20"/>
        </w:rPr>
        <w:t xml:space="preserve">•changes in the legislative or regulatory environment, including with respect to privacy, data protection, and content, or actions by governments or regulators, </w:t>
      </w:r>
      <w:r>
        <w:rPr>
          <w:rFonts w:ascii="Times New Roman" w:eastAsia="宋体" w:hAnsi="Times New Roman"/>
          <w:color w:val="000000"/>
          <w:sz w:val="20"/>
          <w:szCs w:val="20"/>
        </w:rPr>
        <w:t>including fines, orders, or consent decrees;</w:t>
      </w:r>
    </w:p>
    <w:p w14:paraId="5CD8E103" w14:textId="77777777" w:rsidR="00BA49F5" w:rsidRDefault="00BA49F5">
      <w:pPr>
        <w:ind w:hanging="360"/>
        <w:jc w:val="both"/>
      </w:pPr>
    </w:p>
    <w:p w14:paraId="5CD8E104" w14:textId="77777777" w:rsidR="00BA49F5" w:rsidRDefault="007E5E49">
      <w:pPr>
        <w:ind w:hanging="360"/>
        <w:jc w:val="both"/>
      </w:pPr>
      <w:r>
        <w:rPr>
          <w:rFonts w:ascii="Times New Roman" w:eastAsia="宋体" w:hAnsi="Times New Roman"/>
          <w:color w:val="000000"/>
          <w:sz w:val="20"/>
          <w:szCs w:val="20"/>
        </w:rPr>
        <w:t>•the overall tax rate for our business, which is affected by the mix of income we earn in the U.S. and in jurisdictions with different tax rates, the effects of share-based compensation, the effects of integrat</w:t>
      </w:r>
      <w:r>
        <w:rPr>
          <w:rFonts w:ascii="Times New Roman" w:eastAsia="宋体" w:hAnsi="Times New Roman"/>
          <w:color w:val="000000"/>
          <w:sz w:val="20"/>
          <w:szCs w:val="20"/>
        </w:rPr>
        <w:t>ing intellectual property from acquisitions, the effects of changes in our business or structure, and the effects of discrete items such as legal and tax settlements and tax elections;</w:t>
      </w:r>
    </w:p>
    <w:p w14:paraId="5CD8E105" w14:textId="77777777" w:rsidR="00BA49F5" w:rsidRDefault="00BA49F5">
      <w:pPr>
        <w:ind w:hanging="360"/>
        <w:jc w:val="both"/>
      </w:pPr>
    </w:p>
    <w:p w14:paraId="5CD8E106" w14:textId="77777777" w:rsidR="00BA49F5" w:rsidRDefault="007E5E49">
      <w:pPr>
        <w:ind w:hanging="360"/>
        <w:jc w:val="both"/>
      </w:pPr>
      <w:r>
        <w:rPr>
          <w:rFonts w:ascii="Times New Roman" w:eastAsia="宋体" w:hAnsi="Times New Roman"/>
          <w:color w:val="000000"/>
          <w:sz w:val="20"/>
          <w:szCs w:val="20"/>
        </w:rPr>
        <w:t>•the impact of changes in tax laws or judicial or regulatory interpret</w:t>
      </w:r>
      <w:r>
        <w:rPr>
          <w:rFonts w:ascii="Times New Roman" w:eastAsia="宋体" w:hAnsi="Times New Roman"/>
          <w:color w:val="000000"/>
          <w:sz w:val="20"/>
          <w:szCs w:val="20"/>
        </w:rPr>
        <w:t>ations of tax laws, which are recorded in the period such laws are enacted or interpretations are issued, and may significantly affect the effective tax rate of that period;</w:t>
      </w:r>
    </w:p>
    <w:p w14:paraId="5CD8E107" w14:textId="77777777" w:rsidR="00BA49F5" w:rsidRDefault="00BA49F5">
      <w:pPr>
        <w:ind w:hanging="360"/>
        <w:jc w:val="both"/>
      </w:pPr>
    </w:p>
    <w:p w14:paraId="5CD8E108" w14:textId="77777777" w:rsidR="00BA49F5" w:rsidRDefault="007E5E49">
      <w:pPr>
        <w:ind w:hanging="360"/>
        <w:jc w:val="both"/>
      </w:pPr>
      <w:r>
        <w:rPr>
          <w:rFonts w:ascii="Times New Roman" w:eastAsia="宋体" w:hAnsi="Times New Roman"/>
          <w:color w:val="000000"/>
          <w:sz w:val="20"/>
          <w:szCs w:val="20"/>
        </w:rPr>
        <w:t>•tax obligations that may arise from resolutions of tax examinations, including t</w:t>
      </w:r>
      <w:r>
        <w:rPr>
          <w:rFonts w:ascii="Times New Roman" w:eastAsia="宋体" w:hAnsi="Times New Roman"/>
          <w:color w:val="000000"/>
          <w:sz w:val="20"/>
          <w:szCs w:val="20"/>
        </w:rPr>
        <w:t>he examination we are currently under by the Internal Revenue Service (IRS), that materially differ from the amounts we have anticipated;</w:t>
      </w:r>
    </w:p>
    <w:p w14:paraId="5CD8E109" w14:textId="77777777" w:rsidR="00BA49F5" w:rsidRDefault="00BA49F5">
      <w:pPr>
        <w:ind w:hanging="360"/>
        <w:jc w:val="both"/>
      </w:pPr>
    </w:p>
    <w:p w14:paraId="5CD8E10A" w14:textId="77777777" w:rsidR="00BA49F5" w:rsidRDefault="007E5E49">
      <w:pPr>
        <w:ind w:hanging="360"/>
        <w:jc w:val="both"/>
      </w:pPr>
      <w:r>
        <w:rPr>
          <w:rFonts w:ascii="Times New Roman" w:eastAsia="宋体" w:hAnsi="Times New Roman"/>
          <w:color w:val="000000"/>
          <w:sz w:val="20"/>
          <w:szCs w:val="20"/>
        </w:rPr>
        <w:t>•fluctuations in currency exchange rates and changes in the proportion of our revenue and expenses denominated in for</w:t>
      </w:r>
      <w:r>
        <w:rPr>
          <w:rFonts w:ascii="Times New Roman" w:eastAsia="宋体" w:hAnsi="Times New Roman"/>
          <w:color w:val="000000"/>
          <w:sz w:val="20"/>
          <w:szCs w:val="20"/>
        </w:rPr>
        <w:t>eign currencies;</w:t>
      </w:r>
    </w:p>
    <w:p w14:paraId="5CD8E10B" w14:textId="77777777" w:rsidR="00BA49F5" w:rsidRDefault="00BA49F5">
      <w:pPr>
        <w:ind w:hanging="360"/>
        <w:jc w:val="both"/>
      </w:pPr>
    </w:p>
    <w:p w14:paraId="5CD8E10C" w14:textId="77777777" w:rsidR="00BA49F5" w:rsidRDefault="007E5E49">
      <w:pPr>
        <w:ind w:hanging="360"/>
        <w:jc w:val="both"/>
      </w:pPr>
      <w:r>
        <w:rPr>
          <w:rFonts w:ascii="Times New Roman" w:eastAsia="宋体" w:hAnsi="Times New Roman"/>
          <w:color w:val="000000"/>
          <w:sz w:val="20"/>
          <w:szCs w:val="20"/>
        </w:rPr>
        <w:t>•trading activity in our share repurchase program;</w:t>
      </w:r>
    </w:p>
    <w:p w14:paraId="5CD8E10D" w14:textId="77777777" w:rsidR="00BA49F5" w:rsidRDefault="00BA49F5">
      <w:pPr>
        <w:ind w:hanging="360"/>
        <w:jc w:val="both"/>
      </w:pPr>
    </w:p>
    <w:p w14:paraId="5CD8E10E" w14:textId="77777777" w:rsidR="00BA49F5" w:rsidRDefault="007E5E49">
      <w:pPr>
        <w:jc w:val="center"/>
      </w:pPr>
      <w:r>
        <w:rPr>
          <w:rFonts w:ascii="Times New Roman" w:eastAsia="宋体" w:hAnsi="Times New Roman"/>
          <w:color w:val="000000"/>
          <w:sz w:val="20"/>
          <w:szCs w:val="20"/>
        </w:rPr>
        <w:t>25</w:t>
      </w:r>
    </w:p>
    <w:p w14:paraId="5CD8E10F" w14:textId="77777777" w:rsidR="00BA49F5" w:rsidRDefault="007E5E49">
      <w:r>
        <w:pict w14:anchorId="5CD90CE4">
          <v:rect id="_x0000_i1049" style="width:415.3pt;height:1.5pt" o:hralign="center" o:hrstd="t" o:hr="t" fillcolor="#a0a0a0" stroked="f"/>
        </w:pict>
      </w:r>
    </w:p>
    <w:p w14:paraId="5CD8E110" w14:textId="77777777" w:rsidR="00BA49F5" w:rsidRDefault="00BA49F5"/>
    <w:p w14:paraId="5CD8E111" w14:textId="77777777" w:rsidR="00BA49F5" w:rsidRDefault="00BA49F5"/>
    <w:p w14:paraId="5CD8E112" w14:textId="77777777" w:rsidR="00BA49F5" w:rsidRDefault="007E5E49">
      <w:hyperlink r:id="rId130" w:anchor="i6df229dad1864210ab76200083e26819_7" w:history="1">
        <w:r>
          <w:rPr>
            <w:rStyle w:val="a5"/>
            <w:rFonts w:ascii="Times New Roman" w:eastAsia="宋体" w:hAnsi="Times New Roman"/>
            <w:sz w:val="20"/>
            <w:szCs w:val="20"/>
          </w:rPr>
          <w:t>T</w:t>
        </w:r>
      </w:hyperlink>
      <w:hyperlink r:id="rId131" w:anchor="i6df229dad1864210ab76200083e26819_7" w:history="1">
        <w:r>
          <w:rPr>
            <w:rStyle w:val="a5"/>
            <w:rFonts w:ascii="Times New Roman" w:eastAsia="宋体" w:hAnsi="Times New Roman"/>
            <w:sz w:val="20"/>
            <w:szCs w:val="20"/>
          </w:rPr>
          <w:t>able of Contents</w:t>
        </w:r>
      </w:hyperlink>
    </w:p>
    <w:p w14:paraId="5CD8E113" w14:textId="77777777" w:rsidR="00BA49F5" w:rsidRDefault="007E5E49">
      <w:pPr>
        <w:ind w:hanging="360"/>
        <w:jc w:val="both"/>
      </w:pPr>
      <w:r>
        <w:rPr>
          <w:rFonts w:ascii="Times New Roman" w:eastAsia="宋体" w:hAnsi="Times New Roman"/>
          <w:color w:val="000000"/>
          <w:sz w:val="20"/>
          <w:szCs w:val="20"/>
        </w:rPr>
        <w:t>•fluctuations in the market values of our investments in marketable securities, in the valuation of our non-mar</w:t>
      </w:r>
      <w:r>
        <w:rPr>
          <w:rFonts w:ascii="Times New Roman" w:eastAsia="宋体" w:hAnsi="Times New Roman"/>
          <w:color w:val="000000"/>
          <w:sz w:val="20"/>
          <w:szCs w:val="20"/>
        </w:rPr>
        <w:t>ketable equity securities, and in interest rates;</w:t>
      </w:r>
    </w:p>
    <w:p w14:paraId="5CD8E114" w14:textId="77777777" w:rsidR="00BA49F5" w:rsidRDefault="00BA49F5">
      <w:pPr>
        <w:ind w:hanging="360"/>
        <w:jc w:val="both"/>
      </w:pPr>
    </w:p>
    <w:p w14:paraId="5CD8E115" w14:textId="77777777" w:rsidR="00BA49F5" w:rsidRDefault="007E5E49">
      <w:pPr>
        <w:ind w:hanging="360"/>
        <w:jc w:val="both"/>
      </w:pPr>
      <w:r>
        <w:rPr>
          <w:rFonts w:ascii="Times New Roman" w:eastAsia="宋体" w:hAnsi="Times New Roman"/>
          <w:color w:val="000000"/>
          <w:sz w:val="20"/>
          <w:szCs w:val="20"/>
        </w:rPr>
        <w:t>•the incurrence of indebtedness or our ability to refinance existing indebtedness on acceptable terms;</w:t>
      </w:r>
    </w:p>
    <w:p w14:paraId="5CD8E116" w14:textId="77777777" w:rsidR="00BA49F5" w:rsidRDefault="00BA49F5">
      <w:pPr>
        <w:ind w:hanging="360"/>
        <w:jc w:val="both"/>
      </w:pPr>
    </w:p>
    <w:p w14:paraId="5CD8E117" w14:textId="77777777" w:rsidR="00BA49F5" w:rsidRDefault="007E5E49">
      <w:pPr>
        <w:ind w:hanging="360"/>
        <w:jc w:val="both"/>
      </w:pPr>
      <w:r>
        <w:rPr>
          <w:rFonts w:ascii="Times New Roman" w:eastAsia="宋体" w:hAnsi="Times New Roman"/>
          <w:color w:val="000000"/>
          <w:sz w:val="20"/>
          <w:szCs w:val="20"/>
        </w:rPr>
        <w:t>•changes in U.S. generally accepted accounting principles; and</w:t>
      </w:r>
    </w:p>
    <w:p w14:paraId="5CD8E118" w14:textId="77777777" w:rsidR="00BA49F5" w:rsidRDefault="00BA49F5">
      <w:pPr>
        <w:ind w:hanging="360"/>
        <w:jc w:val="both"/>
      </w:pPr>
    </w:p>
    <w:p w14:paraId="5CD8E119" w14:textId="77777777" w:rsidR="00BA49F5" w:rsidRDefault="007E5E49">
      <w:pPr>
        <w:ind w:hanging="360"/>
        <w:jc w:val="both"/>
      </w:pPr>
      <w:r>
        <w:rPr>
          <w:rFonts w:ascii="Times New Roman" w:eastAsia="宋体" w:hAnsi="Times New Roman"/>
          <w:color w:val="000000"/>
          <w:sz w:val="20"/>
          <w:szCs w:val="20"/>
        </w:rPr>
        <w:t>•changes in regional or global busine</w:t>
      </w:r>
      <w:r>
        <w:rPr>
          <w:rFonts w:ascii="Times New Roman" w:eastAsia="宋体" w:hAnsi="Times New Roman"/>
          <w:color w:val="000000"/>
          <w:sz w:val="20"/>
          <w:szCs w:val="20"/>
        </w:rPr>
        <w:t xml:space="preserve">ss, macroeconomic, or geopolitical conditions, including as a result of the COVID-19 pandemic, which may impact the other factors described above. </w:t>
      </w:r>
    </w:p>
    <w:p w14:paraId="5CD8E11A" w14:textId="77777777" w:rsidR="00BA49F5" w:rsidRDefault="00BA49F5">
      <w:pPr>
        <w:jc w:val="both"/>
      </w:pPr>
    </w:p>
    <w:p w14:paraId="5CD8E11B" w14:textId="77777777" w:rsidR="00BA49F5" w:rsidRDefault="007E5E49">
      <w:pPr>
        <w:jc w:val="both"/>
      </w:pPr>
      <w:r>
        <w:rPr>
          <w:rFonts w:ascii="Times New Roman" w:eastAsia="宋体" w:hAnsi="Times New Roman"/>
          <w:b/>
          <w:bCs/>
          <w:i/>
          <w:iCs/>
          <w:color w:val="000000"/>
          <w:sz w:val="20"/>
          <w:szCs w:val="20"/>
        </w:rPr>
        <w:t>Unfavorable media coverage negatively affects our business from time to time.</w:t>
      </w:r>
    </w:p>
    <w:p w14:paraId="5CD8E11C" w14:textId="77777777" w:rsidR="00BA49F5" w:rsidRDefault="00BA49F5">
      <w:pPr>
        <w:jc w:val="both"/>
      </w:pPr>
    </w:p>
    <w:p w14:paraId="5CD8E11D" w14:textId="77777777" w:rsidR="00BA49F5" w:rsidRDefault="007E5E49">
      <w:pPr>
        <w:ind w:firstLine="540"/>
        <w:jc w:val="both"/>
      </w:pPr>
      <w:r>
        <w:rPr>
          <w:rFonts w:ascii="Times New Roman" w:eastAsia="宋体" w:hAnsi="Times New Roman"/>
          <w:color w:val="000000"/>
          <w:sz w:val="20"/>
          <w:szCs w:val="20"/>
        </w:rPr>
        <w:t xml:space="preserve">We receive a high </w:t>
      </w:r>
      <w:r>
        <w:rPr>
          <w:rFonts w:ascii="Times New Roman" w:eastAsia="宋体" w:hAnsi="Times New Roman"/>
          <w:color w:val="000000"/>
          <w:sz w:val="20"/>
          <w:szCs w:val="20"/>
        </w:rPr>
        <w:t>degree of media coverage around the world. Unfavorable publicity regarding, for example, our privacy practices, advertising policies, product decisions, product quality, litigation or regulatory activity, government surveillance, the actions of our adverti</w:t>
      </w:r>
      <w:r>
        <w:rPr>
          <w:rFonts w:ascii="Times New Roman" w:eastAsia="宋体" w:hAnsi="Times New Roman"/>
          <w:color w:val="000000"/>
          <w:sz w:val="20"/>
          <w:szCs w:val="20"/>
        </w:rPr>
        <w:t>sers, the actions of our developers whose products are integrated with our products, the use of our products or services for illicit or objectionable ends, the substance or enforcement of our community standards, terms of service, or other policies, the ac</w:t>
      </w:r>
      <w:r>
        <w:rPr>
          <w:rFonts w:ascii="Times New Roman" w:eastAsia="宋体" w:hAnsi="Times New Roman"/>
          <w:color w:val="000000"/>
          <w:sz w:val="20"/>
          <w:szCs w:val="20"/>
        </w:rPr>
        <w:t>tions of our users, the quality and integrity of content shared on our platform, the perceived or actual impacts of our products or services on user well-being, or the actions of other companies that provide similar services to ours, has in the past, and c</w:t>
      </w:r>
      <w:r>
        <w:rPr>
          <w:rFonts w:ascii="Times New Roman" w:eastAsia="宋体" w:hAnsi="Times New Roman"/>
          <w:color w:val="000000"/>
          <w:sz w:val="20"/>
          <w:szCs w:val="20"/>
        </w:rPr>
        <w:t xml:space="preserve">ould in the future, adversely affect our reputation. For example, we have been the subject of significant media coverage involving concerns around our handling of political speech and advertising, hate speech, and other content, as well as user well-being </w:t>
      </w:r>
      <w:r>
        <w:rPr>
          <w:rFonts w:ascii="Times New Roman" w:eastAsia="宋体" w:hAnsi="Times New Roman"/>
          <w:color w:val="000000"/>
          <w:sz w:val="20"/>
          <w:szCs w:val="20"/>
        </w:rPr>
        <w:t>issues, and we continue to receive negative publicity related to these topics. Beginning in September 2021, we became the subject of significant media coverage as a result of allegations and the release of internal company documents by a former employee. I</w:t>
      </w:r>
      <w:r>
        <w:rPr>
          <w:rFonts w:ascii="Times New Roman" w:eastAsia="宋体" w:hAnsi="Times New Roman"/>
          <w:color w:val="000000"/>
          <w:sz w:val="20"/>
          <w:szCs w:val="20"/>
        </w:rPr>
        <w:t>n addition, we have been, and may in the future be, subject to negative publicity in connection with our handling of misinformation and other illicit or objectionable use of our products or services, including in connection with the COVID-19 pandemic, geop</w:t>
      </w:r>
      <w:r>
        <w:rPr>
          <w:rFonts w:ascii="Times New Roman" w:eastAsia="宋体" w:hAnsi="Times New Roman"/>
          <w:color w:val="000000"/>
          <w:sz w:val="20"/>
          <w:szCs w:val="20"/>
        </w:rPr>
        <w:t>olitical events, and elections in the United States and around the world. Any such negative publicity could have an adverse effect on the size, engagement, and loyalty of our user base and marketer demand for advertising on our products, which could result</w:t>
      </w:r>
      <w:r>
        <w:rPr>
          <w:rFonts w:ascii="Times New Roman" w:eastAsia="宋体" w:hAnsi="Times New Roman"/>
          <w:color w:val="000000"/>
          <w:sz w:val="20"/>
          <w:szCs w:val="20"/>
        </w:rPr>
        <w:t xml:space="preserve"> in decreased revenue and adversely affect our business and financial results, and we have experienced such adverse effects to varying degrees from time to time.</w:t>
      </w:r>
    </w:p>
    <w:p w14:paraId="5CD8E11E" w14:textId="77777777" w:rsidR="00BA49F5" w:rsidRDefault="00BA49F5">
      <w:pPr>
        <w:ind w:firstLine="540"/>
        <w:jc w:val="both"/>
      </w:pPr>
    </w:p>
    <w:p w14:paraId="5CD8E11F" w14:textId="77777777" w:rsidR="00BA49F5" w:rsidRDefault="007E5E49">
      <w:pPr>
        <w:jc w:val="both"/>
      </w:pPr>
      <w:r>
        <w:rPr>
          <w:rFonts w:ascii="Times New Roman" w:eastAsia="宋体" w:hAnsi="Times New Roman"/>
          <w:b/>
          <w:bCs/>
          <w:i/>
          <w:iCs/>
          <w:color w:val="000000"/>
          <w:sz w:val="20"/>
          <w:szCs w:val="20"/>
        </w:rPr>
        <w:t>The COVID-19 pandemic has previously had, and may in the future have, a significant adverse i</w:t>
      </w:r>
      <w:r>
        <w:rPr>
          <w:rFonts w:ascii="Times New Roman" w:eastAsia="宋体" w:hAnsi="Times New Roman"/>
          <w:b/>
          <w:bCs/>
          <w:i/>
          <w:iCs/>
          <w:color w:val="000000"/>
          <w:sz w:val="20"/>
          <w:szCs w:val="20"/>
        </w:rPr>
        <w:t>mpact on our advertising revenue and also exposes our business to other risks.</w:t>
      </w:r>
    </w:p>
    <w:p w14:paraId="5CD8E120" w14:textId="77777777" w:rsidR="00BA49F5" w:rsidRDefault="00BA49F5">
      <w:pPr>
        <w:jc w:val="both"/>
      </w:pPr>
    </w:p>
    <w:p w14:paraId="5CD8E121" w14:textId="77777777" w:rsidR="00BA49F5" w:rsidRDefault="007E5E49">
      <w:pPr>
        <w:ind w:firstLine="540"/>
        <w:jc w:val="both"/>
      </w:pPr>
      <w:r>
        <w:rPr>
          <w:rFonts w:ascii="Times New Roman" w:eastAsia="宋体" w:hAnsi="Times New Roman"/>
          <w:color w:val="000000"/>
          <w:sz w:val="20"/>
          <w:szCs w:val="20"/>
        </w:rPr>
        <w:t xml:space="preserve">We are subject to public health crises such as the COVID-19 pandemic, which has previously significantly impacted, and may in the future impact, our business and results of </w:t>
      </w:r>
      <w:r>
        <w:rPr>
          <w:rFonts w:ascii="Times New Roman" w:eastAsia="宋体" w:hAnsi="Times New Roman"/>
          <w:color w:val="000000"/>
          <w:sz w:val="20"/>
          <w:szCs w:val="20"/>
        </w:rPr>
        <w:t>operations. For example, the COVID-19 pandemic resulted in authorities implementing numerous preventative measures from time to time to contain or mitigate the outbreak of the virus, such as travel bans and restrictions, limitations on business activity, q</w:t>
      </w:r>
      <w:r>
        <w:rPr>
          <w:rFonts w:ascii="Times New Roman" w:eastAsia="宋体" w:hAnsi="Times New Roman"/>
          <w:color w:val="000000"/>
          <w:sz w:val="20"/>
          <w:szCs w:val="20"/>
        </w:rPr>
        <w:t>uarantines, and shelter-in-place orders, which have previously caused, and may in the future cause, business slowdowns or shutdowns in certain affected countries and regions. These developments led to volatility in the demand for and pricing of our adverti</w:t>
      </w:r>
      <w:r>
        <w:rPr>
          <w:rFonts w:ascii="Times New Roman" w:eastAsia="宋体" w:hAnsi="Times New Roman"/>
          <w:color w:val="000000"/>
          <w:sz w:val="20"/>
          <w:szCs w:val="20"/>
        </w:rPr>
        <w:t>sing services at various points throughout the pandemic, and we may experience similar effects in the future. In addition to the impact on our advertising business, the pandemic exposes our business, operations, and workforce to a variety of other risks, i</w:t>
      </w:r>
      <w:r>
        <w:rPr>
          <w:rFonts w:ascii="Times New Roman" w:eastAsia="宋体" w:hAnsi="Times New Roman"/>
          <w:color w:val="000000"/>
          <w:sz w:val="20"/>
          <w:szCs w:val="20"/>
        </w:rPr>
        <w:t>ncluding:</w:t>
      </w:r>
    </w:p>
    <w:p w14:paraId="5CD8E122" w14:textId="77777777" w:rsidR="00BA49F5" w:rsidRDefault="00BA49F5">
      <w:pPr>
        <w:ind w:firstLine="540"/>
        <w:jc w:val="both"/>
      </w:pPr>
    </w:p>
    <w:p w14:paraId="5CD8E123" w14:textId="77777777" w:rsidR="00BA49F5" w:rsidRDefault="007E5E49">
      <w:pPr>
        <w:ind w:hanging="360"/>
        <w:jc w:val="both"/>
      </w:pPr>
      <w:r>
        <w:rPr>
          <w:rFonts w:ascii="Times New Roman" w:eastAsia="宋体" w:hAnsi="Times New Roman"/>
          <w:color w:val="000000"/>
          <w:sz w:val="20"/>
          <w:szCs w:val="20"/>
        </w:rPr>
        <w:t>•volatility in the size of our user base and user engagement, particularly for our messaging products, whether as a result of shelter-in-place measures or other factors;</w:t>
      </w:r>
    </w:p>
    <w:p w14:paraId="5CD8E124" w14:textId="77777777" w:rsidR="00BA49F5" w:rsidRDefault="00BA49F5">
      <w:pPr>
        <w:ind w:hanging="360"/>
        <w:jc w:val="both"/>
      </w:pPr>
    </w:p>
    <w:p w14:paraId="5CD8E125" w14:textId="77777777" w:rsidR="00BA49F5" w:rsidRDefault="007E5E49">
      <w:pPr>
        <w:ind w:hanging="360"/>
        <w:jc w:val="both"/>
      </w:pPr>
      <w:r>
        <w:rPr>
          <w:rFonts w:ascii="Times New Roman" w:eastAsia="宋体" w:hAnsi="Times New Roman"/>
          <w:color w:val="000000"/>
          <w:sz w:val="20"/>
          <w:szCs w:val="20"/>
        </w:rPr>
        <w:t>•delays in product development or releases, or reductions in manufacturing</w:t>
      </w:r>
      <w:r>
        <w:rPr>
          <w:rFonts w:ascii="Times New Roman" w:eastAsia="宋体" w:hAnsi="Times New Roman"/>
          <w:color w:val="000000"/>
          <w:sz w:val="20"/>
          <w:szCs w:val="20"/>
        </w:rPr>
        <w:t xml:space="preserve"> production and sales of consumer hardware, as a result of inventory shortages, supply chain or labor shortages;</w:t>
      </w:r>
    </w:p>
    <w:p w14:paraId="5CD8E126" w14:textId="77777777" w:rsidR="00BA49F5" w:rsidRDefault="00BA49F5">
      <w:pPr>
        <w:ind w:hanging="360"/>
        <w:jc w:val="both"/>
      </w:pPr>
    </w:p>
    <w:p w14:paraId="5CD8E127" w14:textId="77777777" w:rsidR="00BA49F5" w:rsidRDefault="007E5E49">
      <w:pPr>
        <w:ind w:hanging="360"/>
        <w:jc w:val="both"/>
      </w:pPr>
      <w:r>
        <w:rPr>
          <w:rFonts w:ascii="Times New Roman" w:eastAsia="宋体" w:hAnsi="Times New Roman"/>
          <w:color w:val="000000"/>
          <w:sz w:val="20"/>
          <w:szCs w:val="20"/>
        </w:rPr>
        <w:t>•increased misuse of our products and services or user data by third parties, including improper advertising practices or other activity incon</w:t>
      </w:r>
      <w:r>
        <w:rPr>
          <w:rFonts w:ascii="Times New Roman" w:eastAsia="宋体" w:hAnsi="Times New Roman"/>
          <w:color w:val="000000"/>
          <w:sz w:val="20"/>
          <w:szCs w:val="20"/>
        </w:rPr>
        <w:t>sistent with our terms, contracts, or policies, misinformation or other illicit or objectionable material on our platforms, election interference, or other undesirable activity; </w:t>
      </w:r>
    </w:p>
    <w:p w14:paraId="5CD8E128" w14:textId="77777777" w:rsidR="00BA49F5" w:rsidRDefault="00BA49F5">
      <w:pPr>
        <w:ind w:hanging="360"/>
        <w:jc w:val="both"/>
      </w:pPr>
    </w:p>
    <w:p w14:paraId="5CD8E129" w14:textId="77777777" w:rsidR="00BA49F5" w:rsidRDefault="007E5E49">
      <w:pPr>
        <w:ind w:hanging="360"/>
        <w:jc w:val="both"/>
      </w:pPr>
      <w:r>
        <w:rPr>
          <w:rFonts w:ascii="Times New Roman" w:eastAsia="宋体" w:hAnsi="Times New Roman"/>
          <w:color w:val="000000"/>
          <w:sz w:val="20"/>
          <w:szCs w:val="20"/>
        </w:rPr>
        <w:t>•significant volatility and disruption of global financial markets, which co</w:t>
      </w:r>
      <w:r>
        <w:rPr>
          <w:rFonts w:ascii="Times New Roman" w:eastAsia="宋体" w:hAnsi="Times New Roman"/>
          <w:color w:val="000000"/>
          <w:sz w:val="20"/>
          <w:szCs w:val="20"/>
        </w:rPr>
        <w:t>uld cause fluctuations in currency exchange rates or negatively impact our ability to access capital in the future;</w:t>
      </w:r>
    </w:p>
    <w:p w14:paraId="5CD8E12A" w14:textId="77777777" w:rsidR="00BA49F5" w:rsidRDefault="00BA49F5">
      <w:pPr>
        <w:ind w:hanging="360"/>
        <w:jc w:val="both"/>
      </w:pPr>
    </w:p>
    <w:p w14:paraId="5CD8E12B" w14:textId="77777777" w:rsidR="00BA49F5" w:rsidRDefault="007E5E49">
      <w:pPr>
        <w:ind w:hanging="360"/>
        <w:jc w:val="both"/>
      </w:pPr>
      <w:r>
        <w:rPr>
          <w:rFonts w:ascii="Times New Roman" w:eastAsia="宋体" w:hAnsi="Times New Roman"/>
          <w:color w:val="000000"/>
          <w:sz w:val="20"/>
          <w:szCs w:val="20"/>
        </w:rPr>
        <w:t xml:space="preserve">•illnesses to key employees, or a significant portion of our workforce, which may result in inefficiencies, delays, and disruptions in our </w:t>
      </w:r>
      <w:r>
        <w:rPr>
          <w:rFonts w:ascii="Times New Roman" w:eastAsia="宋体" w:hAnsi="Times New Roman"/>
          <w:color w:val="000000"/>
          <w:sz w:val="20"/>
          <w:szCs w:val="20"/>
        </w:rPr>
        <w:t>business; and</w:t>
      </w:r>
    </w:p>
    <w:p w14:paraId="5CD8E12C" w14:textId="77777777" w:rsidR="00BA49F5" w:rsidRDefault="007E5E49">
      <w:pPr>
        <w:jc w:val="center"/>
      </w:pPr>
      <w:r>
        <w:rPr>
          <w:rFonts w:ascii="Times New Roman" w:eastAsia="宋体" w:hAnsi="Times New Roman"/>
          <w:color w:val="000000"/>
          <w:sz w:val="20"/>
          <w:szCs w:val="20"/>
        </w:rPr>
        <w:t>26</w:t>
      </w:r>
    </w:p>
    <w:p w14:paraId="5CD8E12D" w14:textId="77777777" w:rsidR="00BA49F5" w:rsidRDefault="007E5E49">
      <w:r>
        <w:pict w14:anchorId="5CD90CE5">
          <v:rect id="_x0000_i1050" style="width:415.3pt;height:1.5pt" o:hralign="center" o:hrstd="t" o:hr="t" fillcolor="#a0a0a0" stroked="f"/>
        </w:pict>
      </w:r>
    </w:p>
    <w:p w14:paraId="5CD8E12E" w14:textId="77777777" w:rsidR="00BA49F5" w:rsidRDefault="00BA49F5"/>
    <w:p w14:paraId="5CD8E12F" w14:textId="77777777" w:rsidR="00BA49F5" w:rsidRDefault="00BA49F5"/>
    <w:p w14:paraId="5CD8E130" w14:textId="77777777" w:rsidR="00BA49F5" w:rsidRDefault="007E5E49">
      <w:hyperlink r:id="rId132" w:anchor="i6df229dad1864210ab76200083e26819_7" w:history="1">
        <w:r>
          <w:rPr>
            <w:rStyle w:val="a5"/>
            <w:rFonts w:ascii="Times New Roman" w:eastAsia="宋体" w:hAnsi="Times New Roman"/>
            <w:sz w:val="20"/>
            <w:szCs w:val="20"/>
          </w:rPr>
          <w:t>T</w:t>
        </w:r>
      </w:hyperlink>
      <w:hyperlink r:id="rId133" w:anchor="i6df229dad1864210ab76200083e26819_7" w:history="1">
        <w:r>
          <w:rPr>
            <w:rStyle w:val="a5"/>
            <w:rFonts w:ascii="Times New Roman" w:eastAsia="宋体" w:hAnsi="Times New Roman"/>
            <w:sz w:val="20"/>
            <w:szCs w:val="20"/>
          </w:rPr>
          <w:t>able of Contents</w:t>
        </w:r>
      </w:hyperlink>
    </w:p>
    <w:p w14:paraId="5CD8E131" w14:textId="77777777" w:rsidR="00BA49F5" w:rsidRDefault="00BA49F5">
      <w:pPr>
        <w:ind w:hanging="360"/>
        <w:jc w:val="both"/>
      </w:pPr>
    </w:p>
    <w:p w14:paraId="5CD8E132" w14:textId="77777777" w:rsidR="00BA49F5" w:rsidRDefault="007E5E49">
      <w:pPr>
        <w:ind w:hanging="36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5CD8E133" w14:textId="77777777" w:rsidR="00BA49F5" w:rsidRDefault="00BA49F5">
      <w:pPr>
        <w:jc w:val="both"/>
      </w:pPr>
    </w:p>
    <w:p w14:paraId="5CD8E134" w14:textId="77777777" w:rsidR="00BA49F5" w:rsidRDefault="007E5E49">
      <w:pPr>
        <w:ind w:firstLine="540"/>
        <w:jc w:val="both"/>
      </w:pPr>
      <w:r>
        <w:rPr>
          <w:rFonts w:ascii="Times New Roman" w:eastAsia="宋体" w:hAnsi="Times New Roman"/>
          <w:color w:val="000000"/>
          <w:sz w:val="20"/>
          <w:szCs w:val="20"/>
        </w:rPr>
        <w:t xml:space="preserve">Any of these developments may </w:t>
      </w:r>
      <w:r>
        <w:rPr>
          <w:rFonts w:ascii="Times New Roman" w:eastAsia="宋体" w:hAnsi="Times New Roman"/>
          <w:color w:val="000000"/>
          <w:sz w:val="20"/>
          <w:szCs w:val="20"/>
        </w:rPr>
        <w:t>adversely affect our business, harm our reputation, or result in legal or regulatory actions against us.</w:t>
      </w:r>
    </w:p>
    <w:p w14:paraId="5CD8E135" w14:textId="77777777" w:rsidR="00BA49F5" w:rsidRDefault="00BA49F5">
      <w:pPr>
        <w:ind w:firstLine="540"/>
        <w:jc w:val="both"/>
      </w:pPr>
    </w:p>
    <w:p w14:paraId="5CD8E136" w14:textId="77777777" w:rsidR="00BA49F5" w:rsidRDefault="007E5E49">
      <w:pPr>
        <w:jc w:val="both"/>
      </w:pPr>
      <w:r>
        <w:rPr>
          <w:rFonts w:ascii="Times New Roman" w:eastAsia="宋体" w:hAnsi="Times New Roman"/>
          <w:b/>
          <w:bCs/>
          <w:i/>
          <w:iCs/>
          <w:color w:val="000000"/>
          <w:sz w:val="20"/>
          <w:szCs w:val="20"/>
        </w:rPr>
        <w:t xml:space="preserve">Our costs are continuing to grow, and some of our investments, particularly our investments in virtual and augmented reality, have the effect of </w:t>
      </w:r>
      <w:r>
        <w:rPr>
          <w:rFonts w:ascii="Times New Roman" w:eastAsia="宋体" w:hAnsi="Times New Roman"/>
          <w:b/>
          <w:bCs/>
          <w:i/>
          <w:iCs/>
          <w:color w:val="000000"/>
          <w:sz w:val="20"/>
          <w:szCs w:val="20"/>
        </w:rPr>
        <w:t>reducing our operating margin and profitability. If our investments are not successful longer-term, our business and financial performance will be harmed.</w:t>
      </w:r>
    </w:p>
    <w:p w14:paraId="5CD8E137" w14:textId="77777777" w:rsidR="00BA49F5" w:rsidRDefault="00BA49F5">
      <w:pPr>
        <w:jc w:val="both"/>
      </w:pPr>
    </w:p>
    <w:p w14:paraId="5CD8E138" w14:textId="77777777" w:rsidR="00BA49F5" w:rsidRDefault="007E5E49">
      <w:pPr>
        <w:ind w:firstLine="540"/>
        <w:jc w:val="both"/>
      </w:pPr>
      <w:r>
        <w:rPr>
          <w:rFonts w:ascii="Times New Roman" w:eastAsia="宋体" w:hAnsi="Times New Roman"/>
          <w:color w:val="000000"/>
          <w:sz w:val="20"/>
          <w:szCs w:val="20"/>
        </w:rPr>
        <w:t>Operating our business is costly, and we expect our expenses to continue to increase in the future a</w:t>
      </w:r>
      <w:r>
        <w:rPr>
          <w:rFonts w:ascii="Times New Roman" w:eastAsia="宋体" w:hAnsi="Times New Roman"/>
          <w:color w:val="000000"/>
          <w:sz w:val="20"/>
          <w:szCs w:val="20"/>
        </w:rPr>
        <w:t xml:space="preserve">s we broaden our user base, as users increase the amount and types of content they consume and the data they share with us, for example with respect to video, as we develop and implement new products, as we market new and existing products and promote our </w:t>
      </w:r>
      <w:r>
        <w:rPr>
          <w:rFonts w:ascii="Times New Roman" w:eastAsia="宋体" w:hAnsi="Times New Roman"/>
          <w:color w:val="000000"/>
          <w:sz w:val="20"/>
          <w:szCs w:val="20"/>
        </w:rPr>
        <w:t>brands, as we continue to expand our technical infrastructure, as we continue to invest in new and unproven technologies, including artificial intelligence and machine learning, and as we continue our efforts to focus on privacy, safety, security, and cont</w:t>
      </w:r>
      <w:r>
        <w:rPr>
          <w:rFonts w:ascii="Times New Roman" w:eastAsia="宋体" w:hAnsi="Times New Roman"/>
          <w:color w:val="000000"/>
          <w:sz w:val="20"/>
          <w:szCs w:val="20"/>
        </w:rPr>
        <w:t>ent review. We have recently undertaken cost reduction measures in light of a more challenging operating environment, which may adversely affect these or other business initiatives, and some of these measures have involved, and may in the future involve, u</w:t>
      </w:r>
      <w:r>
        <w:rPr>
          <w:rFonts w:ascii="Times New Roman" w:eastAsia="宋体" w:hAnsi="Times New Roman"/>
          <w:color w:val="000000"/>
          <w:sz w:val="20"/>
          <w:szCs w:val="20"/>
        </w:rPr>
        <w:t>p-front charges and outlays of cash to reduce certain longer-term expenses. In addition, from time to time we are subject to settlements, judgments, fines, or other monetary penalties in connection with legal and regulatory developments that may be materia</w:t>
      </w:r>
      <w:r>
        <w:rPr>
          <w:rFonts w:ascii="Times New Roman" w:eastAsia="宋体" w:hAnsi="Times New Roman"/>
          <w:color w:val="000000"/>
          <w:sz w:val="20"/>
          <w:szCs w:val="20"/>
        </w:rPr>
        <w:t xml:space="preserve">l to our business. We are also continuing to increase our investments in new platforms and technologies, including as part of our efforts related to building the metaverse. Some of these investments, particularly our significant investments in virtual and </w:t>
      </w:r>
      <w:r>
        <w:rPr>
          <w:rFonts w:ascii="Times New Roman" w:eastAsia="宋体" w:hAnsi="Times New Roman"/>
          <w:color w:val="000000"/>
          <w:sz w:val="20"/>
          <w:szCs w:val="20"/>
        </w:rPr>
        <w:t>augmented reality, have generated only limited revenue and reduced our operating margin and profitability, and we expect the adverse financial impact of such investments to continue for the foreseeable future. For example, our investments in Reality Labs r</w:t>
      </w:r>
      <w:r>
        <w:rPr>
          <w:rFonts w:ascii="Times New Roman" w:eastAsia="宋体" w:hAnsi="Times New Roman"/>
          <w:color w:val="000000"/>
          <w:sz w:val="20"/>
          <w:szCs w:val="20"/>
        </w:rPr>
        <w:t>educed our 2022 overall operating profit by approximately $13.72 billion, and we expect our investments to increase in the future. If our investments are not successful longer-term, our business and financial performance will be harmed.</w:t>
      </w:r>
    </w:p>
    <w:p w14:paraId="5CD8E139" w14:textId="77777777" w:rsidR="00BA49F5" w:rsidRDefault="00BA49F5">
      <w:pPr>
        <w:ind w:firstLine="540"/>
        <w:jc w:val="both"/>
      </w:pPr>
    </w:p>
    <w:p w14:paraId="5CD8E13A" w14:textId="77777777" w:rsidR="00BA49F5" w:rsidRDefault="007E5E49">
      <w:pPr>
        <w:jc w:val="both"/>
      </w:pPr>
      <w:r>
        <w:rPr>
          <w:rFonts w:ascii="Times New Roman" w:eastAsia="宋体" w:hAnsi="Times New Roman"/>
          <w:b/>
          <w:bCs/>
          <w:i/>
          <w:iCs/>
          <w:color w:val="000000"/>
          <w:sz w:val="20"/>
          <w:szCs w:val="20"/>
        </w:rPr>
        <w:t>We plan to continu</w:t>
      </w:r>
      <w:r>
        <w:rPr>
          <w:rFonts w:ascii="Times New Roman" w:eastAsia="宋体" w:hAnsi="Times New Roman"/>
          <w:b/>
          <w:bCs/>
          <w:i/>
          <w:iCs/>
          <w:color w:val="000000"/>
          <w:sz w:val="20"/>
          <w:szCs w:val="20"/>
        </w:rPr>
        <w:t>e to make acquisitions and pursue other strategic transactions, which could impact our financial condition or results of operations and may adversely affect the price of our common stock.</w:t>
      </w:r>
    </w:p>
    <w:p w14:paraId="5CD8E13B" w14:textId="77777777" w:rsidR="00BA49F5" w:rsidRDefault="00BA49F5">
      <w:pPr>
        <w:jc w:val="both"/>
      </w:pPr>
    </w:p>
    <w:p w14:paraId="5CD8E13C" w14:textId="77777777" w:rsidR="00BA49F5" w:rsidRDefault="007E5E49">
      <w:pPr>
        <w:ind w:firstLine="540"/>
        <w:jc w:val="both"/>
      </w:pPr>
      <w:r>
        <w:rPr>
          <w:rFonts w:ascii="Times New Roman" w:eastAsia="宋体" w:hAnsi="Times New Roman"/>
          <w:color w:val="000000"/>
          <w:sz w:val="20"/>
          <w:szCs w:val="20"/>
        </w:rPr>
        <w:t>As part of our business strategy, we have made and intend to contin</w:t>
      </w:r>
      <w:r>
        <w:rPr>
          <w:rFonts w:ascii="Times New Roman" w:eastAsia="宋体" w:hAnsi="Times New Roman"/>
          <w:color w:val="000000"/>
          <w:sz w:val="20"/>
          <w:szCs w:val="20"/>
        </w:rPr>
        <w:t>ue to make acquisitions to add specialized employees and complementary companies, products, or technologies, and from time to time may enter into other strategic transactions such as investments and joint ventures. We may not be able to find suitable acqui</w:t>
      </w:r>
      <w:r>
        <w:rPr>
          <w:rFonts w:ascii="Times New Roman" w:eastAsia="宋体" w:hAnsi="Times New Roman"/>
          <w:color w:val="000000"/>
          <w:sz w:val="20"/>
          <w:szCs w:val="20"/>
        </w:rPr>
        <w:t>sition candidates, and we may not be able to complete acquisitions or other strategic transactions on favorable terms, or at all, including as a result of regulatory challenges. For example, in 2022, the United Kingdom Competition and Markets Authority dir</w:t>
      </w:r>
      <w:r>
        <w:rPr>
          <w:rFonts w:ascii="Times New Roman" w:eastAsia="宋体" w:hAnsi="Times New Roman"/>
          <w:color w:val="000000"/>
          <w:sz w:val="20"/>
          <w:szCs w:val="20"/>
        </w:rPr>
        <w:t xml:space="preserve">ected us to divest our Giphy acquisition. In addition, in 2022, the FTC filed lawsuits against us to enjoin our proposed acquisition of Within Unlimited. In some cases, the costs of such acquisitions or other strategic transactions may be substantial, and </w:t>
      </w:r>
      <w:r>
        <w:rPr>
          <w:rFonts w:ascii="Times New Roman" w:eastAsia="宋体" w:hAnsi="Times New Roman"/>
          <w:color w:val="000000"/>
          <w:sz w:val="20"/>
          <w:szCs w:val="20"/>
        </w:rPr>
        <w:t>there is no assurance that we will realize expected synergies and potential monetization opportunities for our acquisitions or a favorable return on investment for our strategic investments.</w:t>
      </w:r>
    </w:p>
    <w:p w14:paraId="5CD8E13D" w14:textId="77777777" w:rsidR="00BA49F5" w:rsidRDefault="00BA49F5">
      <w:pPr>
        <w:ind w:firstLine="540"/>
        <w:jc w:val="both"/>
      </w:pPr>
    </w:p>
    <w:p w14:paraId="5CD8E13E" w14:textId="77777777" w:rsidR="00BA49F5" w:rsidRDefault="007E5E49">
      <w:pPr>
        <w:ind w:firstLine="540"/>
        <w:jc w:val="both"/>
      </w:pPr>
      <w:r>
        <w:rPr>
          <w:rFonts w:ascii="Times New Roman" w:eastAsia="宋体" w:hAnsi="Times New Roman"/>
          <w:color w:val="000000"/>
          <w:sz w:val="20"/>
          <w:szCs w:val="20"/>
        </w:rPr>
        <w:t xml:space="preserve">We may pay substantial amounts of cash or incur debt to pay for </w:t>
      </w:r>
      <w:r>
        <w:rPr>
          <w:rFonts w:ascii="Times New Roman" w:eastAsia="宋体" w:hAnsi="Times New Roman"/>
          <w:color w:val="000000"/>
          <w:sz w:val="20"/>
          <w:szCs w:val="20"/>
        </w:rPr>
        <w:t>acquisitions or other strategic transactions, which has occurred in the past and could adversely affect our liquidity. The incurrence of indebtedness also results in increased fixed obligations and increased interest expense, and could also include covenan</w:t>
      </w:r>
      <w:r>
        <w:rPr>
          <w:rFonts w:ascii="Times New Roman" w:eastAsia="宋体" w:hAnsi="Times New Roman"/>
          <w:color w:val="000000"/>
          <w:sz w:val="20"/>
          <w:szCs w:val="20"/>
        </w:rPr>
        <w:t>ts or other restrictions that would impede our ability to manage our operations. We may also issue equity securities to pay for acquisitions and we regularly grant RSUs to retain the employees of acquired companies, which could increase our expenses, adver</w:t>
      </w:r>
      <w:r>
        <w:rPr>
          <w:rFonts w:ascii="Times New Roman" w:eastAsia="宋体" w:hAnsi="Times New Roman"/>
          <w:color w:val="000000"/>
          <w:sz w:val="20"/>
          <w:szCs w:val="20"/>
        </w:rPr>
        <w:t>sely affect our financial results, and result in dilution to our stockholders. In addition, any acquisitions or other strategic transactions we announce could be viewed negatively by users, marketers, developers, or investors, which may adversely affect ou</w:t>
      </w:r>
      <w:r>
        <w:rPr>
          <w:rFonts w:ascii="Times New Roman" w:eastAsia="宋体" w:hAnsi="Times New Roman"/>
          <w:color w:val="000000"/>
          <w:sz w:val="20"/>
          <w:szCs w:val="20"/>
        </w:rPr>
        <w:t>r business or the price of our Class A common stock.</w:t>
      </w:r>
    </w:p>
    <w:p w14:paraId="5CD8E13F" w14:textId="77777777" w:rsidR="00BA49F5" w:rsidRDefault="00BA49F5">
      <w:pPr>
        <w:ind w:firstLine="540"/>
        <w:jc w:val="both"/>
      </w:pPr>
    </w:p>
    <w:p w14:paraId="5CD8E140" w14:textId="77777777" w:rsidR="00BA49F5" w:rsidRDefault="007E5E49">
      <w:pPr>
        <w:ind w:firstLine="540"/>
        <w:jc w:val="both"/>
      </w:pPr>
      <w:r>
        <w:rPr>
          <w:rFonts w:ascii="Times New Roman" w:eastAsia="宋体" w:hAnsi="Times New Roman"/>
          <w:color w:val="000000"/>
          <w:sz w:val="20"/>
          <w:szCs w:val="20"/>
        </w:rPr>
        <w:t>We may also discover liabilities, deficiencies, or other claims associated with the companies or assets we acquire that were not identified in advance, which may result in significant unanticipated cost</w:t>
      </w:r>
      <w:r>
        <w:rPr>
          <w:rFonts w:ascii="Times New Roman" w:eastAsia="宋体" w:hAnsi="Times New Roman"/>
          <w:color w:val="000000"/>
          <w:sz w:val="20"/>
          <w:szCs w:val="20"/>
        </w:rPr>
        <w:t>s. The effectiveness of our due diligence review and our ability to evaluate the results of such due diligence are dependent upon the accuracy and completeness of statements and disclosures made or actions taken by the companies we acquire or their represe</w:t>
      </w:r>
      <w:r>
        <w:rPr>
          <w:rFonts w:ascii="Times New Roman" w:eastAsia="宋体" w:hAnsi="Times New Roman"/>
          <w:color w:val="000000"/>
          <w:sz w:val="20"/>
          <w:szCs w:val="20"/>
        </w:rPr>
        <w:t>ntatives, as well as the limited amount of time in which acquisitions are executed. In addition, we may fail to accurately forecast the financial impact of an acquisition or other strategic transaction, including tax and accounting charges. Acquisitions or</w:t>
      </w:r>
      <w:r>
        <w:rPr>
          <w:rFonts w:ascii="Times New Roman" w:eastAsia="宋体" w:hAnsi="Times New Roman"/>
          <w:color w:val="000000"/>
          <w:sz w:val="20"/>
          <w:szCs w:val="20"/>
        </w:rPr>
        <w:t xml:space="preserve"> other strategic transactions </w:t>
      </w:r>
    </w:p>
    <w:p w14:paraId="5CD8E141" w14:textId="77777777" w:rsidR="00BA49F5" w:rsidRDefault="007E5E49">
      <w:pPr>
        <w:jc w:val="center"/>
      </w:pPr>
      <w:r>
        <w:rPr>
          <w:rFonts w:ascii="Times New Roman" w:eastAsia="宋体" w:hAnsi="Times New Roman"/>
          <w:color w:val="000000"/>
          <w:sz w:val="20"/>
          <w:szCs w:val="20"/>
        </w:rPr>
        <w:t>27</w:t>
      </w:r>
    </w:p>
    <w:p w14:paraId="5CD8E142" w14:textId="77777777" w:rsidR="00BA49F5" w:rsidRDefault="007E5E49">
      <w:r>
        <w:pict w14:anchorId="5CD90CE6">
          <v:rect id="_x0000_i1051" style="width:415.3pt;height:1.5pt" o:hralign="center" o:hrstd="t" o:hr="t" fillcolor="#a0a0a0" stroked="f"/>
        </w:pict>
      </w:r>
    </w:p>
    <w:p w14:paraId="5CD8E143" w14:textId="77777777" w:rsidR="00BA49F5" w:rsidRDefault="00BA49F5"/>
    <w:p w14:paraId="5CD8E144" w14:textId="77777777" w:rsidR="00BA49F5" w:rsidRDefault="00BA49F5"/>
    <w:p w14:paraId="5CD8E145" w14:textId="77777777" w:rsidR="00BA49F5" w:rsidRDefault="007E5E49">
      <w:hyperlink r:id="rId134" w:anchor="i6df229dad1864210ab76200083e26819_7" w:history="1">
        <w:r>
          <w:rPr>
            <w:rStyle w:val="a5"/>
            <w:rFonts w:ascii="Times New Roman" w:eastAsia="宋体" w:hAnsi="Times New Roman"/>
            <w:sz w:val="20"/>
            <w:szCs w:val="20"/>
          </w:rPr>
          <w:t>T</w:t>
        </w:r>
      </w:hyperlink>
      <w:hyperlink r:id="rId135" w:anchor="i6df229dad1864210ab76200083e26819_7" w:history="1">
        <w:r>
          <w:rPr>
            <w:rStyle w:val="a5"/>
            <w:rFonts w:ascii="Times New Roman" w:eastAsia="宋体" w:hAnsi="Times New Roman"/>
            <w:sz w:val="20"/>
            <w:szCs w:val="20"/>
          </w:rPr>
          <w:t>able of Contents</w:t>
        </w:r>
      </w:hyperlink>
    </w:p>
    <w:p w14:paraId="5CD8E146" w14:textId="77777777" w:rsidR="00BA49F5" w:rsidRDefault="007E5E49">
      <w:pPr>
        <w:jc w:val="both"/>
      </w:pPr>
      <w:r>
        <w:rPr>
          <w:rFonts w:ascii="Times New Roman" w:eastAsia="宋体" w:hAnsi="Times New Roman"/>
          <w:color w:val="000000"/>
          <w:sz w:val="20"/>
          <w:szCs w:val="20"/>
        </w:rPr>
        <w:t xml:space="preserve">may also result in our recording of significant additional expenses to our results of operations and recording of substantial finite-lived intangible </w:t>
      </w:r>
      <w:r>
        <w:rPr>
          <w:rFonts w:ascii="Times New Roman" w:eastAsia="宋体" w:hAnsi="Times New Roman"/>
          <w:color w:val="000000"/>
          <w:sz w:val="20"/>
          <w:szCs w:val="20"/>
        </w:rPr>
        <w:t>assets on our balance sheet upon closing. Any of these factors may adversely affect our financial condition or results of operations.</w:t>
      </w:r>
    </w:p>
    <w:p w14:paraId="5CD8E147" w14:textId="77777777" w:rsidR="00BA49F5" w:rsidRDefault="00BA49F5">
      <w:pPr>
        <w:ind w:firstLine="540"/>
        <w:jc w:val="both"/>
      </w:pPr>
    </w:p>
    <w:p w14:paraId="5CD8E148" w14:textId="77777777" w:rsidR="00BA49F5" w:rsidRDefault="007E5E49">
      <w:pPr>
        <w:jc w:val="both"/>
      </w:pPr>
      <w:r>
        <w:rPr>
          <w:rFonts w:ascii="Times New Roman" w:eastAsia="宋体" w:hAnsi="Times New Roman"/>
          <w:b/>
          <w:bCs/>
          <w:i/>
          <w:iCs/>
          <w:color w:val="000000"/>
          <w:sz w:val="20"/>
          <w:szCs w:val="20"/>
        </w:rPr>
        <w:t xml:space="preserve">We may not be able to successfully integrate our acquisitions, and we incur significant costs to integrate and </w:t>
      </w:r>
      <w:r>
        <w:rPr>
          <w:rFonts w:ascii="Times New Roman" w:eastAsia="宋体" w:hAnsi="Times New Roman"/>
          <w:b/>
          <w:bCs/>
          <w:i/>
          <w:iCs/>
          <w:color w:val="000000"/>
          <w:sz w:val="20"/>
          <w:szCs w:val="20"/>
        </w:rPr>
        <w:t>support the companies we acquire.</w:t>
      </w:r>
    </w:p>
    <w:p w14:paraId="5CD8E149" w14:textId="77777777" w:rsidR="00BA49F5" w:rsidRDefault="00BA49F5">
      <w:pPr>
        <w:jc w:val="both"/>
      </w:pPr>
    </w:p>
    <w:p w14:paraId="5CD8E14A" w14:textId="77777777" w:rsidR="00BA49F5" w:rsidRDefault="007E5E49">
      <w:pPr>
        <w:ind w:firstLine="540"/>
        <w:jc w:val="both"/>
      </w:pPr>
      <w:r>
        <w:rPr>
          <w:rFonts w:ascii="Times New Roman" w:eastAsia="宋体" w:hAnsi="Times New Roman"/>
          <w:color w:val="000000"/>
          <w:sz w:val="20"/>
          <w:szCs w:val="20"/>
        </w:rPr>
        <w:t>The integration of acquisitions requires significant time and resources, particularly with respect to companies that have significant operations or that develop products where we do not have prior experience, and we may n</w:t>
      </w:r>
      <w:r>
        <w:rPr>
          <w:rFonts w:ascii="Times New Roman" w:eastAsia="宋体" w:hAnsi="Times New Roman"/>
          <w:color w:val="000000"/>
          <w:sz w:val="20"/>
          <w:szCs w:val="20"/>
        </w:rPr>
        <w:t>ot manage these processes successfully. We continue to make substantial investments of resources to support our acquisitions, which has in the past resulted, and we expect will in the future result, in significant ongoing operating expenses and the diversi</w:t>
      </w:r>
      <w:r>
        <w:rPr>
          <w:rFonts w:ascii="Times New Roman" w:eastAsia="宋体" w:hAnsi="Times New Roman"/>
          <w:color w:val="000000"/>
          <w:sz w:val="20"/>
          <w:szCs w:val="20"/>
        </w:rPr>
        <w:t>on of resources and management attention from other areas of our business. We cannot assure you that these investments will be successful. If we fail to successfully integrate the companies we acquire, we may not realize the benefits expected from the tran</w:t>
      </w:r>
      <w:r>
        <w:rPr>
          <w:rFonts w:ascii="Times New Roman" w:eastAsia="宋体" w:hAnsi="Times New Roman"/>
          <w:color w:val="000000"/>
          <w:sz w:val="20"/>
          <w:szCs w:val="20"/>
        </w:rPr>
        <w:t>saction and our business may be harmed.</w:t>
      </w:r>
    </w:p>
    <w:p w14:paraId="5CD8E14B" w14:textId="77777777" w:rsidR="00BA49F5" w:rsidRDefault="00BA49F5">
      <w:pPr>
        <w:ind w:firstLine="540"/>
        <w:jc w:val="both"/>
      </w:pPr>
    </w:p>
    <w:p w14:paraId="5CD8E14C" w14:textId="77777777" w:rsidR="00BA49F5" w:rsidRDefault="007E5E49">
      <w:pPr>
        <w:jc w:val="both"/>
      </w:pPr>
      <w:r>
        <w:rPr>
          <w:rFonts w:ascii="Times New Roman" w:eastAsia="宋体" w:hAnsi="Times New Roman"/>
          <w:b/>
          <w:bCs/>
          <w:i/>
          <w:iCs/>
          <w:color w:val="000000"/>
          <w:sz w:val="20"/>
          <w:szCs w:val="20"/>
        </w:rPr>
        <w:t>Our business is dependent on our ability to maintain and scale our technical infrastructure, and any significant disruption in our service could damage our reputation, result in a potential loss of users and engagem</w:t>
      </w:r>
      <w:r>
        <w:rPr>
          <w:rFonts w:ascii="Times New Roman" w:eastAsia="宋体" w:hAnsi="Times New Roman"/>
          <w:b/>
          <w:bCs/>
          <w:i/>
          <w:iCs/>
          <w:color w:val="000000"/>
          <w:sz w:val="20"/>
          <w:szCs w:val="20"/>
        </w:rPr>
        <w:t>ent, and adversely affect our financial results.</w:t>
      </w:r>
    </w:p>
    <w:p w14:paraId="5CD8E14D" w14:textId="77777777" w:rsidR="00BA49F5" w:rsidRDefault="00BA49F5">
      <w:pPr>
        <w:jc w:val="both"/>
      </w:pPr>
    </w:p>
    <w:p w14:paraId="5CD8E14E" w14:textId="77777777" w:rsidR="00BA49F5" w:rsidRDefault="007E5E49">
      <w:pPr>
        <w:ind w:firstLine="540"/>
        <w:jc w:val="both"/>
      </w:pPr>
      <w:r>
        <w:rPr>
          <w:rFonts w:ascii="Times New Roman" w:eastAsia="宋体" w:hAnsi="Times New Roman"/>
          <w:color w:val="000000"/>
          <w:sz w:val="20"/>
          <w:szCs w:val="20"/>
        </w:rPr>
        <w:t>Our reputation and ability to attract, retain, and serve our users is dependent upon the reliable performance of our products and our underlying technical infrastructure. We have in the past experienced, an</w:t>
      </w:r>
      <w:r>
        <w:rPr>
          <w:rFonts w:ascii="Times New Roman" w:eastAsia="宋体" w:hAnsi="Times New Roman"/>
          <w:color w:val="000000"/>
          <w:sz w:val="20"/>
          <w:szCs w:val="20"/>
        </w:rPr>
        <w:t>d may in the future experience, interruptions in the availability or performance of our products from time to time. Our systems may not be adequately designed or may not operate with the reliability and redundancy necessary to avoid performance delays or o</w:t>
      </w:r>
      <w:r>
        <w:rPr>
          <w:rFonts w:ascii="Times New Roman" w:eastAsia="宋体" w:hAnsi="Times New Roman"/>
          <w:color w:val="000000"/>
          <w:sz w:val="20"/>
          <w:szCs w:val="20"/>
        </w:rPr>
        <w:t>utages that could be harmful to our business. If our products are unavailable when users attempt to access them, or if they do not load as quickly as expected, users may not use our products as often in the future, or at all, and our ability to serve ads m</w:t>
      </w:r>
      <w:r>
        <w:rPr>
          <w:rFonts w:ascii="Times New Roman" w:eastAsia="宋体" w:hAnsi="Times New Roman"/>
          <w:color w:val="000000"/>
          <w:sz w:val="20"/>
          <w:szCs w:val="20"/>
        </w:rPr>
        <w:t>ay be disrupted, any of which could adversely affect our business and financial performance. We have experienced such issues to varying degrees from time to time. For example, in October 2021, a combination of an error and a bug resulted in an approximatel</w:t>
      </w:r>
      <w:r>
        <w:rPr>
          <w:rFonts w:ascii="Times New Roman" w:eastAsia="宋体" w:hAnsi="Times New Roman"/>
          <w:color w:val="000000"/>
          <w:sz w:val="20"/>
          <w:szCs w:val="20"/>
        </w:rPr>
        <w:t>y six-hour outage of our services. In addition, as the amount and types of information shared on our products continue to grow and evolve, as the usage patterns of our global community continue to evolve, and as our internal operational demands continue to</w:t>
      </w:r>
      <w:r>
        <w:rPr>
          <w:rFonts w:ascii="Times New Roman" w:eastAsia="宋体" w:hAnsi="Times New Roman"/>
          <w:color w:val="000000"/>
          <w:sz w:val="20"/>
          <w:szCs w:val="20"/>
        </w:rPr>
        <w:t xml:space="preserve"> grow, we will need an increasing amount of technical infrastructure, including network capacity and computing power, to continue to satisfy our needs. It is possible that we may fail to continue to effectively scale and grow our technical infrastructure t</w:t>
      </w:r>
      <w:r>
        <w:rPr>
          <w:rFonts w:ascii="Times New Roman" w:eastAsia="宋体" w:hAnsi="Times New Roman"/>
          <w:color w:val="000000"/>
          <w:sz w:val="20"/>
          <w:szCs w:val="20"/>
        </w:rPr>
        <w:t>o accommodate these increased demands, which may adversely affect our user engagement and advertising revenue. In addition, our business may be subject to interruptions, delays, or failures resulting from earthquakes, adverse weather conditions, other natu</w:t>
      </w:r>
      <w:r>
        <w:rPr>
          <w:rFonts w:ascii="Times New Roman" w:eastAsia="宋体" w:hAnsi="Times New Roman"/>
          <w:color w:val="000000"/>
          <w:sz w:val="20"/>
          <w:szCs w:val="20"/>
        </w:rPr>
        <w:t>ral disasters, power loss, terrorism, geopolitical conflict, other physical security threats, cyber-attacks, or other catastrophic events. Global climate change could result in certain types of natural disasters occurring more frequently or with more inten</w:t>
      </w:r>
      <w:r>
        <w:rPr>
          <w:rFonts w:ascii="Times New Roman" w:eastAsia="宋体" w:hAnsi="Times New Roman"/>
          <w:color w:val="000000"/>
          <w:sz w:val="20"/>
          <w:szCs w:val="20"/>
        </w:rPr>
        <w:t>se effects. Any such events may result in users being subject to service disruptions or outages and we may not be able to recover our technical infrastructure and user data in a timely manner to restart or provide our services, which may adversely affect o</w:t>
      </w:r>
      <w:r>
        <w:rPr>
          <w:rFonts w:ascii="Times New Roman" w:eastAsia="宋体" w:hAnsi="Times New Roman"/>
          <w:color w:val="000000"/>
          <w:sz w:val="20"/>
          <w:szCs w:val="20"/>
        </w:rPr>
        <w:t>ur financial results. We also have been, and may in the future be, subject to increased energy and/or other costs to maintain the availability or performance of our products in connection with any such events.</w:t>
      </w:r>
    </w:p>
    <w:p w14:paraId="5CD8E14F" w14:textId="77777777" w:rsidR="00BA49F5" w:rsidRDefault="00BA49F5">
      <w:pPr>
        <w:ind w:firstLine="540"/>
        <w:jc w:val="both"/>
      </w:pPr>
    </w:p>
    <w:p w14:paraId="5CD8E150" w14:textId="77777777" w:rsidR="00BA49F5" w:rsidRDefault="007E5E49">
      <w:pPr>
        <w:ind w:firstLine="540"/>
        <w:jc w:val="both"/>
      </w:pPr>
      <w:r>
        <w:rPr>
          <w:rFonts w:ascii="Times New Roman" w:eastAsia="宋体" w:hAnsi="Times New Roman"/>
          <w:color w:val="000000"/>
          <w:sz w:val="20"/>
          <w:szCs w:val="20"/>
        </w:rPr>
        <w:t>A substantial portion of our network infrastr</w:t>
      </w:r>
      <w:r>
        <w:rPr>
          <w:rFonts w:ascii="Times New Roman" w:eastAsia="宋体" w:hAnsi="Times New Roman"/>
          <w:color w:val="000000"/>
          <w:sz w:val="20"/>
          <w:szCs w:val="20"/>
        </w:rPr>
        <w:t>ucture is provided by third parties. Any disruption or failure in the services we receive from these providers could harm our ability to handle existing or increased traffic and could significantly harm our business. Any financial or other difficulties the</w:t>
      </w:r>
      <w:r>
        <w:rPr>
          <w:rFonts w:ascii="Times New Roman" w:eastAsia="宋体" w:hAnsi="Times New Roman"/>
          <w:color w:val="000000"/>
          <w:sz w:val="20"/>
          <w:szCs w:val="20"/>
        </w:rPr>
        <w:t>se providers face may adversely affect our business, and we exercise little control over these providers, which increases our vulnerability to problems with the services they provide. Due to the effects of the COVID-19 pandemic, we have experienced, and ex</w:t>
      </w:r>
      <w:r>
        <w:rPr>
          <w:rFonts w:ascii="Times New Roman" w:eastAsia="宋体" w:hAnsi="Times New Roman"/>
          <w:color w:val="000000"/>
          <w:sz w:val="20"/>
          <w:szCs w:val="20"/>
        </w:rPr>
        <w:t>pect to continue to experience, supply and labor shortages and other disruptions in logistics and the supply chain for our technical infrastructure. As a result, we have had to make certain changes to our procurement practices, and in the future we may not</w:t>
      </w:r>
      <w:r>
        <w:rPr>
          <w:rFonts w:ascii="Times New Roman" w:eastAsia="宋体" w:hAnsi="Times New Roman"/>
          <w:color w:val="000000"/>
          <w:sz w:val="20"/>
          <w:szCs w:val="20"/>
        </w:rPr>
        <w:t xml:space="preserve"> be able to procure sufficient components, equipment, or services from third parties to satisfy our needs, or we may be required to procure such components, equipment, or services on unfavorable terms.</w:t>
      </w:r>
    </w:p>
    <w:p w14:paraId="5CD8E151" w14:textId="77777777" w:rsidR="00BA49F5" w:rsidRDefault="00BA49F5">
      <w:pPr>
        <w:ind w:firstLine="540"/>
        <w:jc w:val="both"/>
      </w:pPr>
    </w:p>
    <w:p w14:paraId="5CD8E152" w14:textId="77777777" w:rsidR="00BA49F5" w:rsidRDefault="007E5E49">
      <w:pPr>
        <w:ind w:firstLine="540"/>
        <w:jc w:val="both"/>
      </w:pPr>
      <w:r>
        <w:rPr>
          <w:rFonts w:ascii="Times New Roman" w:eastAsia="宋体" w:hAnsi="Times New Roman"/>
          <w:color w:val="000000"/>
          <w:sz w:val="20"/>
          <w:szCs w:val="20"/>
        </w:rPr>
        <w:t xml:space="preserve">Any of these developments may result in </w:t>
      </w:r>
      <w:r>
        <w:rPr>
          <w:rFonts w:ascii="Times New Roman" w:eastAsia="宋体" w:hAnsi="Times New Roman"/>
          <w:color w:val="000000"/>
          <w:sz w:val="20"/>
          <w:szCs w:val="20"/>
        </w:rPr>
        <w:t>interruptions in the availability or performance of our products, require unfavorable changes to existing products, delay the introduction of future products, or otherwise adversely affect our business and financial results.</w:t>
      </w:r>
    </w:p>
    <w:p w14:paraId="5CD8E153" w14:textId="77777777" w:rsidR="00BA49F5" w:rsidRDefault="00BA49F5">
      <w:pPr>
        <w:ind w:firstLine="540"/>
        <w:jc w:val="both"/>
      </w:pPr>
    </w:p>
    <w:p w14:paraId="5CD8E154" w14:textId="77777777" w:rsidR="00BA49F5" w:rsidRDefault="007E5E49">
      <w:pPr>
        <w:jc w:val="center"/>
      </w:pPr>
      <w:r>
        <w:rPr>
          <w:rFonts w:ascii="Times New Roman" w:eastAsia="宋体" w:hAnsi="Times New Roman"/>
          <w:color w:val="000000"/>
          <w:sz w:val="20"/>
          <w:szCs w:val="20"/>
        </w:rPr>
        <w:t>28</w:t>
      </w:r>
    </w:p>
    <w:p w14:paraId="5CD8E155" w14:textId="77777777" w:rsidR="00BA49F5" w:rsidRDefault="007E5E49">
      <w:r>
        <w:pict w14:anchorId="5CD90CE7">
          <v:rect id="_x0000_i1052" style="width:415.3pt;height:1.5pt" o:hralign="center" o:hrstd="t" o:hr="t" fillcolor="#a0a0a0" stroked="f"/>
        </w:pict>
      </w:r>
    </w:p>
    <w:p w14:paraId="5CD8E156" w14:textId="77777777" w:rsidR="00BA49F5" w:rsidRDefault="00BA49F5"/>
    <w:p w14:paraId="5CD8E157" w14:textId="77777777" w:rsidR="00BA49F5" w:rsidRDefault="00BA49F5"/>
    <w:p w14:paraId="5CD8E158" w14:textId="77777777" w:rsidR="00BA49F5" w:rsidRDefault="007E5E49">
      <w:hyperlink r:id="rId136" w:anchor="i6df229dad1864210ab76200083e26819_7" w:history="1">
        <w:r>
          <w:rPr>
            <w:rStyle w:val="a5"/>
            <w:rFonts w:ascii="Times New Roman" w:eastAsia="宋体" w:hAnsi="Times New Roman"/>
            <w:sz w:val="20"/>
            <w:szCs w:val="20"/>
          </w:rPr>
          <w:t>T</w:t>
        </w:r>
      </w:hyperlink>
      <w:hyperlink r:id="rId137" w:anchor="i6df229dad1864210ab76200083e26819_7" w:history="1">
        <w:r>
          <w:rPr>
            <w:rStyle w:val="a5"/>
            <w:rFonts w:ascii="Times New Roman" w:eastAsia="宋体" w:hAnsi="Times New Roman"/>
            <w:sz w:val="20"/>
            <w:szCs w:val="20"/>
          </w:rPr>
          <w:t>able of Contents</w:t>
        </w:r>
      </w:hyperlink>
    </w:p>
    <w:p w14:paraId="5CD8E159" w14:textId="77777777" w:rsidR="00BA49F5" w:rsidRDefault="007E5E49">
      <w:pPr>
        <w:jc w:val="both"/>
      </w:pPr>
      <w:r>
        <w:rPr>
          <w:rFonts w:ascii="Times New Roman" w:eastAsia="宋体" w:hAnsi="Times New Roman"/>
          <w:b/>
          <w:bCs/>
          <w:i/>
          <w:iCs/>
          <w:color w:val="000000"/>
          <w:sz w:val="20"/>
          <w:szCs w:val="20"/>
        </w:rPr>
        <w:t>We could experience unforeseen difficulties in building and operating key portions of our technical infrastructure.</w:t>
      </w:r>
    </w:p>
    <w:p w14:paraId="5CD8E15A" w14:textId="77777777" w:rsidR="00BA49F5" w:rsidRDefault="00BA49F5">
      <w:pPr>
        <w:jc w:val="both"/>
      </w:pPr>
    </w:p>
    <w:p w14:paraId="5CD8E15B" w14:textId="77777777" w:rsidR="00BA49F5" w:rsidRDefault="007E5E49">
      <w:pPr>
        <w:ind w:firstLine="540"/>
        <w:jc w:val="both"/>
      </w:pPr>
      <w:r>
        <w:rPr>
          <w:rFonts w:ascii="Times New Roman" w:eastAsia="宋体" w:hAnsi="Times New Roman"/>
          <w:color w:val="000000"/>
          <w:sz w:val="20"/>
          <w:szCs w:val="20"/>
        </w:rPr>
        <w:t>We have designed and built our own data centers and key portions of our technical infrastructu</w:t>
      </w:r>
      <w:r>
        <w:rPr>
          <w:rFonts w:ascii="Times New Roman" w:eastAsia="宋体" w:hAnsi="Times New Roman"/>
          <w:color w:val="000000"/>
          <w:sz w:val="20"/>
          <w:szCs w:val="20"/>
        </w:rPr>
        <w:t>re through which we serve our products, and we plan to continue to significantly expand the size of our infrastructure primarily through data centers, subsea and terrestrial fiber optic cable systems, and other projects. The infrastructure expansion we are</w:t>
      </w:r>
      <w:r>
        <w:rPr>
          <w:rFonts w:ascii="Times New Roman" w:eastAsia="宋体" w:hAnsi="Times New Roman"/>
          <w:color w:val="000000"/>
          <w:sz w:val="20"/>
          <w:szCs w:val="20"/>
        </w:rPr>
        <w:t xml:space="preserve"> undertaking is complex and involves projects in multiple locations around the world, including in emerging markets that expose us to increased risks relating to anti-corruption compliance and political challenges, among others. We have in the past suspend</w:t>
      </w:r>
      <w:r>
        <w:rPr>
          <w:rFonts w:ascii="Times New Roman" w:eastAsia="宋体" w:hAnsi="Times New Roman"/>
          <w:color w:val="000000"/>
          <w:sz w:val="20"/>
          <w:szCs w:val="20"/>
        </w:rPr>
        <w:t>ed, and may in the future suspend, certain of these projects as a result of the COVID-19 pandemic or other factors. Additional unanticipated delays or disruptions in the completion of these projects, including due to any shortage of labor necessary in buil</w:t>
      </w:r>
      <w:r>
        <w:rPr>
          <w:rFonts w:ascii="Times New Roman" w:eastAsia="宋体" w:hAnsi="Times New Roman"/>
          <w:color w:val="000000"/>
          <w:sz w:val="20"/>
          <w:szCs w:val="20"/>
        </w:rPr>
        <w:t>ding portions of such projects, or availability of components, challenges in obtaining required government or regulatory approvals, or other geopolitical challenges or actions by governments, whether as a result of the pandemic, trade disputes, or otherwis</w:t>
      </w:r>
      <w:r>
        <w:rPr>
          <w:rFonts w:ascii="Times New Roman" w:eastAsia="宋体" w:hAnsi="Times New Roman"/>
          <w:color w:val="000000"/>
          <w:sz w:val="20"/>
          <w:szCs w:val="20"/>
        </w:rPr>
        <w:t>e, may lead to increased project costs, operational inefficiencies, interruptions in the delivery or degradation of the quality or reliability of our products, or impairment of assets on our balance sheet. In addition, there may be issues related to this i</w:t>
      </w:r>
      <w:r>
        <w:rPr>
          <w:rFonts w:ascii="Times New Roman" w:eastAsia="宋体" w:hAnsi="Times New Roman"/>
          <w:color w:val="000000"/>
          <w:sz w:val="20"/>
          <w:szCs w:val="20"/>
        </w:rPr>
        <w:t>nfrastructure that are not identified during the testing phases of design and implementation, which may only become evident after we have started to fully utilize the underlying equipment, that could further degrade the user experience or increase our cost</w:t>
      </w:r>
      <w:r>
        <w:rPr>
          <w:rFonts w:ascii="Times New Roman" w:eastAsia="宋体" w:hAnsi="Times New Roman"/>
          <w:color w:val="000000"/>
          <w:sz w:val="20"/>
          <w:szCs w:val="20"/>
        </w:rPr>
        <w:t xml:space="preserve">s. Further, much of our technical infrastructure is located outside the United States, and action by a foreign government, or our response to such government action, has resulted in the past, and may result in the future, in the impairment of a portion of </w:t>
      </w:r>
      <w:r>
        <w:rPr>
          <w:rFonts w:ascii="Times New Roman" w:eastAsia="宋体" w:hAnsi="Times New Roman"/>
          <w:color w:val="000000"/>
          <w:sz w:val="20"/>
          <w:szCs w:val="20"/>
        </w:rPr>
        <w:t>our technical infrastructure, which may interrupt the delivery or degrade the quality or reliability of our products and lead to a negative user experience or increase our costs. Any of these events could adversely affect our business, reputation, or finan</w:t>
      </w:r>
      <w:r>
        <w:rPr>
          <w:rFonts w:ascii="Times New Roman" w:eastAsia="宋体" w:hAnsi="Times New Roman"/>
          <w:color w:val="000000"/>
          <w:sz w:val="20"/>
          <w:szCs w:val="20"/>
        </w:rPr>
        <w:t>cial results.</w:t>
      </w:r>
    </w:p>
    <w:p w14:paraId="5CD8E15C" w14:textId="77777777" w:rsidR="00BA49F5" w:rsidRDefault="00BA49F5">
      <w:pPr>
        <w:ind w:firstLine="540"/>
        <w:jc w:val="both"/>
      </w:pPr>
    </w:p>
    <w:p w14:paraId="5CD8E15D" w14:textId="77777777" w:rsidR="00BA49F5" w:rsidRDefault="007E5E49">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5CD8E15E" w14:textId="77777777" w:rsidR="00BA49F5" w:rsidRDefault="00BA49F5">
      <w:pPr>
        <w:ind w:firstLine="540"/>
        <w:jc w:val="both"/>
      </w:pPr>
    </w:p>
    <w:p w14:paraId="5CD8E15F" w14:textId="77777777" w:rsidR="00BA49F5" w:rsidRDefault="007E5E49">
      <w:pPr>
        <w:ind w:firstLine="540"/>
        <w:jc w:val="both"/>
      </w:pPr>
      <w:r>
        <w:rPr>
          <w:rFonts w:ascii="Times New Roman" w:eastAsia="宋体" w:hAnsi="Times New Roman"/>
          <w:color w:val="000000"/>
          <w:sz w:val="20"/>
          <w:szCs w:val="20"/>
        </w:rPr>
        <w:t>The numbers for our key metrics, which include our Family metrics (DAP, MAP, and average revenue per person (ARPP)</w:t>
      </w:r>
      <w:r>
        <w:rPr>
          <w:rFonts w:ascii="Times New Roman" w:eastAsia="宋体" w:hAnsi="Times New Roman"/>
          <w:color w:val="000000"/>
          <w:sz w:val="20"/>
          <w:szCs w:val="20"/>
        </w:rPr>
        <w:t>) and Facebook metrics (DAUs, MAUs, and average revenue per user (ARPU)), are calculated using internal company data based on the activity of user accounts. While these numbers are based on what we believe to be reasonable estimates of our user base for th</w:t>
      </w:r>
      <w:r>
        <w:rPr>
          <w:rFonts w:ascii="Times New Roman" w:eastAsia="宋体" w:hAnsi="Times New Roman"/>
          <w:color w:val="000000"/>
          <w:sz w:val="20"/>
          <w:szCs w:val="20"/>
        </w:rPr>
        <w:t>e applicable period of measurement, there are inherent challenges in measuring usage of our products across large online and mobile populations around the world. The methodologies used to measure these metrics require significant judgment and are also susc</w:t>
      </w:r>
      <w:r>
        <w:rPr>
          <w:rFonts w:ascii="Times New Roman" w:eastAsia="宋体" w:hAnsi="Times New Roman"/>
          <w:color w:val="000000"/>
          <w:sz w:val="20"/>
          <w:szCs w:val="20"/>
        </w:rPr>
        <w:t>eptible to algorithm or other technical errors. In addition, we are continually seeking to improve our estimates of our user base, and such estimates may change due to improvements or changes in our methodology. We regularly review our processes for calcul</w:t>
      </w:r>
      <w:r>
        <w:rPr>
          <w:rFonts w:ascii="Times New Roman" w:eastAsia="宋体" w:hAnsi="Times New Roman"/>
          <w:color w:val="000000"/>
          <w:sz w:val="20"/>
          <w:szCs w:val="20"/>
        </w:rPr>
        <w:t>ating these metrics, and from time to time we discover inaccuracies in our metrics or make adjustments to improve their accuracy, which can result in adjustments to our historical metrics. Our ability to recalculate our historical metrics may be impacted b</w:t>
      </w:r>
      <w:r>
        <w:rPr>
          <w:rFonts w:ascii="Times New Roman" w:eastAsia="宋体" w:hAnsi="Times New Roman"/>
          <w:color w:val="000000"/>
          <w:sz w:val="20"/>
          <w:szCs w:val="20"/>
        </w:rPr>
        <w:t>y data limitations or other factors that require us to apply different methodologies for such adjustments. We generally do not intend to update previously disclosed Family metrics for any such inaccuracies or adjustments that are within the error margins d</w:t>
      </w:r>
      <w:r>
        <w:rPr>
          <w:rFonts w:ascii="Times New Roman" w:eastAsia="宋体" w:hAnsi="Times New Roman"/>
          <w:color w:val="000000"/>
          <w:sz w:val="20"/>
          <w:szCs w:val="20"/>
        </w:rPr>
        <w:t>isclosed below.</w:t>
      </w:r>
    </w:p>
    <w:p w14:paraId="5CD8E160" w14:textId="77777777" w:rsidR="00BA49F5" w:rsidRDefault="00BA49F5">
      <w:pPr>
        <w:ind w:firstLine="540"/>
        <w:jc w:val="both"/>
      </w:pPr>
    </w:p>
    <w:p w14:paraId="5CD8E161" w14:textId="77777777" w:rsidR="00BA49F5" w:rsidRDefault="007E5E49">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5CD8E162" w14:textId="77777777" w:rsidR="00BA49F5" w:rsidRDefault="00BA49F5">
      <w:pPr>
        <w:ind w:firstLine="540"/>
        <w:jc w:val="both"/>
      </w:pPr>
    </w:p>
    <w:p w14:paraId="5CD8E163" w14:textId="77777777" w:rsidR="00BA49F5" w:rsidRDefault="007E5E49">
      <w:pPr>
        <w:ind w:firstLine="540"/>
        <w:jc w:val="both"/>
      </w:pPr>
      <w:r>
        <w:rPr>
          <w:rFonts w:ascii="Times New Roman" w:eastAsia="宋体" w:hAnsi="Times New Roman"/>
          <w:color w:val="000000"/>
          <w:sz w:val="20"/>
          <w:szCs w:val="20"/>
        </w:rPr>
        <w:t xml:space="preserve">Many people in our community have user accounts on more than one of our products, and </w:t>
      </w:r>
      <w:r>
        <w:rPr>
          <w:rFonts w:ascii="Times New Roman" w:eastAsia="宋体" w:hAnsi="Times New Roman"/>
          <w:color w:val="000000"/>
          <w:sz w:val="20"/>
          <w:szCs w:val="20"/>
        </w:rPr>
        <w:t>some people have multiple user accounts within an individual product. Accordingly, for our Family metrics, we do not seek to count the total number of user accounts across our products because we believe that would not reflect the actual size of our commun</w:t>
      </w:r>
      <w:r>
        <w:rPr>
          <w:rFonts w:ascii="Times New Roman" w:eastAsia="宋体" w:hAnsi="Times New Roman"/>
          <w:color w:val="000000"/>
          <w:sz w:val="20"/>
          <w:szCs w:val="20"/>
        </w:rPr>
        <w:t>ity. Rather, our Family metrics represent our estimates of the number of unique people using at least one of Facebook, Instagram, Messenger, and WhatsApp. We do not require people to use a common identifier or link their accounts to use multiple products i</w:t>
      </w:r>
      <w:r>
        <w:rPr>
          <w:rFonts w:ascii="Times New Roman" w:eastAsia="宋体" w:hAnsi="Times New Roman"/>
          <w:color w:val="000000"/>
          <w:sz w:val="20"/>
          <w:szCs w:val="20"/>
        </w:rPr>
        <w:t>n our Family, and therefore must seek to attribute multiple user accounts within and across products to individual people. To calculate these metrics, we rely upon complex techniques, algorithms and machine learning models that seek to count the individual</w:t>
      </w:r>
      <w:r>
        <w:rPr>
          <w:rFonts w:ascii="Times New Roman" w:eastAsia="宋体" w:hAnsi="Times New Roman"/>
          <w:color w:val="000000"/>
          <w:sz w:val="20"/>
          <w:szCs w:val="20"/>
        </w:rPr>
        <w:t xml:space="preserve"> people behind user accounts, including by matching multiple user accounts within an individual product and across multiple products when we believe they are attributable to a single person, and counting such group of accounts as one person. These techniqu</w:t>
      </w:r>
      <w:r>
        <w:rPr>
          <w:rFonts w:ascii="Times New Roman" w:eastAsia="宋体" w:hAnsi="Times New Roman"/>
          <w:color w:val="000000"/>
          <w:sz w:val="20"/>
          <w:szCs w:val="20"/>
        </w:rPr>
        <w:t>es and models require significant judgment, are subject to data and other limitations discussed below, and inherently are subject to statistical variances and uncertainties. We estimate the potential error in our Family metrics primarily based on user surv</w:t>
      </w:r>
      <w:r>
        <w:rPr>
          <w:rFonts w:ascii="Times New Roman" w:eastAsia="宋体" w:hAnsi="Times New Roman"/>
          <w:color w:val="000000"/>
          <w:sz w:val="20"/>
          <w:szCs w:val="20"/>
        </w:rPr>
        <w:t>ey data, which itself is subject to error as well. While we expect the error margin for our Family metrics to vary from period to period, we estimate that such margin generally will be approximately 3% of our worldwide MAP. At our scale, it is very difficu</w:t>
      </w:r>
      <w:r>
        <w:rPr>
          <w:rFonts w:ascii="Times New Roman" w:eastAsia="宋体" w:hAnsi="Times New Roman"/>
          <w:color w:val="000000"/>
          <w:sz w:val="20"/>
          <w:szCs w:val="20"/>
        </w:rPr>
        <w:t xml:space="preserve">lt to attribute multiple user accounts within and across products to individual people, and it is possible that the actual numbers of unique people using our products may vary significantly from our estimates, </w:t>
      </w:r>
    </w:p>
    <w:p w14:paraId="5CD8E164" w14:textId="77777777" w:rsidR="00BA49F5" w:rsidRDefault="007E5E49">
      <w:pPr>
        <w:jc w:val="center"/>
      </w:pPr>
      <w:r>
        <w:rPr>
          <w:rFonts w:ascii="Times New Roman" w:eastAsia="宋体" w:hAnsi="Times New Roman"/>
          <w:color w:val="000000"/>
          <w:sz w:val="20"/>
          <w:szCs w:val="20"/>
        </w:rPr>
        <w:t>29</w:t>
      </w:r>
    </w:p>
    <w:p w14:paraId="5CD8E165" w14:textId="77777777" w:rsidR="00BA49F5" w:rsidRDefault="007E5E49">
      <w:r>
        <w:pict w14:anchorId="5CD90CE8">
          <v:rect id="_x0000_i1053" style="width:415.3pt;height:1.5pt" o:hralign="center" o:hrstd="t" o:hr="t" fillcolor="#a0a0a0" stroked="f"/>
        </w:pict>
      </w:r>
    </w:p>
    <w:p w14:paraId="5CD8E166" w14:textId="77777777" w:rsidR="00BA49F5" w:rsidRDefault="00BA49F5"/>
    <w:p w14:paraId="5CD8E167" w14:textId="77777777" w:rsidR="00BA49F5" w:rsidRDefault="00BA49F5"/>
    <w:p w14:paraId="5CD8E168" w14:textId="77777777" w:rsidR="00BA49F5" w:rsidRDefault="007E5E49">
      <w:hyperlink r:id="rId138" w:anchor="i6df229dad1864210ab76200083e26819_7" w:history="1">
        <w:r>
          <w:rPr>
            <w:rStyle w:val="a5"/>
            <w:rFonts w:ascii="Times New Roman" w:eastAsia="宋体" w:hAnsi="Times New Roman"/>
            <w:sz w:val="20"/>
            <w:szCs w:val="20"/>
          </w:rPr>
          <w:t>T</w:t>
        </w:r>
      </w:hyperlink>
      <w:hyperlink r:id="rId139" w:anchor="i6df229dad1864210ab76200083e26819_7" w:history="1">
        <w:r>
          <w:rPr>
            <w:rStyle w:val="a5"/>
            <w:rFonts w:ascii="Times New Roman" w:eastAsia="宋体" w:hAnsi="Times New Roman"/>
            <w:sz w:val="20"/>
            <w:szCs w:val="20"/>
          </w:rPr>
          <w:t>able of Contents</w:t>
        </w:r>
      </w:hyperlink>
    </w:p>
    <w:p w14:paraId="5CD8E169" w14:textId="77777777" w:rsidR="00BA49F5" w:rsidRDefault="007E5E49">
      <w:pPr>
        <w:jc w:val="both"/>
      </w:pPr>
      <w:r>
        <w:rPr>
          <w:rFonts w:ascii="Times New Roman" w:eastAsia="宋体" w:hAnsi="Times New Roman"/>
          <w:color w:val="000000"/>
          <w:sz w:val="20"/>
          <w:szCs w:val="20"/>
        </w:rPr>
        <w:t>potentially beyond our estimated error margins. As a result, it is also possible that our Family metrics may indicate changes or trends in user numbers that do not match actual changes or trends.</w:t>
      </w:r>
    </w:p>
    <w:p w14:paraId="5CD8E16A" w14:textId="77777777" w:rsidR="00BA49F5" w:rsidRDefault="00BA49F5">
      <w:pPr>
        <w:ind w:firstLine="540"/>
        <w:jc w:val="both"/>
      </w:pPr>
    </w:p>
    <w:p w14:paraId="5CD8E16B" w14:textId="77777777" w:rsidR="00BA49F5" w:rsidRDefault="007E5E49">
      <w:pPr>
        <w:ind w:firstLine="540"/>
        <w:jc w:val="both"/>
      </w:pPr>
      <w:r>
        <w:rPr>
          <w:rFonts w:ascii="Times New Roman" w:eastAsia="宋体" w:hAnsi="Times New Roman"/>
          <w:color w:val="000000"/>
          <w:sz w:val="20"/>
          <w:szCs w:val="20"/>
        </w:rPr>
        <w:t>To calculate our estimates of</w:t>
      </w:r>
      <w:r>
        <w:rPr>
          <w:rFonts w:ascii="Times New Roman" w:eastAsia="宋体" w:hAnsi="Times New Roman"/>
          <w:color w:val="000000"/>
          <w:sz w:val="20"/>
          <w:szCs w:val="20"/>
        </w:rPr>
        <w:t xml:space="preserve"> Family DAP and MAP, we currently use a series of machine learning models that are developed based on internal reviews of limited samples of user accounts and calibrated against user survey data. We apply significant judgment in designing these models and </w:t>
      </w:r>
      <w:r>
        <w:rPr>
          <w:rFonts w:ascii="Times New Roman" w:eastAsia="宋体" w:hAnsi="Times New Roman"/>
          <w:color w:val="000000"/>
          <w:sz w:val="20"/>
          <w:szCs w:val="20"/>
        </w:rPr>
        <w:t>calculating these estimates. For example, to match user accounts within individual products and across multiple products, we use data signals such as similar device information, IP addresses, and user names. We also calibrate our models against data from p</w:t>
      </w:r>
      <w:r>
        <w:rPr>
          <w:rFonts w:ascii="Times New Roman" w:eastAsia="宋体" w:hAnsi="Times New Roman"/>
          <w:color w:val="000000"/>
          <w:sz w:val="20"/>
          <w:szCs w:val="20"/>
        </w:rPr>
        <w:t>eriodic user surveys of varying sizes and frequency across our products, which are inherently subject to error. The timing and results of such user surveys have in the past contributed, and may in the future contribute, to changes in our reported Family me</w:t>
      </w:r>
      <w:r>
        <w:rPr>
          <w:rFonts w:ascii="Times New Roman" w:eastAsia="宋体" w:hAnsi="Times New Roman"/>
          <w:color w:val="000000"/>
          <w:sz w:val="20"/>
          <w:szCs w:val="20"/>
        </w:rPr>
        <w:t>trics from period to period. In addition, our data limitations may affect our understanding of certain details of our business and increase the risk of error for our Family metrics estimates. Our techniques and models rely on a variety of data signals from</w:t>
      </w:r>
      <w:r>
        <w:rPr>
          <w:rFonts w:ascii="Times New Roman" w:eastAsia="宋体" w:hAnsi="Times New Roman"/>
          <w:color w:val="000000"/>
          <w:sz w:val="20"/>
          <w:szCs w:val="20"/>
        </w:rPr>
        <w:t xml:space="preserve"> different products, and we rely on more limited data signals for some products compared to others. For example, as a result of limited visibility into encrypted products, we have fewer data signals from WhatsApp user accounts and primarily rely on phone n</w:t>
      </w:r>
      <w:r>
        <w:rPr>
          <w:rFonts w:ascii="Times New Roman" w:eastAsia="宋体" w:hAnsi="Times New Roman"/>
          <w:color w:val="000000"/>
          <w:sz w:val="20"/>
          <w:szCs w:val="20"/>
        </w:rPr>
        <w:t>umbers and device information to match WhatsApp user accounts with accounts on our other products. Similarly, although Messenger Kids users are included in our Family metrics, we do not seek to match their accounts with accounts on our other applications f</w:t>
      </w:r>
      <w:r>
        <w:rPr>
          <w:rFonts w:ascii="Times New Roman" w:eastAsia="宋体" w:hAnsi="Times New Roman"/>
          <w:color w:val="000000"/>
          <w:sz w:val="20"/>
          <w:szCs w:val="20"/>
        </w:rPr>
        <w:t>or purposes of calculating DAP and MAP. Any loss of access to data signals we use in our process for calculating Family metrics, whether as a result of our own product decisions, actions by third-party browser or mobile platforms, regulatory or legislative</w:t>
      </w:r>
      <w:r>
        <w:rPr>
          <w:rFonts w:ascii="Times New Roman" w:eastAsia="宋体" w:hAnsi="Times New Roman"/>
          <w:color w:val="000000"/>
          <w:sz w:val="20"/>
          <w:szCs w:val="20"/>
        </w:rPr>
        <w:t xml:space="preserve"> requirements, or other factors, also may impact the stability or accuracy of our reported Family metrics, as well as our ability to report these metrics at all. Our estimates of Family metrics also may change as our methodologies evolve, including through</w:t>
      </w:r>
      <w:r>
        <w:rPr>
          <w:rFonts w:ascii="Times New Roman" w:eastAsia="宋体" w:hAnsi="Times New Roman"/>
          <w:color w:val="000000"/>
          <w:sz w:val="20"/>
          <w:szCs w:val="20"/>
        </w:rPr>
        <w:t xml:space="preserve"> the application of new data signals or technologies, product changes, or other improvements in our user surveys, algorithms, or machine learning that may improve our ability to match accounts within and across our products or otherwise evaluate the broad </w:t>
      </w:r>
      <w:r>
        <w:rPr>
          <w:rFonts w:ascii="Times New Roman" w:eastAsia="宋体" w:hAnsi="Times New Roman"/>
          <w:color w:val="000000"/>
          <w:sz w:val="20"/>
          <w:szCs w:val="20"/>
        </w:rPr>
        <w:t>population of our users. In addition, such evolution may allow us to identify previously undetected violating accounts (as defined below).</w:t>
      </w:r>
    </w:p>
    <w:p w14:paraId="5CD8E16C" w14:textId="77777777" w:rsidR="00BA49F5" w:rsidRDefault="00BA49F5">
      <w:pPr>
        <w:ind w:firstLine="540"/>
        <w:jc w:val="both"/>
      </w:pPr>
    </w:p>
    <w:p w14:paraId="5CD8E16D" w14:textId="77777777" w:rsidR="00BA49F5" w:rsidRDefault="007E5E49">
      <w:pPr>
        <w:ind w:firstLine="540"/>
        <w:jc w:val="both"/>
      </w:pPr>
      <w:r>
        <w:rPr>
          <w:rFonts w:ascii="Times New Roman" w:eastAsia="宋体" w:hAnsi="Times New Roman"/>
          <w:color w:val="000000"/>
          <w:sz w:val="20"/>
          <w:szCs w:val="20"/>
        </w:rPr>
        <w:t xml:space="preserve">We regularly evaluate our Family metrics to estimate the percentage of our MAP consisting solely of </w:t>
      </w:r>
      <w:r>
        <w:rPr>
          <w:rFonts w:ascii="Times New Roman" w:eastAsia="宋体" w:hAnsi="Times New Roman"/>
          <w:color w:val="000000"/>
          <w:sz w:val="20"/>
          <w:szCs w:val="20"/>
        </w:rPr>
        <w:t>"violating" accounts. We define "violating" accounts as accounts which we believe are intended to be used for purposes that violate our terms of service, including bots and spam. In the fourth quarter of 2022, we estimated that approximately 3% of our worl</w:t>
      </w:r>
      <w:r>
        <w:rPr>
          <w:rFonts w:ascii="Times New Roman" w:eastAsia="宋体" w:hAnsi="Times New Roman"/>
          <w:color w:val="000000"/>
          <w:sz w:val="20"/>
          <w:szCs w:val="20"/>
        </w:rPr>
        <w:t>dwide MAP consisted solely of violating accounts. Such estimation is based on an internal review of a limited sample of accounts, and we apply significant judgment in making this determination. For example, we look for account information and behaviors ass</w:t>
      </w:r>
      <w:r>
        <w:rPr>
          <w:rFonts w:ascii="Times New Roman" w:eastAsia="宋体" w:hAnsi="Times New Roman"/>
          <w:color w:val="000000"/>
          <w:sz w:val="20"/>
          <w:szCs w:val="20"/>
        </w:rPr>
        <w:t>ociated with Facebook and Instagram accounts that appear to be inauthentic to the reviewers, but we have limited visibility into WhatsApp user activity due to encryption. In addition, if we believe an individual person has one or more violating accounts, w</w:t>
      </w:r>
      <w:r>
        <w:rPr>
          <w:rFonts w:ascii="Times New Roman" w:eastAsia="宋体" w:hAnsi="Times New Roman"/>
          <w:color w:val="000000"/>
          <w:sz w:val="20"/>
          <w:szCs w:val="20"/>
        </w:rPr>
        <w:t xml:space="preserve">e do not include such person in our violating accounts estimation as long as we believe they have one account that does not constitute a violating account. From time to time, we disable certain user accounts, make product changes, or take other actions to </w:t>
      </w:r>
      <w:r>
        <w:rPr>
          <w:rFonts w:ascii="Times New Roman" w:eastAsia="宋体" w:hAnsi="Times New Roman"/>
          <w:color w:val="000000"/>
          <w:sz w:val="20"/>
          <w:szCs w:val="20"/>
        </w:rPr>
        <w:t>reduce the number of violating accounts among our users, which may also reduce our DAP and MAP estimates in a particular period. We intend to disclose our estimates of the percentage of our MAP consisting solely of violating accounts on an annual basis. Vi</w:t>
      </w:r>
      <w:r>
        <w:rPr>
          <w:rFonts w:ascii="Times New Roman" w:eastAsia="宋体" w:hAnsi="Times New Roman"/>
          <w:color w:val="000000"/>
          <w:sz w:val="20"/>
          <w:szCs w:val="20"/>
        </w:rPr>
        <w:t>olating accounts are very difficult to measure at our scale, and it is possible that the actual number of violating accounts may vary significantly from our estimates.</w:t>
      </w:r>
    </w:p>
    <w:p w14:paraId="5CD8E16E" w14:textId="77777777" w:rsidR="00BA49F5" w:rsidRDefault="00BA49F5">
      <w:pPr>
        <w:ind w:firstLine="540"/>
        <w:jc w:val="both"/>
      </w:pPr>
    </w:p>
    <w:p w14:paraId="5CD8E16F" w14:textId="77777777" w:rsidR="00BA49F5" w:rsidRDefault="007E5E49">
      <w:pPr>
        <w:ind w:firstLine="540"/>
        <w:jc w:val="both"/>
      </w:pPr>
      <w:r>
        <w:rPr>
          <w:rFonts w:ascii="Times New Roman" w:eastAsia="宋体" w:hAnsi="Times New Roman"/>
          <w:color w:val="000000"/>
          <w:sz w:val="20"/>
          <w:szCs w:val="20"/>
        </w:rPr>
        <w:t xml:space="preserve">We also regularly evaluate our Facebook metrics to estimate the number of </w:t>
      </w:r>
      <w:r>
        <w:rPr>
          <w:rFonts w:ascii="Times New Roman" w:eastAsia="宋体" w:hAnsi="Times New Roman"/>
          <w:color w:val="000000"/>
          <w:sz w:val="20"/>
          <w:szCs w:val="20"/>
        </w:rPr>
        <w:t>"duplicate" and "false" accounts among our MAUs. A duplicate account is one that a user maintains in addition to his or her principal account. We divide "false" accounts into two categories: (1) user-misclassified accounts, where users have created persona</w:t>
      </w:r>
      <w:r>
        <w:rPr>
          <w:rFonts w:ascii="Times New Roman" w:eastAsia="宋体" w:hAnsi="Times New Roman"/>
          <w:color w:val="000000"/>
          <w:sz w:val="20"/>
          <w:szCs w:val="20"/>
        </w:rPr>
        <w:t>l profiles for a business, organization, or non-human entity such as a pet (such entities are permitted on Facebook using a Page rather than a personal profile under our terms of service); and (2) violating accounts, which represent user profiles that we b</w:t>
      </w:r>
      <w:r>
        <w:rPr>
          <w:rFonts w:ascii="Times New Roman" w:eastAsia="宋体" w:hAnsi="Times New Roman"/>
          <w:color w:val="000000"/>
          <w:sz w:val="20"/>
          <w:szCs w:val="20"/>
        </w:rPr>
        <w:t>elieve are intended to be used for purposes that violate our terms of service, such as bots and spam. The estimates of duplicate and false accounts are based on an internal review of a limited sample of accounts, and we apply significant judgment in making</w:t>
      </w:r>
      <w:r>
        <w:rPr>
          <w:rFonts w:ascii="Times New Roman" w:eastAsia="宋体" w:hAnsi="Times New Roman"/>
          <w:color w:val="000000"/>
          <w:sz w:val="20"/>
          <w:szCs w:val="20"/>
        </w:rPr>
        <w:t xml:space="preserve"> this determination. For example, to identify duplicate accounts we use data signals such as identical IP addresses and similar user names, and to identify false accounts we look for names that appear to be fake or other behavior that appears inauthentic t</w:t>
      </w:r>
      <w:r>
        <w:rPr>
          <w:rFonts w:ascii="Times New Roman" w:eastAsia="宋体" w:hAnsi="Times New Roman"/>
          <w:color w:val="000000"/>
          <w:sz w:val="20"/>
          <w:szCs w:val="20"/>
        </w:rPr>
        <w:t xml:space="preserve">o the reviewers. Any loss of access to data signals we use in this process, whether as a result of our own product decisions, actions by third-party browser or mobile platforms, regulatory or legislative requirements, or other factors, also may impact the </w:t>
      </w:r>
      <w:r>
        <w:rPr>
          <w:rFonts w:ascii="Times New Roman" w:eastAsia="宋体" w:hAnsi="Times New Roman"/>
          <w:color w:val="000000"/>
          <w:sz w:val="20"/>
          <w:szCs w:val="20"/>
        </w:rPr>
        <w:t>stability or accuracy of our estimates of duplicate and false accounts. Our estimates also may change as our methodologies evolve, including through the application of new data signals or technologies or product changes that may allow us to identify previo</w:t>
      </w:r>
      <w:r>
        <w:rPr>
          <w:rFonts w:ascii="Times New Roman" w:eastAsia="宋体" w:hAnsi="Times New Roman"/>
          <w:color w:val="000000"/>
          <w:sz w:val="20"/>
          <w:szCs w:val="20"/>
        </w:rPr>
        <w:t>usly undetected duplicate or false accounts and may improve our ability to evaluate a broader population of our users. Duplicate and false accounts are very difficult to measure at our scale, and it is possible that the actual number of duplicate and false</w:t>
      </w:r>
      <w:r>
        <w:rPr>
          <w:rFonts w:ascii="Times New Roman" w:eastAsia="宋体" w:hAnsi="Times New Roman"/>
          <w:color w:val="000000"/>
          <w:sz w:val="20"/>
          <w:szCs w:val="20"/>
        </w:rPr>
        <w:t xml:space="preserve"> accounts may vary significantly from our estimates.</w:t>
      </w:r>
    </w:p>
    <w:p w14:paraId="5CD8E170" w14:textId="77777777" w:rsidR="00BA49F5" w:rsidRDefault="00BA49F5">
      <w:pPr>
        <w:ind w:firstLine="540"/>
        <w:jc w:val="both"/>
      </w:pPr>
    </w:p>
    <w:p w14:paraId="5CD8E171" w14:textId="77777777" w:rsidR="00BA49F5" w:rsidRDefault="007E5E49">
      <w:pPr>
        <w:jc w:val="center"/>
      </w:pPr>
      <w:r>
        <w:rPr>
          <w:rFonts w:ascii="Times New Roman" w:eastAsia="宋体" w:hAnsi="Times New Roman"/>
          <w:color w:val="000000"/>
          <w:sz w:val="20"/>
          <w:szCs w:val="20"/>
        </w:rPr>
        <w:t>30</w:t>
      </w:r>
    </w:p>
    <w:p w14:paraId="5CD8E172" w14:textId="77777777" w:rsidR="00BA49F5" w:rsidRDefault="007E5E49">
      <w:r>
        <w:pict w14:anchorId="5CD90CE9">
          <v:rect id="_x0000_i1054" style="width:415.3pt;height:1.5pt" o:hralign="center" o:hrstd="t" o:hr="t" fillcolor="#a0a0a0" stroked="f"/>
        </w:pict>
      </w:r>
    </w:p>
    <w:p w14:paraId="5CD8E173" w14:textId="77777777" w:rsidR="00BA49F5" w:rsidRDefault="00BA49F5"/>
    <w:p w14:paraId="5CD8E174" w14:textId="77777777" w:rsidR="00BA49F5" w:rsidRDefault="00BA49F5"/>
    <w:p w14:paraId="5CD8E175" w14:textId="77777777" w:rsidR="00BA49F5" w:rsidRDefault="007E5E49">
      <w:hyperlink r:id="rId140" w:anchor="i6df229dad1864210ab76200083e26819_7" w:history="1">
        <w:r>
          <w:rPr>
            <w:rStyle w:val="a5"/>
            <w:rFonts w:ascii="Times New Roman" w:eastAsia="宋体" w:hAnsi="Times New Roman"/>
            <w:sz w:val="20"/>
            <w:szCs w:val="20"/>
          </w:rPr>
          <w:t>T</w:t>
        </w:r>
      </w:hyperlink>
      <w:hyperlink r:id="rId141" w:anchor="i6df229dad1864210ab76200083e26819_7" w:history="1">
        <w:r>
          <w:rPr>
            <w:rStyle w:val="a5"/>
            <w:rFonts w:ascii="Times New Roman" w:eastAsia="宋体" w:hAnsi="Times New Roman"/>
            <w:sz w:val="20"/>
            <w:szCs w:val="20"/>
          </w:rPr>
          <w:t>able of Contents</w:t>
        </w:r>
      </w:hyperlink>
    </w:p>
    <w:p w14:paraId="5CD8E176" w14:textId="77777777" w:rsidR="00BA49F5" w:rsidRDefault="007E5E49">
      <w:pPr>
        <w:ind w:firstLine="540"/>
        <w:jc w:val="both"/>
      </w:pPr>
      <w:r>
        <w:rPr>
          <w:rFonts w:ascii="Times New Roman" w:eastAsia="宋体" w:hAnsi="Times New Roman"/>
          <w:color w:val="000000"/>
          <w:sz w:val="20"/>
          <w:szCs w:val="20"/>
        </w:rPr>
        <w:t>In the fourth quarter of 2022, we estimated that duplicate accounts may have represented approximately 11% of our worldwide MAU</w:t>
      </w:r>
      <w:r>
        <w:rPr>
          <w:rFonts w:ascii="Times New Roman" w:eastAsia="宋体" w:hAnsi="Times New Roman"/>
          <w:color w:val="000000"/>
          <w:sz w:val="20"/>
          <w:szCs w:val="20"/>
        </w:rPr>
        <w:t>s. We believe the percentage of duplicate accounts is meaningfully higher in developing markets such as the Philippines and Vietnam, as compared to more developed markets. In the fourth quarter of 2022, we estimated that false accounts may have represented</w:t>
      </w:r>
      <w:r>
        <w:rPr>
          <w:rFonts w:ascii="Times New Roman" w:eastAsia="宋体" w:hAnsi="Times New Roman"/>
          <w:color w:val="000000"/>
          <w:sz w:val="20"/>
          <w:szCs w:val="20"/>
        </w:rPr>
        <w:t xml:space="preserve"> approximately 4-5% of our worldwide MAUs. Our estimation of false accounts can vary as a result of episodic spikes in the creation of such accounts, which we have seen originate more frequently in specific countries such as Indonesia, Nigeria, and Vietnam</w:t>
      </w:r>
      <w:r>
        <w:rPr>
          <w:rFonts w:ascii="Times New Roman" w:eastAsia="宋体" w:hAnsi="Times New Roman"/>
          <w:color w:val="000000"/>
          <w:sz w:val="20"/>
          <w:szCs w:val="20"/>
        </w:rPr>
        <w:t>. From time to time, we disable certain user accounts, make product changes, or take other actions to reduce the number of duplicate or false accounts among our users, which may also reduce our DAU and MAU estimates in a particular period. We intend to dis</w:t>
      </w:r>
      <w:r>
        <w:rPr>
          <w:rFonts w:ascii="Times New Roman" w:eastAsia="宋体" w:hAnsi="Times New Roman"/>
          <w:color w:val="000000"/>
          <w:sz w:val="20"/>
          <w:szCs w:val="20"/>
        </w:rPr>
        <w:t>close our estimates of the number of duplicate and false accounts among our MAUs on an annual basis.</w:t>
      </w:r>
    </w:p>
    <w:p w14:paraId="5CD8E177" w14:textId="77777777" w:rsidR="00BA49F5" w:rsidRDefault="00BA49F5">
      <w:pPr>
        <w:ind w:firstLine="540"/>
        <w:jc w:val="both"/>
      </w:pPr>
    </w:p>
    <w:p w14:paraId="5CD8E178" w14:textId="77777777" w:rsidR="00BA49F5" w:rsidRDefault="007E5E49">
      <w:pPr>
        <w:ind w:firstLine="540"/>
        <w:jc w:val="both"/>
      </w:pPr>
      <w:r>
        <w:rPr>
          <w:rFonts w:ascii="Times New Roman" w:eastAsia="宋体" w:hAnsi="Times New Roman"/>
          <w:color w:val="000000"/>
          <w:sz w:val="20"/>
          <w:szCs w:val="20"/>
        </w:rPr>
        <w:t xml:space="preserve">Other data limitations also may affect our understanding of certain details of our business. For example, while user-provided data indicates a decline in </w:t>
      </w:r>
      <w:r>
        <w:rPr>
          <w:rFonts w:ascii="Times New Roman" w:eastAsia="宋体" w:hAnsi="Times New Roman"/>
          <w:color w:val="000000"/>
          <w:sz w:val="20"/>
          <w:szCs w:val="20"/>
        </w:rPr>
        <w:t>usage among younger users, this age data may be unreliable because a disproportionate number of our younger users register with an inaccurate age. Accordingly, our understanding of usage by age group may not be complete.</w:t>
      </w:r>
    </w:p>
    <w:p w14:paraId="5CD8E179" w14:textId="77777777" w:rsidR="00BA49F5" w:rsidRDefault="00BA49F5">
      <w:pPr>
        <w:ind w:firstLine="540"/>
        <w:jc w:val="both"/>
      </w:pPr>
    </w:p>
    <w:p w14:paraId="5CD8E17A" w14:textId="77777777" w:rsidR="00BA49F5" w:rsidRDefault="007E5E49">
      <w:pPr>
        <w:ind w:firstLine="540"/>
        <w:jc w:val="both"/>
      </w:pPr>
      <w:r>
        <w:rPr>
          <w:rFonts w:ascii="Times New Roman" w:eastAsia="宋体" w:hAnsi="Times New Roman"/>
          <w:color w:val="000000"/>
          <w:sz w:val="20"/>
          <w:szCs w:val="20"/>
        </w:rPr>
        <w:t>In addition, our data regarding th</w:t>
      </w:r>
      <w:r>
        <w:rPr>
          <w:rFonts w:ascii="Times New Roman" w:eastAsia="宋体" w:hAnsi="Times New Roman"/>
          <w:color w:val="000000"/>
          <w:sz w:val="20"/>
          <w:szCs w:val="20"/>
        </w:rPr>
        <w:t>e geographic location of our users is estimated based on a number of factors, such as the user's IP address and self-disclosed location. These factors may not always accurately reflect the user's actual location. For example, a user may appear to be access</w:t>
      </w:r>
      <w:r>
        <w:rPr>
          <w:rFonts w:ascii="Times New Roman" w:eastAsia="宋体" w:hAnsi="Times New Roman"/>
          <w:color w:val="000000"/>
          <w:sz w:val="20"/>
          <w:szCs w:val="20"/>
        </w:rPr>
        <w:t>ing Facebook from the location of the proxy server that the user connects to rather than from the user's actual location. The methodologies used to measure our metrics are also susceptible to algorithm or other technical errors, and our estimates for reven</w:t>
      </w:r>
      <w:r>
        <w:rPr>
          <w:rFonts w:ascii="Times New Roman" w:eastAsia="宋体" w:hAnsi="Times New Roman"/>
          <w:color w:val="000000"/>
          <w:sz w:val="20"/>
          <w:szCs w:val="20"/>
        </w:rPr>
        <w:t>ue by user location and revenue by user device are also affected by these factors.</w:t>
      </w:r>
    </w:p>
    <w:p w14:paraId="5CD8E17B" w14:textId="77777777" w:rsidR="00BA49F5" w:rsidRDefault="00BA49F5">
      <w:pPr>
        <w:ind w:firstLine="540"/>
        <w:jc w:val="both"/>
      </w:pPr>
    </w:p>
    <w:p w14:paraId="5CD8E17C" w14:textId="77777777" w:rsidR="00BA49F5" w:rsidRDefault="007E5E49">
      <w:pPr>
        <w:ind w:firstLine="540"/>
        <w:jc w:val="both"/>
      </w:pPr>
      <w:r>
        <w:rPr>
          <w:rFonts w:ascii="Times New Roman" w:eastAsia="宋体" w:hAnsi="Times New Roman"/>
          <w:color w:val="000000"/>
          <w:sz w:val="20"/>
          <w:szCs w:val="20"/>
        </w:rPr>
        <w:t xml:space="preserve">In addition, from time to time we provide, or rely on, certain other metrics and estimates, including those relating to the reach and effectiveness of our ads. Many of our </w:t>
      </w:r>
      <w:r>
        <w:rPr>
          <w:rFonts w:ascii="Times New Roman" w:eastAsia="宋体" w:hAnsi="Times New Roman"/>
          <w:color w:val="000000"/>
          <w:sz w:val="20"/>
          <w:szCs w:val="20"/>
        </w:rPr>
        <w:t>metrics involve the use of estimations and judgments, and our metrics and estimates are subject to software bugs, inconsistencies in our systems, and human error. Such metrics and estimates also change from time to time due to improvements or changes in ou</w:t>
      </w:r>
      <w:r>
        <w:rPr>
          <w:rFonts w:ascii="Times New Roman" w:eastAsia="宋体" w:hAnsi="Times New Roman"/>
          <w:color w:val="000000"/>
          <w:sz w:val="20"/>
          <w:szCs w:val="20"/>
        </w:rPr>
        <w:t>r terminology or methodology, including as a result of loss of access to data signals we use in calculating such metrics and estimates. We have in the past been, and may in the future be, subject to litigation as well as marketer, regulatory, and other inq</w:t>
      </w:r>
      <w:r>
        <w:rPr>
          <w:rFonts w:ascii="Times New Roman" w:eastAsia="宋体" w:hAnsi="Times New Roman"/>
          <w:color w:val="000000"/>
          <w:sz w:val="20"/>
          <w:szCs w:val="20"/>
        </w:rPr>
        <w:t>uiries regarding the accuracy of such metrics and estimates. Where marketers, developers, or investors do not perceive our metrics or estimates to be accurate, or where we discover material inaccuracies in our metrics or estimates, we may be subject to lia</w:t>
      </w:r>
      <w:r>
        <w:rPr>
          <w:rFonts w:ascii="Times New Roman" w:eastAsia="宋体" w:hAnsi="Times New Roman"/>
          <w:color w:val="000000"/>
          <w:sz w:val="20"/>
          <w:szCs w:val="20"/>
        </w:rPr>
        <w:t>bility, our reputation may be harmed, and marketers and developers may be less willing to allocate their budgets or resources to our products that deliver ad impressions, which could negatively affect our business and financial results.</w:t>
      </w:r>
    </w:p>
    <w:p w14:paraId="5CD8E17D" w14:textId="77777777" w:rsidR="00BA49F5" w:rsidRDefault="00BA49F5">
      <w:pPr>
        <w:ind w:firstLine="540"/>
        <w:jc w:val="both"/>
      </w:pPr>
    </w:p>
    <w:p w14:paraId="5CD8E17E" w14:textId="77777777" w:rsidR="00BA49F5" w:rsidRDefault="007E5E49">
      <w:pPr>
        <w:jc w:val="both"/>
      </w:pPr>
      <w:r>
        <w:rPr>
          <w:rFonts w:ascii="Times New Roman" w:eastAsia="宋体" w:hAnsi="Times New Roman"/>
          <w:b/>
          <w:bCs/>
          <w:i/>
          <w:iCs/>
          <w:color w:val="000000"/>
          <w:sz w:val="20"/>
          <w:szCs w:val="20"/>
        </w:rPr>
        <w:t>We cannot assure y</w:t>
      </w:r>
      <w:r>
        <w:rPr>
          <w:rFonts w:ascii="Times New Roman" w:eastAsia="宋体" w:hAnsi="Times New Roman"/>
          <w:b/>
          <w:bCs/>
          <w:i/>
          <w:iCs/>
          <w:color w:val="000000"/>
          <w:sz w:val="20"/>
          <w:szCs w:val="20"/>
        </w:rPr>
        <w:t>ou that we will effectively manage our scale.</w:t>
      </w:r>
    </w:p>
    <w:p w14:paraId="5CD8E17F" w14:textId="77777777" w:rsidR="00BA49F5" w:rsidRDefault="00BA49F5">
      <w:pPr>
        <w:jc w:val="both"/>
      </w:pPr>
    </w:p>
    <w:p w14:paraId="5CD8E180" w14:textId="77777777" w:rsidR="00BA49F5" w:rsidRDefault="007E5E49">
      <w:pPr>
        <w:ind w:firstLine="540"/>
        <w:jc w:val="both"/>
      </w:pPr>
      <w:r>
        <w:rPr>
          <w:rFonts w:ascii="Times New Roman" w:eastAsia="宋体" w:hAnsi="Times New Roman"/>
          <w:color w:val="000000"/>
          <w:sz w:val="20"/>
          <w:szCs w:val="20"/>
        </w:rPr>
        <w:t>Our employee headcount and the scale and complexity of our business have increased significantly over time. The scale of our business and breadth of our products create significant challenges for our managemen</w:t>
      </w:r>
      <w:r>
        <w:rPr>
          <w:rFonts w:ascii="Times New Roman" w:eastAsia="宋体" w:hAnsi="Times New Roman"/>
          <w:color w:val="000000"/>
          <w:sz w:val="20"/>
          <w:szCs w:val="20"/>
        </w:rPr>
        <w:t>t, operational, and financial resources, including managing multiple relationships with users, marketers, developers, and other third parties, and maintaining information technology systems and internal controls and procedures that support the scale and co</w:t>
      </w:r>
      <w:r>
        <w:rPr>
          <w:rFonts w:ascii="Times New Roman" w:eastAsia="宋体" w:hAnsi="Times New Roman"/>
          <w:color w:val="000000"/>
          <w:sz w:val="20"/>
          <w:szCs w:val="20"/>
        </w:rPr>
        <w:t>mplexity of our business. In addition, some members of our management do not have significant experience managing a large global business operation, so our management may not be able to manage our scale effectively. To effectively manage our scale, we must</w:t>
      </w:r>
      <w:r>
        <w:rPr>
          <w:rFonts w:ascii="Times New Roman" w:eastAsia="宋体" w:hAnsi="Times New Roman"/>
          <w:color w:val="000000"/>
          <w:sz w:val="20"/>
          <w:szCs w:val="20"/>
        </w:rPr>
        <w:t xml:space="preserve"> maintain, and continue to adapt, our operational, financial, and management processes and systems, manage our headcount and facilities, and effectively train and manage our personnel. Many of our personnel work remotely, which may lead to challenges in pr</w:t>
      </w:r>
      <w:r>
        <w:rPr>
          <w:rFonts w:ascii="Times New Roman" w:eastAsia="宋体" w:hAnsi="Times New Roman"/>
          <w:color w:val="000000"/>
          <w:sz w:val="20"/>
          <w:szCs w:val="20"/>
        </w:rPr>
        <w:t xml:space="preserve">oductivity and collaboration. In addition, from time to time, we implement organizational changes to pursue greater efficiency and realign our business and strategic priorities. For example, in 2022, we announced a layoff of approximately 11,000 employees </w:t>
      </w:r>
      <w:r>
        <w:rPr>
          <w:rFonts w:ascii="Times New Roman" w:eastAsia="宋体" w:hAnsi="Times New Roman"/>
          <w:color w:val="000000"/>
          <w:sz w:val="20"/>
          <w:szCs w:val="20"/>
        </w:rPr>
        <w:t>and initiated several measures to scale down our office facilities. As our organization continues to evolve, and we are required to implement and adapt complex organizational management structures, we may find it difficult to maintain the benefits of our c</w:t>
      </w:r>
      <w:r>
        <w:rPr>
          <w:rFonts w:ascii="Times New Roman" w:eastAsia="宋体" w:hAnsi="Times New Roman"/>
          <w:color w:val="000000"/>
          <w:sz w:val="20"/>
          <w:szCs w:val="20"/>
        </w:rPr>
        <w:t>orporate culture, including our ability to quickly develop and launch new and innovative products. This could negatively affect our business performance.</w:t>
      </w:r>
    </w:p>
    <w:p w14:paraId="5CD8E181" w14:textId="77777777" w:rsidR="00BA49F5" w:rsidRDefault="00BA49F5">
      <w:pPr>
        <w:jc w:val="both"/>
      </w:pPr>
    </w:p>
    <w:p w14:paraId="5CD8E182" w14:textId="77777777" w:rsidR="00BA49F5" w:rsidRDefault="007E5E49">
      <w:pPr>
        <w:jc w:val="both"/>
      </w:pPr>
      <w:r>
        <w:rPr>
          <w:rFonts w:ascii="Times New Roman" w:eastAsia="宋体" w:hAnsi="Times New Roman"/>
          <w:b/>
          <w:bCs/>
          <w:i/>
          <w:iCs/>
          <w:color w:val="000000"/>
          <w:sz w:val="20"/>
          <w:szCs w:val="20"/>
        </w:rPr>
        <w:t>We have significant international operations and plan to continue expanding our operations abroad whe</w:t>
      </w:r>
      <w:r>
        <w:rPr>
          <w:rFonts w:ascii="Times New Roman" w:eastAsia="宋体" w:hAnsi="Times New Roman"/>
          <w:b/>
          <w:bCs/>
          <w:i/>
          <w:iCs/>
          <w:color w:val="000000"/>
          <w:sz w:val="20"/>
          <w:szCs w:val="20"/>
        </w:rPr>
        <w:t>re we have more limited operating experience, and this may subject us to increased business, economic, and legal risks that could affect our financial results.</w:t>
      </w:r>
    </w:p>
    <w:p w14:paraId="5CD8E183" w14:textId="77777777" w:rsidR="00BA49F5" w:rsidRDefault="00BA49F5">
      <w:pPr>
        <w:jc w:val="both"/>
      </w:pPr>
    </w:p>
    <w:p w14:paraId="5CD8E184" w14:textId="77777777" w:rsidR="00BA49F5" w:rsidRDefault="007E5E49">
      <w:pPr>
        <w:ind w:firstLine="540"/>
        <w:jc w:val="both"/>
      </w:pPr>
      <w:r>
        <w:rPr>
          <w:rFonts w:ascii="Times New Roman" w:eastAsia="宋体" w:hAnsi="Times New Roman"/>
          <w:color w:val="000000"/>
          <w:sz w:val="20"/>
          <w:szCs w:val="20"/>
        </w:rPr>
        <w:t>We have significant international operations and plan to continue the international expansion o</w:t>
      </w:r>
      <w:r>
        <w:rPr>
          <w:rFonts w:ascii="Times New Roman" w:eastAsia="宋体" w:hAnsi="Times New Roman"/>
          <w:color w:val="000000"/>
          <w:sz w:val="20"/>
          <w:szCs w:val="20"/>
        </w:rPr>
        <w:t xml:space="preserve">f our business operations and the translation of our products. We currently make Facebook available in more than 100 different languages, </w:t>
      </w:r>
    </w:p>
    <w:p w14:paraId="5CD8E185" w14:textId="77777777" w:rsidR="00BA49F5" w:rsidRDefault="007E5E49">
      <w:pPr>
        <w:jc w:val="center"/>
      </w:pPr>
      <w:r>
        <w:rPr>
          <w:rFonts w:ascii="Times New Roman" w:eastAsia="宋体" w:hAnsi="Times New Roman"/>
          <w:color w:val="000000"/>
          <w:sz w:val="20"/>
          <w:szCs w:val="20"/>
        </w:rPr>
        <w:t>31</w:t>
      </w:r>
    </w:p>
    <w:p w14:paraId="5CD8E186" w14:textId="77777777" w:rsidR="00BA49F5" w:rsidRDefault="007E5E49">
      <w:r>
        <w:pict w14:anchorId="5CD90CEA">
          <v:rect id="_x0000_i1055" style="width:415.3pt;height:1.5pt" o:hralign="center" o:hrstd="t" o:hr="t" fillcolor="#a0a0a0" stroked="f"/>
        </w:pict>
      </w:r>
    </w:p>
    <w:p w14:paraId="5CD8E187" w14:textId="77777777" w:rsidR="00BA49F5" w:rsidRDefault="00BA49F5"/>
    <w:p w14:paraId="5CD8E188" w14:textId="77777777" w:rsidR="00BA49F5" w:rsidRDefault="00BA49F5"/>
    <w:p w14:paraId="5CD8E189" w14:textId="77777777" w:rsidR="00BA49F5" w:rsidRDefault="007E5E49">
      <w:hyperlink r:id="rId142" w:anchor="i6df229dad1864210ab76200083e26819_7" w:history="1">
        <w:r>
          <w:rPr>
            <w:rStyle w:val="a5"/>
            <w:rFonts w:ascii="Times New Roman" w:eastAsia="宋体" w:hAnsi="Times New Roman"/>
            <w:sz w:val="20"/>
            <w:szCs w:val="20"/>
          </w:rPr>
          <w:t>T</w:t>
        </w:r>
      </w:hyperlink>
      <w:hyperlink r:id="rId143" w:anchor="i6df229dad1864210ab76200083e26819_7" w:history="1">
        <w:r>
          <w:rPr>
            <w:rStyle w:val="a5"/>
            <w:rFonts w:ascii="Times New Roman" w:eastAsia="宋体" w:hAnsi="Times New Roman"/>
            <w:sz w:val="20"/>
            <w:szCs w:val="20"/>
          </w:rPr>
          <w:t>able of Contents</w:t>
        </w:r>
      </w:hyperlink>
    </w:p>
    <w:p w14:paraId="5CD8E18A" w14:textId="77777777" w:rsidR="00BA49F5" w:rsidRDefault="007E5E49">
      <w:pPr>
        <w:jc w:val="both"/>
      </w:pPr>
      <w:r>
        <w:rPr>
          <w:rFonts w:ascii="Times New Roman" w:eastAsia="宋体" w:hAnsi="Times New Roman"/>
          <w:color w:val="000000"/>
          <w:sz w:val="20"/>
          <w:szCs w:val="20"/>
        </w:rPr>
        <w:t>and we have offices or data centers in approximately 40 different countries. We may enter new international markets where we have limited or no experience in marketing, selling, and deploy</w:t>
      </w:r>
      <w:r>
        <w:rPr>
          <w:rFonts w:ascii="Times New Roman" w:eastAsia="宋体" w:hAnsi="Times New Roman"/>
          <w:color w:val="000000"/>
          <w:sz w:val="20"/>
          <w:szCs w:val="20"/>
        </w:rPr>
        <w:t>ing our products. Our products are generally available globally, but some or all of our products or functionality may not be available in certain markets due to legal and regulatory complexities. For example, several of our products are not generally avail</w:t>
      </w:r>
      <w:r>
        <w:rPr>
          <w:rFonts w:ascii="Times New Roman" w:eastAsia="宋体" w:hAnsi="Times New Roman"/>
          <w:color w:val="000000"/>
          <w:sz w:val="20"/>
          <w:szCs w:val="20"/>
        </w:rPr>
        <w:t>able in China. We also outsource certain operational functions to third parties globally. If we fail to deploy, manage, or oversee our international operations successfully, our business may suffer. In addition, we are subject to a variety of risks inheren</w:t>
      </w:r>
      <w:r>
        <w:rPr>
          <w:rFonts w:ascii="Times New Roman" w:eastAsia="宋体" w:hAnsi="Times New Roman"/>
          <w:color w:val="000000"/>
          <w:sz w:val="20"/>
          <w:szCs w:val="20"/>
        </w:rPr>
        <w:t>t in doing business internationally, including:</w:t>
      </w:r>
    </w:p>
    <w:p w14:paraId="5CD8E18B" w14:textId="77777777" w:rsidR="00BA49F5" w:rsidRDefault="00BA49F5">
      <w:pPr>
        <w:ind w:firstLine="540"/>
        <w:jc w:val="both"/>
      </w:pPr>
    </w:p>
    <w:p w14:paraId="5CD8E18C" w14:textId="77777777" w:rsidR="00BA49F5" w:rsidRDefault="007E5E49">
      <w:pPr>
        <w:ind w:hanging="360"/>
        <w:jc w:val="both"/>
      </w:pPr>
      <w:r>
        <w:rPr>
          <w:rFonts w:ascii="Times New Roman" w:eastAsia="宋体" w:hAnsi="Times New Roman"/>
          <w:color w:val="000000"/>
          <w:sz w:val="20"/>
          <w:szCs w:val="20"/>
        </w:rPr>
        <w:t>•political, social, or economic instability;</w:t>
      </w:r>
    </w:p>
    <w:p w14:paraId="5CD8E18D" w14:textId="77777777" w:rsidR="00BA49F5" w:rsidRDefault="00BA49F5">
      <w:pPr>
        <w:ind w:hanging="360"/>
        <w:jc w:val="both"/>
      </w:pPr>
    </w:p>
    <w:p w14:paraId="5CD8E18E" w14:textId="77777777" w:rsidR="00BA49F5" w:rsidRDefault="007E5E49">
      <w:pPr>
        <w:ind w:hanging="360"/>
        <w:jc w:val="both"/>
      </w:pPr>
      <w:r>
        <w:rPr>
          <w:rFonts w:ascii="Times New Roman" w:eastAsia="宋体" w:hAnsi="Times New Roman"/>
          <w:color w:val="000000"/>
          <w:sz w:val="20"/>
          <w:szCs w:val="20"/>
        </w:rPr>
        <w:t>•risks related to legal, regulatory, and other government scrutiny applicable to U.S. companies with sales and operations in foreign jurisdictions, including wit</w:t>
      </w:r>
      <w:r>
        <w:rPr>
          <w:rFonts w:ascii="Times New Roman" w:eastAsia="宋体" w:hAnsi="Times New Roman"/>
          <w:color w:val="000000"/>
          <w:sz w:val="20"/>
          <w:szCs w:val="20"/>
        </w:rPr>
        <w:t>h respect to privacy, tax, law enforcement, content, trade compliance, supply chain, competition, consumer protection, intellectual property, environmental, health and safety, licensing, and infrastructure matters;</w:t>
      </w:r>
    </w:p>
    <w:p w14:paraId="5CD8E18F" w14:textId="77777777" w:rsidR="00BA49F5" w:rsidRDefault="00BA49F5">
      <w:pPr>
        <w:ind w:hanging="360"/>
        <w:jc w:val="both"/>
      </w:pPr>
    </w:p>
    <w:p w14:paraId="5CD8E190" w14:textId="77777777" w:rsidR="00BA49F5" w:rsidRDefault="007E5E49">
      <w:pPr>
        <w:ind w:hanging="360"/>
        <w:jc w:val="both"/>
      </w:pPr>
      <w:r>
        <w:rPr>
          <w:rFonts w:ascii="Times New Roman" w:eastAsia="宋体" w:hAnsi="Times New Roman"/>
          <w:color w:val="000000"/>
          <w:sz w:val="20"/>
          <w:szCs w:val="20"/>
        </w:rPr>
        <w:t>•potential damage to our brand and reput</w:t>
      </w:r>
      <w:r>
        <w:rPr>
          <w:rFonts w:ascii="Times New Roman" w:eastAsia="宋体" w:hAnsi="Times New Roman"/>
          <w:color w:val="000000"/>
          <w:sz w:val="20"/>
          <w:szCs w:val="20"/>
        </w:rPr>
        <w:t>ation due to compliance with local laws, including potential censorship or requirements to provide user information to local authorities;</w:t>
      </w:r>
    </w:p>
    <w:p w14:paraId="5CD8E191" w14:textId="77777777" w:rsidR="00BA49F5" w:rsidRDefault="00BA49F5">
      <w:pPr>
        <w:ind w:hanging="360"/>
        <w:jc w:val="both"/>
      </w:pPr>
    </w:p>
    <w:p w14:paraId="5CD8E192" w14:textId="77777777" w:rsidR="00BA49F5" w:rsidRDefault="007E5E49">
      <w:pPr>
        <w:ind w:hanging="360"/>
        <w:jc w:val="both"/>
      </w:pPr>
      <w:r>
        <w:rPr>
          <w:rFonts w:ascii="Times New Roman" w:eastAsia="宋体" w:hAnsi="Times New Roman"/>
          <w:color w:val="000000"/>
          <w:sz w:val="20"/>
          <w:szCs w:val="20"/>
        </w:rPr>
        <w:t>•enhanced difficulty in reviewing content on our platform and enforcing our community standards across different lang</w:t>
      </w:r>
      <w:r>
        <w:rPr>
          <w:rFonts w:ascii="Times New Roman" w:eastAsia="宋体" w:hAnsi="Times New Roman"/>
          <w:color w:val="000000"/>
          <w:sz w:val="20"/>
          <w:szCs w:val="20"/>
        </w:rPr>
        <w:t>uages and countries;</w:t>
      </w:r>
    </w:p>
    <w:p w14:paraId="5CD8E193" w14:textId="77777777" w:rsidR="00BA49F5" w:rsidRDefault="00BA49F5">
      <w:pPr>
        <w:ind w:hanging="360"/>
        <w:jc w:val="both"/>
      </w:pPr>
    </w:p>
    <w:p w14:paraId="5CD8E194" w14:textId="77777777" w:rsidR="00BA49F5" w:rsidRDefault="007E5E49">
      <w:pPr>
        <w:ind w:hanging="360"/>
        <w:jc w:val="both"/>
      </w:pPr>
      <w:r>
        <w:rPr>
          <w:rFonts w:ascii="Times New Roman" w:eastAsia="宋体" w:hAnsi="Times New Roman"/>
          <w:color w:val="000000"/>
          <w:sz w:val="20"/>
          <w:szCs w:val="20"/>
        </w:rPr>
        <w:t>•fluctuations in currency exchange rates and compliance with currency controls;</w:t>
      </w:r>
    </w:p>
    <w:p w14:paraId="5CD8E195" w14:textId="77777777" w:rsidR="00BA49F5" w:rsidRDefault="00BA49F5">
      <w:pPr>
        <w:ind w:hanging="360"/>
        <w:jc w:val="both"/>
      </w:pPr>
    </w:p>
    <w:p w14:paraId="5CD8E196" w14:textId="77777777" w:rsidR="00BA49F5" w:rsidRDefault="007E5E49">
      <w:pPr>
        <w:ind w:hanging="360"/>
        <w:jc w:val="both"/>
      </w:pPr>
      <w:r>
        <w:rPr>
          <w:rFonts w:ascii="Times New Roman" w:eastAsia="宋体" w:hAnsi="Times New Roman"/>
          <w:color w:val="000000"/>
          <w:sz w:val="20"/>
          <w:szCs w:val="20"/>
        </w:rPr>
        <w:t xml:space="preserve">•foreign exchange controls and tax and other regulations and orders that might prevent us from repatriating cash earned in countries outside the </w:t>
      </w:r>
      <w:r>
        <w:rPr>
          <w:rFonts w:ascii="Times New Roman" w:eastAsia="宋体" w:hAnsi="Times New Roman"/>
          <w:color w:val="000000"/>
          <w:sz w:val="20"/>
          <w:szCs w:val="20"/>
        </w:rPr>
        <w:t>United States or otherwise limit our ability to move cash freely, and impede our ability to invest such cash efficiently;</w:t>
      </w:r>
    </w:p>
    <w:p w14:paraId="5CD8E197" w14:textId="77777777" w:rsidR="00BA49F5" w:rsidRDefault="00BA49F5">
      <w:pPr>
        <w:ind w:hanging="360"/>
        <w:jc w:val="both"/>
      </w:pPr>
    </w:p>
    <w:p w14:paraId="5CD8E198" w14:textId="77777777" w:rsidR="00BA49F5" w:rsidRDefault="007E5E49">
      <w:pPr>
        <w:ind w:hanging="360"/>
        <w:jc w:val="both"/>
      </w:pPr>
      <w:r>
        <w:rPr>
          <w:rFonts w:ascii="Times New Roman" w:eastAsia="宋体" w:hAnsi="Times New Roman"/>
          <w:color w:val="000000"/>
          <w:sz w:val="20"/>
          <w:szCs w:val="20"/>
        </w:rPr>
        <w:t>•higher levels of credit risk and payment fraud;</w:t>
      </w:r>
    </w:p>
    <w:p w14:paraId="5CD8E199" w14:textId="77777777" w:rsidR="00BA49F5" w:rsidRDefault="00BA49F5">
      <w:pPr>
        <w:ind w:hanging="360"/>
        <w:jc w:val="both"/>
      </w:pPr>
    </w:p>
    <w:p w14:paraId="5CD8E19A" w14:textId="77777777" w:rsidR="00BA49F5" w:rsidRDefault="007E5E49">
      <w:pPr>
        <w:ind w:hanging="360"/>
        <w:jc w:val="both"/>
      </w:pPr>
      <w:r>
        <w:rPr>
          <w:rFonts w:ascii="Times New Roman" w:eastAsia="宋体" w:hAnsi="Times New Roman"/>
          <w:color w:val="000000"/>
          <w:sz w:val="20"/>
          <w:szCs w:val="20"/>
        </w:rPr>
        <w:t>•enhanced difficulties of integrating any foreign acquisitions;</w:t>
      </w:r>
    </w:p>
    <w:p w14:paraId="5CD8E19B" w14:textId="77777777" w:rsidR="00BA49F5" w:rsidRDefault="00BA49F5">
      <w:pPr>
        <w:ind w:hanging="360"/>
        <w:jc w:val="both"/>
      </w:pPr>
    </w:p>
    <w:p w14:paraId="5CD8E19C" w14:textId="77777777" w:rsidR="00BA49F5" w:rsidRDefault="007E5E49">
      <w:pPr>
        <w:ind w:hanging="360"/>
        <w:jc w:val="both"/>
      </w:pPr>
      <w:r>
        <w:rPr>
          <w:rFonts w:ascii="Times New Roman" w:eastAsia="宋体" w:hAnsi="Times New Roman"/>
          <w:color w:val="000000"/>
          <w:sz w:val="20"/>
          <w:szCs w:val="20"/>
        </w:rPr>
        <w:t>•burdens of comply</w:t>
      </w:r>
      <w:r>
        <w:rPr>
          <w:rFonts w:ascii="Times New Roman" w:eastAsia="宋体" w:hAnsi="Times New Roman"/>
          <w:color w:val="000000"/>
          <w:sz w:val="20"/>
          <w:szCs w:val="20"/>
        </w:rPr>
        <w:t>ing with a variety of foreign laws, including laws related to taxation, content removal, content moderation, data localization, data protection, e-commerce and payments, and regulatory oversight;</w:t>
      </w:r>
    </w:p>
    <w:p w14:paraId="5CD8E19D" w14:textId="77777777" w:rsidR="00BA49F5" w:rsidRDefault="00BA49F5">
      <w:pPr>
        <w:ind w:hanging="360"/>
        <w:jc w:val="both"/>
      </w:pPr>
    </w:p>
    <w:p w14:paraId="5CD8E19E" w14:textId="77777777" w:rsidR="00BA49F5" w:rsidRDefault="007E5E49">
      <w:pPr>
        <w:ind w:hanging="360"/>
        <w:jc w:val="both"/>
      </w:pPr>
      <w:r>
        <w:rPr>
          <w:rFonts w:ascii="Times New Roman" w:eastAsia="宋体" w:hAnsi="Times New Roman"/>
          <w:color w:val="000000"/>
          <w:sz w:val="20"/>
          <w:szCs w:val="20"/>
        </w:rPr>
        <w:t>•reduced protection for intellectual property rights in som</w:t>
      </w:r>
      <w:r>
        <w:rPr>
          <w:rFonts w:ascii="Times New Roman" w:eastAsia="宋体" w:hAnsi="Times New Roman"/>
          <w:color w:val="000000"/>
          <w:sz w:val="20"/>
          <w:szCs w:val="20"/>
        </w:rPr>
        <w:t>e countries;</w:t>
      </w:r>
    </w:p>
    <w:p w14:paraId="5CD8E19F" w14:textId="77777777" w:rsidR="00BA49F5" w:rsidRDefault="00BA49F5">
      <w:pPr>
        <w:ind w:hanging="360"/>
        <w:jc w:val="both"/>
      </w:pPr>
    </w:p>
    <w:p w14:paraId="5CD8E1A0" w14:textId="77777777" w:rsidR="00BA49F5" w:rsidRDefault="007E5E49">
      <w:pPr>
        <w:ind w:hanging="36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including difficulties arising from personnel working</w:t>
      </w:r>
      <w:r>
        <w:rPr>
          <w:rFonts w:ascii="Times New Roman" w:eastAsia="宋体" w:hAnsi="Times New Roman"/>
          <w:color w:val="000000"/>
          <w:sz w:val="20"/>
          <w:szCs w:val="20"/>
        </w:rPr>
        <w:t xml:space="preserve"> remotely;</w:t>
      </w:r>
    </w:p>
    <w:p w14:paraId="5CD8E1A1" w14:textId="77777777" w:rsidR="00BA49F5" w:rsidRDefault="00BA49F5">
      <w:pPr>
        <w:ind w:hanging="360"/>
        <w:jc w:val="both"/>
      </w:pPr>
    </w:p>
    <w:p w14:paraId="5CD8E1A2" w14:textId="77777777" w:rsidR="00BA49F5" w:rsidRDefault="007E5E49">
      <w:pPr>
        <w:ind w:hanging="360"/>
        <w:jc w:val="both"/>
      </w:pPr>
      <w:r>
        <w:rPr>
          <w:rFonts w:ascii="Times New Roman" w:eastAsia="宋体" w:hAnsi="Times New Roman"/>
          <w:color w:val="000000"/>
          <w:sz w:val="20"/>
          <w:szCs w:val="20"/>
        </w:rPr>
        <w:t>•compliance with statutory equity requirements and management of tax consequences; and</w:t>
      </w:r>
    </w:p>
    <w:p w14:paraId="5CD8E1A3" w14:textId="77777777" w:rsidR="00BA49F5" w:rsidRDefault="00BA49F5">
      <w:pPr>
        <w:ind w:hanging="360"/>
        <w:jc w:val="both"/>
      </w:pPr>
    </w:p>
    <w:p w14:paraId="5CD8E1A4" w14:textId="77777777" w:rsidR="00BA49F5" w:rsidRDefault="007E5E49">
      <w:pPr>
        <w:ind w:hanging="360"/>
        <w:jc w:val="both"/>
      </w:pPr>
      <w:r>
        <w:rPr>
          <w:rFonts w:ascii="Times New Roman" w:eastAsia="宋体" w:hAnsi="Times New Roman"/>
          <w:color w:val="000000"/>
          <w:sz w:val="20"/>
          <w:szCs w:val="20"/>
        </w:rPr>
        <w:t>•geopolitical events affecting us, our marketers or our industry, including trade disputes, armed conflicts, and pandemics.</w:t>
      </w:r>
    </w:p>
    <w:p w14:paraId="5CD8E1A5" w14:textId="77777777" w:rsidR="00BA49F5" w:rsidRDefault="00BA49F5">
      <w:pPr>
        <w:jc w:val="both"/>
      </w:pPr>
    </w:p>
    <w:p w14:paraId="5CD8E1A6" w14:textId="77777777" w:rsidR="00BA49F5" w:rsidRDefault="007E5E49">
      <w:pPr>
        <w:ind w:firstLine="540"/>
        <w:jc w:val="both"/>
      </w:pPr>
      <w:r>
        <w:rPr>
          <w:rFonts w:ascii="Times New Roman" w:eastAsia="宋体" w:hAnsi="Times New Roman"/>
          <w:color w:val="000000"/>
          <w:sz w:val="20"/>
          <w:szCs w:val="20"/>
        </w:rPr>
        <w:t xml:space="preserve">In addition, we must </w:t>
      </w:r>
      <w:r>
        <w:rPr>
          <w:rFonts w:ascii="Times New Roman" w:eastAsia="宋体" w:hAnsi="Times New Roman"/>
          <w:color w:val="000000"/>
          <w:sz w:val="20"/>
          <w:szCs w:val="20"/>
        </w:rPr>
        <w:t>manage the potential conflicts between locally accepted business practices in any given jurisdiction and our obligations to comply with laws and regulations, including anti-corruption laws or regulations applicable to us, such as the U.S. Foreign Corrupt P</w:t>
      </w:r>
      <w:r>
        <w:rPr>
          <w:rFonts w:ascii="Times New Roman" w:eastAsia="宋体" w:hAnsi="Times New Roman"/>
          <w:color w:val="000000"/>
          <w:sz w:val="20"/>
          <w:szCs w:val="20"/>
        </w:rPr>
        <w:t>ractices Act and the U.K. Bribery Act 2010. We also must manage our obligations to comply with laws and regulations related to import and export controls, trade restrictions, and sanctions, including regulations established by the U.S. Office of Foreign As</w:t>
      </w:r>
      <w:r>
        <w:rPr>
          <w:rFonts w:ascii="Times New Roman" w:eastAsia="宋体" w:hAnsi="Times New Roman"/>
          <w:color w:val="000000"/>
          <w:sz w:val="20"/>
          <w:szCs w:val="20"/>
        </w:rPr>
        <w:t>sets Control. Government agencies and authorities have a broad range of civil and criminal penalties they may seek to impose against companies for violations of anti-corruption laws or regulations, import and export controls, trade restrictions, sanctions,</w:t>
      </w:r>
      <w:r>
        <w:rPr>
          <w:rFonts w:ascii="Times New Roman" w:eastAsia="宋体" w:hAnsi="Times New Roman"/>
          <w:color w:val="000000"/>
          <w:sz w:val="20"/>
          <w:szCs w:val="20"/>
        </w:rPr>
        <w:t xml:space="preserve"> and other laws, rules, and regulations.</w:t>
      </w:r>
    </w:p>
    <w:p w14:paraId="5CD8E1A7" w14:textId="77777777" w:rsidR="00BA49F5" w:rsidRDefault="00BA49F5">
      <w:pPr>
        <w:ind w:firstLine="540"/>
        <w:jc w:val="both"/>
      </w:pPr>
    </w:p>
    <w:p w14:paraId="5CD8E1A8" w14:textId="77777777" w:rsidR="00BA49F5" w:rsidRDefault="007E5E49">
      <w:pPr>
        <w:ind w:firstLine="540"/>
        <w:jc w:val="both"/>
      </w:pPr>
      <w:r>
        <w:rPr>
          <w:rFonts w:ascii="Times New Roman" w:eastAsia="宋体" w:hAnsi="Times New Roman"/>
          <w:color w:val="000000"/>
          <w:sz w:val="20"/>
          <w:szCs w:val="20"/>
        </w:rPr>
        <w:t xml:space="preserve">If we are unable to expand internationally and manage the complexity of our global operations successfully, our financial results could be adversely affected. We also may be required to or elect to cease or modify </w:t>
      </w:r>
      <w:r>
        <w:rPr>
          <w:rFonts w:ascii="Times New Roman" w:eastAsia="宋体" w:hAnsi="Times New Roman"/>
          <w:color w:val="000000"/>
          <w:sz w:val="20"/>
          <w:szCs w:val="20"/>
        </w:rPr>
        <w:t>our operations or the offering of our products and services in certain regions, including as a result of the risks described above, which could adversely affect our business, user growth and engagement, and financial results.</w:t>
      </w:r>
    </w:p>
    <w:p w14:paraId="5CD8E1A9" w14:textId="77777777" w:rsidR="00BA49F5" w:rsidRDefault="007E5E49">
      <w:pPr>
        <w:jc w:val="center"/>
      </w:pPr>
      <w:r>
        <w:rPr>
          <w:rFonts w:ascii="Times New Roman" w:eastAsia="宋体" w:hAnsi="Times New Roman"/>
          <w:color w:val="000000"/>
          <w:sz w:val="20"/>
          <w:szCs w:val="20"/>
        </w:rPr>
        <w:t>32</w:t>
      </w:r>
    </w:p>
    <w:p w14:paraId="5CD8E1AA" w14:textId="77777777" w:rsidR="00BA49F5" w:rsidRDefault="007E5E49">
      <w:r>
        <w:pict w14:anchorId="5CD90CEB">
          <v:rect id="_x0000_i1056" style="width:415.3pt;height:1.5pt" o:hralign="center" o:hrstd="t" o:hr="t" fillcolor="#a0a0a0" stroked="f"/>
        </w:pict>
      </w:r>
    </w:p>
    <w:p w14:paraId="5CD8E1AB" w14:textId="77777777" w:rsidR="00BA49F5" w:rsidRDefault="00BA49F5"/>
    <w:p w14:paraId="5CD8E1AC" w14:textId="77777777" w:rsidR="00BA49F5" w:rsidRDefault="00BA49F5"/>
    <w:p w14:paraId="5CD8E1AD" w14:textId="77777777" w:rsidR="00BA49F5" w:rsidRDefault="007E5E49">
      <w:hyperlink r:id="rId144" w:anchor="i6df229dad1864210ab76200083e26819_7" w:history="1">
        <w:r>
          <w:rPr>
            <w:rStyle w:val="a5"/>
            <w:rFonts w:ascii="Times New Roman" w:eastAsia="宋体" w:hAnsi="Times New Roman"/>
            <w:sz w:val="20"/>
            <w:szCs w:val="20"/>
          </w:rPr>
          <w:t>T</w:t>
        </w:r>
      </w:hyperlink>
      <w:hyperlink r:id="rId145" w:anchor="i6df229dad1864210ab76200083e26819_7" w:history="1">
        <w:r>
          <w:rPr>
            <w:rStyle w:val="a5"/>
            <w:rFonts w:ascii="Times New Roman" w:eastAsia="宋体" w:hAnsi="Times New Roman"/>
            <w:sz w:val="20"/>
            <w:szCs w:val="20"/>
          </w:rPr>
          <w:t>able of Contents</w:t>
        </w:r>
      </w:hyperlink>
    </w:p>
    <w:p w14:paraId="5CD8E1AE" w14:textId="77777777" w:rsidR="00BA49F5" w:rsidRDefault="00BA49F5">
      <w:pPr>
        <w:ind w:firstLine="540"/>
        <w:jc w:val="both"/>
      </w:pPr>
    </w:p>
    <w:p w14:paraId="5CD8E1AF" w14:textId="77777777" w:rsidR="00BA49F5" w:rsidRDefault="007E5E49">
      <w:pPr>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5CD8E1B0" w14:textId="77777777" w:rsidR="00BA49F5" w:rsidRDefault="00BA49F5">
      <w:pPr>
        <w:jc w:val="both"/>
      </w:pPr>
    </w:p>
    <w:p w14:paraId="5CD8E1B1" w14:textId="77777777" w:rsidR="00BA49F5" w:rsidRDefault="007E5E49">
      <w:pPr>
        <w:ind w:firstLine="540"/>
        <w:jc w:val="both"/>
      </w:pPr>
      <w:r>
        <w:rPr>
          <w:rFonts w:ascii="Times New Roman" w:eastAsia="宋体" w:hAnsi="Times New Roman"/>
          <w:color w:val="000000"/>
          <w:sz w:val="20"/>
          <w:szCs w:val="20"/>
        </w:rPr>
        <w:t>We face a number of risks related to design, manufacturing, and supply chain m</w:t>
      </w:r>
      <w:r>
        <w:rPr>
          <w:rFonts w:ascii="Times New Roman" w:eastAsia="宋体" w:hAnsi="Times New Roman"/>
          <w:color w:val="000000"/>
          <w:sz w:val="20"/>
          <w:szCs w:val="20"/>
        </w:rPr>
        <w:t>anagement with respect to our consumer hardware products. For example, the consumer hardware products we sell from time to time have had, and in the future may have, quality issues resulting from the design or manufacture of the products, or from the softw</w:t>
      </w:r>
      <w:r>
        <w:rPr>
          <w:rFonts w:ascii="Times New Roman" w:eastAsia="宋体" w:hAnsi="Times New Roman"/>
          <w:color w:val="000000"/>
          <w:sz w:val="20"/>
          <w:szCs w:val="20"/>
        </w:rPr>
        <w:t>are used in the products. Sometimes, these issues may be caused by components we purchase from other manufacturers or suppliers. Our brand and financial results could be adversely affected by any such quality issues, other failures to meet our customers' e</w:t>
      </w:r>
      <w:r>
        <w:rPr>
          <w:rFonts w:ascii="Times New Roman" w:eastAsia="宋体" w:hAnsi="Times New Roman"/>
          <w:color w:val="000000"/>
          <w:sz w:val="20"/>
          <w:szCs w:val="20"/>
        </w:rPr>
        <w:t>xpectations, or findings of our consumer hardware products to be defective.</w:t>
      </w:r>
    </w:p>
    <w:p w14:paraId="5CD8E1B2" w14:textId="77777777" w:rsidR="00BA49F5" w:rsidRDefault="00BA49F5">
      <w:pPr>
        <w:ind w:firstLine="540"/>
        <w:jc w:val="both"/>
      </w:pPr>
    </w:p>
    <w:p w14:paraId="5CD8E1B3" w14:textId="77777777" w:rsidR="00BA49F5" w:rsidRDefault="007E5E49">
      <w:pPr>
        <w:ind w:firstLine="540"/>
        <w:jc w:val="both"/>
      </w:pPr>
      <w:r>
        <w:rPr>
          <w:rFonts w:ascii="Times New Roman" w:eastAsia="宋体" w:hAnsi="Times New Roman"/>
          <w:color w:val="000000"/>
          <w:sz w:val="20"/>
          <w:szCs w:val="20"/>
        </w:rPr>
        <w:t xml:space="preserve">We rely on third parties to manufacture and manage the logistics of transporting and distributing our consumer hardware products, which subjects us to a number of risks that have </w:t>
      </w:r>
      <w:r>
        <w:rPr>
          <w:rFonts w:ascii="Times New Roman" w:eastAsia="宋体" w:hAnsi="Times New Roman"/>
          <w:color w:val="000000"/>
          <w:sz w:val="20"/>
          <w:szCs w:val="20"/>
        </w:rPr>
        <w:t xml:space="preserve">been exacerbated as a result of the COVID-19 pandemic. We have experienced, and may in the future experience, supply or labor shortages or other disruptions in logistics and the supply chain, which could result in shipping delays and negatively impact our </w:t>
      </w:r>
      <w:r>
        <w:rPr>
          <w:rFonts w:ascii="Times New Roman" w:eastAsia="宋体" w:hAnsi="Times New Roman"/>
          <w:color w:val="000000"/>
          <w:sz w:val="20"/>
          <w:szCs w:val="20"/>
        </w:rPr>
        <w:t>operations, product development, and sales. We could be negatively affected if we are not able to engage third parties with the necessary capabilities or capacity on reasonable terms, or if those we engage with fail to meet their obligations (whether due t</w:t>
      </w:r>
      <w:r>
        <w:rPr>
          <w:rFonts w:ascii="Times New Roman" w:eastAsia="宋体" w:hAnsi="Times New Roman"/>
          <w:color w:val="000000"/>
          <w:sz w:val="20"/>
          <w:szCs w:val="20"/>
        </w:rPr>
        <w:t>o financial difficulties, manufacturing or supply constraints, or other reasons), or make adverse changes in the pricing or other material terms of such arrangements with them. The manufacturing, distribution, and sale of our consumer hardware products als</w:t>
      </w:r>
      <w:r>
        <w:rPr>
          <w:rFonts w:ascii="Times New Roman" w:eastAsia="宋体" w:hAnsi="Times New Roman"/>
          <w:color w:val="000000"/>
          <w:sz w:val="20"/>
          <w:szCs w:val="20"/>
        </w:rPr>
        <w:t>o may be negatively impacted by macroeconomic conditions, geopolitical challenges, trade disputes, or other actions by governments that subject us to supply shortages, increased costs, or supply chain or logistics disruptions.</w:t>
      </w:r>
    </w:p>
    <w:p w14:paraId="5CD8E1B4" w14:textId="77777777" w:rsidR="00BA49F5" w:rsidRDefault="00BA49F5">
      <w:pPr>
        <w:ind w:firstLine="540"/>
        <w:jc w:val="both"/>
      </w:pPr>
    </w:p>
    <w:p w14:paraId="5CD8E1B5" w14:textId="77777777" w:rsidR="00BA49F5" w:rsidRDefault="007E5E49">
      <w:pPr>
        <w:ind w:firstLine="540"/>
        <w:jc w:val="both"/>
      </w:pPr>
      <w:r>
        <w:rPr>
          <w:rFonts w:ascii="Times New Roman" w:eastAsia="宋体" w:hAnsi="Times New Roman"/>
          <w:color w:val="000000"/>
          <w:sz w:val="20"/>
          <w:szCs w:val="20"/>
        </w:rPr>
        <w:t>We also require the supplier</w:t>
      </w:r>
      <w:r>
        <w:rPr>
          <w:rFonts w:ascii="Times New Roman" w:eastAsia="宋体" w:hAnsi="Times New Roman"/>
          <w:color w:val="000000"/>
          <w:sz w:val="20"/>
          <w:szCs w:val="20"/>
        </w:rPr>
        <w:t>s and business partners of our consumer hardware products to comply with laws and certain company policies regarding sourcing practices and standards on labor, trade compliance, health and safety, the environment, and business ethics, but we do not control</w:t>
      </w:r>
      <w:r>
        <w:rPr>
          <w:rFonts w:ascii="Times New Roman" w:eastAsia="宋体" w:hAnsi="Times New Roman"/>
          <w:color w:val="000000"/>
          <w:sz w:val="20"/>
          <w:szCs w:val="20"/>
        </w:rPr>
        <w:t xml:space="preserve"> them or their practices and standards. If any of them violates laws, fails to implement changes in accordance with newly enacted laws, or implements practices or standards regarded as unethical, corrupt, or non-compliant, we could experience supply chain </w:t>
      </w:r>
      <w:r>
        <w:rPr>
          <w:rFonts w:ascii="Times New Roman" w:eastAsia="宋体" w:hAnsi="Times New Roman"/>
          <w:color w:val="000000"/>
          <w:sz w:val="20"/>
          <w:szCs w:val="20"/>
        </w:rPr>
        <w:t>disruptions, government action or fines, canceled orders, or damage to our reputation.</w:t>
      </w:r>
    </w:p>
    <w:p w14:paraId="5CD8E1B6" w14:textId="77777777" w:rsidR="00BA49F5" w:rsidRDefault="00BA49F5">
      <w:pPr>
        <w:ind w:firstLine="540"/>
        <w:jc w:val="both"/>
      </w:pPr>
    </w:p>
    <w:p w14:paraId="5CD8E1B7" w14:textId="77777777" w:rsidR="00BA49F5" w:rsidRDefault="007E5E49">
      <w:r>
        <w:rPr>
          <w:rFonts w:ascii="Times New Roman" w:eastAsia="宋体" w:hAnsi="Times New Roman"/>
          <w:b/>
          <w:bCs/>
          <w:i/>
          <w:iCs/>
          <w:color w:val="000000"/>
          <w:sz w:val="20"/>
          <w:szCs w:val="20"/>
        </w:rPr>
        <w:t>We face inventory risk with respect to our consumer hardware products.</w:t>
      </w:r>
    </w:p>
    <w:p w14:paraId="5CD8E1B8" w14:textId="77777777" w:rsidR="00BA49F5" w:rsidRDefault="00BA49F5"/>
    <w:p w14:paraId="5CD8E1B9" w14:textId="77777777" w:rsidR="00BA49F5" w:rsidRDefault="007E5E49">
      <w:pPr>
        <w:ind w:firstLine="540"/>
        <w:jc w:val="both"/>
      </w:pPr>
      <w:r>
        <w:rPr>
          <w:rFonts w:ascii="Times New Roman" w:eastAsia="宋体" w:hAnsi="Times New Roman"/>
          <w:color w:val="000000"/>
          <w:sz w:val="20"/>
          <w:szCs w:val="20"/>
        </w:rPr>
        <w:t xml:space="preserve">We are exposed to inventory risks with respect to our consumer hardware products as a result of </w:t>
      </w:r>
      <w:r>
        <w:rPr>
          <w:rFonts w:ascii="Times New Roman" w:eastAsia="宋体" w:hAnsi="Times New Roman"/>
          <w:color w:val="000000"/>
          <w:sz w:val="20"/>
          <w:szCs w:val="20"/>
        </w:rPr>
        <w:t>rapid changes in product cycles and pricing, unsafe or defective merchandise, supply chain disruptions, changes in consumer demand and consumer spending patterns, changes in consumer tastes with respect to our consumer hardware products, and other factors.</w:t>
      </w:r>
      <w:r>
        <w:rPr>
          <w:rFonts w:ascii="Times New Roman" w:eastAsia="宋体" w:hAnsi="Times New Roman"/>
          <w:color w:val="000000"/>
          <w:sz w:val="20"/>
          <w:szCs w:val="20"/>
        </w:rPr>
        <w:t xml:space="preserve"> The demand for our products can also change significantly between the time inventory or components are ordered and the date of sale. While we endeavor to accurately predict these trends and avoid overstocking or understocking consumer hardware products we</w:t>
      </w:r>
      <w:r>
        <w:rPr>
          <w:rFonts w:ascii="Times New Roman" w:eastAsia="宋体" w:hAnsi="Times New Roman"/>
          <w:color w:val="000000"/>
          <w:sz w:val="20"/>
          <w:szCs w:val="20"/>
        </w:rPr>
        <w:t xml:space="preserve"> may sell, from time to time we have experienced difficulties in accurately predicting and meeting the consumer demand for our products. In addition, when we begin selling or manufacturing a new consumer hardware product or enter new international markets,</w:t>
      </w:r>
      <w:r>
        <w:rPr>
          <w:rFonts w:ascii="Times New Roman" w:eastAsia="宋体" w:hAnsi="Times New Roman"/>
          <w:color w:val="000000"/>
          <w:sz w:val="20"/>
          <w:szCs w:val="20"/>
        </w:rPr>
        <w:t xml:space="preserve"> it may be difficult to establish vendor relationships, determine appropriate product or component selection, and accurately forecast demand. The acquisition of certain types of inventory or components may require significant lead-time and prepayment and t</w:t>
      </w:r>
      <w:r>
        <w:rPr>
          <w:rFonts w:ascii="Times New Roman" w:eastAsia="宋体" w:hAnsi="Times New Roman"/>
          <w:color w:val="000000"/>
          <w:sz w:val="20"/>
          <w:szCs w:val="20"/>
        </w:rPr>
        <w:t>hey may not be returnable. Any one of the foregoing factors may adversely affect our operating results.</w:t>
      </w:r>
    </w:p>
    <w:p w14:paraId="5CD8E1BA" w14:textId="77777777" w:rsidR="00BA49F5" w:rsidRDefault="00BA49F5">
      <w:pPr>
        <w:jc w:val="both"/>
      </w:pPr>
    </w:p>
    <w:p w14:paraId="5CD8E1BB" w14:textId="77777777" w:rsidR="00BA49F5" w:rsidRDefault="007E5E49">
      <w:pPr>
        <w:jc w:val="both"/>
      </w:pPr>
      <w:r>
        <w:rPr>
          <w:rFonts w:ascii="Times New Roman" w:eastAsia="宋体" w:hAnsi="Times New Roman"/>
          <w:b/>
          <w:bCs/>
          <w:i/>
          <w:iCs/>
          <w:color w:val="000000"/>
          <w:sz w:val="20"/>
          <w:szCs w:val="20"/>
        </w:rPr>
        <w:t xml:space="preserve">We are involved in numerous class action lawsuits and other litigation matters that are expensive and time consuming, and, if resolved </w:t>
      </w:r>
      <w:r>
        <w:rPr>
          <w:rFonts w:ascii="Times New Roman" w:eastAsia="宋体" w:hAnsi="Times New Roman"/>
          <w:b/>
          <w:bCs/>
          <w:i/>
          <w:iCs/>
          <w:color w:val="000000"/>
          <w:sz w:val="20"/>
          <w:szCs w:val="20"/>
        </w:rPr>
        <w:t>adversely, could harm our business, financial condition, or results of operations.</w:t>
      </w:r>
    </w:p>
    <w:p w14:paraId="5CD8E1BC" w14:textId="77777777" w:rsidR="00BA49F5" w:rsidRDefault="00BA49F5">
      <w:pPr>
        <w:jc w:val="both"/>
      </w:pPr>
    </w:p>
    <w:p w14:paraId="5CD8E1BD" w14:textId="77777777" w:rsidR="00BA49F5" w:rsidRDefault="007E5E49">
      <w:pPr>
        <w:ind w:firstLine="540"/>
        <w:jc w:val="both"/>
      </w:pPr>
      <w:r>
        <w:rPr>
          <w:rFonts w:ascii="Times New Roman" w:eastAsia="宋体" w:hAnsi="Times New Roman"/>
          <w:color w:val="000000"/>
          <w:sz w:val="20"/>
          <w:szCs w:val="20"/>
        </w:rPr>
        <w:t>We are involved in numerous lawsuits, including stockholder derivative lawsuits and putative class action lawsuits, many of which claim statutory damages and/or seek signif</w:t>
      </w:r>
      <w:r>
        <w:rPr>
          <w:rFonts w:ascii="Times New Roman" w:eastAsia="宋体" w:hAnsi="Times New Roman"/>
          <w:color w:val="000000"/>
          <w:sz w:val="20"/>
          <w:szCs w:val="20"/>
        </w:rPr>
        <w:t>icant changes to our business operations, and we anticipate that we will continue to be a target for numerous lawsuits in the future. Because of the scale of our user, advertiser, and developer base, the plaintiffs in class action cases filed against us ty</w:t>
      </w:r>
      <w:r>
        <w:rPr>
          <w:rFonts w:ascii="Times New Roman" w:eastAsia="宋体" w:hAnsi="Times New Roman"/>
          <w:color w:val="000000"/>
          <w:sz w:val="20"/>
          <w:szCs w:val="20"/>
        </w:rPr>
        <w:t>pically claim enormous monetary damages even if the alleged per-user or entity harm is small or non-existent. In addition, we have faced, currently face, and will continue to face additional class action and other lawsuits based on claims related to advert</w:t>
      </w:r>
      <w:r>
        <w:rPr>
          <w:rFonts w:ascii="Times New Roman" w:eastAsia="宋体" w:hAnsi="Times New Roman"/>
          <w:color w:val="000000"/>
          <w:sz w:val="20"/>
          <w:szCs w:val="20"/>
        </w:rPr>
        <w:t>ising, antitrust, privacy, security, biometrics, content, algorithms, user well-being, employment, activities on our platform, consumer protection, or product performance or other claims related to the use of consumer hardware and software, including virtu</w:t>
      </w:r>
      <w:r>
        <w:rPr>
          <w:rFonts w:ascii="Times New Roman" w:eastAsia="宋体" w:hAnsi="Times New Roman"/>
          <w:color w:val="000000"/>
          <w:sz w:val="20"/>
          <w:szCs w:val="20"/>
        </w:rPr>
        <w:t>al reality technology and products, which are new and unproven. For example, we are currently the subject of multiple putative class action suits in connection with our platform and user data practices and the misuse of certain data by a developer that sha</w:t>
      </w:r>
      <w:r>
        <w:rPr>
          <w:rFonts w:ascii="Times New Roman" w:eastAsia="宋体" w:hAnsi="Times New Roman"/>
          <w:color w:val="000000"/>
          <w:sz w:val="20"/>
          <w:szCs w:val="20"/>
        </w:rPr>
        <w:t xml:space="preserve">red such data with third parties in </w:t>
      </w:r>
    </w:p>
    <w:p w14:paraId="5CD8E1BE" w14:textId="77777777" w:rsidR="00BA49F5" w:rsidRDefault="007E5E49">
      <w:pPr>
        <w:jc w:val="center"/>
      </w:pPr>
      <w:r>
        <w:rPr>
          <w:rFonts w:ascii="Times New Roman" w:eastAsia="宋体" w:hAnsi="Times New Roman"/>
          <w:color w:val="000000"/>
          <w:sz w:val="20"/>
          <w:szCs w:val="20"/>
        </w:rPr>
        <w:t>33</w:t>
      </w:r>
    </w:p>
    <w:p w14:paraId="5CD8E1BF" w14:textId="77777777" w:rsidR="00BA49F5" w:rsidRDefault="007E5E49">
      <w:r>
        <w:pict w14:anchorId="5CD90CEC">
          <v:rect id="_x0000_i1057" style="width:415.3pt;height:1.5pt" o:hralign="center" o:hrstd="t" o:hr="t" fillcolor="#a0a0a0" stroked="f"/>
        </w:pict>
      </w:r>
    </w:p>
    <w:p w14:paraId="5CD8E1C0" w14:textId="77777777" w:rsidR="00BA49F5" w:rsidRDefault="00BA49F5"/>
    <w:p w14:paraId="5CD8E1C1" w14:textId="77777777" w:rsidR="00BA49F5" w:rsidRDefault="00BA49F5"/>
    <w:p w14:paraId="5CD8E1C2" w14:textId="77777777" w:rsidR="00BA49F5" w:rsidRDefault="007E5E49">
      <w:hyperlink r:id="rId146" w:anchor="i6df229dad1864210ab76200083e26819_7" w:history="1">
        <w:r>
          <w:rPr>
            <w:rStyle w:val="a5"/>
            <w:rFonts w:ascii="Times New Roman" w:eastAsia="宋体" w:hAnsi="Times New Roman"/>
            <w:sz w:val="20"/>
            <w:szCs w:val="20"/>
          </w:rPr>
          <w:t>T</w:t>
        </w:r>
      </w:hyperlink>
      <w:hyperlink r:id="rId147" w:anchor="i6df229dad1864210ab76200083e26819_7" w:history="1">
        <w:r>
          <w:rPr>
            <w:rStyle w:val="a5"/>
            <w:rFonts w:ascii="Times New Roman" w:eastAsia="宋体" w:hAnsi="Times New Roman"/>
            <w:sz w:val="20"/>
            <w:szCs w:val="20"/>
          </w:rPr>
          <w:t>able of Contents</w:t>
        </w:r>
      </w:hyperlink>
    </w:p>
    <w:p w14:paraId="5CD8E1C3" w14:textId="77777777" w:rsidR="00BA49F5" w:rsidRDefault="007E5E49">
      <w:pPr>
        <w:jc w:val="both"/>
      </w:pPr>
      <w:r>
        <w:rPr>
          <w:rFonts w:ascii="Times New Roman" w:eastAsia="宋体" w:hAnsi="Times New Roman"/>
          <w:color w:val="000000"/>
          <w:sz w:val="20"/>
          <w:szCs w:val="20"/>
        </w:rPr>
        <w:t>violation of our terms and policies; the disclosure of our earnings results for the se</w:t>
      </w:r>
      <w:r>
        <w:rPr>
          <w:rFonts w:ascii="Times New Roman" w:eastAsia="宋体" w:hAnsi="Times New Roman"/>
          <w:color w:val="000000"/>
          <w:sz w:val="20"/>
          <w:szCs w:val="20"/>
        </w:rPr>
        <w:t>cond quarter of 2018; our acquisitions of Instagram and WhatsApp, as well as other alleged anticompetitive conduct; a former employee's allegations and release of internal company documents beginning in September 2021; the disclosure of our earnings result</w:t>
      </w:r>
      <w:r>
        <w:rPr>
          <w:rFonts w:ascii="Times New Roman" w:eastAsia="宋体" w:hAnsi="Times New Roman"/>
          <w:color w:val="000000"/>
          <w:sz w:val="20"/>
          <w:szCs w:val="20"/>
        </w:rPr>
        <w:t>s for the fourth quarter of 2021; and allegations that we inflated our estimates of the potential audience size for advertisements, resulting in artificially increased demand and higher prices. We are also the subject of multiple lawsuits related to our al</w:t>
      </w:r>
      <w:r>
        <w:rPr>
          <w:rFonts w:ascii="Times New Roman" w:eastAsia="宋体" w:hAnsi="Times New Roman"/>
          <w:color w:val="000000"/>
          <w:sz w:val="20"/>
          <w:szCs w:val="20"/>
        </w:rPr>
        <w:t>leged recommendation of and/or failure to remove harmful content. The results of any such lawsuits and claims cannot be predicted with certainty, and any negative outcome from any such lawsuits could result in payments of substantial monetary damages or fi</w:t>
      </w:r>
      <w:r>
        <w:rPr>
          <w:rFonts w:ascii="Times New Roman" w:eastAsia="宋体" w:hAnsi="Times New Roman"/>
          <w:color w:val="000000"/>
          <w:sz w:val="20"/>
          <w:szCs w:val="20"/>
        </w:rPr>
        <w:t>nes, or undesirable changes to our products or business practices, and accordingly our business, financial condition, or results of operations could be materially and adversely affected.</w:t>
      </w:r>
    </w:p>
    <w:p w14:paraId="5CD8E1C4" w14:textId="77777777" w:rsidR="00BA49F5" w:rsidRDefault="00BA49F5">
      <w:pPr>
        <w:ind w:firstLine="540"/>
        <w:jc w:val="both"/>
      </w:pPr>
    </w:p>
    <w:p w14:paraId="5CD8E1C5" w14:textId="77777777" w:rsidR="00BA49F5" w:rsidRDefault="007E5E49">
      <w:pPr>
        <w:ind w:firstLine="540"/>
        <w:jc w:val="both"/>
      </w:pPr>
      <w:r>
        <w:rPr>
          <w:rFonts w:ascii="Times New Roman" w:eastAsia="宋体" w:hAnsi="Times New Roman"/>
          <w:color w:val="000000"/>
          <w:sz w:val="20"/>
          <w:szCs w:val="20"/>
        </w:rPr>
        <w:t>There can be no assurances that a favorable final outcome will be ob</w:t>
      </w:r>
      <w:r>
        <w:rPr>
          <w:rFonts w:ascii="Times New Roman" w:eastAsia="宋体" w:hAnsi="Times New Roman"/>
          <w:color w:val="000000"/>
          <w:sz w:val="20"/>
          <w:szCs w:val="20"/>
        </w:rPr>
        <w:t>tained in all our cases, and defending any lawsuit is costly and can impose a significant burden on management and employees. Any litigation to which we are a party may result in an onerous or unfavorable judgment that may not be reversed upon appeal or in</w:t>
      </w:r>
      <w:r>
        <w:rPr>
          <w:rFonts w:ascii="Times New Roman" w:eastAsia="宋体" w:hAnsi="Times New Roman"/>
          <w:color w:val="000000"/>
          <w:sz w:val="20"/>
          <w:szCs w:val="20"/>
        </w:rPr>
        <w:t xml:space="preserve"> payments of substantial monetary damages or fines, or we may decide to settle lawsuits on similarly unfavorable terms, which has occurred in the past and which could adversely affect our business, financial conditions, or results of operations.</w:t>
      </w:r>
    </w:p>
    <w:p w14:paraId="5CD8E1C6" w14:textId="77777777" w:rsidR="00BA49F5" w:rsidRDefault="00BA49F5">
      <w:pPr>
        <w:ind w:firstLine="540"/>
        <w:jc w:val="both"/>
      </w:pPr>
    </w:p>
    <w:p w14:paraId="5CD8E1C7" w14:textId="77777777" w:rsidR="00BA49F5" w:rsidRDefault="007E5E49">
      <w:pPr>
        <w:jc w:val="both"/>
      </w:pPr>
      <w:r>
        <w:rPr>
          <w:rFonts w:ascii="Times New Roman" w:eastAsia="宋体" w:hAnsi="Times New Roman"/>
          <w:b/>
          <w:bCs/>
          <w:i/>
          <w:iCs/>
          <w:color w:val="000000"/>
          <w:sz w:val="20"/>
          <w:szCs w:val="20"/>
        </w:rPr>
        <w:t>We may ha</w:t>
      </w:r>
      <w:r>
        <w:rPr>
          <w:rFonts w:ascii="Times New Roman" w:eastAsia="宋体" w:hAnsi="Times New Roman"/>
          <w:b/>
          <w:bCs/>
          <w:i/>
          <w:iCs/>
          <w:color w:val="000000"/>
          <w:sz w:val="20"/>
          <w:szCs w:val="20"/>
        </w:rPr>
        <w:t>ve exposure to greater than anticipated tax liabilities.</w:t>
      </w:r>
    </w:p>
    <w:p w14:paraId="5CD8E1C8" w14:textId="77777777" w:rsidR="00BA49F5" w:rsidRDefault="00BA49F5">
      <w:pPr>
        <w:jc w:val="both"/>
      </w:pPr>
    </w:p>
    <w:p w14:paraId="5CD8E1C9" w14:textId="77777777" w:rsidR="00BA49F5" w:rsidRDefault="007E5E49">
      <w:pPr>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 busines</w:t>
      </w:r>
      <w:r>
        <w:rPr>
          <w:rFonts w:ascii="Times New Roman" w:eastAsia="宋体" w:hAnsi="Times New Roman"/>
          <w:color w:val="000000"/>
          <w:sz w:val="20"/>
          <w:szCs w:val="20"/>
        </w:rPr>
        <w:t>s, develop, value, manage, protect, and use our intellectual property, and the valuations of our intercompany transactions. The tax laws applicable to our business, including the laws of the United States and other jurisdictions, are subject to interpretat</w:t>
      </w:r>
      <w:r>
        <w:rPr>
          <w:rFonts w:ascii="Times New Roman" w:eastAsia="宋体" w:hAnsi="Times New Roman"/>
          <w:color w:val="000000"/>
          <w:sz w:val="20"/>
          <w:szCs w:val="20"/>
        </w:rPr>
        <w:t>ion and certain jurisdictions are aggressively interpreting their laws in new ways in an effort to raise additional tax revenue from companies such as Meta. We are subject to regular review and audit by U.S. federal, state, and foreign tax authorities. Tax</w:t>
      </w:r>
      <w:r>
        <w:rPr>
          <w:rFonts w:ascii="Times New Roman" w:eastAsia="宋体" w:hAnsi="Times New Roman"/>
          <w:color w:val="000000"/>
          <w:sz w:val="20"/>
          <w:szCs w:val="20"/>
        </w:rPr>
        <w:t xml:space="preserve"> authorities may disagree with certain positions we have taken, including our methodologies for valuing developed technology or intercompany arrangements, and any adverse outcome of such a review or audit could increase our worldwide effective tax rate, in</w:t>
      </w:r>
      <w:r>
        <w:rPr>
          <w:rFonts w:ascii="Times New Roman" w:eastAsia="宋体" w:hAnsi="Times New Roman"/>
          <w:color w:val="000000"/>
          <w:sz w:val="20"/>
          <w:szCs w:val="20"/>
        </w:rPr>
        <w:t>crease the amount of non-income taxes imposed on our business, and harm our financial position, results of operations, and cash flows. For example, in 2016 and 2018, the IRS issued formal assessments relating to transfer pricing with our foreign subsidiari</w:t>
      </w:r>
      <w:r>
        <w:rPr>
          <w:rFonts w:ascii="Times New Roman" w:eastAsia="宋体" w:hAnsi="Times New Roman"/>
          <w:color w:val="000000"/>
          <w:sz w:val="20"/>
          <w:szCs w:val="20"/>
        </w:rPr>
        <w:t>es in conjunction with the examination of the 2010 through 2013 tax years. Although we disagree with the IRS's position and are litigating this issue, the ultimate resolution is uncertain and, if resolved in a manner unfavorable to us, may adversely affect</w:t>
      </w:r>
      <w:r>
        <w:rPr>
          <w:rFonts w:ascii="Times New Roman" w:eastAsia="宋体" w:hAnsi="Times New Roman"/>
          <w:color w:val="000000"/>
          <w:sz w:val="20"/>
          <w:szCs w:val="20"/>
        </w:rPr>
        <w:t xml:space="preserve"> our financial results.</w:t>
      </w:r>
    </w:p>
    <w:p w14:paraId="5CD8E1CA" w14:textId="77777777" w:rsidR="00BA49F5" w:rsidRDefault="00BA49F5">
      <w:pPr>
        <w:ind w:firstLine="540"/>
        <w:jc w:val="both"/>
      </w:pPr>
    </w:p>
    <w:p w14:paraId="5CD8E1CB" w14:textId="77777777" w:rsidR="00BA49F5" w:rsidRDefault="007E5E49">
      <w:pPr>
        <w:ind w:firstLine="540"/>
        <w:jc w:val="both"/>
      </w:pPr>
      <w:r>
        <w:rPr>
          <w:rFonts w:ascii="Times New Roman" w:eastAsia="宋体" w:hAnsi="Times New Roman"/>
          <w:color w:val="000000"/>
          <w:sz w:val="20"/>
          <w:szCs w:val="20"/>
        </w:rPr>
        <w:t>The determination of our worldwide provision for income taxes and other tax liabilities requires significant judgment by management, and there are many transactions where the ultimate tax determination is uncertain. Our provision f</w:t>
      </w:r>
      <w:r>
        <w:rPr>
          <w:rFonts w:ascii="Times New Roman" w:eastAsia="宋体" w:hAnsi="Times New Roman"/>
          <w:color w:val="000000"/>
          <w:sz w:val="20"/>
          <w:szCs w:val="20"/>
        </w:rPr>
        <w:t xml:space="preserve">or income taxes is determined by the manner in which we operate our business, and any changes to such operations or laws applicable to such operations may affect our effective tax rate. Although we believe that our provision for income taxes and estimates </w:t>
      </w:r>
      <w:r>
        <w:rPr>
          <w:rFonts w:ascii="Times New Roman" w:eastAsia="宋体" w:hAnsi="Times New Roman"/>
          <w:color w:val="000000"/>
          <w:sz w:val="20"/>
          <w:szCs w:val="20"/>
        </w:rPr>
        <w:t>of our non-income tax liabilities are reasonable, the ultimate settlement may differ from the amounts recorded in our financial statements and may materially affect our financial results in the period or periods for which such determination is made.</w:t>
      </w:r>
    </w:p>
    <w:p w14:paraId="5CD8E1CC" w14:textId="77777777" w:rsidR="00BA49F5" w:rsidRDefault="00BA49F5">
      <w:pPr>
        <w:ind w:firstLine="540"/>
        <w:jc w:val="both"/>
      </w:pPr>
    </w:p>
    <w:p w14:paraId="5CD8E1CD" w14:textId="77777777" w:rsidR="00BA49F5" w:rsidRDefault="007E5E49">
      <w:pPr>
        <w:ind w:firstLine="540"/>
        <w:jc w:val="both"/>
      </w:pPr>
      <w:r>
        <w:rPr>
          <w:rFonts w:ascii="Times New Roman" w:eastAsia="宋体" w:hAnsi="Times New Roman"/>
          <w:color w:val="000000"/>
          <w:sz w:val="20"/>
          <w:szCs w:val="20"/>
        </w:rPr>
        <w:t>Our f</w:t>
      </w:r>
      <w:r>
        <w:rPr>
          <w:rFonts w:ascii="Times New Roman" w:eastAsia="宋体" w:hAnsi="Times New Roman"/>
          <w:color w:val="000000"/>
          <w:sz w:val="20"/>
          <w:szCs w:val="20"/>
        </w:rPr>
        <w:t>uture income tax rates could be volatile and difficult to predict due to changes in jurisdictional profit split, changes in the amount and recognition of deferred tax assets and liabilities, or by changes in tax laws, regulations, or accounting principles.</w:t>
      </w:r>
    </w:p>
    <w:p w14:paraId="5CD8E1CE" w14:textId="77777777" w:rsidR="00BA49F5" w:rsidRDefault="00BA49F5">
      <w:pPr>
        <w:ind w:firstLine="540"/>
        <w:jc w:val="both"/>
      </w:pPr>
    </w:p>
    <w:p w14:paraId="5CD8E1CF" w14:textId="77777777" w:rsidR="00BA49F5" w:rsidRDefault="007E5E49">
      <w:pPr>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5CD8E1D0" w14:textId="77777777" w:rsidR="00BA49F5" w:rsidRDefault="00BA49F5">
      <w:pPr>
        <w:jc w:val="both"/>
      </w:pPr>
    </w:p>
    <w:p w14:paraId="5CD8E1D1" w14:textId="77777777" w:rsidR="00BA49F5" w:rsidRDefault="007E5E49">
      <w:pPr>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subject to sign</w:t>
      </w:r>
      <w:r>
        <w:rPr>
          <w:rFonts w:ascii="Times New Roman" w:eastAsia="宋体" w:hAnsi="Times New Roman"/>
          <w:color w:val="000000"/>
          <w:sz w:val="20"/>
          <w:szCs w:val="20"/>
        </w:rPr>
        <w:t>ificant change. Changes in tax laws or tax rulings, or changes in interpretations of existing laws, could materially affect our financial position, results of operations, and cash flows. For example, the 2017 Tax Cuts and Jobs Act (Tax Act) enacted in Dece</w:t>
      </w:r>
      <w:r>
        <w:rPr>
          <w:rFonts w:ascii="Times New Roman" w:eastAsia="宋体" w:hAnsi="Times New Roman"/>
          <w:color w:val="000000"/>
          <w:sz w:val="20"/>
          <w:szCs w:val="20"/>
        </w:rPr>
        <w:t xml:space="preserve">mber 2017 had a significant impact on our tax obligations and effective tax rate for the fourth quarter of 2017. The issuance of additional regulatory or accounting guidance related to the Tax Act, or other executive or Congressional actions in the United </w:t>
      </w:r>
      <w:r>
        <w:rPr>
          <w:rFonts w:ascii="Times New Roman" w:eastAsia="宋体" w:hAnsi="Times New Roman"/>
          <w:color w:val="000000"/>
          <w:sz w:val="20"/>
          <w:szCs w:val="20"/>
        </w:rPr>
        <w:t>States or globally could materially increase our tax obligations and significantly impact our effective tax rate in the period such guidance is issued or such actions take effect, and in future periods. In addition, many countries have recently proposed or</w:t>
      </w:r>
      <w:r>
        <w:rPr>
          <w:rFonts w:ascii="Times New Roman" w:eastAsia="宋体" w:hAnsi="Times New Roman"/>
          <w:color w:val="000000"/>
          <w:sz w:val="20"/>
          <w:szCs w:val="20"/>
        </w:rPr>
        <w:t xml:space="preserve"> recommended changes to existing tax laws or have enacted new laws that could significantly increase our tax obligations in many countries where we do business or require us to change the manner in which we operate our business.</w:t>
      </w:r>
    </w:p>
    <w:p w14:paraId="5CD8E1D2" w14:textId="77777777" w:rsidR="00BA49F5" w:rsidRDefault="00BA49F5">
      <w:pPr>
        <w:ind w:firstLine="540"/>
        <w:jc w:val="both"/>
      </w:pPr>
    </w:p>
    <w:p w14:paraId="5CD8E1D3" w14:textId="77777777" w:rsidR="00BA49F5" w:rsidRDefault="007E5E49">
      <w:pPr>
        <w:jc w:val="center"/>
      </w:pPr>
      <w:r>
        <w:rPr>
          <w:rFonts w:ascii="Times New Roman" w:eastAsia="宋体" w:hAnsi="Times New Roman"/>
          <w:color w:val="000000"/>
          <w:sz w:val="20"/>
          <w:szCs w:val="20"/>
        </w:rPr>
        <w:t>34</w:t>
      </w:r>
    </w:p>
    <w:p w14:paraId="5CD8E1D4" w14:textId="77777777" w:rsidR="00BA49F5" w:rsidRDefault="007E5E49">
      <w:r>
        <w:pict w14:anchorId="5CD90CED">
          <v:rect id="_x0000_i1058" style="width:415.3pt;height:1.5pt" o:hralign="center" o:hrstd="t" o:hr="t" fillcolor="#a0a0a0" stroked="f"/>
        </w:pict>
      </w:r>
    </w:p>
    <w:p w14:paraId="5CD8E1D5" w14:textId="77777777" w:rsidR="00BA49F5" w:rsidRDefault="00BA49F5"/>
    <w:p w14:paraId="5CD8E1D6" w14:textId="77777777" w:rsidR="00BA49F5" w:rsidRDefault="00BA49F5"/>
    <w:p w14:paraId="5CD8E1D7" w14:textId="77777777" w:rsidR="00BA49F5" w:rsidRDefault="007E5E49">
      <w:hyperlink r:id="rId148" w:anchor="i6df229dad1864210ab76200083e26819_7" w:history="1">
        <w:r>
          <w:rPr>
            <w:rStyle w:val="a5"/>
            <w:rFonts w:ascii="Times New Roman" w:eastAsia="宋体" w:hAnsi="Times New Roman"/>
            <w:sz w:val="20"/>
            <w:szCs w:val="20"/>
          </w:rPr>
          <w:t>T</w:t>
        </w:r>
      </w:hyperlink>
      <w:hyperlink r:id="rId149" w:anchor="i6df229dad1864210ab76200083e26819_7" w:history="1">
        <w:r>
          <w:rPr>
            <w:rStyle w:val="a5"/>
            <w:rFonts w:ascii="Times New Roman" w:eastAsia="宋体" w:hAnsi="Times New Roman"/>
            <w:sz w:val="20"/>
            <w:szCs w:val="20"/>
          </w:rPr>
          <w:t>able of Contents</w:t>
        </w:r>
      </w:hyperlink>
    </w:p>
    <w:p w14:paraId="5CD8E1D8" w14:textId="77777777" w:rsidR="00BA49F5" w:rsidRDefault="007E5E49">
      <w:pPr>
        <w:ind w:firstLine="540"/>
        <w:jc w:val="both"/>
      </w:pPr>
      <w:r>
        <w:rPr>
          <w:rFonts w:ascii="Times New Roman" w:eastAsia="宋体" w:hAnsi="Times New Roman"/>
          <w:color w:val="000000"/>
          <w:sz w:val="20"/>
          <w:szCs w:val="20"/>
        </w:rPr>
        <w:t>Over the last several years, the Organization for Economic Cooperation and Development has been working on a Base Erosion and Profit Shifting Project that, if implemented, would change var</w:t>
      </w:r>
      <w:r>
        <w:rPr>
          <w:rFonts w:ascii="Times New Roman" w:eastAsia="宋体" w:hAnsi="Times New Roman"/>
          <w:color w:val="000000"/>
          <w:sz w:val="20"/>
          <w:szCs w:val="20"/>
        </w:rPr>
        <w:t>ious aspects of the existing framework under which our tax obligations are determined in many of the countries in which we do business. In 2021, more than 140 countries tentatively signed on to a framework that imposes a minimum tax rate of 15%, among othe</w:t>
      </w:r>
      <w:r>
        <w:rPr>
          <w:rFonts w:ascii="Times New Roman" w:eastAsia="宋体" w:hAnsi="Times New Roman"/>
          <w:color w:val="000000"/>
          <w:sz w:val="20"/>
          <w:szCs w:val="20"/>
        </w:rPr>
        <w:t>r provisions. As this framework is subject to further negotiation and implementation by each member country, the timing and ultimate impact of any such changes on our tax obligations are uncertain. Similarly, the European Commission and several countries h</w:t>
      </w:r>
      <w:r>
        <w:rPr>
          <w:rFonts w:ascii="Times New Roman" w:eastAsia="宋体" w:hAnsi="Times New Roman"/>
          <w:color w:val="000000"/>
          <w:sz w:val="20"/>
          <w:szCs w:val="20"/>
        </w:rPr>
        <w:t>ave issued proposals that would apply to various aspects of the current tax framework under which we are taxed. These proposals include changes to the existing framework to calculate income tax, as well as proposals to change or impose new types of non-inc</w:t>
      </w:r>
      <w:r>
        <w:rPr>
          <w:rFonts w:ascii="Times New Roman" w:eastAsia="宋体" w:hAnsi="Times New Roman"/>
          <w:color w:val="000000"/>
          <w:sz w:val="20"/>
          <w:szCs w:val="20"/>
        </w:rPr>
        <w:t>ome taxes, including taxes based on a percentage of revenue. For example, several jurisdictions have proposed or enacted taxes applicable to digital services, which include business activities on digital advertising and online marketplaces, and which apply</w:t>
      </w:r>
      <w:r>
        <w:rPr>
          <w:rFonts w:ascii="Times New Roman" w:eastAsia="宋体" w:hAnsi="Times New Roman"/>
          <w:color w:val="000000"/>
          <w:sz w:val="20"/>
          <w:szCs w:val="20"/>
        </w:rPr>
        <w:t xml:space="preserve"> to our business.</w:t>
      </w:r>
    </w:p>
    <w:p w14:paraId="5CD8E1D9" w14:textId="77777777" w:rsidR="00BA49F5" w:rsidRDefault="00BA49F5">
      <w:pPr>
        <w:ind w:firstLine="540"/>
        <w:jc w:val="both"/>
      </w:pPr>
    </w:p>
    <w:p w14:paraId="5CD8E1DA" w14:textId="77777777" w:rsidR="00BA49F5" w:rsidRDefault="007E5E49">
      <w:pPr>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preferential tax treatment that violates European Union state aid rules and concluded th</w:t>
      </w:r>
      <w:r>
        <w:rPr>
          <w:rFonts w:ascii="Times New Roman" w:eastAsia="宋体" w:hAnsi="Times New Roman"/>
          <w:color w:val="000000"/>
          <w:sz w:val="20"/>
          <w:szCs w:val="20"/>
        </w:rPr>
        <w:t xml:space="preserve">at certain member states, including Ireland, have provided illegal state aid in certain cases. These investigations may result in changes to the tax treatment of our foreign operations. </w:t>
      </w:r>
    </w:p>
    <w:p w14:paraId="5CD8E1DB" w14:textId="77777777" w:rsidR="00BA49F5" w:rsidRDefault="00BA49F5">
      <w:pPr>
        <w:ind w:firstLine="540"/>
        <w:jc w:val="both"/>
      </w:pPr>
    </w:p>
    <w:p w14:paraId="5CD8E1DC" w14:textId="77777777" w:rsidR="00BA49F5" w:rsidRDefault="007E5E49">
      <w:pPr>
        <w:ind w:firstLine="540"/>
        <w:jc w:val="both"/>
      </w:pPr>
      <w:r>
        <w:rPr>
          <w:rFonts w:ascii="Times New Roman" w:eastAsia="宋体" w:hAnsi="Times New Roman"/>
          <w:color w:val="000000"/>
          <w:sz w:val="20"/>
          <w:szCs w:val="20"/>
        </w:rPr>
        <w:t>Due to the large and expanding scale of our international business a</w:t>
      </w:r>
      <w:r>
        <w:rPr>
          <w:rFonts w:ascii="Times New Roman" w:eastAsia="宋体" w:hAnsi="Times New Roman"/>
          <w:color w:val="000000"/>
          <w:sz w:val="20"/>
          <w:szCs w:val="20"/>
        </w:rPr>
        <w:t>ctivities, many of these types of changes to the taxation of our activities described above could increase our worldwide effective tax rate, increase the amount of non-income taxes imposed on our business, and harm our financial position, results of operat</w:t>
      </w:r>
      <w:r>
        <w:rPr>
          <w:rFonts w:ascii="Times New Roman" w:eastAsia="宋体" w:hAnsi="Times New Roman"/>
          <w:color w:val="000000"/>
          <w:sz w:val="20"/>
          <w:szCs w:val="20"/>
        </w:rPr>
        <w:t>ions, and cash flows. Such changes may also apply retroactively to our historical operations and result in taxes greater than the amounts estimated and recorded in our financial statements.</w:t>
      </w:r>
    </w:p>
    <w:p w14:paraId="5CD8E1DD" w14:textId="77777777" w:rsidR="00BA49F5" w:rsidRDefault="00BA49F5">
      <w:pPr>
        <w:jc w:val="both"/>
      </w:pPr>
    </w:p>
    <w:p w14:paraId="5CD8E1DE" w14:textId="77777777" w:rsidR="00BA49F5" w:rsidRDefault="007E5E49">
      <w:pPr>
        <w:jc w:val="both"/>
      </w:pPr>
      <w:r>
        <w:rPr>
          <w:rFonts w:ascii="Times New Roman" w:eastAsia="宋体" w:hAnsi="Times New Roman"/>
          <w:b/>
          <w:bCs/>
          <w:i/>
          <w:iCs/>
          <w:color w:val="000000"/>
          <w:sz w:val="20"/>
          <w:szCs w:val="20"/>
        </w:rPr>
        <w:t>Given our levels of share-based compensation, our tax rate may va</w:t>
      </w:r>
      <w:r>
        <w:rPr>
          <w:rFonts w:ascii="Times New Roman" w:eastAsia="宋体" w:hAnsi="Times New Roman"/>
          <w:b/>
          <w:bCs/>
          <w:i/>
          <w:iCs/>
          <w:color w:val="000000"/>
          <w:sz w:val="20"/>
          <w:szCs w:val="20"/>
        </w:rPr>
        <w:t>ry significantly depending on our stock price.</w:t>
      </w:r>
    </w:p>
    <w:p w14:paraId="5CD8E1DF" w14:textId="77777777" w:rsidR="00BA49F5" w:rsidRDefault="00BA49F5">
      <w:pPr>
        <w:jc w:val="both"/>
      </w:pPr>
    </w:p>
    <w:p w14:paraId="5CD8E1E0" w14:textId="77777777" w:rsidR="00BA49F5" w:rsidRDefault="007E5E49">
      <w:pPr>
        <w:ind w:firstLine="540"/>
        <w:jc w:val="both"/>
      </w:pPr>
      <w:r>
        <w:rPr>
          <w:rFonts w:ascii="Times New Roman" w:eastAsia="宋体" w:hAnsi="Times New Roman"/>
          <w:color w:val="000000"/>
          <w:sz w:val="20"/>
          <w:szCs w:val="20"/>
        </w:rPr>
        <w:t>The tax effects of the accounting for share-based compensation may significantly impact our effective tax rate from period to period. In periods in which our stock price varies from the grant price of the sha</w:t>
      </w:r>
      <w:r>
        <w:rPr>
          <w:rFonts w:ascii="Times New Roman" w:eastAsia="宋体" w:hAnsi="Times New Roman"/>
          <w:color w:val="000000"/>
          <w:sz w:val="20"/>
          <w:szCs w:val="20"/>
        </w:rPr>
        <w:t>re-based compensation vesting in that period, we will recognize excess tax benefits or shortfalls that will impact our effective tax rate. For example, in 2022, tax shortfalls recognized from share-based compensation increased our provision for income taxe</w:t>
      </w:r>
      <w:r>
        <w:rPr>
          <w:rFonts w:ascii="Times New Roman" w:eastAsia="宋体" w:hAnsi="Times New Roman"/>
          <w:color w:val="000000"/>
          <w:sz w:val="20"/>
          <w:szCs w:val="20"/>
        </w:rPr>
        <w:t>s by $471 million and our effective tax rate by two percentage points as compared to the tax rate without such shortfalls. In future periods in which our stock price varies in comparison to the grant price of the share-based compensation vesting in that pe</w:t>
      </w:r>
      <w:r>
        <w:rPr>
          <w:rFonts w:ascii="Times New Roman" w:eastAsia="宋体" w:hAnsi="Times New Roman"/>
          <w:color w:val="000000"/>
          <w:sz w:val="20"/>
          <w:szCs w:val="20"/>
        </w:rPr>
        <w:t>riod, our effective tax rate may be inversely impacted. The amount and value of share-based compensation issued relative to our earnings in a particular period will also affect the magnitude of the impact of share-based compensation on our effective tax ra</w:t>
      </w:r>
      <w:r>
        <w:rPr>
          <w:rFonts w:ascii="Times New Roman" w:eastAsia="宋体" w:hAnsi="Times New Roman"/>
          <w:color w:val="000000"/>
          <w:sz w:val="20"/>
          <w:szCs w:val="20"/>
        </w:rPr>
        <w:t>te. These tax effects are dependent on our stock price, which we do not control, and a decline in our stock price could significantly increase our effective tax rate and adversely affect our financial results.</w:t>
      </w:r>
    </w:p>
    <w:p w14:paraId="5CD8E1E1" w14:textId="77777777" w:rsidR="00BA49F5" w:rsidRDefault="00BA49F5">
      <w:pPr>
        <w:ind w:firstLine="540"/>
        <w:jc w:val="both"/>
      </w:pPr>
    </w:p>
    <w:p w14:paraId="5CD8E1E2" w14:textId="77777777" w:rsidR="00BA49F5" w:rsidRDefault="007E5E49">
      <w:pPr>
        <w:jc w:val="both"/>
      </w:pPr>
      <w:r>
        <w:rPr>
          <w:rFonts w:ascii="Times New Roman" w:eastAsia="宋体" w:hAnsi="Times New Roman"/>
          <w:b/>
          <w:bCs/>
          <w:i/>
          <w:iCs/>
          <w:color w:val="000000"/>
          <w:sz w:val="20"/>
          <w:szCs w:val="20"/>
        </w:rPr>
        <w:t>If our goodwill or intangible assets become i</w:t>
      </w:r>
      <w:r>
        <w:rPr>
          <w:rFonts w:ascii="Times New Roman" w:eastAsia="宋体" w:hAnsi="Times New Roman"/>
          <w:b/>
          <w:bCs/>
          <w:i/>
          <w:iCs/>
          <w:color w:val="000000"/>
          <w:sz w:val="20"/>
          <w:szCs w:val="20"/>
        </w:rPr>
        <w:t>mpaired, we may be required to record a significant charge to earnings.</w:t>
      </w:r>
    </w:p>
    <w:p w14:paraId="5CD8E1E3" w14:textId="77777777" w:rsidR="00BA49F5" w:rsidRDefault="00BA49F5">
      <w:pPr>
        <w:ind w:firstLine="540"/>
        <w:jc w:val="both"/>
      </w:pPr>
    </w:p>
    <w:p w14:paraId="5CD8E1E4" w14:textId="77777777" w:rsidR="00BA49F5" w:rsidRDefault="007E5E49">
      <w:pPr>
        <w:ind w:firstLine="540"/>
        <w:jc w:val="both"/>
      </w:pPr>
      <w:r>
        <w:rPr>
          <w:rFonts w:ascii="Times New Roman" w:eastAsia="宋体" w:hAnsi="Times New Roman"/>
          <w:color w:val="000000"/>
          <w:sz w:val="20"/>
          <w:szCs w:val="20"/>
        </w:rPr>
        <w:t xml:space="preserve">We review our intangible assets for impairment when events or changes in circumstances indicate the carrying value may not be recoverable, such as a decline in stock price and market </w:t>
      </w:r>
      <w:r>
        <w:rPr>
          <w:rFonts w:ascii="Times New Roman" w:eastAsia="宋体" w:hAnsi="Times New Roman"/>
          <w:color w:val="000000"/>
          <w:sz w:val="20"/>
          <w:szCs w:val="20"/>
        </w:rPr>
        <w:t>capitalization. We test goodwill for impairment at the reporting unit level at least annually. If such goodwill or intangible assets are deemed to be impaired, an impairment loss equal to the amount by which the carrying amount exceeds the fair value of th</w:t>
      </w:r>
      <w:r>
        <w:rPr>
          <w:rFonts w:ascii="Times New Roman" w:eastAsia="宋体" w:hAnsi="Times New Roman"/>
          <w:color w:val="000000"/>
          <w:sz w:val="20"/>
          <w:szCs w:val="20"/>
        </w:rPr>
        <w:t>e assets would be recognized. We may be required to record a significant charge in our financial statements during the period in which any impairment of our goodwill or intangible assets is determined, which would negatively affect our results of operation</w:t>
      </w:r>
      <w:r>
        <w:rPr>
          <w:rFonts w:ascii="Times New Roman" w:eastAsia="宋体" w:hAnsi="Times New Roman"/>
          <w:color w:val="000000"/>
          <w:sz w:val="20"/>
          <w:szCs w:val="20"/>
        </w:rPr>
        <w:t>s.</w:t>
      </w:r>
    </w:p>
    <w:p w14:paraId="5CD8E1E5" w14:textId="77777777" w:rsidR="00BA49F5" w:rsidRDefault="00BA49F5">
      <w:pPr>
        <w:jc w:val="both"/>
      </w:pPr>
    </w:p>
    <w:p w14:paraId="5CD8E1E6" w14:textId="77777777" w:rsidR="00BA49F5" w:rsidRDefault="007E5E49">
      <w:pPr>
        <w:jc w:val="both"/>
      </w:pPr>
      <w:r>
        <w:rPr>
          <w:rFonts w:ascii="Times New Roman" w:eastAsia="宋体" w:hAnsi="Times New Roman"/>
          <w:b/>
          <w:bCs/>
          <w:i/>
          <w:iCs/>
          <w:color w:val="000000"/>
          <w:sz w:val="20"/>
          <w:szCs w:val="20"/>
        </w:rPr>
        <w:t>The loss of one or more of our key personnel, or our failure to attract and retain other highly qualified personnel in the future, could harm our business.</w:t>
      </w:r>
    </w:p>
    <w:p w14:paraId="5CD8E1E7" w14:textId="77777777" w:rsidR="00BA49F5" w:rsidRDefault="00BA49F5">
      <w:pPr>
        <w:jc w:val="both"/>
      </w:pPr>
    </w:p>
    <w:p w14:paraId="5CD8E1E8" w14:textId="77777777" w:rsidR="00BA49F5" w:rsidRDefault="007E5E49">
      <w:pPr>
        <w:ind w:firstLine="540"/>
        <w:jc w:val="both"/>
      </w:pPr>
      <w:r>
        <w:rPr>
          <w:rFonts w:ascii="Times New Roman" w:eastAsia="宋体" w:hAnsi="Times New Roman"/>
          <w:color w:val="000000"/>
          <w:sz w:val="20"/>
          <w:szCs w:val="20"/>
        </w:rPr>
        <w:t>We currently depend on the continued services and performance of our key personnel, including M</w:t>
      </w:r>
      <w:r>
        <w:rPr>
          <w:rFonts w:ascii="Times New Roman" w:eastAsia="宋体" w:hAnsi="Times New Roman"/>
          <w:color w:val="000000"/>
          <w:sz w:val="20"/>
          <w:szCs w:val="20"/>
        </w:rPr>
        <w:t xml:space="preserve">ark Zuckerberg. Although we have entered into an employment agreement with Mr. Zuckerberg, the agreement has no specific duration and constitutes at-will employment. In addition, many of our key technologies and systems are custom-made for our business by </w:t>
      </w:r>
      <w:r>
        <w:rPr>
          <w:rFonts w:ascii="Times New Roman" w:eastAsia="宋体" w:hAnsi="Times New Roman"/>
          <w:color w:val="000000"/>
          <w:sz w:val="20"/>
          <w:szCs w:val="20"/>
        </w:rPr>
        <w:t>our personnel. The loss of key personnel, including members of management as well as key engineering, product development, marketing, and sales personnel, could disrupt our operations and have an adverse effect on our business.</w:t>
      </w:r>
    </w:p>
    <w:p w14:paraId="5CD8E1E9" w14:textId="77777777" w:rsidR="00BA49F5" w:rsidRDefault="00BA49F5">
      <w:pPr>
        <w:ind w:firstLine="540"/>
        <w:jc w:val="both"/>
      </w:pPr>
    </w:p>
    <w:p w14:paraId="5CD8E1EA" w14:textId="77777777" w:rsidR="00BA49F5" w:rsidRDefault="007E5E49">
      <w:pPr>
        <w:jc w:val="center"/>
      </w:pPr>
      <w:r>
        <w:rPr>
          <w:rFonts w:ascii="Times New Roman" w:eastAsia="宋体" w:hAnsi="Times New Roman"/>
          <w:color w:val="000000"/>
          <w:sz w:val="20"/>
          <w:szCs w:val="20"/>
        </w:rPr>
        <w:t>35</w:t>
      </w:r>
    </w:p>
    <w:p w14:paraId="5CD8E1EB" w14:textId="77777777" w:rsidR="00BA49F5" w:rsidRDefault="007E5E49">
      <w:r>
        <w:pict w14:anchorId="5CD90CEE">
          <v:rect id="_x0000_i1059" style="width:415.3pt;height:1.5pt" o:hralign="center" o:hrstd="t" o:hr="t" fillcolor="#a0a0a0" stroked="f"/>
        </w:pict>
      </w:r>
    </w:p>
    <w:p w14:paraId="5CD8E1EC" w14:textId="77777777" w:rsidR="00BA49F5" w:rsidRDefault="00BA49F5"/>
    <w:p w14:paraId="5CD8E1ED" w14:textId="77777777" w:rsidR="00BA49F5" w:rsidRDefault="00BA49F5"/>
    <w:p w14:paraId="5CD8E1EE" w14:textId="77777777" w:rsidR="00BA49F5" w:rsidRDefault="007E5E49">
      <w:hyperlink r:id="rId150" w:anchor="i6df229dad1864210ab76200083e26819_7" w:history="1">
        <w:r>
          <w:rPr>
            <w:rStyle w:val="a5"/>
            <w:rFonts w:ascii="Times New Roman" w:eastAsia="宋体" w:hAnsi="Times New Roman"/>
            <w:sz w:val="20"/>
            <w:szCs w:val="20"/>
          </w:rPr>
          <w:t>T</w:t>
        </w:r>
      </w:hyperlink>
      <w:hyperlink r:id="rId151" w:anchor="i6df229dad1864210ab76200083e26819_7" w:history="1">
        <w:r>
          <w:rPr>
            <w:rStyle w:val="a5"/>
            <w:rFonts w:ascii="Times New Roman" w:eastAsia="宋体" w:hAnsi="Times New Roman"/>
            <w:sz w:val="20"/>
            <w:szCs w:val="20"/>
          </w:rPr>
          <w:t>able of Contents</w:t>
        </w:r>
      </w:hyperlink>
    </w:p>
    <w:p w14:paraId="5CD8E1EF" w14:textId="77777777" w:rsidR="00BA49F5" w:rsidRDefault="007E5E49">
      <w:pPr>
        <w:ind w:firstLine="540"/>
        <w:jc w:val="both"/>
      </w:pPr>
      <w:r>
        <w:rPr>
          <w:rFonts w:ascii="Times New Roman" w:eastAsia="宋体" w:hAnsi="Times New Roman"/>
          <w:color w:val="000000"/>
          <w:sz w:val="20"/>
          <w:szCs w:val="20"/>
        </w:rPr>
        <w:t>In addition, we cannot guarantee we will continue to attract and retain the personnel we need to maintain our competitive position. In particular, we expect to continue to face significant</w:t>
      </w:r>
      <w:r>
        <w:rPr>
          <w:rFonts w:ascii="Times New Roman" w:eastAsia="宋体" w:hAnsi="Times New Roman"/>
          <w:color w:val="000000"/>
          <w:sz w:val="20"/>
          <w:szCs w:val="20"/>
        </w:rPr>
        <w:t xml:space="preserve"> challenges in hiring technical personnel, particularly for engineering talent, whether as a result of competition with other companies or other factors. As we continue to mature, the incentives to attract, retain, and motivate employees provided by our eq</w:t>
      </w:r>
      <w:r>
        <w:rPr>
          <w:rFonts w:ascii="Times New Roman" w:eastAsia="宋体" w:hAnsi="Times New Roman"/>
          <w:color w:val="000000"/>
          <w:sz w:val="20"/>
          <w:szCs w:val="20"/>
        </w:rPr>
        <w:t>uity awards or by future arrangements may not be as effective as in the past, and if we issue significant equity to attract additional employees or to retain our existing employees, we would incur substantial additional share-based compensation expense and</w:t>
      </w:r>
      <w:r>
        <w:rPr>
          <w:rFonts w:ascii="Times New Roman" w:eastAsia="宋体" w:hAnsi="Times New Roman"/>
          <w:color w:val="000000"/>
          <w:sz w:val="20"/>
          <w:szCs w:val="20"/>
        </w:rPr>
        <w:t xml:space="preserve"> the ownership of our existing stockholders would be further diluted. Our ability to attract, retain, and motivate employees may also be adversely affected by stock price volatility. In addition, restrictive immigration policies or legal or regulatory deve</w:t>
      </w:r>
      <w:r>
        <w:rPr>
          <w:rFonts w:ascii="Times New Roman" w:eastAsia="宋体" w:hAnsi="Times New Roman"/>
          <w:color w:val="000000"/>
          <w:sz w:val="20"/>
          <w:szCs w:val="20"/>
        </w:rPr>
        <w:t>lopments relating to immigration may negatively affect our efforts to attract and hire new personnel as well as retain our existing personnel</w:t>
      </w:r>
      <w:r>
        <w:rPr>
          <w:rFonts w:ascii="Times New Roman" w:eastAsia="宋体" w:hAnsi="Times New Roman"/>
          <w:color w:val="008080"/>
          <w:sz w:val="20"/>
          <w:szCs w:val="20"/>
        </w:rPr>
        <w:t>.</w:t>
      </w:r>
      <w:r>
        <w:rPr>
          <w:rFonts w:ascii="Times New Roman" w:eastAsia="宋体" w:hAnsi="Times New Roman"/>
          <w:color w:val="000000"/>
          <w:sz w:val="20"/>
          <w:szCs w:val="20"/>
        </w:rPr>
        <w:t xml:space="preserve"> If we do not succeed in attracting, hiring, and integrating excellent personnel, or retaining and motivating exis</w:t>
      </w:r>
      <w:r>
        <w:rPr>
          <w:rFonts w:ascii="Times New Roman" w:eastAsia="宋体" w:hAnsi="Times New Roman"/>
          <w:color w:val="000000"/>
          <w:sz w:val="20"/>
          <w:szCs w:val="20"/>
        </w:rPr>
        <w:t>ting personnel, we may be unable to grow effectively.</w:t>
      </w:r>
    </w:p>
    <w:p w14:paraId="5CD8E1F0" w14:textId="77777777" w:rsidR="00BA49F5" w:rsidRDefault="00BA49F5">
      <w:pPr>
        <w:ind w:firstLine="540"/>
        <w:jc w:val="both"/>
      </w:pPr>
    </w:p>
    <w:p w14:paraId="5CD8E1F1" w14:textId="77777777" w:rsidR="00BA49F5" w:rsidRDefault="007E5E49">
      <w:pPr>
        <w:jc w:val="both"/>
      </w:pPr>
      <w:r>
        <w:rPr>
          <w:rFonts w:ascii="Times New Roman" w:eastAsia="宋体" w:hAnsi="Times New Roman"/>
          <w:b/>
          <w:bCs/>
          <w:i/>
          <w:iCs/>
          <w:color w:val="000000"/>
          <w:sz w:val="20"/>
          <w:szCs w:val="20"/>
        </w:rPr>
        <w:t>Our CEO has control over key decision making as a result of his control of a majority of the voting power of our outstanding capital stock.</w:t>
      </w:r>
    </w:p>
    <w:p w14:paraId="5CD8E1F2" w14:textId="77777777" w:rsidR="00BA49F5" w:rsidRDefault="00BA49F5">
      <w:pPr>
        <w:jc w:val="both"/>
      </w:pPr>
    </w:p>
    <w:p w14:paraId="5CD8E1F3" w14:textId="77777777" w:rsidR="00BA49F5" w:rsidRDefault="007E5E49">
      <w:pPr>
        <w:ind w:firstLine="540"/>
        <w:jc w:val="both"/>
      </w:pPr>
      <w:r>
        <w:rPr>
          <w:rFonts w:ascii="Times New Roman" w:eastAsia="宋体" w:hAnsi="Times New Roman"/>
          <w:color w:val="000000"/>
          <w:sz w:val="20"/>
          <w:szCs w:val="20"/>
        </w:rPr>
        <w:t xml:space="preserve">Mark Zuckerberg, our founder, Chairman, and CEO, is able </w:t>
      </w:r>
      <w:r>
        <w:rPr>
          <w:rFonts w:ascii="Times New Roman" w:eastAsia="宋体" w:hAnsi="Times New Roman"/>
          <w:color w:val="000000"/>
          <w:sz w:val="20"/>
          <w:szCs w:val="20"/>
        </w:rPr>
        <w:t>to exercise voting rights with respect to a majority of the voting power of our outstanding capital stock and therefore has the ability to control the outcome of all matters submitted to our stockholders for approval, including the election of directors an</w:t>
      </w:r>
      <w:r>
        <w:rPr>
          <w:rFonts w:ascii="Times New Roman" w:eastAsia="宋体" w:hAnsi="Times New Roman"/>
          <w:color w:val="000000"/>
          <w:sz w:val="20"/>
          <w:szCs w:val="20"/>
        </w:rPr>
        <w:t>d any merger, consolidation, or sale of all or substantially all of our assets. This concentrated control could delay, defer, or prevent a change of control, merger, consolidation, or sale of all or substantially all of our assets that our other stockholde</w:t>
      </w:r>
      <w:r>
        <w:rPr>
          <w:rFonts w:ascii="Times New Roman" w:eastAsia="宋体" w:hAnsi="Times New Roman"/>
          <w:color w:val="000000"/>
          <w:sz w:val="20"/>
          <w:szCs w:val="20"/>
        </w:rPr>
        <w:t>rs support, or conversely this concentrated control could result in the consummation of such a transaction that our other stockholders do not support. This concentrated control could also discourage a potential investor from acquiring our Class A common st</w:t>
      </w:r>
      <w:r>
        <w:rPr>
          <w:rFonts w:ascii="Times New Roman" w:eastAsia="宋体" w:hAnsi="Times New Roman"/>
          <w:color w:val="000000"/>
          <w:sz w:val="20"/>
          <w:szCs w:val="20"/>
        </w:rPr>
        <w:t xml:space="preserve">ock, which has limited voting power relative to the Class B common stock, and might harm the trading price of our Class A common stock. In addition, Mr. Zuckerberg has the ability to control the management and major strategic investments of our company as </w:t>
      </w:r>
      <w:r>
        <w:rPr>
          <w:rFonts w:ascii="Times New Roman" w:eastAsia="宋体" w:hAnsi="Times New Roman"/>
          <w:color w:val="000000"/>
          <w:sz w:val="20"/>
          <w:szCs w:val="20"/>
        </w:rPr>
        <w:t>a result of his position as our CEO and his ability to control the election or, in some cases, the replacement of our directors. In the event of his death, the shares of our capital stock that Mr. Zuckerberg owns will be transferred to the persons or entit</w:t>
      </w:r>
      <w:r>
        <w:rPr>
          <w:rFonts w:ascii="Times New Roman" w:eastAsia="宋体" w:hAnsi="Times New Roman"/>
          <w:color w:val="000000"/>
          <w:sz w:val="20"/>
          <w:szCs w:val="20"/>
        </w:rPr>
        <w:t>ies that he has designated. As a board member and officer, Mr. Zuckerberg owes a fiduciary duty to our stockholders and must act in good faith in a manner he reasonably believes to be in the best interests of our stockholders. As a stockholder, even a cont</w:t>
      </w:r>
      <w:r>
        <w:rPr>
          <w:rFonts w:ascii="Times New Roman" w:eastAsia="宋体" w:hAnsi="Times New Roman"/>
          <w:color w:val="000000"/>
          <w:sz w:val="20"/>
          <w:szCs w:val="20"/>
        </w:rPr>
        <w:t>rolling stockholder, Mr. Zuckerberg is entitled to vote his shares, and shares over which he has voting control as governed by a voting agreement, in his own interests, which may not always be in the interests of our stockholders generally.</w:t>
      </w:r>
    </w:p>
    <w:p w14:paraId="5CD8E1F4" w14:textId="77777777" w:rsidR="00BA49F5" w:rsidRDefault="00BA49F5">
      <w:pPr>
        <w:ind w:firstLine="540"/>
        <w:jc w:val="both"/>
      </w:pPr>
    </w:p>
    <w:p w14:paraId="5CD8E1F5" w14:textId="77777777" w:rsidR="00BA49F5" w:rsidRDefault="007E5E49">
      <w:pPr>
        <w:jc w:val="both"/>
      </w:pPr>
      <w:r>
        <w:rPr>
          <w:rFonts w:ascii="Times New Roman" w:eastAsia="宋体" w:hAnsi="Times New Roman"/>
          <w:b/>
          <w:bCs/>
          <w:i/>
          <w:iCs/>
          <w:color w:val="000000"/>
          <w:sz w:val="20"/>
          <w:szCs w:val="20"/>
        </w:rPr>
        <w:t>We cannot guar</w:t>
      </w:r>
      <w:r>
        <w:rPr>
          <w:rFonts w:ascii="Times New Roman" w:eastAsia="宋体" w:hAnsi="Times New Roman"/>
          <w:b/>
          <w:bCs/>
          <w:i/>
          <w:iCs/>
          <w:color w:val="000000"/>
          <w:sz w:val="20"/>
          <w:szCs w:val="20"/>
        </w:rPr>
        <w:t>antee that our share repurchase program will be fully consummated or that it will enhance long-term stockholder value. Share repurchases could also increase the volatility of the trading price of our stock and will diminish our cash reserves.</w:t>
      </w:r>
    </w:p>
    <w:p w14:paraId="5CD8E1F6" w14:textId="77777777" w:rsidR="00BA49F5" w:rsidRDefault="00BA49F5">
      <w:pPr>
        <w:jc w:val="both"/>
      </w:pPr>
    </w:p>
    <w:p w14:paraId="5CD8E1F7" w14:textId="77777777" w:rsidR="00BA49F5" w:rsidRDefault="007E5E49">
      <w:pPr>
        <w:ind w:firstLine="540"/>
        <w:jc w:val="both"/>
      </w:pPr>
      <w:r>
        <w:rPr>
          <w:rFonts w:ascii="Times New Roman" w:eastAsia="宋体" w:hAnsi="Times New Roman"/>
          <w:color w:val="000000"/>
          <w:sz w:val="20"/>
          <w:szCs w:val="20"/>
        </w:rPr>
        <w:t>Although our</w:t>
      </w:r>
      <w:r>
        <w:rPr>
          <w:rFonts w:ascii="Times New Roman" w:eastAsia="宋体" w:hAnsi="Times New Roman"/>
          <w:color w:val="000000"/>
          <w:sz w:val="20"/>
          <w:szCs w:val="20"/>
        </w:rPr>
        <w:t xml:space="preserve"> board of directors has authorized a share repurchase program that does not have an expiration date, the program does not obligate us to repurchase any specific dollar amount or to acquire any specific number of shares of our Class A common stock. We canno</w:t>
      </w:r>
      <w:r>
        <w:rPr>
          <w:rFonts w:ascii="Times New Roman" w:eastAsia="宋体" w:hAnsi="Times New Roman"/>
          <w:color w:val="000000"/>
          <w:sz w:val="20"/>
          <w:szCs w:val="20"/>
        </w:rPr>
        <w:t>t guarantee that the program will be fully consummated or that it will enhance long-term stockholder value. The program could affect the trading price of our stock and increase volatility, and any announcement of a termination of this program may result in</w:t>
      </w:r>
      <w:r>
        <w:rPr>
          <w:rFonts w:ascii="Times New Roman" w:eastAsia="宋体" w:hAnsi="Times New Roman"/>
          <w:color w:val="000000"/>
          <w:sz w:val="20"/>
          <w:szCs w:val="20"/>
        </w:rPr>
        <w:t xml:space="preserve"> a decrease in the trading price of our stock. In addition, this program will diminish our cash reserves.</w:t>
      </w:r>
    </w:p>
    <w:p w14:paraId="5CD8E1F8" w14:textId="77777777" w:rsidR="00BA49F5" w:rsidRDefault="00BA49F5">
      <w:pPr>
        <w:ind w:firstLine="540"/>
        <w:jc w:val="both"/>
      </w:pPr>
    </w:p>
    <w:p w14:paraId="5CD8E1F9" w14:textId="77777777" w:rsidR="00BA49F5" w:rsidRDefault="007E5E49">
      <w:pPr>
        <w:jc w:val="center"/>
      </w:pPr>
      <w:r>
        <w:rPr>
          <w:rFonts w:ascii="Times New Roman" w:eastAsia="宋体" w:hAnsi="Times New Roman"/>
          <w:b/>
          <w:bCs/>
          <w:color w:val="000000"/>
          <w:sz w:val="20"/>
          <w:szCs w:val="20"/>
        </w:rPr>
        <w:t>Risks Related to Government Regulation and Enforcement</w:t>
      </w:r>
    </w:p>
    <w:p w14:paraId="5CD8E1FA" w14:textId="77777777" w:rsidR="00BA49F5" w:rsidRDefault="00BA49F5">
      <w:pPr>
        <w:ind w:firstLine="540"/>
        <w:jc w:val="both"/>
      </w:pPr>
    </w:p>
    <w:p w14:paraId="5CD8E1FB" w14:textId="77777777" w:rsidR="00BA49F5" w:rsidRDefault="007E5E49">
      <w:pPr>
        <w:jc w:val="both"/>
      </w:pPr>
      <w:r>
        <w:rPr>
          <w:rFonts w:ascii="Times New Roman" w:eastAsia="宋体" w:hAnsi="Times New Roman"/>
          <w:b/>
          <w:bCs/>
          <w:i/>
          <w:iCs/>
          <w:color w:val="000000"/>
          <w:sz w:val="20"/>
          <w:szCs w:val="20"/>
        </w:rPr>
        <w:t>Actions by governments that restrict access to Facebook or our other products in their countr</w:t>
      </w:r>
      <w:r>
        <w:rPr>
          <w:rFonts w:ascii="Times New Roman" w:eastAsia="宋体" w:hAnsi="Times New Roman"/>
          <w:b/>
          <w:bCs/>
          <w:i/>
          <w:iCs/>
          <w:color w:val="000000"/>
          <w:sz w:val="20"/>
          <w:szCs w:val="20"/>
        </w:rPr>
        <w:t>ies, censor or moderate content on our products in their countries, or otherwise impair our ability to sell advertising in their countries, could substantially harm our business and financial results.</w:t>
      </w:r>
    </w:p>
    <w:p w14:paraId="5CD8E1FC" w14:textId="77777777" w:rsidR="00BA49F5" w:rsidRDefault="00BA49F5">
      <w:pPr>
        <w:jc w:val="both"/>
      </w:pPr>
    </w:p>
    <w:p w14:paraId="5CD8E1FD" w14:textId="77777777" w:rsidR="00BA49F5" w:rsidRDefault="007E5E49">
      <w:pPr>
        <w:ind w:firstLine="540"/>
        <w:jc w:val="both"/>
      </w:pPr>
      <w:r>
        <w:rPr>
          <w:rFonts w:ascii="Times New Roman" w:eastAsia="宋体" w:hAnsi="Times New Roman"/>
          <w:color w:val="000000"/>
          <w:sz w:val="20"/>
          <w:szCs w:val="20"/>
        </w:rPr>
        <w:t>Governments from time to time seek to censor or modera</w:t>
      </w:r>
      <w:r>
        <w:rPr>
          <w:rFonts w:ascii="Times New Roman" w:eastAsia="宋体" w:hAnsi="Times New Roman"/>
          <w:color w:val="000000"/>
          <w:sz w:val="20"/>
          <w:szCs w:val="20"/>
        </w:rPr>
        <w:t>te content available on Facebook or our other products in their country, restrict access to our products from their country partially or entirely, or impose other restrictions that may affect the accessibility of our products in their country for an extend</w:t>
      </w:r>
      <w:r>
        <w:rPr>
          <w:rFonts w:ascii="Times New Roman" w:eastAsia="宋体" w:hAnsi="Times New Roman"/>
          <w:color w:val="000000"/>
          <w:sz w:val="20"/>
          <w:szCs w:val="20"/>
        </w:rPr>
        <w:t>ed period of time or indefinitely. For example, user access to Facebook and certain of our other products has been or is currently restricted in whole or in part in China, Iran, and North Korea. In addition, government authorities in other countries may se</w:t>
      </w:r>
      <w:r>
        <w:rPr>
          <w:rFonts w:ascii="Times New Roman" w:eastAsia="宋体" w:hAnsi="Times New Roman"/>
          <w:color w:val="000000"/>
          <w:sz w:val="20"/>
          <w:szCs w:val="20"/>
        </w:rPr>
        <w:t>ek to restrict user access to our products if they consider us to be in violation of their laws or a threat to public safety or for other reasons, and certain of our products have been restricted by governments in other countries from time to time. For exa</w:t>
      </w:r>
      <w:r>
        <w:rPr>
          <w:rFonts w:ascii="Times New Roman" w:eastAsia="宋体" w:hAnsi="Times New Roman"/>
          <w:color w:val="000000"/>
          <w:sz w:val="20"/>
          <w:szCs w:val="20"/>
        </w:rPr>
        <w:t xml:space="preserve">mple, in 2020, Hong Kong adopted a National Security Law that provides authorities with the ability to obtain information, remove and block access to content, and suspend </w:t>
      </w:r>
    </w:p>
    <w:p w14:paraId="5CD8E1FE" w14:textId="77777777" w:rsidR="00BA49F5" w:rsidRDefault="007E5E49">
      <w:pPr>
        <w:jc w:val="center"/>
      </w:pPr>
      <w:r>
        <w:rPr>
          <w:rFonts w:ascii="Times New Roman" w:eastAsia="宋体" w:hAnsi="Times New Roman"/>
          <w:color w:val="000000"/>
          <w:sz w:val="20"/>
          <w:szCs w:val="20"/>
        </w:rPr>
        <w:t>36</w:t>
      </w:r>
    </w:p>
    <w:p w14:paraId="5CD8E1FF" w14:textId="77777777" w:rsidR="00BA49F5" w:rsidRDefault="007E5E49">
      <w:r>
        <w:pict w14:anchorId="5CD90CEF">
          <v:rect id="_x0000_i1060" style="width:415.3pt;height:1.5pt" o:hralign="center" o:hrstd="t" o:hr="t" fillcolor="#a0a0a0" stroked="f"/>
        </w:pict>
      </w:r>
    </w:p>
    <w:p w14:paraId="5CD8E200" w14:textId="77777777" w:rsidR="00BA49F5" w:rsidRDefault="00BA49F5"/>
    <w:p w14:paraId="5CD8E201" w14:textId="77777777" w:rsidR="00BA49F5" w:rsidRDefault="00BA49F5"/>
    <w:p w14:paraId="5CD8E202" w14:textId="77777777" w:rsidR="00BA49F5" w:rsidRDefault="007E5E49">
      <w:hyperlink r:id="rId152" w:anchor="i6df229dad1864210ab76200083e26819_7" w:history="1">
        <w:r>
          <w:rPr>
            <w:rStyle w:val="a5"/>
            <w:rFonts w:ascii="Times New Roman" w:eastAsia="宋体" w:hAnsi="Times New Roman"/>
            <w:sz w:val="20"/>
            <w:szCs w:val="20"/>
          </w:rPr>
          <w:t>T</w:t>
        </w:r>
      </w:hyperlink>
      <w:hyperlink r:id="rId153" w:anchor="i6df229dad1864210ab76200083e26819_7" w:history="1">
        <w:r>
          <w:rPr>
            <w:rStyle w:val="a5"/>
            <w:rFonts w:ascii="Times New Roman" w:eastAsia="宋体" w:hAnsi="Times New Roman"/>
            <w:sz w:val="20"/>
            <w:szCs w:val="20"/>
          </w:rPr>
          <w:t>able of Contents</w:t>
        </w:r>
      </w:hyperlink>
    </w:p>
    <w:p w14:paraId="5CD8E203" w14:textId="77777777" w:rsidR="00BA49F5" w:rsidRDefault="007E5E49">
      <w:pPr>
        <w:jc w:val="both"/>
      </w:pPr>
      <w:r>
        <w:rPr>
          <w:rFonts w:ascii="Times New Roman" w:eastAsia="宋体" w:hAnsi="Times New Roman"/>
          <w:color w:val="000000"/>
          <w:sz w:val="20"/>
          <w:szCs w:val="20"/>
        </w:rPr>
        <w:t xml:space="preserve">user </w:t>
      </w:r>
      <w:r>
        <w:rPr>
          <w:rFonts w:ascii="Times New Roman" w:eastAsia="宋体" w:hAnsi="Times New Roman"/>
          <w:color w:val="000000"/>
          <w:sz w:val="20"/>
          <w:szCs w:val="20"/>
        </w:rPr>
        <w:t>services, and if we are found to be in violation of this law then the use of our products may be restricted. In addition, if we are required to or elect to make changes to our marketing and sales or other operations in Hong Kong as a result of the National</w:t>
      </w:r>
      <w:r>
        <w:rPr>
          <w:rFonts w:ascii="Times New Roman" w:eastAsia="宋体" w:hAnsi="Times New Roman"/>
          <w:color w:val="000000"/>
          <w:sz w:val="20"/>
          <w:szCs w:val="20"/>
        </w:rPr>
        <w:t xml:space="preserve"> Security Law or other legislation, our revenue and business in the region will be adversely affected. In addition, in connection with the war in Ukraine in the first quarter of 2022, access to Facebook and Instagram was restricted in Russia and the servic</w:t>
      </w:r>
      <w:r>
        <w:rPr>
          <w:rFonts w:ascii="Times New Roman" w:eastAsia="宋体" w:hAnsi="Times New Roman"/>
          <w:color w:val="000000"/>
          <w:sz w:val="20"/>
          <w:szCs w:val="20"/>
        </w:rPr>
        <w:t>es were then prohibited by the Russian government, which has adversely affected, and will likely continue to adversely affect, our revenue and business in the region. It is also possible that government authorities could take action that impairs our abilit</w:t>
      </w:r>
      <w:r>
        <w:rPr>
          <w:rFonts w:ascii="Times New Roman" w:eastAsia="宋体" w:hAnsi="Times New Roman"/>
          <w:color w:val="000000"/>
          <w:sz w:val="20"/>
          <w:szCs w:val="20"/>
        </w:rPr>
        <w:t>y to sell advertising, including in countries where access to our consumer-facing products may be blocked or restricted. For example, we generate meaningful revenue from a limited number of resellers serving advertisers based in China, and it is possible t</w:t>
      </w:r>
      <w:r>
        <w:rPr>
          <w:rFonts w:ascii="Times New Roman" w:eastAsia="宋体" w:hAnsi="Times New Roman"/>
          <w:color w:val="000000"/>
          <w:sz w:val="20"/>
          <w:szCs w:val="20"/>
        </w:rPr>
        <w:t>hat the Chinese government could take action that reduces or eliminates our China-based advertising revenue, whether as a result of the trade dispute with the United States, in response to content issues or information requests in Hong Kong or elsewhere, o</w:t>
      </w:r>
      <w:r>
        <w:rPr>
          <w:rFonts w:ascii="Times New Roman" w:eastAsia="宋体" w:hAnsi="Times New Roman"/>
          <w:color w:val="000000"/>
          <w:sz w:val="20"/>
          <w:szCs w:val="20"/>
        </w:rPr>
        <w:t>r for other reasons, or take other action against us, such as imposing taxes or other penalties, which could adversely affect our financial results. Similarly, if we are found to be out of compliance with certain legal requirements for social media compani</w:t>
      </w:r>
      <w:r>
        <w:rPr>
          <w:rFonts w:ascii="Times New Roman" w:eastAsia="宋体" w:hAnsi="Times New Roman"/>
          <w:color w:val="000000"/>
          <w:sz w:val="20"/>
          <w:szCs w:val="20"/>
        </w:rPr>
        <w:t>es in Turkey, the Turkish government could take action to reduce or eliminate our Turkey-based advertising revenue or otherwise adversely impact access to our products. In the event that content shown on Facebook or our other products is subject to censors</w:t>
      </w:r>
      <w:r>
        <w:rPr>
          <w:rFonts w:ascii="Times New Roman" w:eastAsia="宋体" w:hAnsi="Times New Roman"/>
          <w:color w:val="000000"/>
          <w:sz w:val="20"/>
          <w:szCs w:val="20"/>
        </w:rPr>
        <w:t>hip, access to our products is restricted, in whole or in part, in one or more countries, we are required to or elect to make changes to our operations, or other restrictions are imposed on our products, or our competitors are able to successfully penetrat</w:t>
      </w:r>
      <w:r>
        <w:rPr>
          <w:rFonts w:ascii="Times New Roman" w:eastAsia="宋体" w:hAnsi="Times New Roman"/>
          <w:color w:val="000000"/>
          <w:sz w:val="20"/>
          <w:szCs w:val="20"/>
        </w:rPr>
        <w:t xml:space="preserve">e new geographic markets or capture a greater share of existing geographic markets that we cannot access or where we face other restrictions, our ability to retain or increase our user base, user engagement, or the level of advertising by marketers may be </w:t>
      </w:r>
      <w:r>
        <w:rPr>
          <w:rFonts w:ascii="Times New Roman" w:eastAsia="宋体" w:hAnsi="Times New Roman"/>
          <w:color w:val="000000"/>
          <w:sz w:val="20"/>
          <w:szCs w:val="20"/>
        </w:rPr>
        <w:t>adversely affected, we may not be able to maintain or grow our revenue as anticipated, and our financial results could be adversely affected.</w:t>
      </w:r>
    </w:p>
    <w:p w14:paraId="5CD8E204" w14:textId="77777777" w:rsidR="00BA49F5" w:rsidRDefault="00BA49F5">
      <w:pPr>
        <w:jc w:val="both"/>
      </w:pPr>
    </w:p>
    <w:p w14:paraId="5CD8E205" w14:textId="77777777" w:rsidR="00BA49F5" w:rsidRDefault="007E5E49">
      <w:pPr>
        <w:jc w:val="both"/>
      </w:pPr>
      <w:r>
        <w:rPr>
          <w:rFonts w:ascii="Times New Roman" w:eastAsia="宋体" w:hAnsi="Times New Roman"/>
          <w:b/>
          <w:bCs/>
          <w:i/>
          <w:iCs/>
          <w:color w:val="000000"/>
          <w:sz w:val="20"/>
          <w:szCs w:val="20"/>
        </w:rPr>
        <w:t>Our business is subject to complex and evolving U.S. and foreign laws and regulations regarding privacy, data use</w:t>
      </w:r>
      <w:r>
        <w:rPr>
          <w:rFonts w:ascii="Times New Roman" w:eastAsia="宋体" w:hAnsi="Times New Roman"/>
          <w:b/>
          <w:bCs/>
          <w:i/>
          <w:iCs/>
          <w:color w:val="000000"/>
          <w:sz w:val="20"/>
          <w:szCs w:val="20"/>
        </w:rPr>
        <w:t xml:space="preserve"> and data protection, content, competition, safety and consumer protection, e-commerce, and other matters. Many of these laws and regulations are subject to change and uncertain interpretation, and could result in claims, changes to our products and busine</w:t>
      </w:r>
      <w:r>
        <w:rPr>
          <w:rFonts w:ascii="Times New Roman" w:eastAsia="宋体" w:hAnsi="Times New Roman"/>
          <w:b/>
          <w:bCs/>
          <w:i/>
          <w:iCs/>
          <w:color w:val="000000"/>
          <w:sz w:val="20"/>
          <w:szCs w:val="20"/>
        </w:rPr>
        <w:t>ss practices, monetary penalties, increased cost of operations, or declines in user growth or engagement, or otherwise harm our business.</w:t>
      </w:r>
    </w:p>
    <w:p w14:paraId="5CD8E206" w14:textId="77777777" w:rsidR="00BA49F5" w:rsidRDefault="00BA49F5">
      <w:pPr>
        <w:jc w:val="both"/>
      </w:pPr>
    </w:p>
    <w:p w14:paraId="5CD8E207" w14:textId="77777777" w:rsidR="00BA49F5" w:rsidRDefault="007E5E49">
      <w:pPr>
        <w:ind w:firstLine="540"/>
        <w:jc w:val="both"/>
      </w:pPr>
      <w:r>
        <w:rPr>
          <w:rFonts w:ascii="Times New Roman" w:eastAsia="宋体" w:hAnsi="Times New Roman"/>
          <w:color w:val="000000"/>
          <w:sz w:val="20"/>
          <w:szCs w:val="20"/>
        </w:rPr>
        <w:t>We are subject to a variety of laws and regulations in the United States and abroad that involve matters central to o</w:t>
      </w:r>
      <w:r>
        <w:rPr>
          <w:rFonts w:ascii="Times New Roman" w:eastAsia="宋体" w:hAnsi="Times New Roman"/>
          <w:color w:val="000000"/>
          <w:sz w:val="20"/>
          <w:szCs w:val="20"/>
        </w:rPr>
        <w:t>ur business, including privacy, data use, data protection and personal information, biometrics, encryption, rights of publicity, content, integrity, intellectual property, advertising, marketing, distribution, data security, data retention and deletion, da</w:t>
      </w:r>
      <w:r>
        <w:rPr>
          <w:rFonts w:ascii="Times New Roman" w:eastAsia="宋体" w:hAnsi="Times New Roman"/>
          <w:color w:val="000000"/>
          <w:sz w:val="20"/>
          <w:szCs w:val="20"/>
        </w:rPr>
        <w:t>ta localization and storage, data disclosure, artificial intelligence and machine learning, electronic contracts and other communications, competition, protection of minors, consumer protection, civil rights, accessibility, telecommunications, product liab</w:t>
      </w:r>
      <w:r>
        <w:rPr>
          <w:rFonts w:ascii="Times New Roman" w:eastAsia="宋体" w:hAnsi="Times New Roman"/>
          <w:color w:val="000000"/>
          <w:sz w:val="20"/>
          <w:szCs w:val="20"/>
        </w:rPr>
        <w:t>ility, e-commerce, taxation, economic or other trade controls including sanctions, anti-corruption and political law compliance, securities law compliance, and online payment services. The introduction of new products, expansion of our activities in certai</w:t>
      </w:r>
      <w:r>
        <w:rPr>
          <w:rFonts w:ascii="Times New Roman" w:eastAsia="宋体" w:hAnsi="Times New Roman"/>
          <w:color w:val="000000"/>
          <w:sz w:val="20"/>
          <w:szCs w:val="20"/>
        </w:rPr>
        <w:t>n jurisdictions, or other actions that we may take may subject us to additional laws, regulations, or other government scrutiny. In addition, foreign data protection, privacy, content, competition, consumer protection, and other laws and regulations can im</w:t>
      </w:r>
      <w:r>
        <w:rPr>
          <w:rFonts w:ascii="Times New Roman" w:eastAsia="宋体" w:hAnsi="Times New Roman"/>
          <w:color w:val="000000"/>
          <w:sz w:val="20"/>
          <w:szCs w:val="20"/>
        </w:rPr>
        <w:t>pose different obligations or be more restrictive than those in the United States.</w:t>
      </w:r>
    </w:p>
    <w:p w14:paraId="5CD8E208" w14:textId="77777777" w:rsidR="00BA49F5" w:rsidRDefault="00BA49F5">
      <w:pPr>
        <w:ind w:firstLine="540"/>
        <w:jc w:val="both"/>
      </w:pPr>
    </w:p>
    <w:p w14:paraId="5CD8E209" w14:textId="77777777" w:rsidR="00BA49F5" w:rsidRDefault="007E5E49">
      <w:pPr>
        <w:ind w:firstLine="540"/>
        <w:jc w:val="both"/>
      </w:pPr>
      <w:r>
        <w:rPr>
          <w:rFonts w:ascii="Times New Roman" w:eastAsia="宋体" w:hAnsi="Times New Roman"/>
          <w:color w:val="000000"/>
          <w:sz w:val="20"/>
          <w:szCs w:val="20"/>
        </w:rPr>
        <w:t>These U.S. federal, state, and foreign laws and regulations, which in some cases can be enforced by private parties in addition to government entities, are constantly evolv</w:t>
      </w:r>
      <w:r>
        <w:rPr>
          <w:rFonts w:ascii="Times New Roman" w:eastAsia="宋体" w:hAnsi="Times New Roman"/>
          <w:color w:val="000000"/>
          <w:sz w:val="20"/>
          <w:szCs w:val="20"/>
        </w:rPr>
        <w:t>ing and can be subject to significant change. As a result, the application, interpretation, and enforcement of these laws and regulations are often uncertain, particularly in the new and rapidly evolving industry in which we operate, and may be interpreted</w:t>
      </w:r>
      <w:r>
        <w:rPr>
          <w:rFonts w:ascii="Times New Roman" w:eastAsia="宋体" w:hAnsi="Times New Roman"/>
          <w:color w:val="000000"/>
          <w:sz w:val="20"/>
          <w:szCs w:val="20"/>
        </w:rPr>
        <w:t xml:space="preserve"> and applied inconsistently from jurisdiction to jurisdiction and inconsistently with our current policies and practices. For example, regulatory or legislative actions or litigation affecting the manner in which we display content to our users, moderate c</w:t>
      </w:r>
      <w:r>
        <w:rPr>
          <w:rFonts w:ascii="Times New Roman" w:eastAsia="宋体" w:hAnsi="Times New Roman"/>
          <w:color w:val="000000"/>
          <w:sz w:val="20"/>
          <w:szCs w:val="20"/>
        </w:rPr>
        <w:t>ontent, or obtain consent to various practices could adversely affect user growth and engagement. Such actions could affect the manner in which we provide our services or adversely affect our financial results.</w:t>
      </w:r>
    </w:p>
    <w:p w14:paraId="5CD8E20A" w14:textId="77777777" w:rsidR="00BA49F5" w:rsidRDefault="00BA49F5">
      <w:pPr>
        <w:ind w:firstLine="540"/>
        <w:jc w:val="both"/>
      </w:pPr>
    </w:p>
    <w:p w14:paraId="5CD8E20B" w14:textId="77777777" w:rsidR="00BA49F5" w:rsidRDefault="007E5E49">
      <w:pPr>
        <w:ind w:firstLine="540"/>
        <w:jc w:val="both"/>
      </w:pPr>
      <w:r>
        <w:rPr>
          <w:rFonts w:ascii="Times New Roman" w:eastAsia="宋体" w:hAnsi="Times New Roman"/>
          <w:color w:val="000000"/>
          <w:sz w:val="20"/>
          <w:szCs w:val="20"/>
        </w:rPr>
        <w:t>We are also subject to evolving laws and reg</w:t>
      </w:r>
      <w:r>
        <w:rPr>
          <w:rFonts w:ascii="Times New Roman" w:eastAsia="宋体" w:hAnsi="Times New Roman"/>
          <w:color w:val="000000"/>
          <w:sz w:val="20"/>
          <w:szCs w:val="20"/>
        </w:rPr>
        <w:t>ulations that dictate whether, how, and under what circumstances we can transfer, process and/or receive certain data that is critical to our operations, including data shared between countries or regions in which we operate and data shared among our produ</w:t>
      </w:r>
      <w:r>
        <w:rPr>
          <w:rFonts w:ascii="Times New Roman" w:eastAsia="宋体" w:hAnsi="Times New Roman"/>
          <w:color w:val="000000"/>
          <w:sz w:val="20"/>
          <w:szCs w:val="20"/>
        </w:rPr>
        <w:t>cts and services. For example, in 2016, the European Union and United States agreed to a transfer framework for data transferred from the European Union to the United States, called the Privacy Shield, but the Privacy Shield was invalidated in July 2020 by</w:t>
      </w:r>
      <w:r>
        <w:rPr>
          <w:rFonts w:ascii="Times New Roman" w:eastAsia="宋体" w:hAnsi="Times New Roman"/>
          <w:color w:val="000000"/>
          <w:sz w:val="20"/>
          <w:szCs w:val="20"/>
        </w:rPr>
        <w:t xml:space="preserve"> the Court of Justice of the European Union (CJEU). In addition, the other bases upon which Meta relies to transfer such data, such as Standard Contractual Clauses (SCCs), have been subjected to regulatory and judicial scrutiny. For example, the CJEU consi</w:t>
      </w:r>
      <w:r>
        <w:rPr>
          <w:rFonts w:ascii="Times New Roman" w:eastAsia="宋体" w:hAnsi="Times New Roman"/>
          <w:color w:val="000000"/>
          <w:sz w:val="20"/>
          <w:szCs w:val="20"/>
        </w:rPr>
        <w:t>dered the validity of SCCs as a basis to transfer user data from the European Union to the United States following a challenge brought by the Irish Data Protection Commission (IDPC). Although the CJEU upheld the validity of SCCs in July 2020, our continued</w:t>
      </w:r>
      <w:r>
        <w:rPr>
          <w:rFonts w:ascii="Times New Roman" w:eastAsia="宋体" w:hAnsi="Times New Roman"/>
          <w:color w:val="000000"/>
          <w:sz w:val="20"/>
          <w:szCs w:val="20"/>
        </w:rPr>
        <w:t xml:space="preserve"> reliance on </w:t>
      </w:r>
    </w:p>
    <w:p w14:paraId="5CD8E20C" w14:textId="77777777" w:rsidR="00BA49F5" w:rsidRDefault="007E5E49">
      <w:pPr>
        <w:jc w:val="center"/>
      </w:pPr>
      <w:r>
        <w:rPr>
          <w:rFonts w:ascii="Times New Roman" w:eastAsia="宋体" w:hAnsi="Times New Roman"/>
          <w:color w:val="000000"/>
          <w:sz w:val="20"/>
          <w:szCs w:val="20"/>
        </w:rPr>
        <w:t>37</w:t>
      </w:r>
    </w:p>
    <w:p w14:paraId="5CD8E20D" w14:textId="77777777" w:rsidR="00BA49F5" w:rsidRDefault="007E5E49">
      <w:r>
        <w:pict w14:anchorId="5CD90CF0">
          <v:rect id="_x0000_i1061" style="width:415.3pt;height:1.5pt" o:hralign="center" o:hrstd="t" o:hr="t" fillcolor="#a0a0a0" stroked="f"/>
        </w:pict>
      </w:r>
    </w:p>
    <w:p w14:paraId="5CD8E20E" w14:textId="77777777" w:rsidR="00BA49F5" w:rsidRDefault="00BA49F5"/>
    <w:p w14:paraId="5CD8E20F" w14:textId="77777777" w:rsidR="00BA49F5" w:rsidRDefault="00BA49F5"/>
    <w:p w14:paraId="5CD8E210" w14:textId="77777777" w:rsidR="00BA49F5" w:rsidRDefault="007E5E49">
      <w:hyperlink r:id="rId154" w:anchor="i6df229dad1864210ab76200083e26819_7" w:history="1">
        <w:r>
          <w:rPr>
            <w:rStyle w:val="a5"/>
            <w:rFonts w:ascii="Times New Roman" w:eastAsia="宋体" w:hAnsi="Times New Roman"/>
            <w:sz w:val="20"/>
            <w:szCs w:val="20"/>
          </w:rPr>
          <w:t>T</w:t>
        </w:r>
      </w:hyperlink>
      <w:hyperlink r:id="rId155" w:anchor="i6df229dad1864210ab76200083e26819_7" w:history="1">
        <w:r>
          <w:rPr>
            <w:rStyle w:val="a5"/>
            <w:rFonts w:ascii="Times New Roman" w:eastAsia="宋体" w:hAnsi="Times New Roman"/>
            <w:sz w:val="20"/>
            <w:szCs w:val="20"/>
          </w:rPr>
          <w:t>able of Contents</w:t>
        </w:r>
      </w:hyperlink>
    </w:p>
    <w:p w14:paraId="5CD8E211" w14:textId="77777777" w:rsidR="00BA49F5" w:rsidRDefault="007E5E49">
      <w:pPr>
        <w:jc w:val="both"/>
      </w:pPr>
      <w:r>
        <w:rPr>
          <w:rFonts w:ascii="Times New Roman" w:eastAsia="宋体" w:hAnsi="Times New Roman"/>
          <w:color w:val="000000"/>
          <w:sz w:val="20"/>
          <w:szCs w:val="20"/>
        </w:rPr>
        <w:t>SCCs will be the subject of future regulatory consideration. In particular, in August 2020, we received a preliminary draft decision from the IDPC that preliminarily concluded that Meta Pl</w:t>
      </w:r>
      <w:r>
        <w:rPr>
          <w:rFonts w:ascii="Times New Roman" w:eastAsia="宋体" w:hAnsi="Times New Roman"/>
          <w:color w:val="000000"/>
          <w:sz w:val="20"/>
          <w:szCs w:val="20"/>
        </w:rPr>
        <w:t xml:space="preserve">atforms Ireland's reliance on SCCs in respect of European Union/European Economic Area Facebook user data does not achieve compliance with the GDPR and preliminarily proposed that such transfers should therefore be suspended. In February 2022, we received </w:t>
      </w:r>
      <w:r>
        <w:rPr>
          <w:rFonts w:ascii="Times New Roman" w:eastAsia="宋体" w:hAnsi="Times New Roman"/>
          <w:color w:val="000000"/>
          <w:sz w:val="20"/>
          <w:szCs w:val="20"/>
        </w:rPr>
        <w:t>a revised preliminary draft decision in which the IDPC maintained its preliminary conclusion that these transfers should be suspended. The IDPC's draft decision was then further refined and shared on July 6, 2022 with other European data protection regulat</w:t>
      </w:r>
      <w:r>
        <w:rPr>
          <w:rFonts w:ascii="Times New Roman" w:eastAsia="宋体" w:hAnsi="Times New Roman"/>
          <w:color w:val="000000"/>
          <w:sz w:val="20"/>
          <w:szCs w:val="20"/>
        </w:rPr>
        <w:t>ors (CSAs) as part of the GDPR's consistency mechanism. Separately, on March 25, 2022, the European Union and United States announced that they had reached an agreement in principle on a new EU-U.S. Data Privacy Framework (EU-U.S. DPF). On October 7, 2022,</w:t>
      </w:r>
      <w:r>
        <w:rPr>
          <w:rFonts w:ascii="Times New Roman" w:eastAsia="宋体" w:hAnsi="Times New Roman"/>
          <w:color w:val="000000"/>
          <w:sz w:val="20"/>
          <w:szCs w:val="20"/>
        </w:rPr>
        <w:t xml:space="preserve"> President Biden signed the Executive Order on Enhancing Safeguards for United States Signals Intelligence Activities (E.O.), and on December 13, 2022, the European Commission published its draft adequacy decision on the proposed new EU-U.S. DPF. On Januar</w:t>
      </w:r>
      <w:r>
        <w:rPr>
          <w:rFonts w:ascii="Times New Roman" w:eastAsia="宋体" w:hAnsi="Times New Roman"/>
          <w:color w:val="000000"/>
          <w:sz w:val="20"/>
          <w:szCs w:val="20"/>
        </w:rPr>
        <w:t>y 19, 2023, the IDPC referred the inquiry to a vote by the European Data Protection Board (EDPB), pursuant to the dispute resolution process under Article 65 GDPR, in respect of elements of the draft decision over which consensus could not be reached betwe</w:t>
      </w:r>
      <w:r>
        <w:rPr>
          <w:rFonts w:ascii="Times New Roman" w:eastAsia="宋体" w:hAnsi="Times New Roman"/>
          <w:color w:val="000000"/>
          <w:sz w:val="20"/>
          <w:szCs w:val="20"/>
        </w:rPr>
        <w:t>en concerned supervisory authorities. We believe a final decision in this inquiry may issue as early as the first quarter of 2023. Although the E.O. is a significant and positive step, if no adequacy decision is adopted by the European Commission and we ar</w:t>
      </w:r>
      <w:r>
        <w:rPr>
          <w:rFonts w:ascii="Times New Roman" w:eastAsia="宋体" w:hAnsi="Times New Roman"/>
          <w:color w:val="000000"/>
          <w:sz w:val="20"/>
          <w:szCs w:val="20"/>
        </w:rPr>
        <w:t>e unable to continue to rely on SCCs or rely upon other alternative means of data transfers from the European Union to the United States, we will likely be unable to offer a number of our most significant products and services, including Facebook and Insta</w:t>
      </w:r>
      <w:r>
        <w:rPr>
          <w:rFonts w:ascii="Times New Roman" w:eastAsia="宋体" w:hAnsi="Times New Roman"/>
          <w:color w:val="000000"/>
          <w:sz w:val="20"/>
          <w:szCs w:val="20"/>
        </w:rPr>
        <w:t xml:space="preserve">gram, in Europe, which would materially and adversely affect our business, financial condition, and results of operations. In addition, we have been managing investigations and lawsuits in Europe, India, and other jurisdictions regarding the 2016 and 2021 </w:t>
      </w:r>
      <w:r>
        <w:rPr>
          <w:rFonts w:ascii="Times New Roman" w:eastAsia="宋体" w:hAnsi="Times New Roman"/>
          <w:color w:val="000000"/>
          <w:sz w:val="20"/>
          <w:szCs w:val="20"/>
        </w:rPr>
        <w:t>updates to WhatsApp's terms of service and privacy policy and its sharing of certain data with other Meta products and services, including a lawsuit currently pending before the Supreme Court of India. If we are unable to transfer data between and among co</w:t>
      </w:r>
      <w:r>
        <w:rPr>
          <w:rFonts w:ascii="Times New Roman" w:eastAsia="宋体" w:hAnsi="Times New Roman"/>
          <w:color w:val="000000"/>
          <w:sz w:val="20"/>
          <w:szCs w:val="20"/>
        </w:rPr>
        <w:t>untries and regions in which we operate, or if we are restricted from sharing data among our products and services, it could affect our ability to provide our services, the manner in which we provide our services or our ability to target ads, which could a</w:t>
      </w:r>
      <w:r>
        <w:rPr>
          <w:rFonts w:ascii="Times New Roman" w:eastAsia="宋体" w:hAnsi="Times New Roman"/>
          <w:color w:val="000000"/>
          <w:sz w:val="20"/>
          <w:szCs w:val="20"/>
        </w:rPr>
        <w:t>dversely affect our financial results.</w:t>
      </w:r>
    </w:p>
    <w:p w14:paraId="5CD8E212" w14:textId="77777777" w:rsidR="00BA49F5" w:rsidRDefault="00BA49F5">
      <w:pPr>
        <w:ind w:firstLine="540"/>
        <w:jc w:val="both"/>
      </w:pPr>
    </w:p>
    <w:p w14:paraId="5CD8E213" w14:textId="77777777" w:rsidR="00BA49F5" w:rsidRDefault="007E5E49">
      <w:pPr>
        <w:ind w:firstLine="540"/>
        <w:jc w:val="both"/>
      </w:pPr>
      <w:r>
        <w:rPr>
          <w:rFonts w:ascii="Times New Roman" w:eastAsia="宋体" w:hAnsi="Times New Roman"/>
          <w:color w:val="000000"/>
          <w:sz w:val="20"/>
          <w:szCs w:val="20"/>
        </w:rPr>
        <w:t>We have been subject to other significant legislative and regulatory developments in the past, and proposed or new legislation and regulations could significantly affect our business in the future. For example, we ha</w:t>
      </w:r>
      <w:r>
        <w:rPr>
          <w:rFonts w:ascii="Times New Roman" w:eastAsia="宋体" w:hAnsi="Times New Roman"/>
          <w:color w:val="000000"/>
          <w:sz w:val="20"/>
          <w:szCs w:val="20"/>
        </w:rPr>
        <w:t xml:space="preserve">ve implemented a number of product changes and controls as a result of requirements under the European General Data Protection Regulation (GDPR), and may implement additional changes in the future. The GDPR also requires submission of personal data breach </w:t>
      </w:r>
      <w:r>
        <w:rPr>
          <w:rFonts w:ascii="Times New Roman" w:eastAsia="宋体" w:hAnsi="Times New Roman"/>
          <w:color w:val="000000"/>
          <w:sz w:val="20"/>
          <w:szCs w:val="20"/>
        </w:rPr>
        <w:t>notifications to our lead European Union privacy regulator, the IDPC, and includes significant penalties for non-compliance with the notification obligation as well as other requirements of the regulation. The interpretation of the GDPR is still evolving a</w:t>
      </w:r>
      <w:r>
        <w:rPr>
          <w:rFonts w:ascii="Times New Roman" w:eastAsia="宋体" w:hAnsi="Times New Roman"/>
          <w:color w:val="000000"/>
          <w:sz w:val="20"/>
          <w:szCs w:val="20"/>
        </w:rPr>
        <w:t>nd draft decisions in investigations by the IDPC are subject to review by other European privacy regulators as part of the GDPR's consistency mechanism, which may lead to significant changes in the final outcome of such investigations. As a result, the int</w:t>
      </w:r>
      <w:r>
        <w:rPr>
          <w:rFonts w:ascii="Times New Roman" w:eastAsia="宋体" w:hAnsi="Times New Roman"/>
          <w:color w:val="000000"/>
          <w:sz w:val="20"/>
          <w:szCs w:val="20"/>
        </w:rPr>
        <w:t>erpretation and enforcement of the GDPR, as well as the imposition and amount of penalties for non-compliance, are subject to significant uncertainty. In addition, Brazil, the United Kingdom, and other countries have enacted similar data protection regulat</w:t>
      </w:r>
      <w:r>
        <w:rPr>
          <w:rFonts w:ascii="Times New Roman" w:eastAsia="宋体" w:hAnsi="Times New Roman"/>
          <w:color w:val="000000"/>
          <w:sz w:val="20"/>
          <w:szCs w:val="20"/>
        </w:rPr>
        <w:t>ions imposing data privacy-related requirements on products and services offered to users in their respective jurisdictions. The California Consumer Privacy Act (CCPA), as amended by the California Privacy Rights Act (CPRA), also establishes certain transp</w:t>
      </w:r>
      <w:r>
        <w:rPr>
          <w:rFonts w:ascii="Times New Roman" w:eastAsia="宋体" w:hAnsi="Times New Roman"/>
          <w:color w:val="000000"/>
          <w:sz w:val="20"/>
          <w:szCs w:val="20"/>
        </w:rPr>
        <w:t>arency rules and create new data privacy rights for users, including limitations on our use of certain sensitive personal information and more ability for users to control the purposes for which their data is shared with third parties. Other states have pr</w:t>
      </w:r>
      <w:r>
        <w:rPr>
          <w:rFonts w:ascii="Times New Roman" w:eastAsia="宋体" w:hAnsi="Times New Roman"/>
          <w:color w:val="000000"/>
          <w:sz w:val="20"/>
          <w:szCs w:val="20"/>
        </w:rPr>
        <w:t>oposed or enacted similar comprehensive privacy laws that afford users with similar data privacy rights and controls. These laws and regulations are evolving and subject to interpretation, and resulting limitations on our advertising services, or reduction</w:t>
      </w:r>
      <w:r>
        <w:rPr>
          <w:rFonts w:ascii="Times New Roman" w:eastAsia="宋体" w:hAnsi="Times New Roman"/>
          <w:color w:val="000000"/>
          <w:sz w:val="20"/>
          <w:szCs w:val="20"/>
        </w:rPr>
        <w:t>s of advertising by marketers, have to some extent adversely affected, and will continue to adversely affect, our advertising business. For example, state regulators in California and Colorado are considering adopting regulations that could further limit h</w:t>
      </w:r>
      <w:r>
        <w:rPr>
          <w:rFonts w:ascii="Times New Roman" w:eastAsia="宋体" w:hAnsi="Times New Roman"/>
          <w:color w:val="000000"/>
          <w:sz w:val="20"/>
          <w:szCs w:val="20"/>
        </w:rPr>
        <w:t>ow companies can use personal information for advertising purposes. In Europe, regulators continue to issue guidance concerning the ePrivacy Directive's requirements regarding the use of cookies and similar technologies, and may impose specific measures in</w:t>
      </w:r>
      <w:r>
        <w:rPr>
          <w:rFonts w:ascii="Times New Roman" w:eastAsia="宋体" w:hAnsi="Times New Roman"/>
          <w:color w:val="000000"/>
          <w:sz w:val="20"/>
          <w:szCs w:val="20"/>
        </w:rPr>
        <w:t xml:space="preserve"> the future which could directly impact our use of such technologies. In addition, the ePrivacy Directive and national implementation laws impose additional limitations on the use of data across messaging products and include significant penalties for non-</w:t>
      </w:r>
      <w:r>
        <w:rPr>
          <w:rFonts w:ascii="Times New Roman" w:eastAsia="宋体" w:hAnsi="Times New Roman"/>
          <w:color w:val="000000"/>
          <w:sz w:val="20"/>
          <w:szCs w:val="20"/>
        </w:rPr>
        <w:t>compliance. Changes to our products or business practices as a result of these or similar developments have in the past adversely affected, and may in the future adversely affect, our advertising business. Similarly, there are a number of legislative propo</w:t>
      </w:r>
      <w:r>
        <w:rPr>
          <w:rFonts w:ascii="Times New Roman" w:eastAsia="宋体" w:hAnsi="Times New Roman"/>
          <w:color w:val="000000"/>
          <w:sz w:val="20"/>
          <w:szCs w:val="20"/>
        </w:rPr>
        <w:t>sals or recently enacted laws in the European Union, the United States, at both the federal and state level, as well as other jurisdictions that could impose new obligations or limitations in areas affecting our business. For example, the DMA in the Europe</w:t>
      </w:r>
      <w:r>
        <w:rPr>
          <w:rFonts w:ascii="Times New Roman" w:eastAsia="宋体" w:hAnsi="Times New Roman"/>
          <w:color w:val="000000"/>
          <w:sz w:val="20"/>
          <w:szCs w:val="20"/>
        </w:rPr>
        <w:t>an Union imposes new restrictions and requirements on companies like ours, including in areas such as the combination of data across services, mergers and acquisitions, and product design. The DMA also includes significant penalties for non-compliance, and</w:t>
      </w:r>
      <w:r>
        <w:rPr>
          <w:rFonts w:ascii="Times New Roman" w:eastAsia="宋体" w:hAnsi="Times New Roman"/>
          <w:color w:val="000000"/>
          <w:sz w:val="20"/>
          <w:szCs w:val="20"/>
        </w:rPr>
        <w:t xml:space="preserve"> its key requirements will be enforceable against designated gatekeeper companies in early 2024. We expect the DMA will cause us to incur significant compliance costs and make additional changes to our products or business practices. The requirements under</w:t>
      </w:r>
      <w:r>
        <w:rPr>
          <w:rFonts w:ascii="Times New Roman" w:eastAsia="宋体" w:hAnsi="Times New Roman"/>
          <w:color w:val="000000"/>
          <w:sz w:val="20"/>
          <w:szCs w:val="20"/>
        </w:rPr>
        <w:t xml:space="preserve"> the DMA will likely be subject to further interpretation and regulatory engagement. Pending or future proposals to </w:t>
      </w:r>
    </w:p>
    <w:p w14:paraId="5CD8E214" w14:textId="77777777" w:rsidR="00BA49F5" w:rsidRDefault="007E5E49">
      <w:pPr>
        <w:jc w:val="center"/>
      </w:pPr>
      <w:r>
        <w:rPr>
          <w:rFonts w:ascii="Times New Roman" w:eastAsia="宋体" w:hAnsi="Times New Roman"/>
          <w:color w:val="000000"/>
          <w:sz w:val="20"/>
          <w:szCs w:val="20"/>
        </w:rPr>
        <w:t>38</w:t>
      </w:r>
    </w:p>
    <w:p w14:paraId="5CD8E215" w14:textId="77777777" w:rsidR="00BA49F5" w:rsidRDefault="007E5E49">
      <w:r>
        <w:pict w14:anchorId="5CD90CF1">
          <v:rect id="_x0000_i1062" style="width:415.3pt;height:1.5pt" o:hralign="center" o:hrstd="t" o:hr="t" fillcolor="#a0a0a0" stroked="f"/>
        </w:pict>
      </w:r>
    </w:p>
    <w:p w14:paraId="5CD8E216" w14:textId="77777777" w:rsidR="00BA49F5" w:rsidRDefault="00BA49F5"/>
    <w:p w14:paraId="5CD8E217" w14:textId="77777777" w:rsidR="00BA49F5" w:rsidRDefault="00BA49F5"/>
    <w:p w14:paraId="5CD8E218" w14:textId="77777777" w:rsidR="00BA49F5" w:rsidRDefault="007E5E49">
      <w:hyperlink r:id="rId156" w:anchor="i6df229dad1864210ab76200083e26819_7" w:history="1">
        <w:r>
          <w:rPr>
            <w:rStyle w:val="a5"/>
            <w:rFonts w:ascii="Times New Roman" w:eastAsia="宋体" w:hAnsi="Times New Roman"/>
            <w:sz w:val="20"/>
            <w:szCs w:val="20"/>
          </w:rPr>
          <w:t>T</w:t>
        </w:r>
      </w:hyperlink>
      <w:hyperlink r:id="rId157" w:anchor="i6df229dad1864210ab76200083e26819_7" w:history="1">
        <w:r>
          <w:rPr>
            <w:rStyle w:val="a5"/>
            <w:rFonts w:ascii="Times New Roman" w:eastAsia="宋体" w:hAnsi="Times New Roman"/>
            <w:sz w:val="20"/>
            <w:szCs w:val="20"/>
          </w:rPr>
          <w:t>able of Contents</w:t>
        </w:r>
      </w:hyperlink>
    </w:p>
    <w:p w14:paraId="5CD8E219" w14:textId="77777777" w:rsidR="00BA49F5" w:rsidRDefault="007E5E49">
      <w:pPr>
        <w:jc w:val="both"/>
      </w:pPr>
      <w:r>
        <w:rPr>
          <w:rFonts w:ascii="Times New Roman" w:eastAsia="宋体" w:hAnsi="Times New Roman"/>
          <w:color w:val="000000"/>
          <w:sz w:val="20"/>
          <w:szCs w:val="20"/>
        </w:rPr>
        <w:t>modify competition laws in the United States and other jurisdict</w:t>
      </w:r>
      <w:r>
        <w:rPr>
          <w:rFonts w:ascii="Times New Roman" w:eastAsia="宋体" w:hAnsi="Times New Roman"/>
          <w:color w:val="000000"/>
          <w:sz w:val="20"/>
          <w:szCs w:val="20"/>
        </w:rPr>
        <w:t>ions could have similar effects. Further, the Digital Services Act (DSA) in the European Union, which will apply to our business as early as June 2023, will impose new restrictions and requirements for our products and services and may significantly increa</w:t>
      </w:r>
      <w:r>
        <w:rPr>
          <w:rFonts w:ascii="Times New Roman" w:eastAsia="宋体" w:hAnsi="Times New Roman"/>
          <w:color w:val="000000"/>
          <w:sz w:val="20"/>
          <w:szCs w:val="20"/>
        </w:rPr>
        <w:t xml:space="preserve">se our compliance costs. The DSA also includes significant penalties for non-compliance. In addition, some countries, such as India and Turkey, are considering or have passed legislation implementing data protection requirements or requiring local storage </w:t>
      </w:r>
      <w:r>
        <w:rPr>
          <w:rFonts w:ascii="Times New Roman" w:eastAsia="宋体" w:hAnsi="Times New Roman"/>
          <w:color w:val="000000"/>
          <w:sz w:val="20"/>
          <w:szCs w:val="20"/>
        </w:rPr>
        <w:t xml:space="preserve">and processing of data or similar requirements that could increase the cost and complexity of delivering our services, cause us to cease the offering of our products and services in certain countries, or result in fines or other penalties. New legislation </w:t>
      </w:r>
      <w:r>
        <w:rPr>
          <w:rFonts w:ascii="Times New Roman" w:eastAsia="宋体" w:hAnsi="Times New Roman"/>
          <w:color w:val="000000"/>
          <w:sz w:val="20"/>
          <w:szCs w:val="20"/>
        </w:rPr>
        <w:t>or regulatory decisions that restrict our ability to collect and use information about minors may also result in limitations on our advertising services or our ability to offer products and services to minors in certain jurisdictions.</w:t>
      </w:r>
    </w:p>
    <w:p w14:paraId="5CD8E21A" w14:textId="77777777" w:rsidR="00BA49F5" w:rsidRDefault="00BA49F5">
      <w:pPr>
        <w:ind w:firstLine="540"/>
        <w:jc w:val="both"/>
      </w:pPr>
    </w:p>
    <w:p w14:paraId="5CD8E21B" w14:textId="77777777" w:rsidR="00BA49F5" w:rsidRDefault="007E5E49">
      <w:pPr>
        <w:ind w:firstLine="540"/>
        <w:jc w:val="both"/>
      </w:pPr>
      <w:r>
        <w:rPr>
          <w:rFonts w:ascii="Times New Roman" w:eastAsia="宋体" w:hAnsi="Times New Roman"/>
          <w:color w:val="000000"/>
          <w:sz w:val="20"/>
          <w:szCs w:val="20"/>
        </w:rPr>
        <w:t>These laws and regul</w:t>
      </w:r>
      <w:r>
        <w:rPr>
          <w:rFonts w:ascii="Times New Roman" w:eastAsia="宋体" w:hAnsi="Times New Roman"/>
          <w:color w:val="000000"/>
          <w:sz w:val="20"/>
          <w:szCs w:val="20"/>
        </w:rPr>
        <w:t>ations, as well as any associated claims, inquiries, or investigations or any other government actions, have in the past led to, and may in the future lead to, unfavorable outcomes including increased compliance costs, loss of revenue, delays or impediment</w:t>
      </w:r>
      <w:r>
        <w:rPr>
          <w:rFonts w:ascii="Times New Roman" w:eastAsia="宋体" w:hAnsi="Times New Roman"/>
          <w:color w:val="000000"/>
          <w:sz w:val="20"/>
          <w:szCs w:val="20"/>
        </w:rPr>
        <w:t>s in the development of new products, negative publicity and reputational harm, increased operating costs, diversion of management time and attention, and remedies that harm our business, including fines or demands or orders that we modify or cease existin</w:t>
      </w:r>
      <w:r>
        <w:rPr>
          <w:rFonts w:ascii="Times New Roman" w:eastAsia="宋体" w:hAnsi="Times New Roman"/>
          <w:color w:val="000000"/>
          <w:sz w:val="20"/>
          <w:szCs w:val="20"/>
        </w:rPr>
        <w:t>g business practices.</w:t>
      </w:r>
    </w:p>
    <w:p w14:paraId="5CD8E21C" w14:textId="77777777" w:rsidR="00BA49F5" w:rsidRDefault="00BA49F5">
      <w:pPr>
        <w:ind w:firstLine="540"/>
        <w:jc w:val="both"/>
      </w:pPr>
    </w:p>
    <w:p w14:paraId="5CD8E21D" w14:textId="77777777" w:rsidR="00BA49F5" w:rsidRDefault="007E5E49">
      <w:pPr>
        <w:jc w:val="both"/>
      </w:pPr>
      <w:r>
        <w:rPr>
          <w:rFonts w:ascii="Times New Roman" w:eastAsia="宋体" w:hAnsi="Times New Roman"/>
          <w:b/>
          <w:bCs/>
          <w:i/>
          <w:iCs/>
          <w:color w:val="000000"/>
          <w:sz w:val="20"/>
          <w:szCs w:val="20"/>
        </w:rPr>
        <w:t>We have been subject to regulatory and other government investigations, enforcement actions, and settlements, and we expect to continue to be subject to such proceedings and other inquiries in the future, which could cause us to incu</w:t>
      </w:r>
      <w:r>
        <w:rPr>
          <w:rFonts w:ascii="Times New Roman" w:eastAsia="宋体" w:hAnsi="Times New Roman"/>
          <w:b/>
          <w:bCs/>
          <w:i/>
          <w:iCs/>
          <w:color w:val="000000"/>
          <w:sz w:val="20"/>
          <w:szCs w:val="20"/>
        </w:rPr>
        <w:t xml:space="preserve">r substantial costs or require us to change our business practices in a manner materially adverse to our business. </w:t>
      </w:r>
    </w:p>
    <w:p w14:paraId="5CD8E21E" w14:textId="77777777" w:rsidR="00BA49F5" w:rsidRDefault="00BA49F5">
      <w:pPr>
        <w:jc w:val="both"/>
      </w:pPr>
    </w:p>
    <w:p w14:paraId="5CD8E21F" w14:textId="77777777" w:rsidR="00BA49F5" w:rsidRDefault="007E5E49">
      <w:pPr>
        <w:ind w:firstLine="540"/>
        <w:jc w:val="both"/>
      </w:pPr>
      <w:r>
        <w:rPr>
          <w:rFonts w:ascii="Times New Roman" w:eastAsia="宋体" w:hAnsi="Times New Roman"/>
          <w:color w:val="000000"/>
          <w:sz w:val="20"/>
          <w:szCs w:val="20"/>
        </w:rPr>
        <w:t>We receive formal and informal inquiries from government authorities and regulators regarding our compliance with laws and regulations, man</w:t>
      </w:r>
      <w:r>
        <w:rPr>
          <w:rFonts w:ascii="Times New Roman" w:eastAsia="宋体" w:hAnsi="Times New Roman"/>
          <w:color w:val="000000"/>
          <w:sz w:val="20"/>
          <w:szCs w:val="20"/>
        </w:rPr>
        <w:t>y of which are evolving and subject to interpretation. We are and expect to continue to be the subject of investigations, inquiries, data requests, requests for information, actions, and audits in the United States, Europe, and around the world, particular</w:t>
      </w:r>
      <w:r>
        <w:rPr>
          <w:rFonts w:ascii="Times New Roman" w:eastAsia="宋体" w:hAnsi="Times New Roman"/>
          <w:color w:val="000000"/>
          <w:sz w:val="20"/>
          <w:szCs w:val="20"/>
        </w:rPr>
        <w:t>ly in the areas of privacy and data protection, including with respect to minors, law enforcement, consumer protection, civil rights, content moderation, and competition. In addition, we are currently, and may in the future be, subject to regulatory orders</w:t>
      </w:r>
      <w:r>
        <w:rPr>
          <w:rFonts w:ascii="Times New Roman" w:eastAsia="宋体" w:hAnsi="Times New Roman"/>
          <w:color w:val="000000"/>
          <w:sz w:val="20"/>
          <w:szCs w:val="20"/>
        </w:rPr>
        <w:t xml:space="preserve"> or consent decrees. For example, data protection, competition, and consumer protection authorities in the European Union and other jurisdictions have initiated actions, investigations, or administrative orders seeking to restrict the ways in which we coll</w:t>
      </w:r>
      <w:r>
        <w:rPr>
          <w:rFonts w:ascii="Times New Roman" w:eastAsia="宋体" w:hAnsi="Times New Roman"/>
          <w:color w:val="000000"/>
          <w:sz w:val="20"/>
          <w:szCs w:val="20"/>
        </w:rPr>
        <w:t>ect and use information, or impose sanctions, and other authorities may do the same. In addition, beginning in March 2018, we became subject to FTC, state attorneys general, and other government inquiries in the United States, Europe, and other jurisdictio</w:t>
      </w:r>
      <w:r>
        <w:rPr>
          <w:rFonts w:ascii="Times New Roman" w:eastAsia="宋体" w:hAnsi="Times New Roman"/>
          <w:color w:val="000000"/>
          <w:sz w:val="20"/>
          <w:szCs w:val="20"/>
        </w:rPr>
        <w:t>ns in connection with our platform and user data practices as well as the misuse of certain data by a developer that shared such data with third parties in violation of our terms and policies. In July 2019, we entered into a settlement and modified consent</w:t>
      </w:r>
      <w:r>
        <w:rPr>
          <w:rFonts w:ascii="Times New Roman" w:eastAsia="宋体" w:hAnsi="Times New Roman"/>
          <w:color w:val="000000"/>
          <w:sz w:val="20"/>
          <w:szCs w:val="20"/>
        </w:rPr>
        <w:t xml:space="preserve"> order to resolve the FTC inquiry, which was approved by the federal court and took effect in April 2020. Among other matters, our settlement with the FTC required us to pay a penalty of $5.0 billion and to significantly enhance our practices and processes</w:t>
      </w:r>
      <w:r>
        <w:rPr>
          <w:rFonts w:ascii="Times New Roman" w:eastAsia="宋体" w:hAnsi="Times New Roman"/>
          <w:color w:val="000000"/>
          <w:sz w:val="20"/>
          <w:szCs w:val="20"/>
        </w:rPr>
        <w:t xml:space="preserve"> for privacy compliance and oversight. The state attorneys general inquiry and certain government inquiries in other jurisdictions remain ongoing. We also notify the IDPC, our lead European Union privacy regulator under the GDPR, and other regulators of ce</w:t>
      </w:r>
      <w:r>
        <w:rPr>
          <w:rFonts w:ascii="Times New Roman" w:eastAsia="宋体" w:hAnsi="Times New Roman"/>
          <w:color w:val="000000"/>
          <w:sz w:val="20"/>
          <w:szCs w:val="20"/>
        </w:rPr>
        <w:t>rtain other personal data breaches and privacy issues, and are subject to inquiries and investigations by the IDPC and other regulators regarding various aspects of our regulatory compliance. We have in the past been, and may in the future be, subject to f</w:t>
      </w:r>
      <w:r>
        <w:rPr>
          <w:rFonts w:ascii="Times New Roman" w:eastAsia="宋体" w:hAnsi="Times New Roman"/>
          <w:color w:val="000000"/>
          <w:sz w:val="20"/>
          <w:szCs w:val="20"/>
        </w:rPr>
        <w:t>ines and requirements to changes to our business practices as a result of such inquiries and investigations. In addition, we are subject to a lawsuit by the state of Texas in connection with the “tag suggestions” and other facial recognition features on ou</w:t>
      </w:r>
      <w:r>
        <w:rPr>
          <w:rFonts w:ascii="Times New Roman" w:eastAsia="宋体" w:hAnsi="Times New Roman"/>
          <w:color w:val="000000"/>
          <w:sz w:val="20"/>
          <w:szCs w:val="20"/>
        </w:rPr>
        <w:t>r products.</w:t>
      </w:r>
    </w:p>
    <w:p w14:paraId="5CD8E220" w14:textId="77777777" w:rsidR="00BA49F5" w:rsidRDefault="00BA49F5">
      <w:pPr>
        <w:ind w:firstLine="540"/>
        <w:jc w:val="both"/>
      </w:pPr>
    </w:p>
    <w:p w14:paraId="5CD8E221" w14:textId="77777777" w:rsidR="00BA49F5" w:rsidRDefault="007E5E49">
      <w:pPr>
        <w:ind w:firstLine="540"/>
        <w:jc w:val="both"/>
      </w:pPr>
      <w:r>
        <w:rPr>
          <w:rFonts w:ascii="Times New Roman" w:eastAsia="宋体" w:hAnsi="Times New Roman"/>
          <w:color w:val="000000"/>
          <w:sz w:val="20"/>
          <w:szCs w:val="20"/>
        </w:rPr>
        <w:t>We are also subject to various litigation and formal and informal inquiries and investigations by competition authorities in the United States, Europe, and other jurisdictions, which relate to many aspects of our business, including with respe</w:t>
      </w:r>
      <w:r>
        <w:rPr>
          <w:rFonts w:ascii="Times New Roman" w:eastAsia="宋体" w:hAnsi="Times New Roman"/>
          <w:color w:val="000000"/>
          <w:sz w:val="20"/>
          <w:szCs w:val="20"/>
        </w:rPr>
        <w:t xml:space="preserve">ct to users and advertisers, as well as our industry. Such inquiries, investigations, and lawsuits concern, among other things, our business practices in the areas of social networking or social media services, digital advertising, and/or mobile or online </w:t>
      </w:r>
      <w:r>
        <w:rPr>
          <w:rFonts w:ascii="Times New Roman" w:eastAsia="宋体" w:hAnsi="Times New Roman"/>
          <w:color w:val="000000"/>
          <w:sz w:val="20"/>
          <w:szCs w:val="20"/>
        </w:rPr>
        <w:t>applications, as well as our acquisitions. For example, in June 2019 we were informed by the FTC that it had opened an antitrust investigation of our company. In addition, beginning in the third quarter of 2019, we became the subject of antitrust inquiries</w:t>
      </w:r>
      <w:r>
        <w:rPr>
          <w:rFonts w:ascii="Times New Roman" w:eastAsia="宋体" w:hAnsi="Times New Roman"/>
          <w:color w:val="000000"/>
          <w:sz w:val="20"/>
          <w:szCs w:val="20"/>
        </w:rPr>
        <w:t xml:space="preserve"> and investigations by the U.S. Department of Justice and state attorneys general. Beginning in December 2020, we also became subject to lawsuits by the FTC and the attorneys general from 46 states, the territory of Guam, and the District of Columbia in th</w:t>
      </w:r>
      <w:r>
        <w:rPr>
          <w:rFonts w:ascii="Times New Roman" w:eastAsia="宋体" w:hAnsi="Times New Roman"/>
          <w:color w:val="000000"/>
          <w:sz w:val="20"/>
          <w:szCs w:val="20"/>
        </w:rPr>
        <w:t>e U.S. District Court for the District of Columbia alleging that we violated antitrust laws, including by acquiring Instagram in 2012 and WhatsApp in 2014 and by maintaining conditions on access to our platform, among other things. The complaints of the FT</w:t>
      </w:r>
      <w:r>
        <w:rPr>
          <w:rFonts w:ascii="Times New Roman" w:eastAsia="宋体" w:hAnsi="Times New Roman"/>
          <w:color w:val="000000"/>
          <w:sz w:val="20"/>
          <w:szCs w:val="20"/>
        </w:rPr>
        <w:t>C and attorneys general both sought a permanent injunction against our company's alleged violations of the antitrust laws, and other equitable relief, including divestiture or reconstruction of Instagram and WhatsApp. In addition, in December 2022, the Eur</w:t>
      </w:r>
      <w:r>
        <w:rPr>
          <w:rFonts w:ascii="Times New Roman" w:eastAsia="宋体" w:hAnsi="Times New Roman"/>
          <w:color w:val="000000"/>
          <w:sz w:val="20"/>
          <w:szCs w:val="20"/>
        </w:rPr>
        <w:t xml:space="preserve">opean Commission issued a Statement of Objections alleging that we tie Facebook Marketplace to Facebook and use data in a manner that infringes European Union competition rules. We are also subject to other government inquiries and investigations relating </w:t>
      </w:r>
      <w:r>
        <w:rPr>
          <w:rFonts w:ascii="Times New Roman" w:eastAsia="宋体" w:hAnsi="Times New Roman"/>
          <w:color w:val="000000"/>
          <w:sz w:val="20"/>
          <w:szCs w:val="20"/>
        </w:rPr>
        <w:t xml:space="preserve">to our business activities and disclosure practices. For example, </w:t>
      </w:r>
    </w:p>
    <w:p w14:paraId="5CD8E222" w14:textId="77777777" w:rsidR="00BA49F5" w:rsidRDefault="007E5E49">
      <w:pPr>
        <w:jc w:val="center"/>
      </w:pPr>
      <w:r>
        <w:rPr>
          <w:rFonts w:ascii="Times New Roman" w:eastAsia="宋体" w:hAnsi="Times New Roman"/>
          <w:color w:val="000000"/>
          <w:sz w:val="20"/>
          <w:szCs w:val="20"/>
        </w:rPr>
        <w:t>39</w:t>
      </w:r>
    </w:p>
    <w:p w14:paraId="5CD8E223" w14:textId="77777777" w:rsidR="00BA49F5" w:rsidRDefault="007E5E49">
      <w:r>
        <w:pict w14:anchorId="5CD90CF2">
          <v:rect id="_x0000_i1063" style="width:415.3pt;height:1.5pt" o:hralign="center" o:hrstd="t" o:hr="t" fillcolor="#a0a0a0" stroked="f"/>
        </w:pict>
      </w:r>
    </w:p>
    <w:p w14:paraId="5CD8E224" w14:textId="77777777" w:rsidR="00BA49F5" w:rsidRDefault="00BA49F5"/>
    <w:p w14:paraId="5CD8E225" w14:textId="77777777" w:rsidR="00BA49F5" w:rsidRDefault="00BA49F5"/>
    <w:p w14:paraId="5CD8E226" w14:textId="77777777" w:rsidR="00BA49F5" w:rsidRDefault="007E5E49">
      <w:hyperlink r:id="rId158" w:anchor="i6df229dad1864210ab76200083e26819_7" w:history="1">
        <w:r>
          <w:rPr>
            <w:rStyle w:val="a5"/>
            <w:rFonts w:ascii="Times New Roman" w:eastAsia="宋体" w:hAnsi="Times New Roman"/>
            <w:sz w:val="20"/>
            <w:szCs w:val="20"/>
          </w:rPr>
          <w:t>T</w:t>
        </w:r>
      </w:hyperlink>
      <w:hyperlink r:id="rId159" w:anchor="i6df229dad1864210ab76200083e26819_7" w:history="1">
        <w:r>
          <w:rPr>
            <w:rStyle w:val="a5"/>
            <w:rFonts w:ascii="Times New Roman" w:eastAsia="宋体" w:hAnsi="Times New Roman"/>
            <w:sz w:val="20"/>
            <w:szCs w:val="20"/>
          </w:rPr>
          <w:t>able of Contents</w:t>
        </w:r>
      </w:hyperlink>
    </w:p>
    <w:p w14:paraId="5CD8E227" w14:textId="77777777" w:rsidR="00BA49F5" w:rsidRDefault="007E5E49">
      <w:pPr>
        <w:jc w:val="both"/>
      </w:pPr>
      <w:r>
        <w:rPr>
          <w:rFonts w:ascii="Times New Roman" w:eastAsia="宋体" w:hAnsi="Times New Roman"/>
          <w:color w:val="000000"/>
          <w:sz w:val="20"/>
          <w:szCs w:val="20"/>
        </w:rPr>
        <w:t xml:space="preserve">beginning in September 2021, we became subject to government investigations and requests relating to allegations and the release of internal company documents by a former </w:t>
      </w:r>
      <w:r>
        <w:rPr>
          <w:rFonts w:ascii="Times New Roman" w:eastAsia="宋体" w:hAnsi="Times New Roman"/>
          <w:color w:val="000000"/>
          <w:sz w:val="20"/>
          <w:szCs w:val="20"/>
        </w:rPr>
        <w:t>employee.</w:t>
      </w:r>
    </w:p>
    <w:p w14:paraId="5CD8E228" w14:textId="77777777" w:rsidR="00BA49F5" w:rsidRDefault="00BA49F5">
      <w:pPr>
        <w:ind w:firstLine="540"/>
        <w:jc w:val="both"/>
      </w:pPr>
    </w:p>
    <w:p w14:paraId="5CD8E229" w14:textId="77777777" w:rsidR="00BA49F5" w:rsidRDefault="007E5E49">
      <w:pPr>
        <w:ind w:firstLine="540"/>
        <w:jc w:val="both"/>
      </w:pPr>
      <w:r>
        <w:rPr>
          <w:rFonts w:ascii="Times New Roman" w:eastAsia="宋体" w:hAnsi="Times New Roman"/>
          <w:color w:val="000000"/>
          <w:sz w:val="20"/>
          <w:szCs w:val="20"/>
        </w:rPr>
        <w:t>Orders issued by, or inquiries or enforcement actions initiated by, government or regulatory authorities could cause us to incur substantial costs, expose us to civil and criminal liability (including liability for our personnel) or penalties (i</w:t>
      </w:r>
      <w:r>
        <w:rPr>
          <w:rFonts w:ascii="Times New Roman" w:eastAsia="宋体" w:hAnsi="Times New Roman"/>
          <w:color w:val="000000"/>
          <w:sz w:val="20"/>
          <w:szCs w:val="20"/>
        </w:rPr>
        <w:t>ncluding substantial monetary remedies), interrupt or require us to change our business practices in a manner materially adverse to our business (including changes to our products or user data practices), result in negative publicity and reputational harm,</w:t>
      </w:r>
      <w:r>
        <w:rPr>
          <w:rFonts w:ascii="Times New Roman" w:eastAsia="宋体" w:hAnsi="Times New Roman"/>
          <w:color w:val="000000"/>
          <w:sz w:val="20"/>
          <w:szCs w:val="20"/>
        </w:rPr>
        <w:t xml:space="preserve"> divert resources and the time and attention of management from our business, or subject us to other structural or behavioral remedies that adversely affect our business, and we have experienced some of these adverse effects to varying degrees from time to</w:t>
      </w:r>
      <w:r>
        <w:rPr>
          <w:rFonts w:ascii="Times New Roman" w:eastAsia="宋体" w:hAnsi="Times New Roman"/>
          <w:color w:val="000000"/>
          <w:sz w:val="20"/>
          <w:szCs w:val="20"/>
        </w:rPr>
        <w:t xml:space="preserve"> time.</w:t>
      </w:r>
    </w:p>
    <w:p w14:paraId="5CD8E22A" w14:textId="77777777" w:rsidR="00BA49F5" w:rsidRDefault="00BA49F5">
      <w:pPr>
        <w:ind w:firstLine="540"/>
        <w:jc w:val="both"/>
      </w:pPr>
    </w:p>
    <w:p w14:paraId="5CD8E22B" w14:textId="77777777" w:rsidR="00BA49F5" w:rsidRDefault="007E5E49">
      <w:pPr>
        <w:jc w:val="both"/>
      </w:pPr>
      <w:r>
        <w:rPr>
          <w:rFonts w:ascii="Times New Roman" w:eastAsia="宋体" w:hAnsi="Times New Roman"/>
          <w:b/>
          <w:bCs/>
          <w:i/>
          <w:iCs/>
          <w:color w:val="000000"/>
          <w:sz w:val="20"/>
          <w:szCs w:val="20"/>
        </w:rPr>
        <w:t>Compliance with our FTC consent order, the GDPR, the CPRA, the ePrivacy Directive, the DMA, the DSA, and other regulatory and legislative privacy requirements require significant operational resources and modifications to our business practices, an</w:t>
      </w:r>
      <w:r>
        <w:rPr>
          <w:rFonts w:ascii="Times New Roman" w:eastAsia="宋体" w:hAnsi="Times New Roman"/>
          <w:b/>
          <w:bCs/>
          <w:i/>
          <w:iCs/>
          <w:color w:val="000000"/>
          <w:sz w:val="20"/>
          <w:szCs w:val="20"/>
        </w:rPr>
        <w:t>d any compliance failures may have a material adverse effect on our business, reputation, and financial results.</w:t>
      </w:r>
    </w:p>
    <w:p w14:paraId="5CD8E22C" w14:textId="77777777" w:rsidR="00BA49F5" w:rsidRDefault="00BA49F5">
      <w:pPr>
        <w:jc w:val="both"/>
      </w:pPr>
    </w:p>
    <w:p w14:paraId="5CD8E22D" w14:textId="77777777" w:rsidR="00BA49F5" w:rsidRDefault="007E5E49">
      <w:pPr>
        <w:ind w:firstLine="540"/>
        <w:jc w:val="both"/>
      </w:pPr>
      <w:r>
        <w:rPr>
          <w:rFonts w:ascii="Times New Roman" w:eastAsia="宋体" w:hAnsi="Times New Roman"/>
          <w:color w:val="000000"/>
          <w:sz w:val="20"/>
          <w:szCs w:val="20"/>
        </w:rPr>
        <w:t>We are engaged in ongoing privacy compliance and oversight efforts, including in connection with our modified consent order with the FTC, requ</w:t>
      </w:r>
      <w:r>
        <w:rPr>
          <w:rFonts w:ascii="Times New Roman" w:eastAsia="宋体" w:hAnsi="Times New Roman"/>
          <w:color w:val="000000"/>
          <w:sz w:val="20"/>
          <w:szCs w:val="20"/>
        </w:rPr>
        <w:t>irements of the GDPR, and other current and anticipated regulatory and legislative requirements around the world, such as the CPRA, ePrivacy Directive, DMA, and DSA. In particular, we are maintaining a comprehensive privacy program in connection with the F</w:t>
      </w:r>
      <w:r>
        <w:rPr>
          <w:rFonts w:ascii="Times New Roman" w:eastAsia="宋体" w:hAnsi="Times New Roman"/>
          <w:color w:val="000000"/>
          <w:sz w:val="20"/>
          <w:szCs w:val="20"/>
        </w:rPr>
        <w:t>TC consent order that includes substantial management and board of directors oversight, stringent operational requirements and reporting obligations, prohibitions against making misrepresentations relating to user data, a process to regularly certify our c</w:t>
      </w:r>
      <w:r>
        <w:rPr>
          <w:rFonts w:ascii="Times New Roman" w:eastAsia="宋体" w:hAnsi="Times New Roman"/>
          <w:color w:val="000000"/>
          <w:sz w:val="20"/>
          <w:szCs w:val="20"/>
        </w:rPr>
        <w:t>ompliance with the privacy program to the FTC, and regular assessments of our privacy program by an independent third-party assessor, which has been and will continue to be challenging and costly to maintain and enhance. These compliance and oversight effo</w:t>
      </w:r>
      <w:r>
        <w:rPr>
          <w:rFonts w:ascii="Times New Roman" w:eastAsia="宋体" w:hAnsi="Times New Roman"/>
          <w:color w:val="000000"/>
          <w:sz w:val="20"/>
          <w:szCs w:val="20"/>
        </w:rPr>
        <w:t>rts are increasing demand on our systems and resources, and require significant new and ongoing investments, including investments in compliance processes, personnel, and technical infrastructure. We are reallocating resources internally to assist with the</w:t>
      </w:r>
      <w:r>
        <w:rPr>
          <w:rFonts w:ascii="Times New Roman" w:eastAsia="宋体" w:hAnsi="Times New Roman"/>
          <w:color w:val="000000"/>
          <w:sz w:val="20"/>
          <w:szCs w:val="20"/>
        </w:rPr>
        <w:t>se efforts, and this has had, and will continue to have, an adverse impact on our other business initiatives. In addition, these efforts require substantial modifications to our business practices and make some practices such as product and ads development</w:t>
      </w:r>
      <w:r>
        <w:rPr>
          <w:rFonts w:ascii="Times New Roman" w:eastAsia="宋体" w:hAnsi="Times New Roman"/>
          <w:color w:val="000000"/>
          <w:sz w:val="20"/>
          <w:szCs w:val="20"/>
        </w:rPr>
        <w:t xml:space="preserve"> more difficult, time-consuming, and costly. As a result, we believe our ability to develop and launch new features, products, and services in a timely manner has been and will continue to be adversely affected. We also expect that our privacy compliance a</w:t>
      </w:r>
      <w:r>
        <w:rPr>
          <w:rFonts w:ascii="Times New Roman" w:eastAsia="宋体" w:hAnsi="Times New Roman"/>
          <w:color w:val="000000"/>
          <w:sz w:val="20"/>
          <w:szCs w:val="20"/>
        </w:rPr>
        <w:t>nd oversight efforts will require significant time and attention from our management and board of directors. The requirements of the FTC consent order and other privacy-related laws and regulations are complex and apply broadly to our business, and from ti</w:t>
      </w:r>
      <w:r>
        <w:rPr>
          <w:rFonts w:ascii="Times New Roman" w:eastAsia="宋体" w:hAnsi="Times New Roman"/>
          <w:color w:val="000000"/>
          <w:sz w:val="20"/>
          <w:szCs w:val="20"/>
        </w:rPr>
        <w:t xml:space="preserve">me to time we notify relevant authorities of instances where we are not in full compliance with these requirements or otherwise discover privacy issues, and we expect to continue to do so as any such issues arise in the future. In addition, regulatory and </w:t>
      </w:r>
      <w:r>
        <w:rPr>
          <w:rFonts w:ascii="Times New Roman" w:eastAsia="宋体" w:hAnsi="Times New Roman"/>
          <w:color w:val="000000"/>
          <w:sz w:val="20"/>
          <w:szCs w:val="20"/>
        </w:rPr>
        <w:t>legislative privacy requirements are constantly evolving and can be subject to significant change and uncertain interpretation. For example, we will be subject to new restrictions and requirements under the DMA, including in areas such as the combination o</w:t>
      </w:r>
      <w:r>
        <w:rPr>
          <w:rFonts w:ascii="Times New Roman" w:eastAsia="宋体" w:hAnsi="Times New Roman"/>
          <w:color w:val="000000"/>
          <w:sz w:val="20"/>
          <w:szCs w:val="20"/>
        </w:rPr>
        <w:t>f data across services and product design, which will likely be subject to further interpretation and regulatory engagement.</w:t>
      </w:r>
      <w:r>
        <w:rPr>
          <w:rFonts w:ascii="Times New Roman" w:eastAsia="宋体" w:hAnsi="Times New Roman"/>
          <w:color w:val="008080"/>
          <w:sz w:val="20"/>
          <w:szCs w:val="20"/>
        </w:rPr>
        <w:t xml:space="preserve"> </w:t>
      </w:r>
      <w:r>
        <w:rPr>
          <w:rFonts w:ascii="Times New Roman" w:eastAsia="宋体" w:hAnsi="Times New Roman"/>
          <w:color w:val="000000"/>
          <w:sz w:val="20"/>
          <w:szCs w:val="20"/>
        </w:rPr>
        <w:t>If we are unable to successfully implement and comply with the mandates of the FTC consent order, GDPR, CPRA, ePrivacy Directive, D</w:t>
      </w:r>
      <w:r>
        <w:rPr>
          <w:rFonts w:ascii="Times New Roman" w:eastAsia="宋体" w:hAnsi="Times New Roman"/>
          <w:color w:val="000000"/>
          <w:sz w:val="20"/>
          <w:szCs w:val="20"/>
        </w:rPr>
        <w:t>MA, DSA, or other regulatory or legislative requirements, or if we are found to be in violation of the consent order or other applicable requirements, we may be subject to regulatory or governmental investigations or lawsuits, which may result in significa</w:t>
      </w:r>
      <w:r>
        <w:rPr>
          <w:rFonts w:ascii="Times New Roman" w:eastAsia="宋体" w:hAnsi="Times New Roman"/>
          <w:color w:val="000000"/>
          <w:sz w:val="20"/>
          <w:szCs w:val="20"/>
        </w:rPr>
        <w:t>nt monetary fines, judgments, or other penalties, and we may also be required to make additional changes to our business practices. Any of these events could have a material adverse effect on our business, reputation, and financial results.</w:t>
      </w:r>
    </w:p>
    <w:p w14:paraId="5CD8E22E" w14:textId="77777777" w:rsidR="00BA49F5" w:rsidRDefault="00BA49F5">
      <w:pPr>
        <w:ind w:firstLine="540"/>
        <w:jc w:val="both"/>
      </w:pPr>
    </w:p>
    <w:p w14:paraId="5CD8E22F" w14:textId="77777777" w:rsidR="00BA49F5" w:rsidRDefault="007E5E49">
      <w:pPr>
        <w:jc w:val="both"/>
      </w:pPr>
      <w:r>
        <w:rPr>
          <w:rFonts w:ascii="Times New Roman" w:eastAsia="宋体" w:hAnsi="Times New Roman"/>
          <w:b/>
          <w:bCs/>
          <w:i/>
          <w:iCs/>
          <w:color w:val="000000"/>
          <w:sz w:val="20"/>
          <w:szCs w:val="20"/>
        </w:rPr>
        <w:t>We may incur l</w:t>
      </w:r>
      <w:r>
        <w:rPr>
          <w:rFonts w:ascii="Times New Roman" w:eastAsia="宋体" w:hAnsi="Times New Roman"/>
          <w:b/>
          <w:bCs/>
          <w:i/>
          <w:iCs/>
          <w:color w:val="000000"/>
          <w:sz w:val="20"/>
          <w:szCs w:val="20"/>
        </w:rPr>
        <w:t>iability as a result of information retrieved from or transmitted over the internet or published using our products or as a result of claims related to our products, and legislation regulating content on our platform may require us to change our products o</w:t>
      </w:r>
      <w:r>
        <w:rPr>
          <w:rFonts w:ascii="Times New Roman" w:eastAsia="宋体" w:hAnsi="Times New Roman"/>
          <w:b/>
          <w:bCs/>
          <w:i/>
          <w:iCs/>
          <w:color w:val="000000"/>
          <w:sz w:val="20"/>
          <w:szCs w:val="20"/>
        </w:rPr>
        <w:t>r business practices and may adversely affect our business and financial results.</w:t>
      </w:r>
    </w:p>
    <w:p w14:paraId="5CD8E230" w14:textId="77777777" w:rsidR="00BA49F5" w:rsidRDefault="00BA49F5">
      <w:pPr>
        <w:jc w:val="both"/>
      </w:pPr>
    </w:p>
    <w:p w14:paraId="5CD8E231" w14:textId="77777777" w:rsidR="00BA49F5" w:rsidRDefault="007E5E49">
      <w:pPr>
        <w:ind w:firstLine="540"/>
        <w:jc w:val="both"/>
      </w:pPr>
      <w:r>
        <w:rPr>
          <w:rFonts w:ascii="Times New Roman" w:eastAsia="宋体" w:hAnsi="Times New Roman"/>
          <w:color w:val="000000"/>
          <w:sz w:val="20"/>
          <w:szCs w:val="20"/>
        </w:rPr>
        <w:t>We have faced, currently face, and will continue to face claims relating to information or content that is published or made available on our products, including our policie</w:t>
      </w:r>
      <w:r>
        <w:rPr>
          <w:rFonts w:ascii="Times New Roman" w:eastAsia="宋体" w:hAnsi="Times New Roman"/>
          <w:color w:val="000000"/>
          <w:sz w:val="20"/>
          <w:szCs w:val="20"/>
        </w:rPr>
        <w:t>s, algorithms, and enforcement actions with respect to such information or content. In particular, the nature of our business exposes us to claims related to defamation, dissemination of misinformation or news hoaxes, discrimination, harassment, intellectu</w:t>
      </w:r>
      <w:r>
        <w:rPr>
          <w:rFonts w:ascii="Times New Roman" w:eastAsia="宋体" w:hAnsi="Times New Roman"/>
          <w:color w:val="000000"/>
          <w:sz w:val="20"/>
          <w:szCs w:val="20"/>
        </w:rPr>
        <w:t>al property rights, rights of publicity and privacy, personal injury torts, laws regulating hate speech or other types of content, online safety, products liability, consumer protection, and breach of contract, among others. For example, we have recently s</w:t>
      </w:r>
      <w:r>
        <w:rPr>
          <w:rFonts w:ascii="Times New Roman" w:eastAsia="宋体" w:hAnsi="Times New Roman"/>
          <w:color w:val="000000"/>
          <w:sz w:val="20"/>
          <w:szCs w:val="20"/>
        </w:rPr>
        <w:t>een an increase in claims brought by younger users related to well-being issues based on allegedly harmful content that is shared on or recommended by our products. The potential risks relating to any of the foregoing types of claims are currently enhanced</w:t>
      </w:r>
      <w:r>
        <w:rPr>
          <w:rFonts w:ascii="Times New Roman" w:eastAsia="宋体" w:hAnsi="Times New Roman"/>
          <w:color w:val="000000"/>
          <w:sz w:val="20"/>
          <w:szCs w:val="20"/>
        </w:rPr>
        <w:t xml:space="preserve"> in certain jurisdictions </w:t>
      </w:r>
    </w:p>
    <w:p w14:paraId="5CD8E232" w14:textId="77777777" w:rsidR="00BA49F5" w:rsidRDefault="007E5E49">
      <w:pPr>
        <w:jc w:val="center"/>
      </w:pPr>
      <w:r>
        <w:rPr>
          <w:rFonts w:ascii="Times New Roman" w:eastAsia="宋体" w:hAnsi="Times New Roman"/>
          <w:color w:val="000000"/>
          <w:sz w:val="20"/>
          <w:szCs w:val="20"/>
        </w:rPr>
        <w:t>40</w:t>
      </w:r>
    </w:p>
    <w:p w14:paraId="5CD8E233" w14:textId="77777777" w:rsidR="00BA49F5" w:rsidRDefault="007E5E49">
      <w:r>
        <w:pict w14:anchorId="5CD90CF3">
          <v:rect id="_x0000_i1064" style="width:415.3pt;height:1.5pt" o:hralign="center" o:hrstd="t" o:hr="t" fillcolor="#a0a0a0" stroked="f"/>
        </w:pict>
      </w:r>
    </w:p>
    <w:p w14:paraId="5CD8E234" w14:textId="77777777" w:rsidR="00BA49F5" w:rsidRDefault="00BA49F5"/>
    <w:p w14:paraId="5CD8E235" w14:textId="77777777" w:rsidR="00BA49F5" w:rsidRDefault="00BA49F5"/>
    <w:p w14:paraId="5CD8E236" w14:textId="77777777" w:rsidR="00BA49F5" w:rsidRDefault="007E5E49">
      <w:hyperlink r:id="rId160" w:anchor="i6df229dad1864210ab76200083e26819_7" w:history="1">
        <w:r>
          <w:rPr>
            <w:rStyle w:val="a5"/>
            <w:rFonts w:ascii="Times New Roman" w:eastAsia="宋体" w:hAnsi="Times New Roman"/>
            <w:sz w:val="20"/>
            <w:szCs w:val="20"/>
          </w:rPr>
          <w:t>T</w:t>
        </w:r>
      </w:hyperlink>
      <w:hyperlink r:id="rId161" w:anchor="i6df229dad1864210ab76200083e26819_7" w:history="1">
        <w:r>
          <w:rPr>
            <w:rStyle w:val="a5"/>
            <w:rFonts w:ascii="Times New Roman" w:eastAsia="宋体" w:hAnsi="Times New Roman"/>
            <w:sz w:val="20"/>
            <w:szCs w:val="20"/>
          </w:rPr>
          <w:t>able of Contents</w:t>
        </w:r>
      </w:hyperlink>
    </w:p>
    <w:p w14:paraId="5CD8E237" w14:textId="77777777" w:rsidR="00BA49F5" w:rsidRDefault="007E5E49">
      <w:pPr>
        <w:jc w:val="both"/>
      </w:pPr>
      <w:r>
        <w:rPr>
          <w:rFonts w:ascii="Times New Roman" w:eastAsia="宋体" w:hAnsi="Times New Roman"/>
          <w:color w:val="000000"/>
          <w:sz w:val="20"/>
          <w:szCs w:val="20"/>
        </w:rPr>
        <w:t>outside the United States where our protection from liability for third-party actions may be unclear or where we may be less protected under local laws th</w:t>
      </w:r>
      <w:r>
        <w:rPr>
          <w:rFonts w:ascii="Times New Roman" w:eastAsia="宋体" w:hAnsi="Times New Roman"/>
          <w:color w:val="000000"/>
          <w:sz w:val="20"/>
          <w:szCs w:val="20"/>
        </w:rPr>
        <w:t>an we are in the United States. For example, in April 2019, the European Union passed a directive (the European Copyright Directive) expanding online platform liability for copyright infringement and regulating certain uses of news content online, which me</w:t>
      </w:r>
      <w:r>
        <w:rPr>
          <w:rFonts w:ascii="Times New Roman" w:eastAsia="宋体" w:hAnsi="Times New Roman"/>
          <w:color w:val="000000"/>
          <w:sz w:val="20"/>
          <w:szCs w:val="20"/>
        </w:rPr>
        <w:t>mber states are currently implementing into their national laws. In addition, the European Union revised the European Audiovisual Media Service Directive to apply to online video-sharing platforms, which member states have begun to implement. In the United</w:t>
      </w:r>
      <w:r>
        <w:rPr>
          <w:rFonts w:ascii="Times New Roman" w:eastAsia="宋体" w:hAnsi="Times New Roman"/>
          <w:color w:val="000000"/>
          <w:sz w:val="20"/>
          <w:szCs w:val="20"/>
        </w:rPr>
        <w:t xml:space="preserve"> States, the U.S. Supreme Court recently agreed to review a matter in which the scope of the protections available to online platforms under Section 230 of the Communications Decency Act (Section 230) is at issue. In addition, there have been, and continue</w:t>
      </w:r>
      <w:r>
        <w:rPr>
          <w:rFonts w:ascii="Times New Roman" w:eastAsia="宋体" w:hAnsi="Times New Roman"/>
          <w:color w:val="000000"/>
          <w:sz w:val="20"/>
          <w:szCs w:val="20"/>
        </w:rPr>
        <w:t xml:space="preserve"> to be, various state and federal legislative and executive efforts to remove or restrict the scope of the protections under Section 230, as well as to impose new obligations on online platforms with respect to commerce listings, user content, counterfeit </w:t>
      </w:r>
      <w:r>
        <w:rPr>
          <w:rFonts w:ascii="Times New Roman" w:eastAsia="宋体" w:hAnsi="Times New Roman"/>
          <w:color w:val="000000"/>
          <w:sz w:val="20"/>
          <w:szCs w:val="20"/>
        </w:rPr>
        <w:t>goods and copyright-infringing material, and our current protections from liability for third-party content in the United States could decrease or change. We could incur significant costs investigating and defending such claims and, if we are found liable,</w:t>
      </w:r>
      <w:r>
        <w:rPr>
          <w:rFonts w:ascii="Times New Roman" w:eastAsia="宋体" w:hAnsi="Times New Roman"/>
          <w:color w:val="000000"/>
          <w:sz w:val="20"/>
          <w:szCs w:val="20"/>
        </w:rPr>
        <w:t xml:space="preserve"> significant damages. We could also face fines, orders restricting or blocking our services in particular geographies, or other government-imposed remedies as a result of content hosted on our services. For example, legislation in Germany and India has res</w:t>
      </w:r>
      <w:r>
        <w:rPr>
          <w:rFonts w:ascii="Times New Roman" w:eastAsia="宋体" w:hAnsi="Times New Roman"/>
          <w:color w:val="000000"/>
          <w:sz w:val="20"/>
          <w:szCs w:val="20"/>
        </w:rPr>
        <w:t>ulted in the past, and may result in the future, in the imposition of fines or other penalties for failure to comply with certain content removal, law enforcement cooperation, and disclosure obligations. Numerous other countries in Europe, the Middle East,</w:t>
      </w:r>
      <w:r>
        <w:rPr>
          <w:rFonts w:ascii="Times New Roman" w:eastAsia="宋体" w:hAnsi="Times New Roman"/>
          <w:color w:val="000000"/>
          <w:sz w:val="20"/>
          <w:szCs w:val="20"/>
        </w:rPr>
        <w:t xml:space="preserve"> Asia-Pacific, and Latin America are considering or have implemented similar legislation imposing potentially significant penalties, including fines, service throttling, or advertising bans, for failure to remove certain types of content or follow certain </w:t>
      </w:r>
      <w:r>
        <w:rPr>
          <w:rFonts w:ascii="Times New Roman" w:eastAsia="宋体" w:hAnsi="Times New Roman"/>
          <w:color w:val="000000"/>
          <w:sz w:val="20"/>
          <w:szCs w:val="20"/>
        </w:rPr>
        <w:t>processes. For example, we have been subject to fines and may in the future be subject to other penalties in connection with social media legislation in Turkey, and we have been subject to fines and service blocking and prohibition in Russia. Content-relat</w:t>
      </w:r>
      <w:r>
        <w:rPr>
          <w:rFonts w:ascii="Times New Roman" w:eastAsia="宋体" w:hAnsi="Times New Roman"/>
          <w:color w:val="000000"/>
          <w:sz w:val="20"/>
          <w:szCs w:val="20"/>
        </w:rPr>
        <w:t xml:space="preserve">ed legislation also has required us in the past, and may require us in the future, to change our products or business practices, increase our costs, or otherwise impact our operations or our ability to provide services in certain geographies. For example, </w:t>
      </w:r>
      <w:r>
        <w:rPr>
          <w:rFonts w:ascii="Times New Roman" w:eastAsia="宋体" w:hAnsi="Times New Roman"/>
          <w:color w:val="000000"/>
          <w:sz w:val="20"/>
          <w:szCs w:val="20"/>
        </w:rPr>
        <w:t>the European Copyright Directive requires certain online services to obtain authorizations for copyrighted content or to implement measures to prevent the availability of that content, which may require us to make substantial investments in compliance proc</w:t>
      </w:r>
      <w:r>
        <w:rPr>
          <w:rFonts w:ascii="Times New Roman" w:eastAsia="宋体" w:hAnsi="Times New Roman"/>
          <w:color w:val="000000"/>
          <w:sz w:val="20"/>
          <w:szCs w:val="20"/>
        </w:rPr>
        <w:t>esses. Member states' laws implementing the European Copyright Directive may also require online platforms to pay for content. In addition, our products and services will be subject to new restrictions and requirements, and our compliance costs may signifi</w:t>
      </w:r>
      <w:r>
        <w:rPr>
          <w:rFonts w:ascii="Times New Roman" w:eastAsia="宋体" w:hAnsi="Times New Roman"/>
          <w:color w:val="000000"/>
          <w:sz w:val="20"/>
          <w:szCs w:val="20"/>
        </w:rPr>
        <w:t>cantly increase, as a result of the Digital Services Act in the European Union, which will apply to our business as early as June 2023, and potentially other content-related legislative developments such as proposed online safety bills in Ireland and the U</w:t>
      </w:r>
      <w:r>
        <w:rPr>
          <w:rFonts w:ascii="Times New Roman" w:eastAsia="宋体" w:hAnsi="Times New Roman"/>
          <w:color w:val="000000"/>
          <w:sz w:val="20"/>
          <w:szCs w:val="20"/>
        </w:rPr>
        <w:t>nited Kingdom. Certain countries have also proposed legislation that may require us to pay publishers for certain news content shared on our products. In the United States, changes to the protections available under Section 230 or the First Amendment to th</w:t>
      </w:r>
      <w:r>
        <w:rPr>
          <w:rFonts w:ascii="Times New Roman" w:eastAsia="宋体" w:hAnsi="Times New Roman"/>
          <w:color w:val="000000"/>
          <w:sz w:val="20"/>
          <w:szCs w:val="20"/>
        </w:rPr>
        <w:t xml:space="preserve">e U.S. Constitution or new state or federal content-related legislation may increase our costs or require significant changes to our products, business practices, or operations, which could adversely affect user growth and engagement. Any of the foregoing </w:t>
      </w:r>
      <w:r>
        <w:rPr>
          <w:rFonts w:ascii="Times New Roman" w:eastAsia="宋体" w:hAnsi="Times New Roman"/>
          <w:color w:val="000000"/>
          <w:sz w:val="20"/>
          <w:szCs w:val="20"/>
        </w:rPr>
        <w:t>events could adversely affect our business and financial results.</w:t>
      </w:r>
    </w:p>
    <w:p w14:paraId="5CD8E238" w14:textId="77777777" w:rsidR="00BA49F5" w:rsidRDefault="00BA49F5">
      <w:pPr>
        <w:ind w:firstLine="540"/>
        <w:jc w:val="both"/>
      </w:pPr>
    </w:p>
    <w:p w14:paraId="5CD8E239" w14:textId="77777777" w:rsidR="00BA49F5" w:rsidRDefault="007E5E49">
      <w:pPr>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5CD8E23A" w14:textId="77777777" w:rsidR="00BA49F5" w:rsidRDefault="00BA49F5">
      <w:pPr>
        <w:jc w:val="both"/>
      </w:pPr>
    </w:p>
    <w:p w14:paraId="5CD8E23B" w14:textId="77777777" w:rsidR="00BA49F5" w:rsidRDefault="007E5E49">
      <w:pPr>
        <w:ind w:firstLine="540"/>
        <w:jc w:val="both"/>
      </w:pPr>
      <w:r>
        <w:rPr>
          <w:rFonts w:ascii="Times New Roman" w:eastAsia="宋体" w:hAnsi="Times New Roman"/>
          <w:color w:val="000000"/>
          <w:sz w:val="20"/>
          <w:szCs w:val="20"/>
        </w:rPr>
        <w:t xml:space="preserve">Several of our </w:t>
      </w:r>
      <w:r>
        <w:rPr>
          <w:rFonts w:ascii="Times New Roman" w:eastAsia="宋体" w:hAnsi="Times New Roman"/>
          <w:color w:val="000000"/>
          <w:sz w:val="20"/>
          <w:szCs w:val="20"/>
        </w:rPr>
        <w:t>products offer Payments functionality, including enabling our users to purchase tangible, virtual, and digital goods from merchants and developers that offer applications using our Payments infrastructure, send money to other users, and make donations to c</w:t>
      </w:r>
      <w:r>
        <w:rPr>
          <w:rFonts w:ascii="Times New Roman" w:eastAsia="宋体" w:hAnsi="Times New Roman"/>
          <w:color w:val="000000"/>
          <w:sz w:val="20"/>
          <w:szCs w:val="20"/>
        </w:rPr>
        <w:t>ertain charitable organizations, among other activities. We are subject to a variety of laws and regulations in the United States, Europe, and elsewhere, including those governing anti-money laundering and counter-terrorist financing, money transmission, s</w:t>
      </w:r>
      <w:r>
        <w:rPr>
          <w:rFonts w:ascii="Times New Roman" w:eastAsia="宋体" w:hAnsi="Times New Roman"/>
          <w:color w:val="000000"/>
          <w:sz w:val="20"/>
          <w:szCs w:val="20"/>
        </w:rPr>
        <w:t>tored value, gift cards and other prepaid access instruments, electronic funds transfer, virtual currency, consumer protection, charitable fundraising, trade sanctions, and import and export restrictions. Depending on how our Payments products evolve, we m</w:t>
      </w:r>
      <w:r>
        <w:rPr>
          <w:rFonts w:ascii="Times New Roman" w:eastAsia="宋体" w:hAnsi="Times New Roman"/>
          <w:color w:val="000000"/>
          <w:sz w:val="20"/>
          <w:szCs w:val="20"/>
        </w:rPr>
        <w:t>ay also be subject to other laws and regulations including those governing gambling, banking, and lending. In some jurisdictions, the application or interpretation of these laws and regulations is not clear. To increase flexibility in how our use of Paymen</w:t>
      </w:r>
      <w:r>
        <w:rPr>
          <w:rFonts w:ascii="Times New Roman" w:eastAsia="宋体" w:hAnsi="Times New Roman"/>
          <w:color w:val="000000"/>
          <w:sz w:val="20"/>
          <w:szCs w:val="20"/>
        </w:rPr>
        <w:t>ts may evolve and to mitigate regulatory uncertainty, we have received certain payments licenses in the United States, the European Economic Area, and other jurisdictions, which will generally require us to demonstrate compliance with many domestic and for</w:t>
      </w:r>
      <w:r>
        <w:rPr>
          <w:rFonts w:ascii="Times New Roman" w:eastAsia="宋体" w:hAnsi="Times New Roman"/>
          <w:color w:val="000000"/>
          <w:sz w:val="20"/>
          <w:szCs w:val="20"/>
        </w:rPr>
        <w:t>eign laws in these areas. Our efforts to comply with these laws and regulations could be costly and result in diversion of management time and effort and may still not guarantee compliance. In the event that we are found to be in violation of any such lega</w:t>
      </w:r>
      <w:r>
        <w:rPr>
          <w:rFonts w:ascii="Times New Roman" w:eastAsia="宋体" w:hAnsi="Times New Roman"/>
          <w:color w:val="000000"/>
          <w:sz w:val="20"/>
          <w:szCs w:val="20"/>
        </w:rPr>
        <w:t>l or regulatory requirements, we may be subject to monetary fines or other penalties such as a cease and desist order, or we may be required to make product changes, any of which could have an adverse effect on our business and financial results.</w:t>
      </w:r>
    </w:p>
    <w:p w14:paraId="5CD8E23C" w14:textId="77777777" w:rsidR="00BA49F5" w:rsidRDefault="00BA49F5">
      <w:pPr>
        <w:ind w:firstLine="540"/>
        <w:jc w:val="both"/>
      </w:pPr>
    </w:p>
    <w:p w14:paraId="5CD8E23D" w14:textId="77777777" w:rsidR="00BA49F5" w:rsidRDefault="007E5E49">
      <w:pPr>
        <w:ind w:firstLine="540"/>
        <w:jc w:val="both"/>
      </w:pPr>
      <w:r>
        <w:rPr>
          <w:rFonts w:ascii="Times New Roman" w:eastAsia="宋体" w:hAnsi="Times New Roman"/>
          <w:color w:val="000000"/>
          <w:sz w:val="20"/>
          <w:szCs w:val="20"/>
        </w:rPr>
        <w:t>In addit</w:t>
      </w:r>
      <w:r>
        <w:rPr>
          <w:rFonts w:ascii="Times New Roman" w:eastAsia="宋体" w:hAnsi="Times New Roman"/>
          <w:color w:val="000000"/>
          <w:sz w:val="20"/>
          <w:szCs w:val="20"/>
        </w:rPr>
        <w:t>ion, we are subject to a variety of additional risks as a result of Payments transactions, including: increased costs and diversion of management time and effort and other resources to deal with bad transactions or customer disputes; potential fraudulent o</w:t>
      </w:r>
      <w:r>
        <w:rPr>
          <w:rFonts w:ascii="Times New Roman" w:eastAsia="宋体" w:hAnsi="Times New Roman"/>
          <w:color w:val="000000"/>
          <w:sz w:val="20"/>
          <w:szCs w:val="20"/>
        </w:rPr>
        <w:t xml:space="preserve">r otherwise illegal activity by users, developers, employees, or third parties; restrictions on the </w:t>
      </w:r>
    </w:p>
    <w:p w14:paraId="5CD8E23E" w14:textId="77777777" w:rsidR="00BA49F5" w:rsidRDefault="007E5E49">
      <w:pPr>
        <w:jc w:val="center"/>
      </w:pPr>
      <w:r>
        <w:rPr>
          <w:rFonts w:ascii="Times New Roman" w:eastAsia="宋体" w:hAnsi="Times New Roman"/>
          <w:color w:val="000000"/>
          <w:sz w:val="20"/>
          <w:szCs w:val="20"/>
        </w:rPr>
        <w:t>41</w:t>
      </w:r>
    </w:p>
    <w:p w14:paraId="5CD8E23F" w14:textId="77777777" w:rsidR="00BA49F5" w:rsidRDefault="007E5E49">
      <w:r>
        <w:pict w14:anchorId="5CD90CF4">
          <v:rect id="_x0000_i1065" style="width:415.3pt;height:1.5pt" o:hralign="center" o:hrstd="t" o:hr="t" fillcolor="#a0a0a0" stroked="f"/>
        </w:pict>
      </w:r>
    </w:p>
    <w:p w14:paraId="5CD8E240" w14:textId="77777777" w:rsidR="00BA49F5" w:rsidRDefault="00BA49F5"/>
    <w:p w14:paraId="5CD8E241" w14:textId="77777777" w:rsidR="00BA49F5" w:rsidRDefault="00BA49F5"/>
    <w:p w14:paraId="5CD8E242" w14:textId="77777777" w:rsidR="00BA49F5" w:rsidRDefault="007E5E49">
      <w:hyperlink r:id="rId162" w:anchor="i6df229dad1864210ab76200083e26819_7" w:history="1">
        <w:r>
          <w:rPr>
            <w:rStyle w:val="a5"/>
            <w:rFonts w:ascii="Times New Roman" w:eastAsia="宋体" w:hAnsi="Times New Roman"/>
            <w:sz w:val="20"/>
            <w:szCs w:val="20"/>
          </w:rPr>
          <w:t>T</w:t>
        </w:r>
      </w:hyperlink>
      <w:hyperlink r:id="rId163" w:anchor="i6df229dad1864210ab76200083e26819_7" w:history="1">
        <w:r>
          <w:rPr>
            <w:rStyle w:val="a5"/>
            <w:rFonts w:ascii="Times New Roman" w:eastAsia="宋体" w:hAnsi="Times New Roman"/>
            <w:sz w:val="20"/>
            <w:szCs w:val="20"/>
          </w:rPr>
          <w:t>able of Contents</w:t>
        </w:r>
      </w:hyperlink>
    </w:p>
    <w:p w14:paraId="5CD8E243" w14:textId="77777777" w:rsidR="00BA49F5" w:rsidRDefault="007E5E49">
      <w:pPr>
        <w:jc w:val="both"/>
      </w:pPr>
      <w:r>
        <w:rPr>
          <w:rFonts w:ascii="Times New Roman" w:eastAsia="宋体" w:hAnsi="Times New Roman"/>
          <w:color w:val="000000"/>
          <w:sz w:val="20"/>
          <w:szCs w:val="20"/>
        </w:rPr>
        <w:t>investment of consumer funds used to transact Payments; and additional disclosure and reporting requirements. We have also launched payments functionality on certain of our applications an</w:t>
      </w:r>
      <w:r>
        <w:rPr>
          <w:rFonts w:ascii="Times New Roman" w:eastAsia="宋体" w:hAnsi="Times New Roman"/>
          <w:color w:val="000000"/>
          <w:sz w:val="20"/>
          <w:szCs w:val="20"/>
        </w:rPr>
        <w:t>d may in the future undertake additional payments initiatives, including as part of our metaverse efforts, which may subject us to many of the foregoing risks and additional licensing requirements.</w:t>
      </w:r>
    </w:p>
    <w:p w14:paraId="5CD8E244" w14:textId="77777777" w:rsidR="00BA49F5" w:rsidRDefault="00BA49F5">
      <w:pPr>
        <w:jc w:val="both"/>
      </w:pPr>
    </w:p>
    <w:p w14:paraId="5CD8E245" w14:textId="77777777" w:rsidR="00BA49F5" w:rsidRDefault="007E5E49">
      <w:pPr>
        <w:jc w:val="center"/>
      </w:pPr>
      <w:r>
        <w:rPr>
          <w:rFonts w:ascii="Times New Roman" w:eastAsia="宋体" w:hAnsi="Times New Roman"/>
          <w:b/>
          <w:bCs/>
          <w:color w:val="000000"/>
          <w:sz w:val="20"/>
          <w:szCs w:val="20"/>
        </w:rPr>
        <w:t>Risks Related to Data, Security, and Intellectual Propert</w:t>
      </w:r>
      <w:r>
        <w:rPr>
          <w:rFonts w:ascii="Times New Roman" w:eastAsia="宋体" w:hAnsi="Times New Roman"/>
          <w:b/>
          <w:bCs/>
          <w:color w:val="000000"/>
          <w:sz w:val="20"/>
          <w:szCs w:val="20"/>
        </w:rPr>
        <w:t>y</w:t>
      </w:r>
    </w:p>
    <w:p w14:paraId="5CD8E246" w14:textId="77777777" w:rsidR="00BA49F5" w:rsidRDefault="00BA49F5">
      <w:pPr>
        <w:ind w:firstLine="540"/>
        <w:jc w:val="both"/>
      </w:pPr>
    </w:p>
    <w:p w14:paraId="5CD8E247" w14:textId="77777777" w:rsidR="00BA49F5" w:rsidRDefault="007E5E49">
      <w:pPr>
        <w:jc w:val="both"/>
      </w:pPr>
      <w:r>
        <w:rPr>
          <w:rFonts w:ascii="Times New Roman" w:eastAsia="宋体" w:hAnsi="Times New Roman"/>
          <w:b/>
          <w:bCs/>
          <w:i/>
          <w:iCs/>
          <w:color w:val="000000"/>
          <w:sz w:val="20"/>
          <w:szCs w:val="20"/>
        </w:rPr>
        <w:t>Security breaches, improper access to or disclosure of our data or user data, other hacking and phishing attacks on our systems, or other cyber incidents could harm our reputation and adversely affect our business.</w:t>
      </w:r>
    </w:p>
    <w:p w14:paraId="5CD8E248" w14:textId="77777777" w:rsidR="00BA49F5" w:rsidRDefault="00BA49F5">
      <w:pPr>
        <w:jc w:val="both"/>
      </w:pPr>
    </w:p>
    <w:p w14:paraId="5CD8E249" w14:textId="77777777" w:rsidR="00BA49F5" w:rsidRDefault="007E5E49">
      <w:pPr>
        <w:ind w:firstLine="540"/>
        <w:jc w:val="both"/>
      </w:pPr>
      <w:r>
        <w:rPr>
          <w:rFonts w:ascii="Times New Roman" w:eastAsia="宋体" w:hAnsi="Times New Roman"/>
          <w:color w:val="000000"/>
          <w:sz w:val="20"/>
          <w:szCs w:val="20"/>
        </w:rPr>
        <w:t>Our industry is prone to cyber-attack</w:t>
      </w:r>
      <w:r>
        <w:rPr>
          <w:rFonts w:ascii="Times New Roman" w:eastAsia="宋体" w:hAnsi="Times New Roman"/>
          <w:color w:val="000000"/>
          <w:sz w:val="20"/>
          <w:szCs w:val="20"/>
        </w:rPr>
        <w:t>s by third parties seeking unauthorized access to our data or users' data or to disrupt our ability to provide service. Our products and services involve the collection, storage, processing, and transmission of a large amount of data. Any failure to preven</w:t>
      </w:r>
      <w:r>
        <w:rPr>
          <w:rFonts w:ascii="Times New Roman" w:eastAsia="宋体" w:hAnsi="Times New Roman"/>
          <w:color w:val="000000"/>
          <w:sz w:val="20"/>
          <w:szCs w:val="20"/>
        </w:rPr>
        <w:t>t or mitigate security breaches and improper access to or disclosure of our data or user data, including personal information, content, or payment information from users, or information from marketers, could result in the loss, modification, disclosure, de</w:t>
      </w:r>
      <w:r>
        <w:rPr>
          <w:rFonts w:ascii="Times New Roman" w:eastAsia="宋体" w:hAnsi="Times New Roman"/>
          <w:color w:val="000000"/>
          <w:sz w:val="20"/>
          <w:szCs w:val="20"/>
        </w:rPr>
        <w:t>struction, or other misuse of such data, which could harm our business and reputation and diminish our competitive position. In addition, computer malware, viruses, social engineering (such as spear phishing attacks), scraping, and general hacking continue</w:t>
      </w:r>
      <w:r>
        <w:rPr>
          <w:rFonts w:ascii="Times New Roman" w:eastAsia="宋体" w:hAnsi="Times New Roman"/>
          <w:color w:val="000000"/>
          <w:sz w:val="20"/>
          <w:szCs w:val="20"/>
        </w:rPr>
        <w:t xml:space="preserve"> to be prevalent in our industry, have occurred on our systems in the past, and will occur on our systems in the future. We also regularly encounter attempts to create false or undesirable user accounts, purchase ads, or take other actions on our platform </w:t>
      </w:r>
      <w:r>
        <w:rPr>
          <w:rFonts w:ascii="Times New Roman" w:eastAsia="宋体" w:hAnsi="Times New Roman"/>
          <w:color w:val="000000"/>
          <w:sz w:val="20"/>
          <w:szCs w:val="20"/>
        </w:rPr>
        <w:t>for purposes such as spamming, spreading misinformation, or other objectionable ends. As a result of our prominence, the size of our user base, the types and volume of personal data and content on our systems, and the evolving nature of our products and se</w:t>
      </w:r>
      <w:r>
        <w:rPr>
          <w:rFonts w:ascii="Times New Roman" w:eastAsia="宋体" w:hAnsi="Times New Roman"/>
          <w:color w:val="000000"/>
          <w:sz w:val="20"/>
          <w:szCs w:val="20"/>
        </w:rPr>
        <w:t xml:space="preserve">rvices (including our efforts involving new and emerging technologies), we believe that we are a particularly attractive target for such breaches and attacks, including from nation states and highly sophisticated, state-sponsored, or otherwise well-funded </w:t>
      </w:r>
      <w:r>
        <w:rPr>
          <w:rFonts w:ascii="Times New Roman" w:eastAsia="宋体" w:hAnsi="Times New Roman"/>
          <w:color w:val="000000"/>
          <w:sz w:val="20"/>
          <w:szCs w:val="20"/>
        </w:rPr>
        <w:t xml:space="preserve">actors, and we experience heightened risk from time to time as a result of geopolitical events. Our efforts to address undesirable activity on our platform also increase the risk of retaliatory attacks. Such breaches and attacks may cause interruptions to </w:t>
      </w:r>
      <w:r>
        <w:rPr>
          <w:rFonts w:ascii="Times New Roman" w:eastAsia="宋体" w:hAnsi="Times New Roman"/>
          <w:color w:val="000000"/>
          <w:sz w:val="20"/>
          <w:szCs w:val="20"/>
        </w:rPr>
        <w:t>the services we provide, degrade the user experience, cause users or marketers to lose confidence and trust in our products, impair our internal systems, or result in financial harm to us. Our efforts to protect our company data or the information we recei</w:t>
      </w:r>
      <w:r>
        <w:rPr>
          <w:rFonts w:ascii="Times New Roman" w:eastAsia="宋体" w:hAnsi="Times New Roman"/>
          <w:color w:val="000000"/>
          <w:sz w:val="20"/>
          <w:szCs w:val="20"/>
        </w:rPr>
        <w:t>ve, and to disable undesirable activities on our platform, may also be unsuccessful due to software bugs or other technical malfunctions; employee, contractor, or vendor error or malfeasance, including defects or vulnerabilities in our vendors' information</w:t>
      </w:r>
      <w:r>
        <w:rPr>
          <w:rFonts w:ascii="Times New Roman" w:eastAsia="宋体" w:hAnsi="Times New Roman"/>
          <w:color w:val="000000"/>
          <w:sz w:val="20"/>
          <w:szCs w:val="20"/>
        </w:rPr>
        <w:t xml:space="preserve"> technology systems or offerings; government surveillance; breaches of physical security of our facilities or technical infrastructure; or other threats that evolve. In addition, third parties may attempt to fraudulently induce employees or users to disclo</w:t>
      </w:r>
      <w:r>
        <w:rPr>
          <w:rFonts w:ascii="Times New Roman" w:eastAsia="宋体" w:hAnsi="Times New Roman"/>
          <w:color w:val="000000"/>
          <w:sz w:val="20"/>
          <w:szCs w:val="20"/>
        </w:rPr>
        <w:t xml:space="preserve">se information in order to gain access to our data or our users' data. Cyber-attacks continue to evolve in sophistication and volume, and inherently may be difficult to detect for long periods of time. Although we have developed systems and processes that </w:t>
      </w:r>
      <w:r>
        <w:rPr>
          <w:rFonts w:ascii="Times New Roman" w:eastAsia="宋体" w:hAnsi="Times New Roman"/>
          <w:color w:val="000000"/>
          <w:sz w:val="20"/>
          <w:szCs w:val="20"/>
        </w:rPr>
        <w:t>are designed to protect our data and user data, to prevent data loss, to disable undesirable accounts and activities on our platform, and to prevent or detect security breaches, we cannot assure you that such measures will provide absolute security, that w</w:t>
      </w:r>
      <w:r>
        <w:rPr>
          <w:rFonts w:ascii="Times New Roman" w:eastAsia="宋体" w:hAnsi="Times New Roman"/>
          <w:color w:val="000000"/>
          <w:sz w:val="20"/>
          <w:szCs w:val="20"/>
        </w:rPr>
        <w:t>e will be able to react in a timely manner, or that our remediation efforts will be successful. The changes in our work environment as a result of certain personnel working remotely could also impact the security of our systems, as well as our ability to p</w:t>
      </w:r>
      <w:r>
        <w:rPr>
          <w:rFonts w:ascii="Times New Roman" w:eastAsia="宋体" w:hAnsi="Times New Roman"/>
          <w:color w:val="000000"/>
          <w:sz w:val="20"/>
          <w:szCs w:val="20"/>
        </w:rPr>
        <w:t>rotect against attacks and detect and respond to them quickly.</w:t>
      </w:r>
    </w:p>
    <w:p w14:paraId="5CD8E24A" w14:textId="77777777" w:rsidR="00BA49F5" w:rsidRDefault="00BA49F5">
      <w:pPr>
        <w:ind w:firstLine="540"/>
        <w:jc w:val="both"/>
      </w:pPr>
    </w:p>
    <w:p w14:paraId="5CD8E24B" w14:textId="77777777" w:rsidR="00BA49F5" w:rsidRDefault="007E5E49">
      <w:pPr>
        <w:ind w:firstLine="540"/>
        <w:jc w:val="both"/>
      </w:pPr>
      <w:r>
        <w:rPr>
          <w:rFonts w:ascii="Times New Roman" w:eastAsia="宋体" w:hAnsi="Times New Roman"/>
          <w:color w:val="000000"/>
          <w:sz w:val="20"/>
          <w:szCs w:val="20"/>
        </w:rPr>
        <w:t>In addition, some of our developers or other partners, such as those that help us measure the effectiveness of ads, may receive or store information provided by us or by our users through mobi</w:t>
      </w:r>
      <w:r>
        <w:rPr>
          <w:rFonts w:ascii="Times New Roman" w:eastAsia="宋体" w:hAnsi="Times New Roman"/>
          <w:color w:val="000000"/>
          <w:sz w:val="20"/>
          <w:szCs w:val="20"/>
        </w:rPr>
        <w:t>le or web applications integrated with our products. We provide limited information to such third parties based on the scope of services provided to us. However, if these third parties or developers fail to adopt or adhere to adequate data security practic</w:t>
      </w:r>
      <w:r>
        <w:rPr>
          <w:rFonts w:ascii="Times New Roman" w:eastAsia="宋体" w:hAnsi="Times New Roman"/>
          <w:color w:val="000000"/>
          <w:sz w:val="20"/>
          <w:szCs w:val="20"/>
        </w:rPr>
        <w:t xml:space="preserve">es, or in the event of a breach of their networks, our data or our users' data may be improperly accessed, used, or disclosed. </w:t>
      </w:r>
    </w:p>
    <w:p w14:paraId="5CD8E24C" w14:textId="77777777" w:rsidR="00BA49F5" w:rsidRDefault="00BA49F5">
      <w:pPr>
        <w:ind w:firstLine="540"/>
        <w:jc w:val="both"/>
      </w:pPr>
    </w:p>
    <w:p w14:paraId="5CD8E24D" w14:textId="77777777" w:rsidR="00BA49F5" w:rsidRDefault="007E5E49">
      <w:pPr>
        <w:ind w:firstLine="540"/>
        <w:jc w:val="both"/>
      </w:pPr>
      <w:r>
        <w:rPr>
          <w:rFonts w:ascii="Times New Roman" w:eastAsia="宋体" w:hAnsi="Times New Roman"/>
          <w:color w:val="000000"/>
          <w:sz w:val="20"/>
          <w:szCs w:val="20"/>
        </w:rPr>
        <w:t>We experience such cyber-attacks and other security incidents of varying degrees from time to time, and we incur significant co</w:t>
      </w:r>
      <w:r>
        <w:rPr>
          <w:rFonts w:ascii="Times New Roman" w:eastAsia="宋体" w:hAnsi="Times New Roman"/>
          <w:color w:val="000000"/>
          <w:sz w:val="20"/>
          <w:szCs w:val="20"/>
        </w:rPr>
        <w:t>sts in protecting against or remediating such incidents. In addition, we are subject to a variety of laws and regulations in the United States and abroad relating to cybersecurity and data protection, as well as obligations under our modified consent order</w:t>
      </w:r>
      <w:r>
        <w:rPr>
          <w:rFonts w:ascii="Times New Roman" w:eastAsia="宋体" w:hAnsi="Times New Roman"/>
          <w:color w:val="000000"/>
          <w:sz w:val="20"/>
          <w:szCs w:val="20"/>
        </w:rPr>
        <w:t xml:space="preserve"> with the FTC. As a result, affected users or government authorities could initiate legal or regulatory actions against us in connection with any actual or perceived security breaches or improper access to or disclosure of data, which has occurred in the p</w:t>
      </w:r>
      <w:r>
        <w:rPr>
          <w:rFonts w:ascii="Times New Roman" w:eastAsia="宋体" w:hAnsi="Times New Roman"/>
          <w:color w:val="000000"/>
          <w:sz w:val="20"/>
          <w:szCs w:val="20"/>
        </w:rPr>
        <w:t>ast and which could cause us to incur significant expense and liability or result in orders or consent decrees forcing us to modify our business practices. Such incidents or our efforts to remediate such incidents may also result in a decline in our active</w:t>
      </w:r>
      <w:r>
        <w:rPr>
          <w:rFonts w:ascii="Times New Roman" w:eastAsia="宋体" w:hAnsi="Times New Roman"/>
          <w:color w:val="000000"/>
          <w:sz w:val="20"/>
          <w:szCs w:val="20"/>
        </w:rPr>
        <w:t xml:space="preserve"> user base or engagement levels. Any of these events could have a material and adverse effect on our business, reputation, or financial results.</w:t>
      </w:r>
    </w:p>
    <w:p w14:paraId="5CD8E24E" w14:textId="77777777" w:rsidR="00BA49F5" w:rsidRDefault="00BA49F5">
      <w:pPr>
        <w:ind w:firstLine="540"/>
        <w:jc w:val="both"/>
      </w:pPr>
    </w:p>
    <w:p w14:paraId="5CD8E24F" w14:textId="77777777" w:rsidR="00BA49F5" w:rsidRDefault="007E5E49">
      <w:pPr>
        <w:jc w:val="center"/>
      </w:pPr>
      <w:r>
        <w:rPr>
          <w:rFonts w:ascii="Times New Roman" w:eastAsia="宋体" w:hAnsi="Times New Roman"/>
          <w:color w:val="000000"/>
          <w:sz w:val="20"/>
          <w:szCs w:val="20"/>
        </w:rPr>
        <w:t>42</w:t>
      </w:r>
    </w:p>
    <w:p w14:paraId="5CD8E250" w14:textId="77777777" w:rsidR="00BA49F5" w:rsidRDefault="007E5E49">
      <w:r>
        <w:pict w14:anchorId="5CD90CF5">
          <v:rect id="_x0000_i1066" style="width:415.3pt;height:1.5pt" o:hralign="center" o:hrstd="t" o:hr="t" fillcolor="#a0a0a0" stroked="f"/>
        </w:pict>
      </w:r>
    </w:p>
    <w:p w14:paraId="5CD8E251" w14:textId="77777777" w:rsidR="00BA49F5" w:rsidRDefault="00BA49F5"/>
    <w:p w14:paraId="5CD8E252" w14:textId="77777777" w:rsidR="00BA49F5" w:rsidRDefault="00BA49F5"/>
    <w:p w14:paraId="5CD8E253" w14:textId="77777777" w:rsidR="00BA49F5" w:rsidRDefault="007E5E49">
      <w:hyperlink r:id="rId164" w:anchor="i6df229dad1864210ab76200083e26819_7" w:history="1">
        <w:r>
          <w:rPr>
            <w:rStyle w:val="a5"/>
            <w:rFonts w:ascii="Times New Roman" w:eastAsia="宋体" w:hAnsi="Times New Roman"/>
            <w:sz w:val="20"/>
            <w:szCs w:val="20"/>
          </w:rPr>
          <w:t>T</w:t>
        </w:r>
      </w:hyperlink>
      <w:hyperlink r:id="rId165" w:anchor="i6df229dad1864210ab76200083e26819_7" w:history="1">
        <w:r>
          <w:rPr>
            <w:rStyle w:val="a5"/>
            <w:rFonts w:ascii="Times New Roman" w:eastAsia="宋体" w:hAnsi="Times New Roman"/>
            <w:sz w:val="20"/>
            <w:szCs w:val="20"/>
          </w:rPr>
          <w:t>able of Contents</w:t>
        </w:r>
      </w:hyperlink>
    </w:p>
    <w:p w14:paraId="5CD8E254" w14:textId="77777777" w:rsidR="00BA49F5" w:rsidRDefault="007E5E49">
      <w:pPr>
        <w:ind w:firstLine="540"/>
        <w:jc w:val="both"/>
      </w:pPr>
      <w:r>
        <w:rPr>
          <w:rFonts w:ascii="Times New Roman" w:eastAsia="宋体" w:hAnsi="Times New Roman"/>
          <w:color w:val="000000"/>
          <w:sz w:val="20"/>
          <w:szCs w:val="20"/>
        </w:rPr>
        <w:t xml:space="preserve">For example, in September 2018, we </w:t>
      </w:r>
      <w:r>
        <w:rPr>
          <w:rFonts w:ascii="Times New Roman" w:eastAsia="宋体" w:hAnsi="Times New Roman"/>
          <w:color w:val="000000"/>
          <w:sz w:val="20"/>
          <w:szCs w:val="20"/>
        </w:rPr>
        <w:t>announced our discovery of a third-party cyber-attack that exploited a vulnerability in Facebook's code to steal user access tokens, which were then used to access certain profile information from approximately 29 million user accounts on Facebook. The eve</w:t>
      </w:r>
      <w:r>
        <w:rPr>
          <w:rFonts w:ascii="Times New Roman" w:eastAsia="宋体" w:hAnsi="Times New Roman"/>
          <w:color w:val="000000"/>
          <w:sz w:val="20"/>
          <w:szCs w:val="20"/>
        </w:rPr>
        <w:t>nts surrounding this cyber-attack became the subject of Irish Data Protection Commission and other government inquiries. Any such inquiries could subject us to substantial fines and costs, require us to change our business practices, divert resources and t</w:t>
      </w:r>
      <w:r>
        <w:rPr>
          <w:rFonts w:ascii="Times New Roman" w:eastAsia="宋体" w:hAnsi="Times New Roman"/>
          <w:color w:val="000000"/>
          <w:sz w:val="20"/>
          <w:szCs w:val="20"/>
        </w:rPr>
        <w:t>he attention of management from our business, or adversely affect our business.</w:t>
      </w:r>
    </w:p>
    <w:p w14:paraId="5CD8E255" w14:textId="77777777" w:rsidR="00BA49F5" w:rsidRDefault="00BA49F5">
      <w:pPr>
        <w:ind w:firstLine="540"/>
        <w:jc w:val="both"/>
      </w:pPr>
    </w:p>
    <w:p w14:paraId="5CD8E256" w14:textId="77777777" w:rsidR="00BA49F5" w:rsidRDefault="007E5E49">
      <w:pPr>
        <w:jc w:val="both"/>
      </w:pPr>
      <w:r>
        <w:rPr>
          <w:rFonts w:ascii="Times New Roman" w:eastAsia="宋体" w:hAnsi="Times New Roman"/>
          <w:b/>
          <w:bCs/>
          <w:i/>
          <w:iCs/>
          <w:color w:val="000000"/>
          <w:sz w:val="20"/>
          <w:szCs w:val="20"/>
        </w:rPr>
        <w:t xml:space="preserve">We anticipate that our ongoing efforts related to privacy, safety, security, and content review will identify additional instances of misuse of user data or other undesirable </w:t>
      </w:r>
      <w:r>
        <w:rPr>
          <w:rFonts w:ascii="Times New Roman" w:eastAsia="宋体" w:hAnsi="Times New Roman"/>
          <w:b/>
          <w:bCs/>
          <w:i/>
          <w:iCs/>
          <w:color w:val="000000"/>
          <w:sz w:val="20"/>
          <w:szCs w:val="20"/>
        </w:rPr>
        <w:t>activity by third parties on our platform.</w:t>
      </w:r>
    </w:p>
    <w:p w14:paraId="5CD8E257" w14:textId="77777777" w:rsidR="00BA49F5" w:rsidRDefault="00BA49F5">
      <w:pPr>
        <w:jc w:val="both"/>
      </w:pPr>
    </w:p>
    <w:p w14:paraId="5CD8E258" w14:textId="77777777" w:rsidR="00BA49F5" w:rsidRDefault="007E5E49">
      <w:pPr>
        <w:ind w:firstLine="540"/>
        <w:jc w:val="both"/>
      </w:pPr>
      <w:r>
        <w:rPr>
          <w:rFonts w:ascii="Times New Roman" w:eastAsia="宋体" w:hAnsi="Times New Roman"/>
          <w:color w:val="000000"/>
          <w:sz w:val="20"/>
          <w:szCs w:val="20"/>
        </w:rPr>
        <w:t>In addition to our efforts to mitigate cybersecurity risks, we are making significant investments in privacy, safety, security, and content review efforts to combat misuse of our services and user data by third p</w:t>
      </w:r>
      <w:r>
        <w:rPr>
          <w:rFonts w:ascii="Times New Roman" w:eastAsia="宋体" w:hAnsi="Times New Roman"/>
          <w:color w:val="000000"/>
          <w:sz w:val="20"/>
          <w:szCs w:val="20"/>
        </w:rPr>
        <w:t>arties, including investigations and audits of platform applications, as well as other enforcement efforts. As a result of these efforts we have discovered and announced, and anticipate that we will continue to discover and announce, additional incidents o</w:t>
      </w:r>
      <w:r>
        <w:rPr>
          <w:rFonts w:ascii="Times New Roman" w:eastAsia="宋体" w:hAnsi="Times New Roman"/>
          <w:color w:val="000000"/>
          <w:sz w:val="20"/>
          <w:szCs w:val="20"/>
        </w:rPr>
        <w:t>f misuse of user data or other undesirable activity by third parties. We may not discover all such incidents or activity, whether as a result of our data or technical limitations, including our lack of visibility over our encrypted services, the scale of a</w:t>
      </w:r>
      <w:r>
        <w:rPr>
          <w:rFonts w:ascii="Times New Roman" w:eastAsia="宋体" w:hAnsi="Times New Roman"/>
          <w:color w:val="000000"/>
          <w:sz w:val="20"/>
          <w:szCs w:val="20"/>
        </w:rPr>
        <w:t>ctivity on our platform, the allocation of resources to other projects, or other factors, and we may be notified of such incidents or activity by the independent privacy assessor required under our modified consent order with the FTC, the media, or other t</w:t>
      </w:r>
      <w:r>
        <w:rPr>
          <w:rFonts w:ascii="Times New Roman" w:eastAsia="宋体" w:hAnsi="Times New Roman"/>
          <w:color w:val="000000"/>
          <w:sz w:val="20"/>
          <w:szCs w:val="20"/>
        </w:rPr>
        <w:t>hird parties. Such incidents and activities have in the past, and may in the future, include the use of user data or our systems in a manner inconsistent with our terms, contracts or policies, the existence of false or undesirable user accounts, election i</w:t>
      </w:r>
      <w:r>
        <w:rPr>
          <w:rFonts w:ascii="Times New Roman" w:eastAsia="宋体" w:hAnsi="Times New Roman"/>
          <w:color w:val="000000"/>
          <w:sz w:val="20"/>
          <w:szCs w:val="20"/>
        </w:rPr>
        <w:t>nterference, improper advertising practices, activities that threaten people's safety on- or offline, or instances of spamming, scraping, data harvesting, unsecured datasets, or spreading misinformation. We may also be unsuccessful in our efforts to enforc</w:t>
      </w:r>
      <w:r>
        <w:rPr>
          <w:rFonts w:ascii="Times New Roman" w:eastAsia="宋体" w:hAnsi="Times New Roman"/>
          <w:color w:val="000000"/>
          <w:sz w:val="20"/>
          <w:szCs w:val="20"/>
        </w:rPr>
        <w:t>e our policies or otherwise remediate any such incidents. Consequences of any of the foregoing developments include negative effects on user trust and engagement, harm to our reputation and brands, changes to our business practices in a manner adverse to o</w:t>
      </w:r>
      <w:r>
        <w:rPr>
          <w:rFonts w:ascii="Times New Roman" w:eastAsia="宋体" w:hAnsi="Times New Roman"/>
          <w:color w:val="000000"/>
          <w:sz w:val="20"/>
          <w:szCs w:val="20"/>
        </w:rPr>
        <w:t>ur business, and adverse effects on our business and financial results. Any such developments may also subject us to additional litigation and regulatory inquiries, which could subject us to monetary penalties and damages, divert management's time and atte</w:t>
      </w:r>
      <w:r>
        <w:rPr>
          <w:rFonts w:ascii="Times New Roman" w:eastAsia="宋体" w:hAnsi="Times New Roman"/>
          <w:color w:val="000000"/>
          <w:sz w:val="20"/>
          <w:szCs w:val="20"/>
        </w:rPr>
        <w:t>ntion, and lead to enhanced regulatory oversight.</w:t>
      </w:r>
    </w:p>
    <w:p w14:paraId="5CD8E259" w14:textId="77777777" w:rsidR="00BA49F5" w:rsidRDefault="00BA49F5">
      <w:pPr>
        <w:jc w:val="both"/>
      </w:pPr>
    </w:p>
    <w:p w14:paraId="5CD8E25A" w14:textId="77777777" w:rsidR="00BA49F5" w:rsidRDefault="007E5E49">
      <w:pPr>
        <w:jc w:val="both"/>
      </w:pPr>
      <w:r>
        <w:rPr>
          <w:rFonts w:ascii="Times New Roman" w:eastAsia="宋体" w:hAnsi="Times New Roman"/>
          <w:b/>
          <w:bCs/>
          <w:i/>
          <w:iCs/>
          <w:color w:val="000000"/>
          <w:sz w:val="20"/>
          <w:szCs w:val="20"/>
        </w:rPr>
        <w:t>Our products and internal systems rely on software and hardware that is highly technical, and any errors, bugs, or vulnerabilities in these systems, or failures to address or mitigate technical limitations</w:t>
      </w:r>
      <w:r>
        <w:rPr>
          <w:rFonts w:ascii="Times New Roman" w:eastAsia="宋体" w:hAnsi="Times New Roman"/>
          <w:b/>
          <w:bCs/>
          <w:i/>
          <w:iCs/>
          <w:color w:val="000000"/>
          <w:sz w:val="20"/>
          <w:szCs w:val="20"/>
        </w:rPr>
        <w:t xml:space="preserve"> in our systems, could adversely affect our business.</w:t>
      </w:r>
    </w:p>
    <w:p w14:paraId="5CD8E25B" w14:textId="77777777" w:rsidR="00BA49F5" w:rsidRDefault="00BA49F5">
      <w:pPr>
        <w:jc w:val="both"/>
      </w:pPr>
    </w:p>
    <w:p w14:paraId="5CD8E25C" w14:textId="77777777" w:rsidR="00BA49F5" w:rsidRDefault="007E5E49">
      <w:pPr>
        <w:ind w:firstLine="540"/>
        <w:jc w:val="both"/>
      </w:pPr>
      <w:r>
        <w:rPr>
          <w:rFonts w:ascii="Times New Roman" w:eastAsia="宋体" w:hAnsi="Times New Roman"/>
          <w:color w:val="000000"/>
          <w:sz w:val="20"/>
          <w:szCs w:val="20"/>
        </w:rPr>
        <w:t>Our products and internal systems rely on software and hardware, including software and hardware developed or maintained internally and/or by third parties, that is highly technical and complex. In add</w:t>
      </w:r>
      <w:r>
        <w:rPr>
          <w:rFonts w:ascii="Times New Roman" w:eastAsia="宋体" w:hAnsi="Times New Roman"/>
          <w:color w:val="000000"/>
          <w:sz w:val="20"/>
          <w:szCs w:val="20"/>
        </w:rPr>
        <w:t xml:space="preserve">ition, our products and internal systems depend on the ability of such software and hardware to store, retrieve, process, and manage immense amounts of data. The software and hardware on which we rely has contained, and will in the future contain, errors, </w:t>
      </w:r>
      <w:r>
        <w:rPr>
          <w:rFonts w:ascii="Times New Roman" w:eastAsia="宋体" w:hAnsi="Times New Roman"/>
          <w:color w:val="000000"/>
          <w:sz w:val="20"/>
          <w:szCs w:val="20"/>
        </w:rPr>
        <w:t xml:space="preserve">bugs, or vulnerabilities, and our systems are subject to certain technical limitations that may compromise our ability to meet our objectives. Some errors, bugs, or vulnerabilities inherently may be difficult to detect and may only be discovered after the </w:t>
      </w:r>
      <w:r>
        <w:rPr>
          <w:rFonts w:ascii="Times New Roman" w:eastAsia="宋体" w:hAnsi="Times New Roman"/>
          <w:color w:val="000000"/>
          <w:sz w:val="20"/>
          <w:szCs w:val="20"/>
        </w:rPr>
        <w:t>code has been released for external or internal use. For example, in September 2018, we announced our discovery of a third-party cyber-attack that exploited a vulnerability in Facebook's code to steal user access tokens and access certain profile informati</w:t>
      </w:r>
      <w:r>
        <w:rPr>
          <w:rFonts w:ascii="Times New Roman" w:eastAsia="宋体" w:hAnsi="Times New Roman"/>
          <w:color w:val="000000"/>
          <w:sz w:val="20"/>
          <w:szCs w:val="20"/>
        </w:rPr>
        <w:t>on from user accounts on Facebook. Errors, bugs, vulnerabilities, design defects, or technical limitations within the software and hardware on which we rely, or human error in using such systems, have in the past led to, and may in the future lead to, outc</w:t>
      </w:r>
      <w:r>
        <w:rPr>
          <w:rFonts w:ascii="Times New Roman" w:eastAsia="宋体" w:hAnsi="Times New Roman"/>
          <w:color w:val="000000"/>
          <w:sz w:val="20"/>
          <w:szCs w:val="20"/>
        </w:rPr>
        <w:t>omes including a negative experience for users and marketers who use our products, compromised ability of our products to perform in a manner consistent with our terms, contracts, or policies, delayed product introductions or enhancements, targeting, measu</w:t>
      </w:r>
      <w:r>
        <w:rPr>
          <w:rFonts w:ascii="Times New Roman" w:eastAsia="宋体" w:hAnsi="Times New Roman"/>
          <w:color w:val="000000"/>
          <w:sz w:val="20"/>
          <w:szCs w:val="20"/>
        </w:rPr>
        <w:t>rement, or billing errors, compromised ability to protect the data of our users and/or our intellectual property or other data, or reductions in our ability to provide some or all of our services. For example, we make commitments to our users as to how the</w:t>
      </w:r>
      <w:r>
        <w:rPr>
          <w:rFonts w:ascii="Times New Roman" w:eastAsia="宋体" w:hAnsi="Times New Roman"/>
          <w:color w:val="000000"/>
          <w:sz w:val="20"/>
          <w:szCs w:val="20"/>
        </w:rPr>
        <w:t>ir data will be collected, used, shared, and retained within and across our products, and our systems are subject to errors, bugs and technical limitations that may prevent us from fulfilling these commitments reliably. In addition, any errors, bugs, vulne</w:t>
      </w:r>
      <w:r>
        <w:rPr>
          <w:rFonts w:ascii="Times New Roman" w:eastAsia="宋体" w:hAnsi="Times New Roman"/>
          <w:color w:val="000000"/>
          <w:sz w:val="20"/>
          <w:szCs w:val="20"/>
        </w:rPr>
        <w:t>rabilities, or defects in our systems or the software and hardware on which we rely, failures to properly address or mitigate the technical limitations in our systems, or associated degradations or interruptions of service or failures to fulfill our commit</w:t>
      </w:r>
      <w:r>
        <w:rPr>
          <w:rFonts w:ascii="Times New Roman" w:eastAsia="宋体" w:hAnsi="Times New Roman"/>
          <w:color w:val="000000"/>
          <w:sz w:val="20"/>
          <w:szCs w:val="20"/>
        </w:rPr>
        <w:t>ments to our users, have in the past led to, and may in the future lead to, outcomes including damage to our reputation, loss of users, loss of marketers, loss of revenue, regulatory inquiries, litigation, or liability for fines, damages, or other remedies</w:t>
      </w:r>
      <w:r>
        <w:rPr>
          <w:rFonts w:ascii="Times New Roman" w:eastAsia="宋体" w:hAnsi="Times New Roman"/>
          <w:color w:val="000000"/>
          <w:sz w:val="20"/>
          <w:szCs w:val="20"/>
        </w:rPr>
        <w:t>, any of which could adversely affect our business and financial results.</w:t>
      </w:r>
    </w:p>
    <w:p w14:paraId="5CD8E25D" w14:textId="77777777" w:rsidR="00BA49F5" w:rsidRDefault="00BA49F5">
      <w:pPr>
        <w:ind w:firstLine="540"/>
        <w:jc w:val="both"/>
      </w:pPr>
    </w:p>
    <w:p w14:paraId="5CD8E25E" w14:textId="77777777" w:rsidR="00BA49F5" w:rsidRDefault="007E5E49">
      <w:pPr>
        <w:jc w:val="center"/>
      </w:pPr>
      <w:r>
        <w:rPr>
          <w:rFonts w:ascii="Times New Roman" w:eastAsia="宋体" w:hAnsi="Times New Roman"/>
          <w:color w:val="000000"/>
          <w:sz w:val="20"/>
          <w:szCs w:val="20"/>
        </w:rPr>
        <w:t>43</w:t>
      </w:r>
    </w:p>
    <w:p w14:paraId="5CD8E25F" w14:textId="77777777" w:rsidR="00BA49F5" w:rsidRDefault="007E5E49">
      <w:r>
        <w:pict w14:anchorId="5CD90CF6">
          <v:rect id="_x0000_i1067" style="width:415.3pt;height:1.5pt" o:hralign="center" o:hrstd="t" o:hr="t" fillcolor="#a0a0a0" stroked="f"/>
        </w:pict>
      </w:r>
    </w:p>
    <w:p w14:paraId="5CD8E260" w14:textId="77777777" w:rsidR="00BA49F5" w:rsidRDefault="00BA49F5"/>
    <w:p w14:paraId="5CD8E261" w14:textId="77777777" w:rsidR="00BA49F5" w:rsidRDefault="00BA49F5"/>
    <w:p w14:paraId="5CD8E262" w14:textId="77777777" w:rsidR="00BA49F5" w:rsidRDefault="007E5E49">
      <w:hyperlink r:id="rId166" w:anchor="i6df229dad1864210ab76200083e26819_7" w:history="1">
        <w:r>
          <w:rPr>
            <w:rStyle w:val="a5"/>
            <w:rFonts w:ascii="Times New Roman" w:eastAsia="宋体" w:hAnsi="Times New Roman"/>
            <w:sz w:val="20"/>
            <w:szCs w:val="20"/>
          </w:rPr>
          <w:t>T</w:t>
        </w:r>
      </w:hyperlink>
      <w:hyperlink r:id="rId167" w:anchor="i6df229dad1864210ab76200083e26819_7" w:history="1">
        <w:r>
          <w:rPr>
            <w:rStyle w:val="a5"/>
            <w:rFonts w:ascii="Times New Roman" w:eastAsia="宋体" w:hAnsi="Times New Roman"/>
            <w:sz w:val="20"/>
            <w:szCs w:val="20"/>
          </w:rPr>
          <w:t>able of Contents</w:t>
        </w:r>
      </w:hyperlink>
    </w:p>
    <w:p w14:paraId="5CD8E263" w14:textId="77777777" w:rsidR="00BA49F5" w:rsidRDefault="007E5E49">
      <w:pPr>
        <w:jc w:val="both"/>
      </w:pPr>
      <w:r>
        <w:rPr>
          <w:rFonts w:ascii="Times New Roman" w:eastAsia="宋体" w:hAnsi="Times New Roman"/>
          <w:b/>
          <w:bCs/>
          <w:i/>
          <w:iCs/>
          <w:color w:val="000000"/>
          <w:sz w:val="20"/>
          <w:szCs w:val="20"/>
        </w:rPr>
        <w:t>If we are unable to protect our intellectual property, the value of our brands and other intangible assets may be diminished, and our business may be adversely affected.</w:t>
      </w:r>
    </w:p>
    <w:p w14:paraId="5CD8E264" w14:textId="77777777" w:rsidR="00BA49F5" w:rsidRDefault="00BA49F5">
      <w:pPr>
        <w:jc w:val="both"/>
      </w:pPr>
    </w:p>
    <w:p w14:paraId="5CD8E265" w14:textId="77777777" w:rsidR="00BA49F5" w:rsidRDefault="007E5E49">
      <w:pPr>
        <w:ind w:firstLine="540"/>
        <w:jc w:val="both"/>
      </w:pPr>
      <w:r>
        <w:rPr>
          <w:rFonts w:ascii="Times New Roman" w:eastAsia="宋体" w:hAnsi="Times New Roman"/>
          <w:color w:val="000000"/>
          <w:sz w:val="20"/>
          <w:szCs w:val="20"/>
        </w:rPr>
        <w:t>We rely and expec</w:t>
      </w:r>
      <w:r>
        <w:rPr>
          <w:rFonts w:ascii="Times New Roman" w:eastAsia="宋体" w:hAnsi="Times New Roman"/>
          <w:color w:val="000000"/>
          <w:sz w:val="20"/>
          <w:szCs w:val="20"/>
        </w:rPr>
        <w:t>t to continue to rely on a combination of confidentiality, assignment, and license agreements with our employees, consultants, and third parties with whom we have relationships, as well as trademark, copyright, patent, trade secret, and domain name protect</w:t>
      </w:r>
      <w:r>
        <w:rPr>
          <w:rFonts w:ascii="Times New Roman" w:eastAsia="宋体" w:hAnsi="Times New Roman"/>
          <w:color w:val="000000"/>
          <w:sz w:val="20"/>
          <w:szCs w:val="20"/>
        </w:rPr>
        <w:t>ion laws, to protect our proprietary rights. In the United States and internationally, we have filed various applications for protection of certain aspects of our intellectual property, and we currently hold a significant number of registered trademarks an</w:t>
      </w:r>
      <w:r>
        <w:rPr>
          <w:rFonts w:ascii="Times New Roman" w:eastAsia="宋体" w:hAnsi="Times New Roman"/>
          <w:color w:val="000000"/>
          <w:sz w:val="20"/>
          <w:szCs w:val="20"/>
        </w:rPr>
        <w:t>d issued patents in multiple jurisdictions and have acquired patents and patent applications from third parties. Third parties may knowingly or unknowingly infringe our proprietary rights, third parties may challenge proprietary rights held by us, and pend</w:t>
      </w:r>
      <w:r>
        <w:rPr>
          <w:rFonts w:ascii="Times New Roman" w:eastAsia="宋体" w:hAnsi="Times New Roman"/>
          <w:color w:val="000000"/>
          <w:sz w:val="20"/>
          <w:szCs w:val="20"/>
        </w:rPr>
        <w:t xml:space="preserve">ing and future trademark and patent applications may not be approved. In addition, effective intellectual property protection may not be available in every country in which we operate or intend to operate our business. In any or all of these cases, we may </w:t>
      </w:r>
      <w:r>
        <w:rPr>
          <w:rFonts w:ascii="Times New Roman" w:eastAsia="宋体" w:hAnsi="Times New Roman"/>
          <w:color w:val="000000"/>
          <w:sz w:val="20"/>
          <w:szCs w:val="20"/>
        </w:rPr>
        <w:t>be required to expend significant time and expense in order to prevent infringement or to enforce our rights. Although we have generally taken measures to protect our proprietary rights, there can be no assurance that others will not offer products or conc</w:t>
      </w:r>
      <w:r>
        <w:rPr>
          <w:rFonts w:ascii="Times New Roman" w:eastAsia="宋体" w:hAnsi="Times New Roman"/>
          <w:color w:val="000000"/>
          <w:sz w:val="20"/>
          <w:szCs w:val="20"/>
        </w:rPr>
        <w:t xml:space="preserve">epts that are substantially similar to ours and compete with our business. In addition, we regularly contribute software source code under open source licenses and have made other technology we developed available under other open licenses, and we include </w:t>
      </w:r>
      <w:r>
        <w:rPr>
          <w:rFonts w:ascii="Times New Roman" w:eastAsia="宋体" w:hAnsi="Times New Roman"/>
          <w:color w:val="000000"/>
          <w:sz w:val="20"/>
          <w:szCs w:val="20"/>
        </w:rPr>
        <w:t>open source software in our products. As a result of our open source contributions and the use of open source in our products, we may license or be required to license or disclose code and/or innovations that turn out to be material to our business and may</w:t>
      </w:r>
      <w:r>
        <w:rPr>
          <w:rFonts w:ascii="Times New Roman" w:eastAsia="宋体" w:hAnsi="Times New Roman"/>
          <w:color w:val="000000"/>
          <w:sz w:val="20"/>
          <w:szCs w:val="20"/>
        </w:rPr>
        <w:t xml:space="preserve"> also be exposed to increased litigation risk. If the protection of our proprietary rights is inadequate to prevent unauthorized use or appropriation by third parties, the value of our brands and other intangible assets may be diminished and competitors ma</w:t>
      </w:r>
      <w:r>
        <w:rPr>
          <w:rFonts w:ascii="Times New Roman" w:eastAsia="宋体" w:hAnsi="Times New Roman"/>
          <w:color w:val="000000"/>
          <w:sz w:val="20"/>
          <w:szCs w:val="20"/>
        </w:rPr>
        <w:t>y be able to more effectively mimic our products, services, and methods of operations. Any of these events could have an adverse effect on our business and financial results.</w:t>
      </w:r>
    </w:p>
    <w:p w14:paraId="5CD8E266" w14:textId="77777777" w:rsidR="00BA49F5" w:rsidRDefault="00BA49F5">
      <w:pPr>
        <w:ind w:firstLine="540"/>
        <w:jc w:val="both"/>
      </w:pPr>
    </w:p>
    <w:p w14:paraId="5CD8E267" w14:textId="77777777" w:rsidR="00BA49F5" w:rsidRDefault="007E5E49">
      <w:pPr>
        <w:jc w:val="both"/>
      </w:pPr>
      <w:r>
        <w:rPr>
          <w:rFonts w:ascii="Times New Roman" w:eastAsia="宋体" w:hAnsi="Times New Roman"/>
          <w:b/>
          <w:bCs/>
          <w:i/>
          <w:iCs/>
          <w:color w:val="000000"/>
          <w:sz w:val="20"/>
          <w:szCs w:val="20"/>
        </w:rPr>
        <w:t>We are currently, and expect to be in the future, party to patent lawsuits and o</w:t>
      </w:r>
      <w:r>
        <w:rPr>
          <w:rFonts w:ascii="Times New Roman" w:eastAsia="宋体" w:hAnsi="Times New Roman"/>
          <w:b/>
          <w:bCs/>
          <w:i/>
          <w:iCs/>
          <w:color w:val="000000"/>
          <w:sz w:val="20"/>
          <w:szCs w:val="20"/>
        </w:rPr>
        <w:t>ther intellectual property rights claims that are expensive and time consuming and, if resolved adversely, could have a significant impact on our business, financial condition, or results of operations.</w:t>
      </w:r>
    </w:p>
    <w:p w14:paraId="5CD8E268" w14:textId="77777777" w:rsidR="00BA49F5" w:rsidRDefault="00BA49F5">
      <w:pPr>
        <w:jc w:val="both"/>
      </w:pPr>
    </w:p>
    <w:p w14:paraId="5CD8E269" w14:textId="77777777" w:rsidR="00BA49F5" w:rsidRDefault="007E5E49">
      <w:pPr>
        <w:ind w:firstLine="540"/>
        <w:jc w:val="both"/>
      </w:pPr>
      <w:r>
        <w:rPr>
          <w:rFonts w:ascii="Times New Roman" w:eastAsia="宋体" w:hAnsi="Times New Roman"/>
          <w:color w:val="000000"/>
          <w:sz w:val="20"/>
          <w:szCs w:val="20"/>
        </w:rPr>
        <w:t>Companies in the internet, technology, and media ind</w:t>
      </w:r>
      <w:r>
        <w:rPr>
          <w:rFonts w:ascii="Times New Roman" w:eastAsia="宋体" w:hAnsi="Times New Roman"/>
          <w:color w:val="000000"/>
          <w:sz w:val="20"/>
          <w:szCs w:val="20"/>
        </w:rPr>
        <w:t>ustries own large numbers of patents, copyrights, trademarks, and trade secrets, and frequently enter into litigation based on allegations of infringement, misappropriation, or other violations of intellectual property or other rights. In addition, various</w:t>
      </w:r>
      <w:r>
        <w:rPr>
          <w:rFonts w:ascii="Times New Roman" w:eastAsia="宋体" w:hAnsi="Times New Roman"/>
          <w:color w:val="000000"/>
          <w:sz w:val="20"/>
          <w:szCs w:val="20"/>
        </w:rPr>
        <w:t xml:space="preserve"> "non-practicing entities" that own patents and other intellectual property rights often attempt to aggressively assert their rights in order to extract value from technology companies. Furthermore, from time to time we may introduce or acquire new product</w:t>
      </w:r>
      <w:r>
        <w:rPr>
          <w:rFonts w:ascii="Times New Roman" w:eastAsia="宋体" w:hAnsi="Times New Roman"/>
          <w:color w:val="000000"/>
          <w:sz w:val="20"/>
          <w:szCs w:val="20"/>
        </w:rPr>
        <w:t>s, including in areas where we historically have not competed, which could increase our exposure to patent and other intellectual property claims from competitors and non-practicing entities.</w:t>
      </w:r>
    </w:p>
    <w:p w14:paraId="5CD8E26A" w14:textId="77777777" w:rsidR="00BA49F5" w:rsidRDefault="00BA49F5">
      <w:pPr>
        <w:ind w:firstLine="540"/>
        <w:jc w:val="both"/>
      </w:pPr>
    </w:p>
    <w:p w14:paraId="5CD8E26B" w14:textId="77777777" w:rsidR="00BA49F5" w:rsidRDefault="007E5E49">
      <w:pPr>
        <w:ind w:firstLine="540"/>
        <w:jc w:val="both"/>
      </w:pPr>
      <w:r>
        <w:rPr>
          <w:rFonts w:ascii="Times New Roman" w:eastAsia="宋体" w:hAnsi="Times New Roman"/>
          <w:color w:val="000000"/>
          <w:sz w:val="20"/>
          <w:szCs w:val="20"/>
        </w:rPr>
        <w:t>From time to time, we receive notice from patent holders and ot</w:t>
      </w:r>
      <w:r>
        <w:rPr>
          <w:rFonts w:ascii="Times New Roman" w:eastAsia="宋体" w:hAnsi="Times New Roman"/>
          <w:color w:val="000000"/>
          <w:sz w:val="20"/>
          <w:szCs w:val="20"/>
        </w:rPr>
        <w:t>her parties alleging that certain of our products and services, or user content, infringe their intellectual property rights. We presently are involved in a number of intellectual property lawsuits, and as we face increasing competition and develop new pro</w:t>
      </w:r>
      <w:r>
        <w:rPr>
          <w:rFonts w:ascii="Times New Roman" w:eastAsia="宋体" w:hAnsi="Times New Roman"/>
          <w:color w:val="000000"/>
          <w:sz w:val="20"/>
          <w:szCs w:val="20"/>
        </w:rPr>
        <w:t>ducts and services, we expect the number of patent and other intellectual property claims against us to grow. Defending patent and other intellectual property litigation is costly and can impose a significant burden on management and employees, and there c</w:t>
      </w:r>
      <w:r>
        <w:rPr>
          <w:rFonts w:ascii="Times New Roman" w:eastAsia="宋体" w:hAnsi="Times New Roman"/>
          <w:color w:val="000000"/>
          <w:sz w:val="20"/>
          <w:szCs w:val="20"/>
        </w:rPr>
        <w:t>an be no assurances that favorable final outcomes will be obtained in all cases. In addition, plaintiffs may seek, and we may become subject to, preliminary or provisional rulings in the course of any such litigation, including potential preliminary injunc</w:t>
      </w:r>
      <w:r>
        <w:rPr>
          <w:rFonts w:ascii="Times New Roman" w:eastAsia="宋体" w:hAnsi="Times New Roman"/>
          <w:color w:val="000000"/>
          <w:sz w:val="20"/>
          <w:szCs w:val="20"/>
        </w:rPr>
        <w:t>tions requiring us to cease some or all of our operations. We may decide to settle such lawsuits and disputes on terms that are unfavorable to us. Similarly, if any litigation to which we are a party is resolved adversely, we may be subject to an unfavorab</w:t>
      </w:r>
      <w:r>
        <w:rPr>
          <w:rFonts w:ascii="Times New Roman" w:eastAsia="宋体" w:hAnsi="Times New Roman"/>
          <w:color w:val="000000"/>
          <w:sz w:val="20"/>
          <w:szCs w:val="20"/>
        </w:rPr>
        <w:t>le judgment that may not be reversed upon appeal. The terms of such a settlement or judgment may require us to cease some or all of our operations or pay substantial amounts to the other party. In addition, we may have to seek a license to continue practic</w:t>
      </w:r>
      <w:r>
        <w:rPr>
          <w:rFonts w:ascii="Times New Roman" w:eastAsia="宋体" w:hAnsi="Times New Roman"/>
          <w:color w:val="000000"/>
          <w:sz w:val="20"/>
          <w:szCs w:val="20"/>
        </w:rPr>
        <w:t>es found to be in violation of a third party's rights, which may not be available on reasonable terms, or at all, and may significantly increase our operating costs and expenses. As a result, we may also be required to develop alternative non-infringing te</w:t>
      </w:r>
      <w:r>
        <w:rPr>
          <w:rFonts w:ascii="Times New Roman" w:eastAsia="宋体" w:hAnsi="Times New Roman"/>
          <w:color w:val="000000"/>
          <w:sz w:val="20"/>
          <w:szCs w:val="20"/>
        </w:rPr>
        <w:t>chnology or practices or discontinue the practices. The development of alternative non-infringing technology or practices could require significant effort and expense, could result in less effective technology or practices or otherwise negatively affect th</w:t>
      </w:r>
      <w:r>
        <w:rPr>
          <w:rFonts w:ascii="Times New Roman" w:eastAsia="宋体" w:hAnsi="Times New Roman"/>
          <w:color w:val="000000"/>
          <w:sz w:val="20"/>
          <w:szCs w:val="20"/>
        </w:rPr>
        <w:t>e user experience, or may not be feasible. We have experienced unfavorable outcomes in such disputes and litigation in the past, and our business, financial condition, and results of operations could be adversely affected as a result of an unfavorable reso</w:t>
      </w:r>
      <w:r>
        <w:rPr>
          <w:rFonts w:ascii="Times New Roman" w:eastAsia="宋体" w:hAnsi="Times New Roman"/>
          <w:color w:val="000000"/>
          <w:sz w:val="20"/>
          <w:szCs w:val="20"/>
        </w:rPr>
        <w:t>lution of the disputes and litigation referred to above.</w:t>
      </w:r>
    </w:p>
    <w:p w14:paraId="5CD8E26C" w14:textId="77777777" w:rsidR="00BA49F5" w:rsidRDefault="00BA49F5">
      <w:pPr>
        <w:ind w:firstLine="540"/>
        <w:jc w:val="both"/>
      </w:pPr>
    </w:p>
    <w:p w14:paraId="5CD8E26D" w14:textId="77777777" w:rsidR="00BA49F5" w:rsidRDefault="007E5E49">
      <w:pPr>
        <w:jc w:val="center"/>
      </w:pPr>
      <w:r>
        <w:rPr>
          <w:rFonts w:ascii="Times New Roman" w:eastAsia="宋体" w:hAnsi="Times New Roman"/>
          <w:color w:val="000000"/>
          <w:sz w:val="20"/>
          <w:szCs w:val="20"/>
        </w:rPr>
        <w:t>44</w:t>
      </w:r>
    </w:p>
    <w:p w14:paraId="5CD8E26E" w14:textId="77777777" w:rsidR="00BA49F5" w:rsidRDefault="007E5E49">
      <w:r>
        <w:pict w14:anchorId="5CD90CF7">
          <v:rect id="_x0000_i1068" style="width:415.3pt;height:1.5pt" o:hralign="center" o:hrstd="t" o:hr="t" fillcolor="#a0a0a0" stroked="f"/>
        </w:pict>
      </w:r>
    </w:p>
    <w:p w14:paraId="5CD8E26F" w14:textId="77777777" w:rsidR="00BA49F5" w:rsidRDefault="00BA49F5"/>
    <w:p w14:paraId="5CD8E270" w14:textId="77777777" w:rsidR="00BA49F5" w:rsidRDefault="00BA49F5"/>
    <w:p w14:paraId="5CD8E271" w14:textId="77777777" w:rsidR="00BA49F5" w:rsidRDefault="007E5E49">
      <w:hyperlink r:id="rId168" w:anchor="i6df229dad1864210ab76200083e26819_7" w:history="1">
        <w:r>
          <w:rPr>
            <w:rStyle w:val="a5"/>
            <w:rFonts w:ascii="Times New Roman" w:eastAsia="宋体" w:hAnsi="Times New Roman"/>
            <w:sz w:val="20"/>
            <w:szCs w:val="20"/>
          </w:rPr>
          <w:t>T</w:t>
        </w:r>
      </w:hyperlink>
      <w:hyperlink r:id="rId169" w:anchor="i6df229dad1864210ab76200083e26819_7" w:history="1">
        <w:r>
          <w:rPr>
            <w:rStyle w:val="a5"/>
            <w:rFonts w:ascii="Times New Roman" w:eastAsia="宋体" w:hAnsi="Times New Roman"/>
            <w:sz w:val="20"/>
            <w:szCs w:val="20"/>
          </w:rPr>
          <w:t>able of Contents</w:t>
        </w:r>
      </w:hyperlink>
    </w:p>
    <w:p w14:paraId="5CD8E272" w14:textId="77777777" w:rsidR="00BA49F5" w:rsidRDefault="007E5E49">
      <w:pPr>
        <w:jc w:val="center"/>
      </w:pPr>
      <w:r>
        <w:rPr>
          <w:rFonts w:ascii="Times New Roman" w:eastAsia="宋体" w:hAnsi="Times New Roman"/>
          <w:b/>
          <w:bCs/>
          <w:color w:val="000000"/>
          <w:sz w:val="20"/>
          <w:szCs w:val="20"/>
        </w:rPr>
        <w:t>Risks Related to Ownership of Our Class A Common Stock</w:t>
      </w:r>
    </w:p>
    <w:p w14:paraId="5CD8E273" w14:textId="77777777" w:rsidR="00BA49F5" w:rsidRDefault="00BA49F5">
      <w:pPr>
        <w:jc w:val="both"/>
      </w:pPr>
    </w:p>
    <w:p w14:paraId="5CD8E274" w14:textId="77777777" w:rsidR="00BA49F5" w:rsidRDefault="007E5E49">
      <w:pPr>
        <w:jc w:val="both"/>
      </w:pPr>
      <w:r>
        <w:rPr>
          <w:rFonts w:ascii="Times New Roman" w:eastAsia="宋体" w:hAnsi="Times New Roman"/>
          <w:b/>
          <w:bCs/>
          <w:i/>
          <w:iCs/>
          <w:color w:val="000000"/>
          <w:sz w:val="20"/>
          <w:szCs w:val="20"/>
        </w:rPr>
        <w:t>The trading price of our Class A common stock has been and will lik</w:t>
      </w:r>
      <w:r>
        <w:rPr>
          <w:rFonts w:ascii="Times New Roman" w:eastAsia="宋体" w:hAnsi="Times New Roman"/>
          <w:b/>
          <w:bCs/>
          <w:i/>
          <w:iCs/>
          <w:color w:val="000000"/>
          <w:sz w:val="20"/>
          <w:szCs w:val="20"/>
        </w:rPr>
        <w:t>ely continue to be volatile.</w:t>
      </w:r>
    </w:p>
    <w:p w14:paraId="5CD8E275" w14:textId="77777777" w:rsidR="00BA49F5" w:rsidRDefault="00BA49F5">
      <w:pPr>
        <w:jc w:val="both"/>
      </w:pPr>
    </w:p>
    <w:p w14:paraId="5CD8E276" w14:textId="77777777" w:rsidR="00BA49F5" w:rsidRDefault="007E5E49">
      <w:pPr>
        <w:ind w:firstLine="540"/>
        <w:jc w:val="both"/>
      </w:pPr>
      <w:r>
        <w:rPr>
          <w:rFonts w:ascii="Times New Roman" w:eastAsia="宋体" w:hAnsi="Times New Roman"/>
          <w:color w:val="000000"/>
          <w:sz w:val="20"/>
          <w:szCs w:val="20"/>
        </w:rPr>
        <w:t>The trading price of our Class A common stock has been, and is likely to continue to be, volatile. Since shares of our Class A common stock were sold in our initial public offering in May 2012 at a price of $38.00 per share, o</w:t>
      </w:r>
      <w:r>
        <w:rPr>
          <w:rFonts w:ascii="Times New Roman" w:eastAsia="宋体" w:hAnsi="Times New Roman"/>
          <w:color w:val="000000"/>
          <w:sz w:val="20"/>
          <w:szCs w:val="20"/>
        </w:rPr>
        <w:t>ur stock price has ranged from $17.55 to $384.33 through December 31, 2022. In addition to the factors discussed in this Annual Report on Form 10-K, the trading price of our Class A common stock has in the past fluctuated and may in the future fluctuate si</w:t>
      </w:r>
      <w:r>
        <w:rPr>
          <w:rFonts w:ascii="Times New Roman" w:eastAsia="宋体" w:hAnsi="Times New Roman"/>
          <w:color w:val="000000"/>
          <w:sz w:val="20"/>
          <w:szCs w:val="20"/>
        </w:rPr>
        <w:t>gnificantly in response to numerous factors, many of which are beyond our control, including:</w:t>
      </w:r>
    </w:p>
    <w:p w14:paraId="5CD8E277" w14:textId="77777777" w:rsidR="00BA49F5" w:rsidRDefault="00BA49F5">
      <w:pPr>
        <w:ind w:firstLine="540"/>
        <w:jc w:val="both"/>
      </w:pPr>
    </w:p>
    <w:p w14:paraId="5CD8E278" w14:textId="77777777" w:rsidR="00BA49F5" w:rsidRDefault="007E5E49">
      <w:pPr>
        <w:ind w:hanging="360"/>
        <w:jc w:val="both"/>
      </w:pPr>
      <w:r>
        <w:rPr>
          <w:rFonts w:ascii="Times New Roman" w:eastAsia="宋体" w:hAnsi="Times New Roman"/>
          <w:color w:val="000000"/>
          <w:sz w:val="20"/>
          <w:szCs w:val="20"/>
        </w:rPr>
        <w:t>•actual or anticipated fluctuations in our revenue and other operating results for either of our reportable segments;</w:t>
      </w:r>
    </w:p>
    <w:p w14:paraId="5CD8E279" w14:textId="77777777" w:rsidR="00BA49F5" w:rsidRDefault="00BA49F5">
      <w:pPr>
        <w:ind w:hanging="360"/>
        <w:jc w:val="both"/>
      </w:pPr>
    </w:p>
    <w:p w14:paraId="5CD8E27A" w14:textId="77777777" w:rsidR="00BA49F5" w:rsidRDefault="007E5E49">
      <w:pPr>
        <w:ind w:hanging="360"/>
        <w:jc w:val="both"/>
      </w:pPr>
      <w:r>
        <w:rPr>
          <w:rFonts w:ascii="Times New Roman" w:eastAsia="宋体" w:hAnsi="Times New Roman"/>
          <w:color w:val="000000"/>
          <w:sz w:val="20"/>
          <w:szCs w:val="20"/>
        </w:rPr>
        <w:t xml:space="preserve">•the financial projections we may </w:t>
      </w:r>
      <w:r>
        <w:rPr>
          <w:rFonts w:ascii="Times New Roman" w:eastAsia="宋体" w:hAnsi="Times New Roman"/>
          <w:color w:val="000000"/>
          <w:sz w:val="20"/>
          <w:szCs w:val="20"/>
        </w:rPr>
        <w:t>provide to the public, any changes in these projections, or our failure to meet these projections;</w:t>
      </w:r>
    </w:p>
    <w:p w14:paraId="5CD8E27B" w14:textId="77777777" w:rsidR="00BA49F5" w:rsidRDefault="00BA49F5">
      <w:pPr>
        <w:ind w:hanging="360"/>
        <w:jc w:val="both"/>
      </w:pPr>
    </w:p>
    <w:p w14:paraId="5CD8E27C" w14:textId="77777777" w:rsidR="00BA49F5" w:rsidRDefault="007E5E49">
      <w:pPr>
        <w:ind w:hanging="360"/>
        <w:jc w:val="both"/>
      </w:pPr>
      <w:r>
        <w:rPr>
          <w:rFonts w:ascii="Times New Roman" w:eastAsia="宋体" w:hAnsi="Times New Roman"/>
          <w:color w:val="000000"/>
          <w:sz w:val="20"/>
          <w:szCs w:val="20"/>
        </w:rPr>
        <w:t>•actions of securities analysts who initiate or maintain coverage of us, changes in financial estimates by any securities analysts who follow our company, o</w:t>
      </w:r>
      <w:r>
        <w:rPr>
          <w:rFonts w:ascii="Times New Roman" w:eastAsia="宋体" w:hAnsi="Times New Roman"/>
          <w:color w:val="000000"/>
          <w:sz w:val="20"/>
          <w:szCs w:val="20"/>
        </w:rPr>
        <w:t>r our failure to meet these estimates or the expectations of investors;</w:t>
      </w:r>
    </w:p>
    <w:p w14:paraId="5CD8E27D" w14:textId="77777777" w:rsidR="00BA49F5" w:rsidRDefault="00BA49F5">
      <w:pPr>
        <w:ind w:hanging="360"/>
        <w:jc w:val="both"/>
      </w:pPr>
    </w:p>
    <w:p w14:paraId="5CD8E27E" w14:textId="77777777" w:rsidR="00BA49F5" w:rsidRDefault="007E5E49">
      <w:pPr>
        <w:ind w:hanging="360"/>
        <w:jc w:val="both"/>
      </w:pPr>
      <w:r>
        <w:rPr>
          <w:rFonts w:ascii="Times New Roman" w:eastAsia="宋体" w:hAnsi="Times New Roman"/>
          <w:color w:val="000000"/>
          <w:sz w:val="20"/>
          <w:szCs w:val="20"/>
        </w:rPr>
        <w:t>•additional shares of our stock being sold into the market by us, our existing stockholders, or in connection with acquisitions, or the anticipation of such sales;</w:t>
      </w:r>
    </w:p>
    <w:p w14:paraId="5CD8E27F" w14:textId="77777777" w:rsidR="00BA49F5" w:rsidRDefault="00BA49F5">
      <w:pPr>
        <w:ind w:hanging="360"/>
        <w:jc w:val="both"/>
      </w:pPr>
    </w:p>
    <w:p w14:paraId="5CD8E280" w14:textId="77777777" w:rsidR="00BA49F5" w:rsidRDefault="007E5E49">
      <w:pPr>
        <w:ind w:hanging="360"/>
        <w:jc w:val="both"/>
      </w:pPr>
      <w:r>
        <w:rPr>
          <w:rFonts w:ascii="Times New Roman" w:eastAsia="宋体" w:hAnsi="Times New Roman"/>
          <w:color w:val="000000"/>
          <w:sz w:val="20"/>
          <w:szCs w:val="20"/>
        </w:rPr>
        <w:t>•investor sentimen</w:t>
      </w:r>
      <w:r>
        <w:rPr>
          <w:rFonts w:ascii="Times New Roman" w:eastAsia="宋体" w:hAnsi="Times New Roman"/>
          <w:color w:val="000000"/>
          <w:sz w:val="20"/>
          <w:szCs w:val="20"/>
        </w:rPr>
        <w:t>t with respect to our competitors, our business partners, and our industry in general;</w:t>
      </w:r>
    </w:p>
    <w:p w14:paraId="5CD8E281" w14:textId="77777777" w:rsidR="00BA49F5" w:rsidRDefault="00BA49F5">
      <w:pPr>
        <w:ind w:hanging="360"/>
        <w:jc w:val="both"/>
      </w:pPr>
    </w:p>
    <w:p w14:paraId="5CD8E282" w14:textId="77777777" w:rsidR="00BA49F5" w:rsidRDefault="007E5E49">
      <w:pPr>
        <w:ind w:hanging="360"/>
        <w:jc w:val="both"/>
      </w:pPr>
      <w:r>
        <w:rPr>
          <w:rFonts w:ascii="Times New Roman" w:eastAsia="宋体" w:hAnsi="Times New Roman"/>
          <w:color w:val="000000"/>
          <w:sz w:val="20"/>
          <w:szCs w:val="20"/>
        </w:rPr>
        <w:t xml:space="preserve">•announcements by us or our competitors of significant products or features, technical innovations, acquisitions, strategic partnerships, joint ventures, or </w:t>
      </w:r>
      <w:r>
        <w:rPr>
          <w:rFonts w:ascii="Times New Roman" w:eastAsia="宋体" w:hAnsi="Times New Roman"/>
          <w:color w:val="000000"/>
          <w:sz w:val="20"/>
          <w:szCs w:val="20"/>
        </w:rPr>
        <w:t>capital commitments;</w:t>
      </w:r>
    </w:p>
    <w:p w14:paraId="5CD8E283" w14:textId="77777777" w:rsidR="00BA49F5" w:rsidRDefault="00BA49F5">
      <w:pPr>
        <w:ind w:hanging="360"/>
        <w:jc w:val="both"/>
      </w:pPr>
    </w:p>
    <w:p w14:paraId="5CD8E284" w14:textId="77777777" w:rsidR="00BA49F5" w:rsidRDefault="007E5E49">
      <w:pPr>
        <w:ind w:hanging="360"/>
        <w:jc w:val="both"/>
      </w:pPr>
      <w:r>
        <w:rPr>
          <w:rFonts w:ascii="Times New Roman" w:eastAsia="宋体" w:hAnsi="Times New Roman"/>
          <w:color w:val="000000"/>
          <w:sz w:val="20"/>
          <w:szCs w:val="20"/>
        </w:rPr>
        <w:t>•announcements by us or estimates by third parties of actual or anticipated changes in the size of our user base, the level of user engagement, or the effectiveness of our ad products;</w:t>
      </w:r>
    </w:p>
    <w:p w14:paraId="5CD8E285" w14:textId="77777777" w:rsidR="00BA49F5" w:rsidRDefault="00BA49F5">
      <w:pPr>
        <w:ind w:hanging="360"/>
        <w:jc w:val="both"/>
      </w:pPr>
    </w:p>
    <w:p w14:paraId="5CD8E286" w14:textId="77777777" w:rsidR="00BA49F5" w:rsidRDefault="007E5E49">
      <w:pPr>
        <w:ind w:hanging="360"/>
        <w:jc w:val="both"/>
      </w:pPr>
      <w:r>
        <w:rPr>
          <w:rFonts w:ascii="Times New Roman" w:eastAsia="宋体" w:hAnsi="Times New Roman"/>
          <w:color w:val="000000"/>
          <w:sz w:val="20"/>
          <w:szCs w:val="20"/>
        </w:rPr>
        <w:t>•changes in operating performance and stock mark</w:t>
      </w:r>
      <w:r>
        <w:rPr>
          <w:rFonts w:ascii="Times New Roman" w:eastAsia="宋体" w:hAnsi="Times New Roman"/>
          <w:color w:val="000000"/>
          <w:sz w:val="20"/>
          <w:szCs w:val="20"/>
        </w:rPr>
        <w:t>et valuations of technology companies in our industry, including our developers and competitors;</w:t>
      </w:r>
    </w:p>
    <w:p w14:paraId="5CD8E287" w14:textId="77777777" w:rsidR="00BA49F5" w:rsidRDefault="00BA49F5">
      <w:pPr>
        <w:ind w:hanging="360"/>
        <w:jc w:val="both"/>
      </w:pPr>
    </w:p>
    <w:p w14:paraId="5CD8E288" w14:textId="77777777" w:rsidR="00BA49F5" w:rsidRDefault="007E5E49">
      <w:pPr>
        <w:ind w:hanging="360"/>
        <w:jc w:val="both"/>
      </w:pPr>
      <w:r>
        <w:rPr>
          <w:rFonts w:ascii="Times New Roman" w:eastAsia="宋体" w:hAnsi="Times New Roman"/>
          <w:color w:val="000000"/>
          <w:sz w:val="20"/>
          <w:szCs w:val="20"/>
        </w:rPr>
        <w:t>•price and volume fluctuations in the overall stock market, including as a result of trends in the economy as a whole;</w:t>
      </w:r>
    </w:p>
    <w:p w14:paraId="5CD8E289" w14:textId="77777777" w:rsidR="00BA49F5" w:rsidRDefault="00BA49F5">
      <w:pPr>
        <w:ind w:hanging="360"/>
        <w:jc w:val="both"/>
      </w:pPr>
    </w:p>
    <w:p w14:paraId="5CD8E28A" w14:textId="77777777" w:rsidR="00BA49F5" w:rsidRDefault="007E5E49">
      <w:pPr>
        <w:ind w:hanging="360"/>
        <w:jc w:val="both"/>
      </w:pPr>
      <w:r>
        <w:rPr>
          <w:rFonts w:ascii="Times New Roman" w:eastAsia="宋体" w:hAnsi="Times New Roman"/>
          <w:color w:val="000000"/>
          <w:sz w:val="20"/>
          <w:szCs w:val="20"/>
        </w:rPr>
        <w:t>•the inclusion, exclusion, or deletion</w:t>
      </w:r>
      <w:r>
        <w:rPr>
          <w:rFonts w:ascii="Times New Roman" w:eastAsia="宋体" w:hAnsi="Times New Roman"/>
          <w:color w:val="000000"/>
          <w:sz w:val="20"/>
          <w:szCs w:val="20"/>
        </w:rPr>
        <w:t xml:space="preserve"> of our stock from any trading indices, such as the S&amp;P 500 Index;</w:t>
      </w:r>
    </w:p>
    <w:p w14:paraId="5CD8E28B" w14:textId="77777777" w:rsidR="00BA49F5" w:rsidRDefault="00BA49F5">
      <w:pPr>
        <w:ind w:hanging="360"/>
        <w:jc w:val="both"/>
      </w:pPr>
    </w:p>
    <w:p w14:paraId="5CD8E28C" w14:textId="77777777" w:rsidR="00BA49F5" w:rsidRDefault="007E5E49">
      <w:pPr>
        <w:ind w:hanging="360"/>
        <w:jc w:val="both"/>
      </w:pPr>
      <w:r>
        <w:rPr>
          <w:rFonts w:ascii="Times New Roman" w:eastAsia="宋体" w:hAnsi="Times New Roman"/>
          <w:color w:val="000000"/>
          <w:sz w:val="20"/>
          <w:szCs w:val="20"/>
        </w:rPr>
        <w:t>•media coverage of our business and financial performance;</w:t>
      </w:r>
    </w:p>
    <w:p w14:paraId="5CD8E28D" w14:textId="77777777" w:rsidR="00BA49F5" w:rsidRDefault="00BA49F5">
      <w:pPr>
        <w:ind w:hanging="360"/>
        <w:jc w:val="both"/>
      </w:pPr>
    </w:p>
    <w:p w14:paraId="5CD8E28E" w14:textId="77777777" w:rsidR="00BA49F5" w:rsidRDefault="007E5E49">
      <w:pPr>
        <w:ind w:hanging="360"/>
        <w:jc w:val="both"/>
      </w:pPr>
      <w:r>
        <w:rPr>
          <w:rFonts w:ascii="Times New Roman" w:eastAsia="宋体" w:hAnsi="Times New Roman"/>
          <w:color w:val="000000"/>
          <w:sz w:val="20"/>
          <w:szCs w:val="20"/>
        </w:rPr>
        <w:t>•lawsuits threatened or filed against us, or developments in pending lawsuits;</w:t>
      </w:r>
    </w:p>
    <w:p w14:paraId="5CD8E28F" w14:textId="77777777" w:rsidR="00BA49F5" w:rsidRDefault="00BA49F5">
      <w:pPr>
        <w:ind w:hanging="360"/>
        <w:jc w:val="both"/>
      </w:pPr>
    </w:p>
    <w:p w14:paraId="5CD8E290" w14:textId="77777777" w:rsidR="00BA49F5" w:rsidRDefault="007E5E49">
      <w:pPr>
        <w:ind w:hanging="360"/>
        <w:jc w:val="both"/>
      </w:pPr>
      <w:r>
        <w:rPr>
          <w:rFonts w:ascii="Times New Roman" w:eastAsia="宋体" w:hAnsi="Times New Roman"/>
          <w:color w:val="000000"/>
          <w:sz w:val="20"/>
          <w:szCs w:val="20"/>
        </w:rPr>
        <w:t>•adverse government actions or legislative or re</w:t>
      </w:r>
      <w:r>
        <w:rPr>
          <w:rFonts w:ascii="Times New Roman" w:eastAsia="宋体" w:hAnsi="Times New Roman"/>
          <w:color w:val="000000"/>
          <w:sz w:val="20"/>
          <w:szCs w:val="20"/>
        </w:rPr>
        <w:t>gulatory developments relating to advertising, competition, content, privacy, or other matters, including interim or final rulings by tax, judicial, or regulatory bodies;</w:t>
      </w:r>
    </w:p>
    <w:p w14:paraId="5CD8E291" w14:textId="77777777" w:rsidR="00BA49F5" w:rsidRDefault="00BA49F5">
      <w:pPr>
        <w:ind w:hanging="360"/>
        <w:jc w:val="both"/>
      </w:pPr>
    </w:p>
    <w:p w14:paraId="5CD8E292" w14:textId="77777777" w:rsidR="00BA49F5" w:rsidRDefault="007E5E49">
      <w:pPr>
        <w:ind w:hanging="360"/>
        <w:jc w:val="both"/>
      </w:pPr>
      <w:r>
        <w:rPr>
          <w:rFonts w:ascii="Times New Roman" w:eastAsia="宋体" w:hAnsi="Times New Roman"/>
          <w:color w:val="000000"/>
          <w:sz w:val="20"/>
          <w:szCs w:val="20"/>
        </w:rPr>
        <w:t>•trading activity in our share repurchase program; and</w:t>
      </w:r>
    </w:p>
    <w:p w14:paraId="5CD8E293" w14:textId="77777777" w:rsidR="00BA49F5" w:rsidRDefault="00BA49F5">
      <w:pPr>
        <w:ind w:hanging="360"/>
        <w:jc w:val="both"/>
      </w:pPr>
    </w:p>
    <w:p w14:paraId="5CD8E294" w14:textId="77777777" w:rsidR="00BA49F5" w:rsidRDefault="007E5E49">
      <w:pPr>
        <w:ind w:hanging="360"/>
        <w:jc w:val="both"/>
      </w:pPr>
      <w:r>
        <w:rPr>
          <w:rFonts w:ascii="Times New Roman" w:eastAsia="宋体" w:hAnsi="Times New Roman"/>
          <w:color w:val="000000"/>
          <w:sz w:val="20"/>
          <w:szCs w:val="20"/>
        </w:rPr>
        <w:t xml:space="preserve">•other events or </w:t>
      </w:r>
      <w:r>
        <w:rPr>
          <w:rFonts w:ascii="Times New Roman" w:eastAsia="宋体" w:hAnsi="Times New Roman"/>
          <w:color w:val="000000"/>
          <w:sz w:val="20"/>
          <w:szCs w:val="20"/>
        </w:rPr>
        <w:t>factors, including those resulting from war, incidents of terrorism, pandemics, and other disruptive external events, or responses to these events.</w:t>
      </w:r>
    </w:p>
    <w:p w14:paraId="5CD8E295" w14:textId="77777777" w:rsidR="00BA49F5" w:rsidRDefault="00BA49F5">
      <w:pPr>
        <w:ind w:firstLine="540"/>
        <w:jc w:val="both"/>
      </w:pPr>
    </w:p>
    <w:p w14:paraId="5CD8E296" w14:textId="77777777" w:rsidR="00BA49F5" w:rsidRDefault="007E5E49">
      <w:pPr>
        <w:ind w:firstLine="540"/>
        <w:jc w:val="both"/>
      </w:pPr>
      <w:r>
        <w:rPr>
          <w:rFonts w:ascii="Times New Roman" w:eastAsia="宋体" w:hAnsi="Times New Roman"/>
          <w:color w:val="000000"/>
          <w:sz w:val="20"/>
          <w:szCs w:val="20"/>
        </w:rPr>
        <w:t>In addition, the stock markets have experienced extreme price and volume fluctuations that have affected an</w:t>
      </w:r>
      <w:r>
        <w:rPr>
          <w:rFonts w:ascii="Times New Roman" w:eastAsia="宋体" w:hAnsi="Times New Roman"/>
          <w:color w:val="000000"/>
          <w:sz w:val="20"/>
          <w:szCs w:val="20"/>
        </w:rPr>
        <w:t>d continue to affect the market prices of equity securities of many technology companies. We are currently subject to securities litigation in connection with our platform and user data practices and the misuse of certain data by a developer that shared su</w:t>
      </w:r>
      <w:r>
        <w:rPr>
          <w:rFonts w:ascii="Times New Roman" w:eastAsia="宋体" w:hAnsi="Times New Roman"/>
          <w:color w:val="000000"/>
          <w:sz w:val="20"/>
          <w:szCs w:val="20"/>
        </w:rPr>
        <w:t>ch data with third parties in violation of our terms and policies; the disclosure of our earnings results for the second quarter of 2018; a former employee's allegations and release of internal company documents beginning in September 2021; and the disclos</w:t>
      </w:r>
      <w:r>
        <w:rPr>
          <w:rFonts w:ascii="Times New Roman" w:eastAsia="宋体" w:hAnsi="Times New Roman"/>
          <w:color w:val="000000"/>
          <w:sz w:val="20"/>
          <w:szCs w:val="20"/>
        </w:rPr>
        <w:t>ure of our earnings results for the fourth quarter of 2021. We may experience more such litigation following future periods of volatility. Any securities litigation could subject us to substantial costs, divert resources and the attention of management fro</w:t>
      </w:r>
      <w:r>
        <w:rPr>
          <w:rFonts w:ascii="Times New Roman" w:eastAsia="宋体" w:hAnsi="Times New Roman"/>
          <w:color w:val="000000"/>
          <w:sz w:val="20"/>
          <w:szCs w:val="20"/>
        </w:rPr>
        <w:t>m our business, and adversely affect our business.</w:t>
      </w:r>
    </w:p>
    <w:p w14:paraId="5CD8E297" w14:textId="77777777" w:rsidR="00BA49F5" w:rsidRDefault="007E5E49">
      <w:pPr>
        <w:jc w:val="center"/>
      </w:pPr>
      <w:r>
        <w:rPr>
          <w:rFonts w:ascii="Times New Roman" w:eastAsia="宋体" w:hAnsi="Times New Roman"/>
          <w:color w:val="000000"/>
          <w:sz w:val="20"/>
          <w:szCs w:val="20"/>
        </w:rPr>
        <w:t>45</w:t>
      </w:r>
    </w:p>
    <w:p w14:paraId="5CD8E298" w14:textId="77777777" w:rsidR="00BA49F5" w:rsidRDefault="007E5E49">
      <w:r>
        <w:pict w14:anchorId="5CD90CF8">
          <v:rect id="_x0000_i1069" style="width:415.3pt;height:1.5pt" o:hralign="center" o:hrstd="t" o:hr="t" fillcolor="#a0a0a0" stroked="f"/>
        </w:pict>
      </w:r>
    </w:p>
    <w:p w14:paraId="5CD8E299" w14:textId="77777777" w:rsidR="00BA49F5" w:rsidRDefault="00BA49F5"/>
    <w:p w14:paraId="5CD8E29A" w14:textId="77777777" w:rsidR="00BA49F5" w:rsidRDefault="00BA49F5"/>
    <w:p w14:paraId="5CD8E29B" w14:textId="77777777" w:rsidR="00BA49F5" w:rsidRDefault="007E5E49">
      <w:hyperlink r:id="rId170" w:anchor="i6df229dad1864210ab76200083e26819_7" w:history="1">
        <w:r>
          <w:rPr>
            <w:rStyle w:val="a5"/>
            <w:rFonts w:ascii="Times New Roman" w:eastAsia="宋体" w:hAnsi="Times New Roman"/>
            <w:sz w:val="20"/>
            <w:szCs w:val="20"/>
          </w:rPr>
          <w:t>T</w:t>
        </w:r>
      </w:hyperlink>
      <w:hyperlink r:id="rId171" w:anchor="i6df229dad1864210ab76200083e26819_7" w:history="1">
        <w:r>
          <w:rPr>
            <w:rStyle w:val="a5"/>
            <w:rFonts w:ascii="Times New Roman" w:eastAsia="宋体" w:hAnsi="Times New Roman"/>
            <w:sz w:val="20"/>
            <w:szCs w:val="20"/>
          </w:rPr>
          <w:t>able of Contents</w:t>
        </w:r>
      </w:hyperlink>
    </w:p>
    <w:p w14:paraId="5CD8E29C" w14:textId="77777777" w:rsidR="00BA49F5" w:rsidRDefault="00BA49F5">
      <w:pPr>
        <w:ind w:firstLine="540"/>
        <w:jc w:val="both"/>
      </w:pPr>
    </w:p>
    <w:p w14:paraId="5CD8E29D" w14:textId="77777777" w:rsidR="00BA49F5" w:rsidRDefault="007E5E49">
      <w:pPr>
        <w:jc w:val="both"/>
      </w:pPr>
      <w:r>
        <w:rPr>
          <w:rFonts w:ascii="Times New Roman" w:eastAsia="宋体" w:hAnsi="Times New Roman"/>
          <w:b/>
          <w:bCs/>
          <w:i/>
          <w:iCs/>
          <w:color w:val="000000"/>
          <w:sz w:val="20"/>
          <w:szCs w:val="20"/>
        </w:rPr>
        <w:t>We do not intend to pay cash dividends for the foreseeable future.</w:t>
      </w:r>
    </w:p>
    <w:p w14:paraId="5CD8E29E" w14:textId="77777777" w:rsidR="00BA49F5" w:rsidRDefault="00BA49F5">
      <w:pPr>
        <w:ind w:firstLine="540"/>
        <w:jc w:val="both"/>
      </w:pPr>
    </w:p>
    <w:p w14:paraId="5CD8E29F" w14:textId="77777777" w:rsidR="00BA49F5" w:rsidRDefault="007E5E49">
      <w:pPr>
        <w:ind w:firstLine="540"/>
        <w:jc w:val="both"/>
      </w:pPr>
      <w:r>
        <w:rPr>
          <w:rFonts w:ascii="Times New Roman" w:eastAsia="宋体" w:hAnsi="Times New Roman"/>
          <w:color w:val="000000"/>
          <w:sz w:val="20"/>
          <w:szCs w:val="20"/>
        </w:rPr>
        <w:t xml:space="preserve">We have never declared or paid cash dividends on our capital </w:t>
      </w:r>
      <w:r>
        <w:rPr>
          <w:rFonts w:ascii="Times New Roman" w:eastAsia="宋体" w:hAnsi="Times New Roman"/>
          <w:color w:val="000000"/>
          <w:sz w:val="20"/>
          <w:szCs w:val="20"/>
        </w:rPr>
        <w:t>stock. We currently intend to retain any future earnings to finance the operation and expansion of our business and fund our share repurchase program, and we do not expect to declare or pay any cash dividends in the foreseeable future. As a result, you may</w:t>
      </w:r>
      <w:r>
        <w:rPr>
          <w:rFonts w:ascii="Times New Roman" w:eastAsia="宋体" w:hAnsi="Times New Roman"/>
          <w:color w:val="000000"/>
          <w:sz w:val="20"/>
          <w:szCs w:val="20"/>
        </w:rPr>
        <w:t xml:space="preserve"> only receive a return on your investment in our Class A common stock if the trading price of your shares increases.</w:t>
      </w:r>
    </w:p>
    <w:p w14:paraId="5CD8E2A0" w14:textId="77777777" w:rsidR="00BA49F5" w:rsidRDefault="00BA49F5">
      <w:pPr>
        <w:ind w:firstLine="540"/>
        <w:jc w:val="both"/>
      </w:pPr>
    </w:p>
    <w:p w14:paraId="5CD8E2A1" w14:textId="77777777" w:rsidR="00BA49F5" w:rsidRDefault="007E5E49">
      <w:pPr>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concentrating voting c</w:t>
      </w:r>
      <w:r>
        <w:rPr>
          <w:rFonts w:ascii="Times New Roman" w:eastAsia="宋体" w:hAnsi="Times New Roman"/>
          <w:b/>
          <w:bCs/>
          <w:i/>
          <w:iCs/>
          <w:color w:val="000000"/>
          <w:sz w:val="20"/>
          <w:szCs w:val="20"/>
        </w:rPr>
        <w:t>ontrol with our CEO and certain other holders of our Class B common stock; this will limit or preclude your ability to influence corporate matters.</w:t>
      </w:r>
    </w:p>
    <w:p w14:paraId="5CD8E2A2" w14:textId="77777777" w:rsidR="00BA49F5" w:rsidRDefault="00BA49F5">
      <w:pPr>
        <w:jc w:val="both"/>
      </w:pPr>
    </w:p>
    <w:p w14:paraId="5CD8E2A3" w14:textId="77777777" w:rsidR="00BA49F5" w:rsidRDefault="007E5E49">
      <w:pPr>
        <w:ind w:firstLine="540"/>
        <w:jc w:val="both"/>
      </w:pPr>
      <w:r>
        <w:rPr>
          <w:rFonts w:ascii="Times New Roman" w:eastAsia="宋体" w:hAnsi="Times New Roman"/>
          <w:color w:val="000000"/>
          <w:sz w:val="20"/>
          <w:szCs w:val="20"/>
        </w:rPr>
        <w:t>Our Class B common stock has ten votes per share and our Class A common stock has one vote per share. Holde</w:t>
      </w:r>
      <w:r>
        <w:rPr>
          <w:rFonts w:ascii="Times New Roman" w:eastAsia="宋体" w:hAnsi="Times New Roman"/>
          <w:color w:val="000000"/>
          <w:sz w:val="20"/>
          <w:szCs w:val="20"/>
        </w:rPr>
        <w:t>rs of our Class B common stock, including our founder, Chairman, and CEO, together hold a majority of the combined voting power of our outstanding capital stock, and therefore are able to control the outcome of all matters submitted to our stockholders for</w:t>
      </w:r>
      <w:r>
        <w:rPr>
          <w:rFonts w:ascii="Times New Roman" w:eastAsia="宋体" w:hAnsi="Times New Roman"/>
          <w:color w:val="000000"/>
          <w:sz w:val="20"/>
          <w:szCs w:val="20"/>
        </w:rPr>
        <w:t xml:space="preserve"> approval so long as the shares of Class B common stock represent at least 9.1% of all outstanding shares of our Class A and Class B common stock. This concentrated control will limit or preclude your ability to influence corporate matters for the foreseea</w:t>
      </w:r>
      <w:r>
        <w:rPr>
          <w:rFonts w:ascii="Times New Roman" w:eastAsia="宋体" w:hAnsi="Times New Roman"/>
          <w:color w:val="000000"/>
          <w:sz w:val="20"/>
          <w:szCs w:val="20"/>
        </w:rPr>
        <w:t>ble future.</w:t>
      </w:r>
    </w:p>
    <w:p w14:paraId="5CD8E2A4" w14:textId="77777777" w:rsidR="00BA49F5" w:rsidRDefault="00BA49F5">
      <w:pPr>
        <w:ind w:firstLine="540"/>
        <w:jc w:val="both"/>
      </w:pPr>
    </w:p>
    <w:p w14:paraId="5CD8E2A5" w14:textId="77777777" w:rsidR="00BA49F5" w:rsidRDefault="007E5E49">
      <w:pPr>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planning or charitable purposes. The conversion</w:t>
      </w:r>
      <w:r>
        <w:rPr>
          <w:rFonts w:ascii="Times New Roman" w:eastAsia="宋体" w:hAnsi="Times New Roman"/>
          <w:color w:val="000000"/>
          <w:sz w:val="20"/>
          <w:szCs w:val="20"/>
        </w:rPr>
        <w:t xml:space="preserve"> of Class B common stock to Class A common stock will have the effect, over time, of increasing the relative voting power of those holders of Class B common stock who retain their shares in the long term. If, for example, Mr. Zuckerberg retains a significa</w:t>
      </w:r>
      <w:r>
        <w:rPr>
          <w:rFonts w:ascii="Times New Roman" w:eastAsia="宋体" w:hAnsi="Times New Roman"/>
          <w:color w:val="000000"/>
          <w:sz w:val="20"/>
          <w:szCs w:val="20"/>
        </w:rPr>
        <w:t>nt portion of his holdings of Class B common stock for an extended period of time, he could, in the future, continue to control a majority of the combined voting power of our outstanding capital stock.</w:t>
      </w:r>
    </w:p>
    <w:p w14:paraId="5CD8E2A6" w14:textId="77777777" w:rsidR="00BA49F5" w:rsidRDefault="00BA49F5">
      <w:pPr>
        <w:ind w:firstLine="540"/>
        <w:jc w:val="both"/>
      </w:pPr>
    </w:p>
    <w:p w14:paraId="5CD8E2A7" w14:textId="77777777" w:rsidR="00BA49F5" w:rsidRDefault="007E5E49">
      <w:pPr>
        <w:jc w:val="both"/>
      </w:pPr>
      <w:r>
        <w:rPr>
          <w:rFonts w:ascii="Times New Roman" w:eastAsia="宋体" w:hAnsi="Times New Roman"/>
          <w:b/>
          <w:bCs/>
          <w:i/>
          <w:iCs/>
          <w:color w:val="000000"/>
          <w:sz w:val="20"/>
          <w:szCs w:val="20"/>
        </w:rPr>
        <w:t>Our status as a "controlled company" could make our C</w:t>
      </w:r>
      <w:r>
        <w:rPr>
          <w:rFonts w:ascii="Times New Roman" w:eastAsia="宋体" w:hAnsi="Times New Roman"/>
          <w:b/>
          <w:bCs/>
          <w:i/>
          <w:iCs/>
          <w:color w:val="000000"/>
          <w:sz w:val="20"/>
          <w:szCs w:val="20"/>
        </w:rPr>
        <w:t>lass A common stock less attractive to some investors or otherwise harm our stock price.</w:t>
      </w:r>
    </w:p>
    <w:p w14:paraId="5CD8E2A8" w14:textId="77777777" w:rsidR="00BA49F5" w:rsidRDefault="00BA49F5">
      <w:pPr>
        <w:jc w:val="both"/>
      </w:pPr>
    </w:p>
    <w:p w14:paraId="5CD8E2A9" w14:textId="77777777" w:rsidR="00BA49F5" w:rsidRDefault="007E5E49">
      <w:pPr>
        <w:ind w:firstLine="540"/>
        <w:jc w:val="both"/>
      </w:pPr>
      <w:r>
        <w:rPr>
          <w:rFonts w:ascii="Times New Roman" w:eastAsia="宋体" w:hAnsi="Times New Roman"/>
          <w:color w:val="000000"/>
          <w:sz w:val="20"/>
          <w:szCs w:val="20"/>
        </w:rPr>
        <w:t xml:space="preserve">Because we qualify as a "controlled company" under the corporate governance rules for Nasdaq-listed companies, we are not required to have a majority of our board of </w:t>
      </w:r>
      <w:r>
        <w:rPr>
          <w:rFonts w:ascii="Times New Roman" w:eastAsia="宋体" w:hAnsi="Times New Roman"/>
          <w:color w:val="000000"/>
          <w:sz w:val="20"/>
          <w:szCs w:val="20"/>
        </w:rPr>
        <w:t>directors be independent, nor are we required to have a compensation committee or an independent nominating function. In the future we could elect not to have a majority of our board of directors be independent or not to have a compensation committee or an</w:t>
      </w:r>
      <w:r>
        <w:rPr>
          <w:rFonts w:ascii="Times New Roman" w:eastAsia="宋体" w:hAnsi="Times New Roman"/>
          <w:color w:val="000000"/>
          <w:sz w:val="20"/>
          <w:szCs w:val="20"/>
        </w:rPr>
        <w:t xml:space="preserve"> independent nominating function. Accordingly, should the interests of our controlling stockholder differ from those of other stockholders, the other stockholders may not have the same protections afforded to stockholders of companies that are subject to a</w:t>
      </w:r>
      <w:r>
        <w:rPr>
          <w:rFonts w:ascii="Times New Roman" w:eastAsia="宋体" w:hAnsi="Times New Roman"/>
          <w:color w:val="000000"/>
          <w:sz w:val="20"/>
          <w:szCs w:val="20"/>
        </w:rPr>
        <w:t>ll of the corporate governance rules for Nasdaq-listed companies. Our status as a controlled company could make our Class A common stock less attractive to some investors or otherwise harm our stock price.</w:t>
      </w:r>
    </w:p>
    <w:p w14:paraId="5CD8E2AA" w14:textId="77777777" w:rsidR="00BA49F5" w:rsidRDefault="00BA49F5">
      <w:pPr>
        <w:ind w:firstLine="540"/>
        <w:jc w:val="both"/>
      </w:pPr>
    </w:p>
    <w:p w14:paraId="5CD8E2AB" w14:textId="77777777" w:rsidR="00BA49F5" w:rsidRDefault="007E5E49">
      <w:pPr>
        <w:jc w:val="both"/>
      </w:pPr>
      <w:r>
        <w:rPr>
          <w:rFonts w:ascii="Times New Roman" w:eastAsia="宋体" w:hAnsi="Times New Roman"/>
          <w:b/>
          <w:bCs/>
          <w:i/>
          <w:iCs/>
          <w:color w:val="000000"/>
          <w:sz w:val="20"/>
          <w:szCs w:val="20"/>
        </w:rPr>
        <w:t>Delaware law and provisions in our certificate of</w:t>
      </w:r>
      <w:r>
        <w:rPr>
          <w:rFonts w:ascii="Times New Roman" w:eastAsia="宋体" w:hAnsi="Times New Roman"/>
          <w:b/>
          <w:bCs/>
          <w:i/>
          <w:iCs/>
          <w:color w:val="000000"/>
          <w:sz w:val="20"/>
          <w:szCs w:val="20"/>
        </w:rPr>
        <w:t xml:space="preserve"> incorporation and bylaws could make a merger, tender offer, or proxy contest difficult, thereby depressing the trading price of our Class A common stock.</w:t>
      </w:r>
    </w:p>
    <w:p w14:paraId="5CD8E2AC" w14:textId="77777777" w:rsidR="00BA49F5" w:rsidRDefault="00BA49F5">
      <w:pPr>
        <w:jc w:val="both"/>
      </w:pPr>
    </w:p>
    <w:p w14:paraId="5CD8E2AD" w14:textId="77777777" w:rsidR="00BA49F5" w:rsidRDefault="007E5E49">
      <w:pPr>
        <w:ind w:firstLine="540"/>
        <w:jc w:val="both"/>
      </w:pPr>
      <w:r>
        <w:rPr>
          <w:rFonts w:ascii="Times New Roman" w:eastAsia="宋体" w:hAnsi="Times New Roman"/>
          <w:color w:val="000000"/>
          <w:sz w:val="20"/>
          <w:szCs w:val="20"/>
        </w:rPr>
        <w:t>Our status as a Delaware corporation and the anti-takeover provisions of the Delaware General Corpor</w:t>
      </w:r>
      <w:r>
        <w:rPr>
          <w:rFonts w:ascii="Times New Roman" w:eastAsia="宋体" w:hAnsi="Times New Roman"/>
          <w:color w:val="000000"/>
          <w:sz w:val="20"/>
          <w:szCs w:val="20"/>
        </w:rPr>
        <w:t>ation Law may discourage, delay, or prevent a change in control by prohibiting us from engaging in a business combination with an interested stockholder for a period of three years after the person becomes an interested stockholder, even if a change of con</w:t>
      </w:r>
      <w:r>
        <w:rPr>
          <w:rFonts w:ascii="Times New Roman" w:eastAsia="宋体" w:hAnsi="Times New Roman"/>
          <w:color w:val="000000"/>
          <w:sz w:val="20"/>
          <w:szCs w:val="20"/>
        </w:rPr>
        <w:t>trol would be beneficial to our existing stockholders. In addition, our current certificate of incorporation and bylaws contain provisions that may make the acquisition of our company more difficult, including the following:</w:t>
      </w:r>
    </w:p>
    <w:p w14:paraId="5CD8E2AE" w14:textId="77777777" w:rsidR="00BA49F5" w:rsidRDefault="00BA49F5">
      <w:pPr>
        <w:ind w:firstLine="540"/>
        <w:jc w:val="both"/>
      </w:pPr>
    </w:p>
    <w:p w14:paraId="5CD8E2AF" w14:textId="77777777" w:rsidR="00BA49F5" w:rsidRDefault="007E5E49">
      <w:pPr>
        <w:ind w:hanging="360"/>
        <w:jc w:val="both"/>
      </w:pPr>
      <w:r>
        <w:rPr>
          <w:rFonts w:ascii="Times New Roman" w:eastAsia="宋体" w:hAnsi="Times New Roman"/>
          <w:color w:val="000000"/>
          <w:sz w:val="20"/>
          <w:szCs w:val="20"/>
        </w:rPr>
        <w:t xml:space="preserve">•until the first date on </w:t>
      </w:r>
      <w:r>
        <w:rPr>
          <w:rFonts w:ascii="Times New Roman" w:eastAsia="宋体" w:hAnsi="Times New Roman"/>
          <w:color w:val="000000"/>
          <w:sz w:val="20"/>
          <w:szCs w:val="20"/>
        </w:rPr>
        <w:t>which the outstanding shares of our Class B common stock represent less than 35% of the combined voting power of our common stock, any transaction that would result in a change in control of our company requires the approval of a majority of our outstandin</w:t>
      </w:r>
      <w:r>
        <w:rPr>
          <w:rFonts w:ascii="Times New Roman" w:eastAsia="宋体" w:hAnsi="Times New Roman"/>
          <w:color w:val="000000"/>
          <w:sz w:val="20"/>
          <w:szCs w:val="20"/>
        </w:rPr>
        <w:t>g Class B common stock voting as a separate class;</w:t>
      </w:r>
    </w:p>
    <w:p w14:paraId="5CD8E2B0" w14:textId="77777777" w:rsidR="00BA49F5" w:rsidRDefault="00BA49F5">
      <w:pPr>
        <w:ind w:hanging="360"/>
        <w:jc w:val="both"/>
      </w:pPr>
    </w:p>
    <w:p w14:paraId="5CD8E2B1" w14:textId="77777777" w:rsidR="00BA49F5" w:rsidRDefault="007E5E49">
      <w:pPr>
        <w:ind w:hanging="360"/>
        <w:jc w:val="both"/>
      </w:pPr>
      <w:r>
        <w:rPr>
          <w:rFonts w:ascii="Times New Roman" w:eastAsia="宋体" w:hAnsi="Times New Roman"/>
          <w:color w:val="000000"/>
          <w:sz w:val="20"/>
          <w:szCs w:val="20"/>
        </w:rPr>
        <w:t xml:space="preserve">•we currently have a dual class common stock structure, which provides Mr. Zuckerberg with the ability to control the outcome of matters requiring stockholder approval, even if he owns </w:t>
      </w:r>
      <w:r>
        <w:rPr>
          <w:rFonts w:ascii="Times New Roman" w:eastAsia="宋体" w:hAnsi="Times New Roman"/>
          <w:color w:val="000000"/>
          <w:sz w:val="20"/>
          <w:szCs w:val="20"/>
        </w:rPr>
        <w:t>significantly less than a majority of the shares of our outstanding Class A and Class B common stock;</w:t>
      </w:r>
    </w:p>
    <w:p w14:paraId="5CD8E2B2" w14:textId="77777777" w:rsidR="00BA49F5" w:rsidRDefault="00BA49F5">
      <w:pPr>
        <w:ind w:hanging="360"/>
        <w:jc w:val="both"/>
      </w:pPr>
    </w:p>
    <w:p w14:paraId="5CD8E2B3" w14:textId="77777777" w:rsidR="00BA49F5" w:rsidRDefault="007E5E49">
      <w:pPr>
        <w:jc w:val="center"/>
      </w:pPr>
      <w:r>
        <w:rPr>
          <w:rFonts w:ascii="Times New Roman" w:eastAsia="宋体" w:hAnsi="Times New Roman"/>
          <w:color w:val="000000"/>
          <w:sz w:val="20"/>
          <w:szCs w:val="20"/>
        </w:rPr>
        <w:t>46</w:t>
      </w:r>
    </w:p>
    <w:p w14:paraId="5CD8E2B4" w14:textId="77777777" w:rsidR="00BA49F5" w:rsidRDefault="007E5E49">
      <w:r>
        <w:pict w14:anchorId="5CD90CF9">
          <v:rect id="_x0000_i1070" style="width:415.3pt;height:1.5pt" o:hralign="center" o:hrstd="t" o:hr="t" fillcolor="#a0a0a0" stroked="f"/>
        </w:pict>
      </w:r>
    </w:p>
    <w:p w14:paraId="5CD8E2B5" w14:textId="77777777" w:rsidR="00BA49F5" w:rsidRDefault="00BA49F5"/>
    <w:p w14:paraId="5CD8E2B6" w14:textId="77777777" w:rsidR="00BA49F5" w:rsidRDefault="00BA49F5"/>
    <w:p w14:paraId="5CD8E2B7" w14:textId="77777777" w:rsidR="00BA49F5" w:rsidRDefault="007E5E49">
      <w:hyperlink r:id="rId172" w:anchor="i6df229dad1864210ab76200083e26819_7" w:history="1">
        <w:r>
          <w:rPr>
            <w:rStyle w:val="a5"/>
            <w:rFonts w:ascii="Times New Roman" w:eastAsia="宋体" w:hAnsi="Times New Roman"/>
            <w:sz w:val="20"/>
            <w:szCs w:val="20"/>
          </w:rPr>
          <w:t>T</w:t>
        </w:r>
      </w:hyperlink>
      <w:hyperlink r:id="rId173" w:anchor="i6df229dad1864210ab76200083e26819_7" w:history="1">
        <w:r>
          <w:rPr>
            <w:rStyle w:val="a5"/>
            <w:rFonts w:ascii="Times New Roman" w:eastAsia="宋体" w:hAnsi="Times New Roman"/>
            <w:sz w:val="20"/>
            <w:szCs w:val="20"/>
          </w:rPr>
          <w:t>able of Contents</w:t>
        </w:r>
      </w:hyperlink>
    </w:p>
    <w:p w14:paraId="5CD8E2B8" w14:textId="77777777" w:rsidR="00BA49F5" w:rsidRDefault="007E5E49">
      <w:pPr>
        <w:ind w:hanging="360"/>
        <w:jc w:val="both"/>
      </w:pPr>
      <w:r>
        <w:rPr>
          <w:rFonts w:ascii="Times New Roman" w:eastAsia="宋体" w:hAnsi="Times New Roman"/>
          <w:color w:val="000000"/>
          <w:sz w:val="20"/>
          <w:szCs w:val="20"/>
        </w:rPr>
        <w:t>•when the outstanding shares of our Class B common stock represent less than a</w:t>
      </w:r>
      <w:r>
        <w:rPr>
          <w:rFonts w:ascii="Times New Roman" w:eastAsia="宋体" w:hAnsi="Times New Roman"/>
          <w:color w:val="000000"/>
          <w:sz w:val="20"/>
          <w:szCs w:val="20"/>
        </w:rPr>
        <w:t xml:space="preserve"> majority of the combined voting power of common stock, certain amendments to our certificate of incorporation or bylaws will require the approval of two-thirds of the combined vote of our then-outstanding shares of Class A and Class B common stock;</w:t>
      </w:r>
    </w:p>
    <w:p w14:paraId="5CD8E2B9" w14:textId="77777777" w:rsidR="00BA49F5" w:rsidRDefault="00BA49F5">
      <w:pPr>
        <w:ind w:hanging="360"/>
        <w:jc w:val="both"/>
      </w:pPr>
    </w:p>
    <w:p w14:paraId="5CD8E2BA" w14:textId="77777777" w:rsidR="00BA49F5" w:rsidRDefault="007E5E49">
      <w:pPr>
        <w:ind w:hanging="360"/>
        <w:jc w:val="both"/>
      </w:pPr>
      <w:r>
        <w:rPr>
          <w:rFonts w:ascii="Times New Roman" w:eastAsia="宋体" w:hAnsi="Times New Roman"/>
          <w:color w:val="000000"/>
          <w:sz w:val="20"/>
          <w:szCs w:val="20"/>
        </w:rPr>
        <w:t>•when</w:t>
      </w:r>
      <w:r>
        <w:rPr>
          <w:rFonts w:ascii="Times New Roman" w:eastAsia="宋体" w:hAnsi="Times New Roman"/>
          <w:color w:val="000000"/>
          <w:sz w:val="20"/>
          <w:szCs w:val="20"/>
        </w:rPr>
        <w:t xml:space="preserve"> the outstanding shares of our Class B common stock represent less than a majority of the combined voting power of our common stock, vacancies on our board of directors will be able to be filled only by our board of directors and not by stockholders;</w:t>
      </w:r>
    </w:p>
    <w:p w14:paraId="5CD8E2BB" w14:textId="77777777" w:rsidR="00BA49F5" w:rsidRDefault="00BA49F5">
      <w:pPr>
        <w:ind w:hanging="360"/>
        <w:jc w:val="both"/>
      </w:pPr>
    </w:p>
    <w:p w14:paraId="5CD8E2BC" w14:textId="77777777" w:rsidR="00BA49F5" w:rsidRDefault="007E5E49">
      <w:pPr>
        <w:ind w:hanging="360"/>
        <w:jc w:val="both"/>
      </w:pPr>
      <w:r>
        <w:rPr>
          <w:rFonts w:ascii="Times New Roman" w:eastAsia="宋体" w:hAnsi="Times New Roman"/>
          <w:color w:val="000000"/>
          <w:sz w:val="20"/>
          <w:szCs w:val="20"/>
        </w:rPr>
        <w:t>•whe</w:t>
      </w:r>
      <w:r>
        <w:rPr>
          <w:rFonts w:ascii="Times New Roman" w:eastAsia="宋体" w:hAnsi="Times New Roman"/>
          <w:color w:val="000000"/>
          <w:sz w:val="20"/>
          <w:szCs w:val="20"/>
        </w:rPr>
        <w:t>n the outstanding shares of our Class B common stock represent less than a majority of the combined voting power of our common stock, our board of directors will be classified into three classes of directors with staggered three-year terms and directors wi</w:t>
      </w:r>
      <w:r>
        <w:rPr>
          <w:rFonts w:ascii="Times New Roman" w:eastAsia="宋体" w:hAnsi="Times New Roman"/>
          <w:color w:val="000000"/>
          <w:sz w:val="20"/>
          <w:szCs w:val="20"/>
        </w:rPr>
        <w:t>ll only be able to be removed from office for cause;</w:t>
      </w:r>
    </w:p>
    <w:p w14:paraId="5CD8E2BD" w14:textId="77777777" w:rsidR="00BA49F5" w:rsidRDefault="00BA49F5">
      <w:pPr>
        <w:ind w:hanging="360"/>
        <w:jc w:val="both"/>
      </w:pPr>
    </w:p>
    <w:p w14:paraId="5CD8E2BE" w14:textId="77777777" w:rsidR="00BA49F5" w:rsidRDefault="007E5E49">
      <w:pPr>
        <w:ind w:hanging="36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 action at a meeting o</w:t>
      </w:r>
      <w:r>
        <w:rPr>
          <w:rFonts w:ascii="Times New Roman" w:eastAsia="宋体" w:hAnsi="Times New Roman"/>
          <w:color w:val="000000"/>
          <w:sz w:val="20"/>
          <w:szCs w:val="20"/>
        </w:rPr>
        <w:t>f stockholders and not by written consent;</w:t>
      </w:r>
    </w:p>
    <w:p w14:paraId="5CD8E2BF" w14:textId="77777777" w:rsidR="00BA49F5" w:rsidRDefault="00BA49F5">
      <w:pPr>
        <w:ind w:hanging="360"/>
        <w:jc w:val="both"/>
      </w:pPr>
    </w:p>
    <w:p w14:paraId="5CD8E2C0" w14:textId="77777777" w:rsidR="00BA49F5" w:rsidRDefault="007E5E49">
      <w:pPr>
        <w:ind w:hanging="360"/>
        <w:jc w:val="both"/>
      </w:pPr>
      <w:r>
        <w:rPr>
          <w:rFonts w:ascii="Times New Roman" w:eastAsia="宋体" w:hAnsi="Times New Roman"/>
          <w:color w:val="000000"/>
          <w:sz w:val="20"/>
          <w:szCs w:val="20"/>
        </w:rPr>
        <w:t>•only our chairman, our chief executive officer, our president, or a majority of our board of directors are authorized to call a special meeting of stockholders;</w:t>
      </w:r>
    </w:p>
    <w:p w14:paraId="5CD8E2C1" w14:textId="77777777" w:rsidR="00BA49F5" w:rsidRDefault="00BA49F5">
      <w:pPr>
        <w:ind w:hanging="360"/>
        <w:jc w:val="both"/>
      </w:pPr>
    </w:p>
    <w:p w14:paraId="5CD8E2C2" w14:textId="77777777" w:rsidR="00BA49F5" w:rsidRDefault="007E5E49">
      <w:pPr>
        <w:ind w:hanging="360"/>
        <w:jc w:val="both"/>
      </w:pPr>
      <w:r>
        <w:rPr>
          <w:rFonts w:ascii="Times New Roman" w:eastAsia="宋体" w:hAnsi="Times New Roman"/>
          <w:color w:val="000000"/>
          <w:sz w:val="20"/>
          <w:szCs w:val="20"/>
        </w:rPr>
        <w:t>•advance notice procedures apply for stockholders</w:t>
      </w:r>
      <w:r>
        <w:rPr>
          <w:rFonts w:ascii="Times New Roman" w:eastAsia="宋体" w:hAnsi="Times New Roman"/>
          <w:color w:val="000000"/>
          <w:sz w:val="20"/>
          <w:szCs w:val="20"/>
        </w:rPr>
        <w:t xml:space="preserve"> to nominate candidates for election as directors or to bring matters before an annual meeting of stockholders;</w:t>
      </w:r>
    </w:p>
    <w:p w14:paraId="5CD8E2C3" w14:textId="77777777" w:rsidR="00BA49F5" w:rsidRDefault="00BA49F5">
      <w:pPr>
        <w:ind w:hanging="360"/>
        <w:jc w:val="both"/>
      </w:pPr>
    </w:p>
    <w:p w14:paraId="5CD8E2C4" w14:textId="77777777" w:rsidR="00BA49F5" w:rsidRDefault="007E5E49">
      <w:pPr>
        <w:ind w:hanging="360"/>
        <w:jc w:val="both"/>
      </w:pPr>
      <w:r>
        <w:rPr>
          <w:rFonts w:ascii="Times New Roman" w:eastAsia="宋体" w:hAnsi="Times New Roman"/>
          <w:color w:val="000000"/>
          <w:sz w:val="20"/>
          <w:szCs w:val="20"/>
        </w:rPr>
        <w:t>•our certificate of incorporation authorizes undesignated preferred stock, the terms of which may be established, and shares of which may be is</w:t>
      </w:r>
      <w:r>
        <w:rPr>
          <w:rFonts w:ascii="Times New Roman" w:eastAsia="宋体" w:hAnsi="Times New Roman"/>
          <w:color w:val="000000"/>
          <w:sz w:val="20"/>
          <w:szCs w:val="20"/>
        </w:rPr>
        <w:t>sued, without stockholder approval; and</w:t>
      </w:r>
    </w:p>
    <w:p w14:paraId="5CD8E2C5" w14:textId="77777777" w:rsidR="00BA49F5" w:rsidRDefault="00BA49F5">
      <w:pPr>
        <w:ind w:hanging="360"/>
        <w:jc w:val="both"/>
      </w:pPr>
    </w:p>
    <w:p w14:paraId="5CD8E2C6" w14:textId="77777777" w:rsidR="00BA49F5" w:rsidRDefault="007E5E49">
      <w:pPr>
        <w:ind w:hanging="360"/>
        <w:jc w:val="both"/>
      </w:pPr>
      <w:r>
        <w:rPr>
          <w:rFonts w:ascii="Times New Roman" w:eastAsia="宋体" w:hAnsi="Times New Roman"/>
          <w:color w:val="000000"/>
          <w:sz w:val="20"/>
          <w:szCs w:val="20"/>
        </w:rPr>
        <w:t>•certain litigation against us can only be brought in Delaware.</w:t>
      </w:r>
    </w:p>
    <w:p w14:paraId="5CD8E2C7" w14:textId="77777777" w:rsidR="00BA49F5" w:rsidRDefault="007E5E49">
      <w:pPr>
        <w:jc w:val="center"/>
      </w:pPr>
      <w:r>
        <w:rPr>
          <w:rFonts w:ascii="Times New Roman" w:eastAsia="宋体" w:hAnsi="Times New Roman"/>
          <w:color w:val="000000"/>
          <w:sz w:val="20"/>
          <w:szCs w:val="20"/>
        </w:rPr>
        <w:t>47</w:t>
      </w:r>
    </w:p>
    <w:p w14:paraId="5CD8E2C8" w14:textId="77777777" w:rsidR="00BA49F5" w:rsidRDefault="007E5E49">
      <w:r>
        <w:pict w14:anchorId="5CD90CFA">
          <v:rect id="_x0000_i1071" style="width:415.3pt;height:1.5pt" o:hralign="center" o:hrstd="t" o:hr="t" fillcolor="#a0a0a0" stroked="f"/>
        </w:pict>
      </w:r>
    </w:p>
    <w:p w14:paraId="5CD8E2C9" w14:textId="77777777" w:rsidR="00BA49F5" w:rsidRDefault="00BA49F5"/>
    <w:p w14:paraId="5CD8E2CA" w14:textId="77777777" w:rsidR="00BA49F5" w:rsidRDefault="00BA49F5"/>
    <w:p w14:paraId="5CD8E2CB" w14:textId="77777777" w:rsidR="00BA49F5" w:rsidRDefault="007E5E49">
      <w:hyperlink r:id="rId174" w:anchor="i6df229dad1864210ab76200083e26819_7" w:history="1">
        <w:r>
          <w:rPr>
            <w:rStyle w:val="a5"/>
            <w:rFonts w:ascii="Times New Roman" w:eastAsia="宋体" w:hAnsi="Times New Roman"/>
            <w:sz w:val="20"/>
            <w:szCs w:val="20"/>
          </w:rPr>
          <w:t>T</w:t>
        </w:r>
      </w:hyperlink>
      <w:hyperlink r:id="rId175" w:anchor="i6df229dad1864210ab76200083e26819_7" w:history="1">
        <w:r>
          <w:rPr>
            <w:rStyle w:val="a5"/>
            <w:rFonts w:ascii="Times New Roman" w:eastAsia="宋体" w:hAnsi="Times New Roman"/>
            <w:sz w:val="20"/>
            <w:szCs w:val="20"/>
          </w:rPr>
          <w:t>able of Contents</w:t>
        </w:r>
      </w:hyperlink>
    </w:p>
    <w:p w14:paraId="5CD8E2CC" w14:textId="77777777" w:rsidR="00BA49F5" w:rsidRDefault="007E5E49">
      <w:pPr>
        <w:ind w:hanging="810"/>
        <w:jc w:val="both"/>
      </w:pPr>
      <w:r>
        <w:rPr>
          <w:rFonts w:ascii="Times New Roman" w:eastAsia="宋体" w:hAnsi="Times New Roman"/>
          <w:b/>
          <w:bCs/>
          <w:color w:val="000000"/>
          <w:sz w:val="20"/>
          <w:szCs w:val="20"/>
        </w:rPr>
        <w:t xml:space="preserve">Item 1B.Unresolved Staff Comments </w:t>
      </w:r>
    </w:p>
    <w:p w14:paraId="5CD8E2CD" w14:textId="77777777" w:rsidR="00BA49F5" w:rsidRDefault="00BA49F5">
      <w:pPr>
        <w:jc w:val="both"/>
      </w:pPr>
    </w:p>
    <w:p w14:paraId="5CD8E2CE" w14:textId="77777777" w:rsidR="00BA49F5" w:rsidRDefault="007E5E49">
      <w:pPr>
        <w:ind w:firstLine="540"/>
        <w:jc w:val="both"/>
      </w:pPr>
      <w:r>
        <w:rPr>
          <w:rFonts w:ascii="Times New Roman" w:eastAsia="宋体" w:hAnsi="Times New Roman"/>
          <w:color w:val="000000"/>
          <w:sz w:val="20"/>
          <w:szCs w:val="20"/>
        </w:rPr>
        <w:t>None.</w:t>
      </w:r>
    </w:p>
    <w:p w14:paraId="5CD8E2CF" w14:textId="77777777" w:rsidR="00BA49F5" w:rsidRDefault="00BA49F5">
      <w:pPr>
        <w:jc w:val="both"/>
      </w:pPr>
    </w:p>
    <w:p w14:paraId="5CD8E2D0" w14:textId="77777777" w:rsidR="00BA49F5" w:rsidRDefault="007E5E49">
      <w:pPr>
        <w:ind w:hanging="720"/>
        <w:jc w:val="both"/>
      </w:pPr>
      <w:r>
        <w:rPr>
          <w:rFonts w:ascii="Times New Roman" w:eastAsia="宋体" w:hAnsi="Times New Roman"/>
          <w:b/>
          <w:bCs/>
          <w:color w:val="000000"/>
          <w:sz w:val="20"/>
          <w:szCs w:val="20"/>
        </w:rPr>
        <w:t>Item 2.Properties</w:t>
      </w:r>
    </w:p>
    <w:p w14:paraId="5CD8E2D1" w14:textId="77777777" w:rsidR="00BA49F5" w:rsidRDefault="00BA49F5">
      <w:pPr>
        <w:ind w:firstLine="540"/>
        <w:jc w:val="both"/>
      </w:pPr>
    </w:p>
    <w:p w14:paraId="5CD8E2D2" w14:textId="77777777" w:rsidR="00BA49F5" w:rsidRDefault="007E5E49">
      <w:pPr>
        <w:ind w:firstLine="540"/>
        <w:jc w:val="both"/>
      </w:pPr>
      <w:r>
        <w:rPr>
          <w:rFonts w:ascii="Times New Roman" w:eastAsia="宋体" w:hAnsi="Times New Roman"/>
          <w:color w:val="000000"/>
          <w:sz w:val="20"/>
          <w:szCs w:val="20"/>
        </w:rPr>
        <w:t>Our corporate headquarters are located in Menlo Park, California. As of December 31, 2022, we owned and leased approximately 1</w:t>
      </w:r>
      <w:r>
        <w:rPr>
          <w:rFonts w:ascii="Times New Roman" w:eastAsia="宋体" w:hAnsi="Times New Roman"/>
          <w:color w:val="000000"/>
          <w:sz w:val="20"/>
          <w:szCs w:val="20"/>
        </w:rPr>
        <w:t>0 million square feet of office and building space for our corporate headquarters and in the surrounding areas. However, beginning in the third quarter of 2022,</w:t>
      </w:r>
      <w:r>
        <w:rPr>
          <w:rFonts w:ascii="Times New Roman" w:eastAsia="宋体" w:hAnsi="Times New Roman"/>
          <w:color w:val="000000"/>
          <w:sz w:val="20"/>
          <w:szCs w:val="20"/>
          <w:shd w:val="clear" w:color="auto" w:fill="FFFFFF"/>
        </w:rPr>
        <w:t xml:space="preserve"> we made a decision to either sublease, early terminate, or abandon several office buildings und</w:t>
      </w:r>
      <w:r>
        <w:rPr>
          <w:rFonts w:ascii="Times New Roman" w:eastAsia="宋体" w:hAnsi="Times New Roman"/>
          <w:color w:val="000000"/>
          <w:sz w:val="20"/>
          <w:szCs w:val="20"/>
          <w:shd w:val="clear" w:color="auto" w:fill="FFFFFF"/>
        </w:rPr>
        <w:t>er operating leases.</w:t>
      </w:r>
      <w:r>
        <w:rPr>
          <w:rFonts w:ascii="Times New Roman" w:eastAsia="宋体" w:hAnsi="Times New Roman"/>
          <w:color w:val="000000"/>
          <w:sz w:val="20"/>
          <w:szCs w:val="20"/>
        </w:rPr>
        <w:t xml:space="preserve"> We also owned and leased approximately 62 acres of land to be developed to accommodate anticipated future growth.</w:t>
      </w:r>
    </w:p>
    <w:p w14:paraId="5CD8E2D3" w14:textId="77777777" w:rsidR="00BA49F5" w:rsidRDefault="00BA49F5">
      <w:pPr>
        <w:ind w:firstLine="540"/>
        <w:jc w:val="both"/>
      </w:pPr>
    </w:p>
    <w:p w14:paraId="5CD8E2D4" w14:textId="77777777" w:rsidR="00BA49F5" w:rsidRDefault="007E5E49">
      <w:pPr>
        <w:ind w:firstLine="540"/>
        <w:jc w:val="both"/>
      </w:pPr>
      <w:r>
        <w:rPr>
          <w:rFonts w:ascii="Times New Roman" w:eastAsia="宋体" w:hAnsi="Times New Roman"/>
          <w:color w:val="000000"/>
          <w:sz w:val="20"/>
          <w:szCs w:val="20"/>
        </w:rPr>
        <w:t xml:space="preserve">In addition, we have offices in more than 90 cities across North America, Europe, the Middle East, Africa, Asia </w:t>
      </w:r>
      <w:r>
        <w:rPr>
          <w:rFonts w:ascii="Times New Roman" w:eastAsia="宋体" w:hAnsi="Times New Roman"/>
          <w:color w:val="000000"/>
          <w:sz w:val="20"/>
          <w:szCs w:val="20"/>
        </w:rPr>
        <w:t>Pacific, and Latin America. We also own 21 data centers locations globally.</w:t>
      </w:r>
    </w:p>
    <w:p w14:paraId="5CD8E2D5" w14:textId="77777777" w:rsidR="00BA49F5" w:rsidRDefault="00BA49F5">
      <w:pPr>
        <w:ind w:firstLine="540"/>
        <w:jc w:val="both"/>
      </w:pPr>
    </w:p>
    <w:p w14:paraId="5CD8E2D6" w14:textId="77777777" w:rsidR="00BA49F5" w:rsidRDefault="007E5E49">
      <w:pPr>
        <w:ind w:firstLine="540"/>
        <w:jc w:val="both"/>
      </w:pPr>
      <w:r>
        <w:rPr>
          <w:rFonts w:ascii="Times New Roman" w:eastAsia="宋体" w:hAnsi="Times New Roman"/>
          <w:color w:val="000000"/>
          <w:sz w:val="20"/>
          <w:szCs w:val="20"/>
        </w:rPr>
        <w:t>See Note 3 — Restructuring in the notes to the consolidated financial statements included in Part II, Item 8, "Financial Statements and Supplementary Data" of this Annual Report o</w:t>
      </w:r>
      <w:r>
        <w:rPr>
          <w:rFonts w:ascii="Times New Roman" w:eastAsia="宋体" w:hAnsi="Times New Roman"/>
          <w:color w:val="000000"/>
          <w:sz w:val="20"/>
          <w:szCs w:val="20"/>
        </w:rPr>
        <w:t>n Form 10-K for additional information regarding our facilities consolidation efforts.</w:t>
      </w:r>
    </w:p>
    <w:p w14:paraId="5CD8E2D7" w14:textId="77777777" w:rsidR="00BA49F5" w:rsidRDefault="00BA49F5">
      <w:pPr>
        <w:ind w:firstLine="540"/>
        <w:jc w:val="both"/>
      </w:pPr>
    </w:p>
    <w:p w14:paraId="5CD8E2D8" w14:textId="77777777" w:rsidR="00BA49F5" w:rsidRDefault="007E5E49">
      <w:pPr>
        <w:ind w:firstLine="540"/>
        <w:jc w:val="both"/>
      </w:pPr>
      <w:r>
        <w:rPr>
          <w:rFonts w:ascii="Times New Roman" w:eastAsia="宋体" w:hAnsi="Times New Roman"/>
          <w:color w:val="000000"/>
          <w:sz w:val="20"/>
          <w:szCs w:val="20"/>
        </w:rPr>
        <w:t>We believe that our facilities are adequate for our current needs.</w:t>
      </w:r>
    </w:p>
    <w:p w14:paraId="5CD8E2D9" w14:textId="77777777" w:rsidR="00BA49F5" w:rsidRDefault="00BA49F5">
      <w:pPr>
        <w:ind w:firstLine="540"/>
        <w:jc w:val="both"/>
      </w:pPr>
    </w:p>
    <w:p w14:paraId="5CD8E2DA" w14:textId="77777777" w:rsidR="00BA49F5" w:rsidRDefault="007E5E49">
      <w:pPr>
        <w:ind w:hanging="720"/>
        <w:jc w:val="both"/>
      </w:pPr>
      <w:r>
        <w:rPr>
          <w:rFonts w:ascii="Times New Roman" w:eastAsia="宋体" w:hAnsi="Times New Roman"/>
          <w:b/>
          <w:bCs/>
          <w:color w:val="000000"/>
          <w:sz w:val="20"/>
          <w:szCs w:val="20"/>
        </w:rPr>
        <w:t>Item 3.Legal Proceedings</w:t>
      </w:r>
    </w:p>
    <w:p w14:paraId="5CD8E2DB" w14:textId="77777777" w:rsidR="00BA49F5" w:rsidRDefault="00BA49F5">
      <w:pPr>
        <w:ind w:firstLine="540"/>
        <w:jc w:val="both"/>
      </w:pPr>
    </w:p>
    <w:p w14:paraId="5CD8E2DC" w14:textId="77777777" w:rsidR="00BA49F5" w:rsidRDefault="007E5E49">
      <w:pPr>
        <w:ind w:firstLine="540"/>
        <w:jc w:val="both"/>
      </w:pPr>
      <w:r>
        <w:rPr>
          <w:rFonts w:ascii="Times New Roman" w:eastAsia="宋体" w:hAnsi="Times New Roman"/>
          <w:color w:val="000000"/>
          <w:sz w:val="20"/>
          <w:szCs w:val="20"/>
        </w:rPr>
        <w:t>Beginning on March 20, 2018, multiple putative class actions and derivativ</w:t>
      </w:r>
      <w:r>
        <w:rPr>
          <w:rFonts w:ascii="Times New Roman" w:eastAsia="宋体" w:hAnsi="Times New Roman"/>
          <w:color w:val="000000"/>
          <w:sz w:val="20"/>
          <w:szCs w:val="20"/>
        </w:rPr>
        <w:t>e actions were filed in state and federal courts in the United States and elsewhere against us and certain of our directors and officers alleging violations of securities laws, breach of fiduciary duties, and other causes of action in connection with our p</w:t>
      </w:r>
      <w:r>
        <w:rPr>
          <w:rFonts w:ascii="Times New Roman" w:eastAsia="宋体" w:hAnsi="Times New Roman"/>
          <w:color w:val="000000"/>
          <w:sz w:val="20"/>
          <w:szCs w:val="20"/>
        </w:rPr>
        <w:t>latform and user data practices as well as the misuse of certain data by a developer that shared such data with third parties in violation of our terms and policies, and seeking unspecified damages and injunctive relief. Beginning on July 27, 2018, two put</w:t>
      </w:r>
      <w:r>
        <w:rPr>
          <w:rFonts w:ascii="Times New Roman" w:eastAsia="宋体" w:hAnsi="Times New Roman"/>
          <w:color w:val="000000"/>
          <w:sz w:val="20"/>
          <w:szCs w:val="20"/>
        </w:rPr>
        <w:t>ative class actions were filed in federal court in the United States against us and certain of our directors and officers alleging violations of securities laws in connection with the disclosure of our earnings results for the second quarter of 2018 and se</w:t>
      </w:r>
      <w:r>
        <w:rPr>
          <w:rFonts w:ascii="Times New Roman" w:eastAsia="宋体" w:hAnsi="Times New Roman"/>
          <w:color w:val="000000"/>
          <w:sz w:val="20"/>
          <w:szCs w:val="20"/>
        </w:rPr>
        <w:t xml:space="preserve">eking unspecified damages. These two actions subsequently were transferred and consolidated in the U.S. District Court for the Northern District of California with the putative securities class action described above relating to our platform and user data </w:t>
      </w:r>
      <w:r>
        <w:rPr>
          <w:rFonts w:ascii="Times New Roman" w:eastAsia="宋体" w:hAnsi="Times New Roman"/>
          <w:color w:val="000000"/>
          <w:sz w:val="20"/>
          <w:szCs w:val="20"/>
        </w:rPr>
        <w:t>practices. On September 25, 2019, the district court granted our motion to dismiss the consolidated putative securities class action, with leave to amend. On November 15, 2019, a second amended complaint was filed in the consolidated putative securities cl</w:t>
      </w:r>
      <w:r>
        <w:rPr>
          <w:rFonts w:ascii="Times New Roman" w:eastAsia="宋体" w:hAnsi="Times New Roman"/>
          <w:color w:val="000000"/>
          <w:sz w:val="20"/>
          <w:szCs w:val="20"/>
        </w:rPr>
        <w:t>ass action. On August 7, 2020, the district court granted our motion to dismiss the second amended complaint, with leave to amend. On October 16, 2020, a third amended complaint was filed in the consolidated putative securities class action. On December 20</w:t>
      </w:r>
      <w:r>
        <w:rPr>
          <w:rFonts w:ascii="Times New Roman" w:eastAsia="宋体" w:hAnsi="Times New Roman"/>
          <w:color w:val="000000"/>
          <w:sz w:val="20"/>
          <w:szCs w:val="20"/>
        </w:rPr>
        <w:t>, 2021, the district court granted our motion to dismiss the third amended complaint, with prejudice. On January 17, 2022, the plaintiffs filed a notice of appeal of the order dismissing their case, and the appeal is now pending before the U.S. Court of Ap</w:t>
      </w:r>
      <w:r>
        <w:rPr>
          <w:rFonts w:ascii="Times New Roman" w:eastAsia="宋体" w:hAnsi="Times New Roman"/>
          <w:color w:val="000000"/>
          <w:sz w:val="20"/>
          <w:szCs w:val="20"/>
        </w:rPr>
        <w:t xml:space="preserve">peals for the Ninth Circuit. With respect to the multiple putative class actions filed against us beginning on March 20, 2018 alleging fraud and violations of consumer protection, privacy, and other laws in connection with the same matters, several of the </w:t>
      </w:r>
      <w:r>
        <w:rPr>
          <w:rFonts w:ascii="Times New Roman" w:eastAsia="宋体" w:hAnsi="Times New Roman"/>
          <w:color w:val="000000"/>
          <w:sz w:val="20"/>
          <w:szCs w:val="20"/>
        </w:rPr>
        <w:t>cases brought on behalf of consumers in the United States were consolidated in the U.S. District Court for the Northern District of California. On September 9, 2019, the court granted, in part, and denied, in part, our motion to dismiss the consolidated pu</w:t>
      </w:r>
      <w:r>
        <w:rPr>
          <w:rFonts w:ascii="Times New Roman" w:eastAsia="宋体" w:hAnsi="Times New Roman"/>
          <w:color w:val="000000"/>
          <w:sz w:val="20"/>
          <w:szCs w:val="20"/>
        </w:rPr>
        <w:t>tative consumer class action. On December 22, 2022, the parties entered into a settlement agreement to resolve the lawsuit, which provides for a payment of $725 million by us and is subject to court approval. In addition, our platform and user data practic</w:t>
      </w:r>
      <w:r>
        <w:rPr>
          <w:rFonts w:ascii="Times New Roman" w:eastAsia="宋体" w:hAnsi="Times New Roman"/>
          <w:color w:val="000000"/>
          <w:sz w:val="20"/>
          <w:szCs w:val="20"/>
        </w:rPr>
        <w:t>es, as well as the events surrounding the misuse of certain data by a developer, became the subject of U.S. Federal Trade Commission (FTC), state attorneys general, and other government inquiries in the United States, Europe, and other jurisdictions. We en</w:t>
      </w:r>
      <w:r>
        <w:rPr>
          <w:rFonts w:ascii="Times New Roman" w:eastAsia="宋体" w:hAnsi="Times New Roman"/>
          <w:color w:val="000000"/>
          <w:sz w:val="20"/>
          <w:szCs w:val="20"/>
        </w:rPr>
        <w:t>tered into a settlement and modified consent order to resolve the FTC inquiry, which took effect in April 2020 and required us to pay a penalty of $5.0 billion and to significantly enhance our practices and processes for privacy compliance and oversight. T</w:t>
      </w:r>
      <w:r>
        <w:rPr>
          <w:rFonts w:ascii="Times New Roman" w:eastAsia="宋体" w:hAnsi="Times New Roman"/>
          <w:color w:val="000000"/>
          <w:sz w:val="20"/>
          <w:szCs w:val="20"/>
        </w:rPr>
        <w:t>he state attorneys general inquiry and certain government inquiries in other jurisdictions remain ongoing and could subject us to additional substantial fines and costs, require us to change our business practices, divert resources and the attention of man</w:t>
      </w:r>
      <w:r>
        <w:rPr>
          <w:rFonts w:ascii="Times New Roman" w:eastAsia="宋体" w:hAnsi="Times New Roman"/>
          <w:color w:val="000000"/>
          <w:sz w:val="20"/>
          <w:szCs w:val="20"/>
        </w:rPr>
        <w:t>agement from our business, or adversely affect our business. On July 16, 2021, a stockholder derivative action was filed in Delaware Chancery Court against certain of our directors and officers asserting breach of fiduciary duty and related claims relating</w:t>
      </w:r>
      <w:r>
        <w:rPr>
          <w:rFonts w:ascii="Times New Roman" w:eastAsia="宋体" w:hAnsi="Times New Roman"/>
          <w:color w:val="000000"/>
          <w:sz w:val="20"/>
          <w:szCs w:val="20"/>
        </w:rPr>
        <w:t xml:space="preserve"> to our historical platform and user data practices, as well as our settlement with the FTC. On July 20, 2021, other stockholders filed an amended derivative complaint in a related Delaware Chancery Court action, asserting breach of fiduciary duty and rela</w:t>
      </w:r>
      <w:r>
        <w:rPr>
          <w:rFonts w:ascii="Times New Roman" w:eastAsia="宋体" w:hAnsi="Times New Roman"/>
          <w:color w:val="000000"/>
          <w:sz w:val="20"/>
          <w:szCs w:val="20"/>
        </w:rPr>
        <w:t xml:space="preserve">ted claims against certain of our current and former directors and officers in connection with our historical platform and user data practices. On November 4, 2021, the lead </w:t>
      </w:r>
    </w:p>
    <w:p w14:paraId="5CD8E2DD" w14:textId="77777777" w:rsidR="00BA49F5" w:rsidRDefault="007E5E49">
      <w:pPr>
        <w:jc w:val="center"/>
      </w:pPr>
      <w:r>
        <w:rPr>
          <w:rFonts w:ascii="Times New Roman" w:eastAsia="宋体" w:hAnsi="Times New Roman"/>
          <w:color w:val="000000"/>
          <w:sz w:val="20"/>
          <w:szCs w:val="20"/>
        </w:rPr>
        <w:t>48</w:t>
      </w:r>
    </w:p>
    <w:p w14:paraId="5CD8E2DE" w14:textId="77777777" w:rsidR="00BA49F5" w:rsidRDefault="007E5E49">
      <w:r>
        <w:pict w14:anchorId="5CD90CFB">
          <v:rect id="_x0000_i1072" style="width:415.3pt;height:1.5pt" o:hralign="center" o:hrstd="t" o:hr="t" fillcolor="#a0a0a0" stroked="f"/>
        </w:pict>
      </w:r>
    </w:p>
    <w:p w14:paraId="5CD8E2DF" w14:textId="77777777" w:rsidR="00BA49F5" w:rsidRDefault="00BA49F5"/>
    <w:p w14:paraId="5CD8E2E0" w14:textId="77777777" w:rsidR="00BA49F5" w:rsidRDefault="00BA49F5"/>
    <w:p w14:paraId="5CD8E2E1" w14:textId="77777777" w:rsidR="00BA49F5" w:rsidRDefault="007E5E49">
      <w:hyperlink r:id="rId176" w:anchor="i6df229dad1864210ab76200083e26819_7" w:history="1">
        <w:r>
          <w:rPr>
            <w:rStyle w:val="a5"/>
            <w:rFonts w:ascii="Times New Roman" w:eastAsia="宋体" w:hAnsi="Times New Roman"/>
            <w:sz w:val="20"/>
            <w:szCs w:val="20"/>
          </w:rPr>
          <w:t>T</w:t>
        </w:r>
      </w:hyperlink>
      <w:hyperlink r:id="rId177" w:anchor="i6df229dad1864210ab76200083e26819_7" w:history="1">
        <w:r>
          <w:rPr>
            <w:rStyle w:val="a5"/>
            <w:rFonts w:ascii="Times New Roman" w:eastAsia="宋体" w:hAnsi="Times New Roman"/>
            <w:sz w:val="20"/>
            <w:szCs w:val="20"/>
          </w:rPr>
          <w:t>able of Contents</w:t>
        </w:r>
      </w:hyperlink>
    </w:p>
    <w:p w14:paraId="5CD8E2E2" w14:textId="77777777" w:rsidR="00BA49F5" w:rsidRDefault="007E5E49">
      <w:pPr>
        <w:jc w:val="both"/>
      </w:pPr>
      <w:r>
        <w:rPr>
          <w:rFonts w:ascii="Times New Roman" w:eastAsia="宋体" w:hAnsi="Times New Roman"/>
          <w:color w:val="000000"/>
          <w:sz w:val="20"/>
          <w:szCs w:val="20"/>
        </w:rPr>
        <w:t>plaintiffs filed a second amended and consolidated complaint in the stockholder derivative action. We believe the lawsuits described above are without merit, and we are vigorously defendin</w:t>
      </w:r>
      <w:r>
        <w:rPr>
          <w:rFonts w:ascii="Times New Roman" w:eastAsia="宋体" w:hAnsi="Times New Roman"/>
          <w:color w:val="000000"/>
          <w:sz w:val="20"/>
          <w:szCs w:val="20"/>
        </w:rPr>
        <w:t>g them.</w:t>
      </w:r>
    </w:p>
    <w:p w14:paraId="5CD8E2E3" w14:textId="77777777" w:rsidR="00BA49F5" w:rsidRDefault="00BA49F5">
      <w:pPr>
        <w:ind w:firstLine="540"/>
        <w:jc w:val="both"/>
      </w:pPr>
    </w:p>
    <w:p w14:paraId="5CD8E2E4" w14:textId="77777777" w:rsidR="00BA49F5" w:rsidRDefault="007E5E49">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General Data Protection Regulation (GDPR), of certain other personal data breaches and privacy issues, and are subject to inquiries and</w:t>
      </w:r>
      <w:r>
        <w:rPr>
          <w:rFonts w:ascii="Times New Roman" w:eastAsia="宋体" w:hAnsi="Times New Roman"/>
          <w:color w:val="000000"/>
          <w:sz w:val="20"/>
          <w:szCs w:val="20"/>
        </w:rPr>
        <w:t xml:space="preserve"> investigations by the IDPC and other European regulators regarding various aspects of our regulatory compliance. For example, in August 2020, we received a preliminary draft decision from the IDPC that preliminarily concluded that Meta Platforms Ireland's</w:t>
      </w:r>
      <w:r>
        <w:rPr>
          <w:rFonts w:ascii="Times New Roman" w:eastAsia="宋体" w:hAnsi="Times New Roman"/>
          <w:color w:val="000000"/>
          <w:sz w:val="20"/>
          <w:szCs w:val="20"/>
        </w:rPr>
        <w:t xml:space="preserve"> reliance on Standard Contractual Clauses in respect of European Union/European Economic Area Facebook user data does not achieve compliance with the GDPR and preliminarily proposed that transfers of such user data from the European Union to the United Sta</w:t>
      </w:r>
      <w:r>
        <w:rPr>
          <w:rFonts w:ascii="Times New Roman" w:eastAsia="宋体" w:hAnsi="Times New Roman"/>
          <w:color w:val="000000"/>
          <w:sz w:val="20"/>
          <w:szCs w:val="20"/>
        </w:rPr>
        <w:t>tes should therefore be suspended. In February 2022, we received a revised preliminary draft decision in which the IDPC maintained its preliminary conclusion that these transfers should be suspended. The IDPC's draft decision was then further refined and s</w:t>
      </w:r>
      <w:r>
        <w:rPr>
          <w:rFonts w:ascii="Times New Roman" w:eastAsia="宋体" w:hAnsi="Times New Roman"/>
          <w:color w:val="000000"/>
          <w:sz w:val="20"/>
          <w:szCs w:val="20"/>
        </w:rPr>
        <w:t>hared on July 6, 2022 with other European data protection regulators (CSAs) as part of the GDPR's consistency mechanism. Separately, on October 7, 2022, President Biden signed the Executive Order on Enhancing Safeguards for United States Signals Intelligen</w:t>
      </w:r>
      <w:r>
        <w:rPr>
          <w:rFonts w:ascii="Times New Roman" w:eastAsia="宋体" w:hAnsi="Times New Roman"/>
          <w:color w:val="000000"/>
          <w:sz w:val="20"/>
          <w:szCs w:val="20"/>
        </w:rPr>
        <w:t>ce Activities, and on December 13, 2022, the European Commission published its draft adequacy decision on the proposed new European Union-U.S. Data Privacy Framework. On January 19, 2023, the IDPC referred the inquiry to a vote by the European Data Protect</w:t>
      </w:r>
      <w:r>
        <w:rPr>
          <w:rFonts w:ascii="Times New Roman" w:eastAsia="宋体" w:hAnsi="Times New Roman"/>
          <w:color w:val="000000"/>
          <w:sz w:val="20"/>
          <w:szCs w:val="20"/>
        </w:rPr>
        <w:t>ion Board, pursuant to the dispute resolution process under Article 65 GDPR, in respect of elements of the draft decision over which consensus could not be reached between concerned supervisory authorities. We believe a final decision in this inquiry may i</w:t>
      </w:r>
      <w:r>
        <w:rPr>
          <w:rFonts w:ascii="Times New Roman" w:eastAsia="宋体" w:hAnsi="Times New Roman"/>
          <w:color w:val="000000"/>
          <w:sz w:val="20"/>
          <w:szCs w:val="20"/>
        </w:rPr>
        <w:t>ssue as early as the first quarter of 2023. For additional information, see Part I, Item 1A, "Risk Factors—Our business is subject to complex and evolving U.S. and foreign laws and regulations regarding privacy, data use and data protection, content, compe</w:t>
      </w:r>
      <w:r>
        <w:rPr>
          <w:rFonts w:ascii="Times New Roman" w:eastAsia="宋体" w:hAnsi="Times New Roman"/>
          <w:color w:val="000000"/>
          <w:sz w:val="20"/>
          <w:szCs w:val="20"/>
        </w:rPr>
        <w:t>tition, safety and consumer protection, e-commerce, and other matters" in this Annual Report on Form 10-K. Any such inquiries or investigations (including the IDPC proceeding) could subject us to substantial fines and costs, require us to change our busine</w:t>
      </w:r>
      <w:r>
        <w:rPr>
          <w:rFonts w:ascii="Times New Roman" w:eastAsia="宋体" w:hAnsi="Times New Roman"/>
          <w:color w:val="000000"/>
          <w:sz w:val="20"/>
          <w:szCs w:val="20"/>
        </w:rPr>
        <w:t>ss practices, divert resources and the attention of management from our business, or adversely affect our business.</w:t>
      </w:r>
    </w:p>
    <w:p w14:paraId="5CD8E2E5" w14:textId="77777777" w:rsidR="00BA49F5" w:rsidRDefault="00BA49F5">
      <w:pPr>
        <w:ind w:firstLine="540"/>
        <w:jc w:val="both"/>
      </w:pPr>
    </w:p>
    <w:p w14:paraId="5CD8E2E6" w14:textId="77777777" w:rsidR="00BA49F5" w:rsidRDefault="007E5E49">
      <w:pPr>
        <w:ind w:firstLine="540"/>
        <w:jc w:val="both"/>
      </w:pPr>
      <w:r>
        <w:rPr>
          <w:rFonts w:ascii="Times New Roman" w:eastAsia="宋体" w:hAnsi="Times New Roman"/>
          <w:color w:val="000000"/>
          <w:sz w:val="20"/>
          <w:szCs w:val="20"/>
        </w:rPr>
        <w:t>In addition, we are subject to various litigation and government inquiries and investigations, formal or informal, by competition authoriti</w:t>
      </w:r>
      <w:r>
        <w:rPr>
          <w:rFonts w:ascii="Times New Roman" w:eastAsia="宋体" w:hAnsi="Times New Roman"/>
          <w:color w:val="000000"/>
          <w:sz w:val="20"/>
          <w:szCs w:val="20"/>
        </w:rPr>
        <w:t>es in the United States, Europe, and other jurisdictions. Such investigations, inquiries, and lawsuits concern, among other things, our business practices in the areas of social networking or social media services, digital advertising, and/or mobile or onl</w:t>
      </w:r>
      <w:r>
        <w:rPr>
          <w:rFonts w:ascii="Times New Roman" w:eastAsia="宋体" w:hAnsi="Times New Roman"/>
          <w:color w:val="000000"/>
          <w:sz w:val="20"/>
          <w:szCs w:val="20"/>
        </w:rPr>
        <w:t xml:space="preserve">ine applications, as well as our acquisitions. For example, in June 2019 we were informed by the FTC that it had opened an antitrust investigation of our company. On December 9, 2020, the FTC filed a complaint against us in the U.S. District Court for the </w:t>
      </w:r>
      <w:r>
        <w:rPr>
          <w:rFonts w:ascii="Times New Roman" w:eastAsia="宋体" w:hAnsi="Times New Roman"/>
          <w:color w:val="000000"/>
          <w:sz w:val="20"/>
          <w:szCs w:val="20"/>
        </w:rPr>
        <w:t>District of Columbia alleging that we engaged in anticompetitive conduct and unfair methods of competition in violation of Section 5 of the Federal Trade Commission Act and Section 2 of the Sherman Act, including by acquiring Instagram in 2012 and WhatsApp</w:t>
      </w:r>
      <w:r>
        <w:rPr>
          <w:rFonts w:ascii="Times New Roman" w:eastAsia="宋体" w:hAnsi="Times New Roman"/>
          <w:color w:val="000000"/>
          <w:sz w:val="20"/>
          <w:szCs w:val="20"/>
        </w:rPr>
        <w:t xml:space="preserve"> in 2014 and by maintaining conditions on access to our platform. In addition, beginning in the third quarter of 2019, we became the subject of antitrust investigations by the U.S. Department of Justice and state attorneys general. On December 9, 2020, the</w:t>
      </w:r>
      <w:r>
        <w:rPr>
          <w:rFonts w:ascii="Times New Roman" w:eastAsia="宋体" w:hAnsi="Times New Roman"/>
          <w:color w:val="000000"/>
          <w:sz w:val="20"/>
          <w:szCs w:val="20"/>
        </w:rPr>
        <w:t xml:space="preserve"> attorneys general from 46 states, the territory of Guam, and the District of Columbia filed a complaint against us in the U.S. District Court for the District of Columbia alleging that we engaged in anticompetitive conduct in violation of Section 2 of the</w:t>
      </w:r>
      <w:r>
        <w:rPr>
          <w:rFonts w:ascii="Times New Roman" w:eastAsia="宋体" w:hAnsi="Times New Roman"/>
          <w:color w:val="000000"/>
          <w:sz w:val="20"/>
          <w:szCs w:val="20"/>
        </w:rPr>
        <w:t xml:space="preserve"> Sherman Act, including by acquiring Instagram in 2012 and WhatsApp in 2014 and by maintaining conditions on access to our platform. The complaint also alleged that we violated Section 7 of the Clayton Act by acquiring Instagram and WhatsApp. The complaint</w:t>
      </w:r>
      <w:r>
        <w:rPr>
          <w:rFonts w:ascii="Times New Roman" w:eastAsia="宋体" w:hAnsi="Times New Roman"/>
          <w:color w:val="000000"/>
          <w:sz w:val="20"/>
          <w:szCs w:val="20"/>
        </w:rPr>
        <w:t>s of the FTC and attorneys general both sought a permanent injunction against our company's alleged violations of the antitrust laws, and other equitable relief, including divestiture or reconstruction of Instagram and WhatsApp. On June 28, 2021, the court</w:t>
      </w:r>
      <w:r>
        <w:rPr>
          <w:rFonts w:ascii="Times New Roman" w:eastAsia="宋体" w:hAnsi="Times New Roman"/>
          <w:color w:val="000000"/>
          <w:sz w:val="20"/>
          <w:szCs w:val="20"/>
        </w:rPr>
        <w:t xml:space="preserve"> granted our motions to dismiss the complaints filed by the FTC and attorneys general, dismissing the FTC's complaint with leave to amend and dismissing the attorneys general's case without prejudice. On July 28, 2021, the attorneys general filed a notice </w:t>
      </w:r>
      <w:r>
        <w:rPr>
          <w:rFonts w:ascii="Times New Roman" w:eastAsia="宋体" w:hAnsi="Times New Roman"/>
          <w:color w:val="000000"/>
          <w:sz w:val="20"/>
          <w:szCs w:val="20"/>
        </w:rPr>
        <w:t xml:space="preserve">of appeal of the order dismissing their case and that appeal is now pending before the U.S. Court of Appeals for the District of Columbia Circuit. On August 19, 2021, the FTC filed an amended complaint, and on October 4, 2021, we filed a motion to dismiss </w:t>
      </w:r>
      <w:r>
        <w:rPr>
          <w:rFonts w:ascii="Times New Roman" w:eastAsia="宋体" w:hAnsi="Times New Roman"/>
          <w:color w:val="000000"/>
          <w:sz w:val="20"/>
          <w:szCs w:val="20"/>
        </w:rPr>
        <w:t>this amended complaint. On January 11, 2022, the court denied our motion to dismiss the FTC's amended complaint. Multiple putative class actions have also been filed in state and federal courts in the United States and in the United Kingdom against us alle</w:t>
      </w:r>
      <w:r>
        <w:rPr>
          <w:rFonts w:ascii="Times New Roman" w:eastAsia="宋体" w:hAnsi="Times New Roman"/>
          <w:color w:val="000000"/>
          <w:sz w:val="20"/>
          <w:szCs w:val="20"/>
        </w:rPr>
        <w:t>ging violations of antitrust laws and other causes of action in connection with these acquisitions and/or other alleged anticompetitive conduct, and seeking damages and injunctive relief. Several of the cases brought on behalf of certain advertisers and us</w:t>
      </w:r>
      <w:r>
        <w:rPr>
          <w:rFonts w:ascii="Times New Roman" w:eastAsia="宋体" w:hAnsi="Times New Roman"/>
          <w:color w:val="000000"/>
          <w:sz w:val="20"/>
          <w:szCs w:val="20"/>
        </w:rPr>
        <w:t>ers in the United States were consolidated in the U.S. District Court for the Northern District of California. On January 14, 2022, the court granted, in part, and denied, in part, our motion to dismiss the consolidated actions. On March 1, 2022, a first a</w:t>
      </w:r>
      <w:r>
        <w:rPr>
          <w:rFonts w:ascii="Times New Roman" w:eastAsia="宋体" w:hAnsi="Times New Roman"/>
          <w:color w:val="000000"/>
          <w:sz w:val="20"/>
          <w:szCs w:val="20"/>
        </w:rPr>
        <w:t>mended consolidated complaint was filed in the putative class action brought on behalf of certain advertisers. On December 6, 2022, the court denied our motion to dismiss the first amended consolidated complaint filed in the putative class action brought o</w:t>
      </w:r>
      <w:r>
        <w:rPr>
          <w:rFonts w:ascii="Times New Roman" w:eastAsia="宋体" w:hAnsi="Times New Roman"/>
          <w:color w:val="000000"/>
          <w:sz w:val="20"/>
          <w:szCs w:val="20"/>
        </w:rPr>
        <w:t>n behalf of certain advertisers. In addition, on July 27, 2022, the FTC filed a complaint against us in the U.S. District Court for the Northern District of California seeking to preliminarily enjoin our proposed acquisition of Within Unlimited as an alleg</w:t>
      </w:r>
      <w:r>
        <w:rPr>
          <w:rFonts w:ascii="Times New Roman" w:eastAsia="宋体" w:hAnsi="Times New Roman"/>
          <w:color w:val="000000"/>
          <w:sz w:val="20"/>
          <w:szCs w:val="20"/>
        </w:rPr>
        <w:t xml:space="preserve">ed violation of antitrust law. The FTC subsequently filed a related complaint in </w:t>
      </w:r>
    </w:p>
    <w:p w14:paraId="5CD8E2E7" w14:textId="77777777" w:rsidR="00BA49F5" w:rsidRDefault="007E5E49">
      <w:pPr>
        <w:jc w:val="center"/>
      </w:pPr>
      <w:r>
        <w:rPr>
          <w:rFonts w:ascii="Times New Roman" w:eastAsia="宋体" w:hAnsi="Times New Roman"/>
          <w:color w:val="000000"/>
          <w:sz w:val="20"/>
          <w:szCs w:val="20"/>
        </w:rPr>
        <w:t>49</w:t>
      </w:r>
    </w:p>
    <w:p w14:paraId="5CD8E2E8" w14:textId="77777777" w:rsidR="00BA49F5" w:rsidRDefault="007E5E49">
      <w:r>
        <w:pict w14:anchorId="5CD90CFC">
          <v:rect id="_x0000_i1073" style="width:415.3pt;height:1.5pt" o:hralign="center" o:hrstd="t" o:hr="t" fillcolor="#a0a0a0" stroked="f"/>
        </w:pict>
      </w:r>
    </w:p>
    <w:p w14:paraId="5CD8E2E9" w14:textId="77777777" w:rsidR="00BA49F5" w:rsidRDefault="00BA49F5"/>
    <w:p w14:paraId="5CD8E2EA" w14:textId="77777777" w:rsidR="00BA49F5" w:rsidRDefault="00BA49F5"/>
    <w:p w14:paraId="5CD8E2EB" w14:textId="77777777" w:rsidR="00BA49F5" w:rsidRDefault="007E5E49">
      <w:hyperlink r:id="rId178" w:anchor="i6df229dad1864210ab76200083e26819_7" w:history="1">
        <w:r>
          <w:rPr>
            <w:rStyle w:val="a5"/>
            <w:rFonts w:ascii="Times New Roman" w:eastAsia="宋体" w:hAnsi="Times New Roman"/>
            <w:sz w:val="20"/>
            <w:szCs w:val="20"/>
          </w:rPr>
          <w:t>T</w:t>
        </w:r>
      </w:hyperlink>
      <w:hyperlink r:id="rId179" w:anchor="i6df229dad1864210ab76200083e26819_7" w:history="1">
        <w:r>
          <w:rPr>
            <w:rStyle w:val="a5"/>
            <w:rFonts w:ascii="Times New Roman" w:eastAsia="宋体" w:hAnsi="Times New Roman"/>
            <w:sz w:val="20"/>
            <w:szCs w:val="20"/>
          </w:rPr>
          <w:t>able of Contents</w:t>
        </w:r>
      </w:hyperlink>
    </w:p>
    <w:p w14:paraId="5CD8E2EC" w14:textId="77777777" w:rsidR="00BA49F5" w:rsidRDefault="007E5E49">
      <w:pPr>
        <w:jc w:val="both"/>
      </w:pPr>
      <w:r>
        <w:rPr>
          <w:rFonts w:ascii="Times New Roman" w:eastAsia="宋体" w:hAnsi="Times New Roman"/>
          <w:color w:val="000000"/>
          <w:sz w:val="20"/>
          <w:szCs w:val="20"/>
        </w:rPr>
        <w:t>their administrative court seeking to permanently enjoin the transaction as a violation of Section </w:t>
      </w:r>
      <w:r>
        <w:rPr>
          <w:rFonts w:ascii="Times New Roman" w:eastAsia="宋体" w:hAnsi="Times New Roman"/>
          <w:color w:val="000000"/>
          <w:sz w:val="20"/>
          <w:szCs w:val="20"/>
        </w:rPr>
        <w:t xml:space="preserve">7 of the Clayton Act, and seeking other relief as well. We believe these lawsuits are without merit, and we are vigorously defending them. In December 2022, the European Commission issued a Statement of Objections alleging that we tie Facebook Marketplace </w:t>
      </w:r>
      <w:r>
        <w:rPr>
          <w:rFonts w:ascii="Times New Roman" w:eastAsia="宋体" w:hAnsi="Times New Roman"/>
          <w:color w:val="000000"/>
          <w:sz w:val="20"/>
          <w:szCs w:val="20"/>
        </w:rPr>
        <w:t>to Facebook and use data in a manner that infringes European Union competition rules. The result of such litigation, investigations or inquiries could subject us to substantial monetary remedies and costs, interrupt or require us to change our business pra</w:t>
      </w:r>
      <w:r>
        <w:rPr>
          <w:rFonts w:ascii="Times New Roman" w:eastAsia="宋体" w:hAnsi="Times New Roman"/>
          <w:color w:val="000000"/>
          <w:sz w:val="20"/>
          <w:szCs w:val="20"/>
        </w:rPr>
        <w:t>ctices, divert resources and the attention of management from our business, or subject us to other structural or behavioral remedies that adversely affect our business.</w:t>
      </w:r>
    </w:p>
    <w:p w14:paraId="5CD8E2ED" w14:textId="77777777" w:rsidR="00BA49F5" w:rsidRDefault="00BA49F5">
      <w:pPr>
        <w:ind w:firstLine="540"/>
        <w:jc w:val="both"/>
      </w:pPr>
    </w:p>
    <w:p w14:paraId="5CD8E2EE" w14:textId="77777777" w:rsidR="00BA49F5" w:rsidRDefault="007E5E49">
      <w:pPr>
        <w:ind w:firstLine="540"/>
        <w:jc w:val="both"/>
      </w:pPr>
      <w:r>
        <w:rPr>
          <w:rFonts w:ascii="Times New Roman" w:eastAsia="宋体" w:hAnsi="Times New Roman"/>
          <w:color w:val="000000"/>
          <w:sz w:val="20"/>
          <w:szCs w:val="20"/>
        </w:rPr>
        <w:t xml:space="preserve">Beginning in January 2022, we became subject to litigation and other proceedings that </w:t>
      </w:r>
      <w:r>
        <w:rPr>
          <w:rFonts w:ascii="Times New Roman" w:eastAsia="宋体" w:hAnsi="Times New Roman"/>
          <w:color w:val="000000"/>
          <w:sz w:val="20"/>
          <w:szCs w:val="20"/>
        </w:rPr>
        <w:t>were filed in various federal and California state courts alleging that Facebook and Instagram cause "social media addiction" in teenage users, resulting in various mental health and other harms. A putative class action alleging similar harms was also file</w:t>
      </w:r>
      <w:r>
        <w:rPr>
          <w:rFonts w:ascii="Times New Roman" w:eastAsia="宋体" w:hAnsi="Times New Roman"/>
          <w:color w:val="000000"/>
          <w:sz w:val="20"/>
          <w:szCs w:val="20"/>
        </w:rPr>
        <w:t>d in California state court on behalf of users under the age of 13 and three school districts recently filed public nuisance claims based on similar allegations. On October 6, 2022, the federal cases were consolidated in the U.S. District Court for the Nor</w:t>
      </w:r>
      <w:r>
        <w:rPr>
          <w:rFonts w:ascii="Times New Roman" w:eastAsia="宋体" w:hAnsi="Times New Roman"/>
          <w:color w:val="000000"/>
          <w:sz w:val="20"/>
          <w:szCs w:val="20"/>
        </w:rPr>
        <w:t>thern District of California. The state court proceedings are now pending before a trial judge from Los Angeles County Superior Court. We believe these lawsuits are without merit, and we are vigorously defending them. We are also subject to government inve</w:t>
      </w:r>
      <w:r>
        <w:rPr>
          <w:rFonts w:ascii="Times New Roman" w:eastAsia="宋体" w:hAnsi="Times New Roman"/>
          <w:color w:val="000000"/>
          <w:sz w:val="20"/>
          <w:szCs w:val="20"/>
        </w:rPr>
        <w:t>stigations and requests from multiple regulators concerning the use of our products, and the related mental and physical health and safety impacts on teenage users.</w:t>
      </w:r>
    </w:p>
    <w:p w14:paraId="5CD8E2EF" w14:textId="77777777" w:rsidR="00BA49F5" w:rsidRDefault="00BA49F5">
      <w:pPr>
        <w:ind w:firstLine="540"/>
        <w:jc w:val="both"/>
      </w:pPr>
    </w:p>
    <w:p w14:paraId="5CD8E2F0" w14:textId="77777777" w:rsidR="00BA49F5" w:rsidRDefault="007E5E49">
      <w:pPr>
        <w:ind w:firstLine="540"/>
        <w:jc w:val="both"/>
      </w:pPr>
      <w:r>
        <w:rPr>
          <w:rFonts w:ascii="Times New Roman" w:eastAsia="宋体" w:hAnsi="Times New Roman"/>
          <w:color w:val="000000"/>
          <w:sz w:val="20"/>
          <w:szCs w:val="20"/>
        </w:rPr>
        <w:t xml:space="preserve">We are also subject to other government inquiries and investigations relating to our </w:t>
      </w:r>
      <w:r>
        <w:rPr>
          <w:rFonts w:ascii="Times New Roman" w:eastAsia="宋体" w:hAnsi="Times New Roman"/>
          <w:color w:val="000000"/>
          <w:sz w:val="20"/>
          <w:szCs w:val="20"/>
        </w:rPr>
        <w:t>business activities and disclosure practices. For example, beginning in September 2021, we became subject to government investigations and requests relating to a former employee's allegations and release of internal company documents concerning, among othe</w:t>
      </w:r>
      <w:r>
        <w:rPr>
          <w:rFonts w:ascii="Times New Roman" w:eastAsia="宋体" w:hAnsi="Times New Roman"/>
          <w:color w:val="000000"/>
          <w:sz w:val="20"/>
          <w:szCs w:val="20"/>
        </w:rPr>
        <w:t>r things, our algorithms, advertising and user metrics, and content enforcement practices, as well as misinformation and other undesirable activity on our platform, and user well-being. We have since received additional requests relating to these and other</w:t>
      </w:r>
      <w:r>
        <w:rPr>
          <w:rFonts w:ascii="Times New Roman" w:eastAsia="宋体" w:hAnsi="Times New Roman"/>
          <w:color w:val="000000"/>
          <w:sz w:val="20"/>
          <w:szCs w:val="20"/>
        </w:rPr>
        <w:t xml:space="preserve"> topics. Beginning on October 27, 2021, multiple putative class actions and derivative actions were filed in the U.S. District Court for the Northern District of California against us and certain of our directors and officers alleging violations of securit</w:t>
      </w:r>
      <w:r>
        <w:rPr>
          <w:rFonts w:ascii="Times New Roman" w:eastAsia="宋体" w:hAnsi="Times New Roman"/>
          <w:color w:val="000000"/>
          <w:sz w:val="20"/>
          <w:szCs w:val="20"/>
        </w:rPr>
        <w:t>ies laws, breach of fiduciary duties, and other causes of action in connection with the same matters, and seeking unspecified damages. We believe these lawsuits are without merit, and we are vigorously defending them.</w:t>
      </w:r>
    </w:p>
    <w:p w14:paraId="5CD8E2F1" w14:textId="77777777" w:rsidR="00BA49F5" w:rsidRDefault="00BA49F5">
      <w:pPr>
        <w:ind w:firstLine="540"/>
        <w:jc w:val="both"/>
      </w:pPr>
    </w:p>
    <w:p w14:paraId="5CD8E2F2" w14:textId="77777777" w:rsidR="00BA49F5" w:rsidRDefault="007E5E49">
      <w:pPr>
        <w:ind w:firstLine="540"/>
        <w:jc w:val="both"/>
      </w:pPr>
      <w:r>
        <w:rPr>
          <w:rFonts w:ascii="Times New Roman" w:eastAsia="宋体" w:hAnsi="Times New Roman"/>
          <w:color w:val="000000"/>
          <w:sz w:val="20"/>
          <w:szCs w:val="20"/>
        </w:rPr>
        <w:t>On March 8, 2022, a putative class ac</w:t>
      </w:r>
      <w:r>
        <w:rPr>
          <w:rFonts w:ascii="Times New Roman" w:eastAsia="宋体" w:hAnsi="Times New Roman"/>
          <w:color w:val="000000"/>
          <w:sz w:val="20"/>
          <w:szCs w:val="20"/>
        </w:rPr>
        <w:t>tion was filed in the U.S. District Court for the Northern District of California against us and certain of our directors and officers alleging violations of securities laws in connection with the disclosure of our earnings results for the fourth quarter o</w:t>
      </w:r>
      <w:r>
        <w:rPr>
          <w:rFonts w:ascii="Times New Roman" w:eastAsia="宋体" w:hAnsi="Times New Roman"/>
          <w:color w:val="000000"/>
          <w:sz w:val="20"/>
          <w:szCs w:val="20"/>
        </w:rPr>
        <w:t>f 2021 and seeking unspecified damages. We believe this lawsuit is without merit, and we are vigorously defending it.</w:t>
      </w:r>
    </w:p>
    <w:p w14:paraId="5CD8E2F3" w14:textId="77777777" w:rsidR="00BA49F5" w:rsidRDefault="00BA49F5">
      <w:pPr>
        <w:ind w:firstLine="540"/>
        <w:jc w:val="both"/>
      </w:pPr>
    </w:p>
    <w:p w14:paraId="5CD8E2F4" w14:textId="77777777" w:rsidR="00BA49F5" w:rsidRDefault="007E5E49">
      <w:pPr>
        <w:ind w:firstLine="540"/>
        <w:jc w:val="both"/>
      </w:pPr>
      <w:r>
        <w:rPr>
          <w:rFonts w:ascii="Times New Roman" w:eastAsia="宋体" w:hAnsi="Times New Roman"/>
          <w:color w:val="000000"/>
          <w:sz w:val="20"/>
          <w:szCs w:val="20"/>
        </w:rPr>
        <w:t>Beginning on August 15, 2018, multiple putative class actions were filed against us alleging that we inflated our estimates of the potent</w:t>
      </w:r>
      <w:r>
        <w:rPr>
          <w:rFonts w:ascii="Times New Roman" w:eastAsia="宋体" w:hAnsi="Times New Roman"/>
          <w:color w:val="000000"/>
          <w:sz w:val="20"/>
          <w:szCs w:val="20"/>
        </w:rPr>
        <w:t>ial audience size for advertisements, resulting in artificially increased demand and higher prices. The cases were consolidated in the U.S. District Court for the Northern District of California and seek unspecified damages and injunctive relief. In a seri</w:t>
      </w:r>
      <w:r>
        <w:rPr>
          <w:rFonts w:ascii="Times New Roman" w:eastAsia="宋体" w:hAnsi="Times New Roman"/>
          <w:color w:val="000000"/>
          <w:sz w:val="20"/>
          <w:szCs w:val="20"/>
        </w:rPr>
        <w:t>es of rulings in 2019, 2021, and 2022, the court dismissed certain of the plaintiffs' claims, but permitted its fraud and unfair competition claims to proceed. On March 29, 2022, the court granted the plaintiffs' motion for class certification. On June 21,</w:t>
      </w:r>
      <w:r>
        <w:rPr>
          <w:rFonts w:ascii="Times New Roman" w:eastAsia="宋体" w:hAnsi="Times New Roman"/>
          <w:color w:val="000000"/>
          <w:sz w:val="20"/>
          <w:szCs w:val="20"/>
        </w:rPr>
        <w:t xml:space="preserve"> 2022, the U.S. Court of Appeals for the Ninth Circuit granted our petition for permission to appeal the district court's class certification order, and the district court subsequently stayed the case. We believe this lawsuit is without merit, and we are v</w:t>
      </w:r>
      <w:r>
        <w:rPr>
          <w:rFonts w:ascii="Times New Roman" w:eastAsia="宋体" w:hAnsi="Times New Roman"/>
          <w:color w:val="000000"/>
          <w:sz w:val="20"/>
          <w:szCs w:val="20"/>
        </w:rPr>
        <w:t>igorously defending it.</w:t>
      </w:r>
    </w:p>
    <w:p w14:paraId="5CD8E2F5" w14:textId="77777777" w:rsidR="00BA49F5" w:rsidRDefault="00BA49F5">
      <w:pPr>
        <w:ind w:firstLine="540"/>
        <w:jc w:val="both"/>
      </w:pPr>
    </w:p>
    <w:p w14:paraId="5CD8E2F6" w14:textId="77777777" w:rsidR="00BA49F5" w:rsidRDefault="007E5E49">
      <w:pPr>
        <w:ind w:firstLine="540"/>
        <w:jc w:val="both"/>
      </w:pPr>
      <w:r>
        <w:rPr>
          <w:rFonts w:ascii="Times New Roman" w:eastAsia="宋体" w:hAnsi="Times New Roman"/>
          <w:color w:val="000000"/>
          <w:sz w:val="20"/>
          <w:szCs w:val="20"/>
        </w:rPr>
        <w:t>In July 2017, an individual filed an action in the U.S. District Court for the Northern District of California against us and other companies for allegedly violating the Anti-Terrorism Act by aiding, abetting, and providing materia</w:t>
      </w:r>
      <w:r>
        <w:rPr>
          <w:rFonts w:ascii="Times New Roman" w:eastAsia="宋体" w:hAnsi="Times New Roman"/>
          <w:color w:val="000000"/>
          <w:sz w:val="20"/>
          <w:szCs w:val="20"/>
        </w:rPr>
        <w:t>l support to an organization that committed an international terrorist act, and seeking unspecified damages. In October 2018, the district court granted our motion to dismiss. In June 2021, the U.S. Court of Appeals for the Ninth Circuit reversed the judgm</w:t>
      </w:r>
      <w:r>
        <w:rPr>
          <w:rFonts w:ascii="Times New Roman" w:eastAsia="宋体" w:hAnsi="Times New Roman"/>
          <w:color w:val="000000"/>
          <w:sz w:val="20"/>
          <w:szCs w:val="20"/>
        </w:rPr>
        <w:t>ent. On October 3, 2022, the U.S. Supreme Court agreed to review the judgment in this action, along with a companion case against another company in which the U.S. Supreme Court agreed to review the scope of protection available to online platforms under S</w:t>
      </w:r>
      <w:r>
        <w:rPr>
          <w:rFonts w:ascii="Times New Roman" w:eastAsia="宋体" w:hAnsi="Times New Roman"/>
          <w:color w:val="000000"/>
          <w:sz w:val="20"/>
          <w:szCs w:val="20"/>
        </w:rPr>
        <w:t xml:space="preserve">ection 230 of the Communications Decency Act (Section 230). We believe this lawsuit is without merit, and we are vigorously defending it. However, changes to the protections available under Section 230 may increase our costs or require significant changes </w:t>
      </w:r>
      <w:r>
        <w:rPr>
          <w:rFonts w:ascii="Times New Roman" w:eastAsia="宋体" w:hAnsi="Times New Roman"/>
          <w:color w:val="000000"/>
          <w:sz w:val="20"/>
          <w:szCs w:val="20"/>
        </w:rPr>
        <w:t>to our products, business practices, or operations, which could adversely affect our business.</w:t>
      </w:r>
    </w:p>
    <w:p w14:paraId="5CD8E2F7" w14:textId="77777777" w:rsidR="00BA49F5" w:rsidRDefault="00BA49F5">
      <w:pPr>
        <w:ind w:firstLine="540"/>
        <w:jc w:val="both"/>
      </w:pPr>
    </w:p>
    <w:p w14:paraId="5CD8E2F8" w14:textId="77777777" w:rsidR="00BA49F5" w:rsidRDefault="007E5E49">
      <w:pPr>
        <w:ind w:firstLine="540"/>
        <w:jc w:val="both"/>
      </w:pPr>
      <w:r>
        <w:rPr>
          <w:rFonts w:ascii="Times New Roman" w:eastAsia="宋体" w:hAnsi="Times New Roman"/>
          <w:color w:val="000000"/>
          <w:sz w:val="20"/>
          <w:szCs w:val="20"/>
        </w:rPr>
        <w:t>On February 14, 2022, the State of Texas filed a lawsuit against us in Texas state court alleging that “tag suggestions" and other facial recognition features o</w:t>
      </w:r>
      <w:r>
        <w:rPr>
          <w:rFonts w:ascii="Times New Roman" w:eastAsia="宋体" w:hAnsi="Times New Roman"/>
          <w:color w:val="000000"/>
          <w:sz w:val="20"/>
          <w:szCs w:val="20"/>
        </w:rPr>
        <w:t>n our products violated the Texas Capture or Use of Biometric Identifiers Act and the Texas Deceptive Trade Practices-Consumer Protection Act, and seeking statutory damages and injunctive relief. The case is currently scheduled for trial in October 2023. W</w:t>
      </w:r>
      <w:r>
        <w:rPr>
          <w:rFonts w:ascii="Times New Roman" w:eastAsia="宋体" w:hAnsi="Times New Roman"/>
          <w:color w:val="000000"/>
          <w:sz w:val="20"/>
          <w:szCs w:val="20"/>
        </w:rPr>
        <w:t>e believe this lawsuit is without merit, and we are vigorously defending it.</w:t>
      </w:r>
    </w:p>
    <w:p w14:paraId="5CD8E2F9" w14:textId="77777777" w:rsidR="00BA49F5" w:rsidRDefault="007E5E49">
      <w:pPr>
        <w:jc w:val="center"/>
      </w:pPr>
      <w:r>
        <w:rPr>
          <w:rFonts w:ascii="Times New Roman" w:eastAsia="宋体" w:hAnsi="Times New Roman"/>
          <w:color w:val="000000"/>
          <w:sz w:val="20"/>
          <w:szCs w:val="20"/>
        </w:rPr>
        <w:t>50</w:t>
      </w:r>
    </w:p>
    <w:p w14:paraId="5CD8E2FA" w14:textId="77777777" w:rsidR="00BA49F5" w:rsidRDefault="007E5E49">
      <w:r>
        <w:pict w14:anchorId="5CD90CFD">
          <v:rect id="_x0000_i1074" style="width:415.3pt;height:1.5pt" o:hralign="center" o:hrstd="t" o:hr="t" fillcolor="#a0a0a0" stroked="f"/>
        </w:pict>
      </w:r>
    </w:p>
    <w:p w14:paraId="5CD8E2FB" w14:textId="77777777" w:rsidR="00BA49F5" w:rsidRDefault="00BA49F5"/>
    <w:p w14:paraId="5CD8E2FC" w14:textId="77777777" w:rsidR="00BA49F5" w:rsidRDefault="00BA49F5"/>
    <w:p w14:paraId="5CD8E2FD" w14:textId="77777777" w:rsidR="00BA49F5" w:rsidRDefault="007E5E49">
      <w:hyperlink r:id="rId180" w:anchor="i6df229dad1864210ab76200083e26819_7" w:history="1">
        <w:r>
          <w:rPr>
            <w:rStyle w:val="a5"/>
            <w:rFonts w:ascii="Times New Roman" w:eastAsia="宋体" w:hAnsi="Times New Roman"/>
            <w:sz w:val="20"/>
            <w:szCs w:val="20"/>
          </w:rPr>
          <w:t>T</w:t>
        </w:r>
      </w:hyperlink>
      <w:hyperlink r:id="rId181" w:anchor="i6df229dad1864210ab76200083e26819_7" w:history="1">
        <w:r>
          <w:rPr>
            <w:rStyle w:val="a5"/>
            <w:rFonts w:ascii="Times New Roman" w:eastAsia="宋体" w:hAnsi="Times New Roman"/>
            <w:sz w:val="20"/>
            <w:szCs w:val="20"/>
          </w:rPr>
          <w:t>able of Contents</w:t>
        </w:r>
      </w:hyperlink>
    </w:p>
    <w:p w14:paraId="5CD8E2FE" w14:textId="77777777" w:rsidR="00BA49F5" w:rsidRDefault="00BA49F5">
      <w:pPr>
        <w:ind w:firstLine="540"/>
        <w:jc w:val="both"/>
      </w:pPr>
    </w:p>
    <w:p w14:paraId="5CD8E2FF" w14:textId="77777777" w:rsidR="00BA49F5" w:rsidRDefault="007E5E49">
      <w:pPr>
        <w:ind w:firstLine="540"/>
        <w:jc w:val="both"/>
      </w:pPr>
      <w:r>
        <w:rPr>
          <w:rFonts w:ascii="Times New Roman" w:eastAsia="宋体" w:hAnsi="Times New Roman"/>
          <w:color w:val="000000"/>
          <w:sz w:val="20"/>
          <w:szCs w:val="20"/>
        </w:rPr>
        <w:t xml:space="preserve">In addition, we are subject to litigation and other proceedings involving law enforcement and other regulatory agencies, including in particular in Brazil, Russia, and other countries in </w:t>
      </w:r>
      <w:r>
        <w:rPr>
          <w:rFonts w:ascii="Times New Roman" w:eastAsia="宋体" w:hAnsi="Times New Roman"/>
          <w:color w:val="000000"/>
          <w:sz w:val="20"/>
          <w:szCs w:val="20"/>
        </w:rPr>
        <w:t>Europe, in order to ascertain the precise scope of our legal obligations to comply with the requests of those agencies, including our obligation to disclose user information in particular circumstances. A number of such instances have resulted in the asses</w:t>
      </w:r>
      <w:r>
        <w:rPr>
          <w:rFonts w:ascii="Times New Roman" w:eastAsia="宋体" w:hAnsi="Times New Roman"/>
          <w:color w:val="000000"/>
          <w:sz w:val="20"/>
          <w:szCs w:val="20"/>
        </w:rPr>
        <w:t>sment of fines and penalties against us. We believe we have multiple legal grounds to satisfy these requests or prevail against associated fines and penalties, and we intend to vigorously defend such fines and penalties.</w:t>
      </w:r>
    </w:p>
    <w:p w14:paraId="5CD8E300" w14:textId="77777777" w:rsidR="00BA49F5" w:rsidRDefault="00BA49F5">
      <w:pPr>
        <w:ind w:firstLine="540"/>
        <w:jc w:val="both"/>
      </w:pPr>
    </w:p>
    <w:p w14:paraId="5CD8E301" w14:textId="77777777" w:rsidR="00BA49F5" w:rsidRDefault="007E5E49">
      <w:pPr>
        <w:ind w:firstLine="540"/>
        <w:jc w:val="both"/>
      </w:pPr>
      <w:r>
        <w:rPr>
          <w:rFonts w:ascii="Times New Roman" w:eastAsia="宋体" w:hAnsi="Times New Roman"/>
          <w:color w:val="000000"/>
          <w:sz w:val="20"/>
          <w:szCs w:val="20"/>
        </w:rPr>
        <w:t>We are also party to various other</w:t>
      </w:r>
      <w:r>
        <w:rPr>
          <w:rFonts w:ascii="Times New Roman" w:eastAsia="宋体" w:hAnsi="Times New Roman"/>
          <w:color w:val="000000"/>
          <w:sz w:val="20"/>
          <w:szCs w:val="20"/>
        </w:rPr>
        <w:t xml:space="preserve"> legal proceedings, claims, and regulatory, tax or government inquiries and investigations that arise in the ordinary course of business, and we may in the future be subject to additional legal proceedings and disputes.</w:t>
      </w:r>
    </w:p>
    <w:p w14:paraId="5CD8E302" w14:textId="77777777" w:rsidR="00BA49F5" w:rsidRDefault="00BA49F5">
      <w:pPr>
        <w:ind w:firstLine="540"/>
        <w:jc w:val="both"/>
      </w:pPr>
    </w:p>
    <w:p w14:paraId="5CD8E303" w14:textId="77777777" w:rsidR="00BA49F5" w:rsidRDefault="007E5E49">
      <w:pPr>
        <w:ind w:hanging="720"/>
        <w:jc w:val="both"/>
      </w:pPr>
      <w:r>
        <w:rPr>
          <w:rFonts w:ascii="Times New Roman" w:eastAsia="宋体" w:hAnsi="Times New Roman"/>
          <w:b/>
          <w:bCs/>
          <w:color w:val="000000"/>
          <w:sz w:val="20"/>
          <w:szCs w:val="20"/>
        </w:rPr>
        <w:t>Item 4.Mine Safety Disclosures</w:t>
      </w:r>
    </w:p>
    <w:p w14:paraId="5CD8E304" w14:textId="77777777" w:rsidR="00BA49F5" w:rsidRDefault="00BA49F5">
      <w:pPr>
        <w:jc w:val="both"/>
      </w:pPr>
    </w:p>
    <w:p w14:paraId="5CD8E305" w14:textId="77777777" w:rsidR="00BA49F5" w:rsidRDefault="007E5E49">
      <w:pPr>
        <w:ind w:firstLine="540"/>
        <w:jc w:val="both"/>
      </w:pPr>
      <w:r>
        <w:rPr>
          <w:rFonts w:ascii="Times New Roman" w:eastAsia="宋体" w:hAnsi="Times New Roman"/>
          <w:color w:val="000000"/>
          <w:sz w:val="20"/>
          <w:szCs w:val="20"/>
        </w:rPr>
        <w:t>Not</w:t>
      </w:r>
      <w:r>
        <w:rPr>
          <w:rFonts w:ascii="Times New Roman" w:eastAsia="宋体" w:hAnsi="Times New Roman"/>
          <w:color w:val="000000"/>
          <w:sz w:val="20"/>
          <w:szCs w:val="20"/>
        </w:rPr>
        <w:t xml:space="preserve"> applicable.</w:t>
      </w:r>
    </w:p>
    <w:p w14:paraId="5CD8E306" w14:textId="77777777" w:rsidR="00BA49F5" w:rsidRDefault="007E5E49">
      <w:pPr>
        <w:jc w:val="center"/>
      </w:pPr>
      <w:r>
        <w:rPr>
          <w:rFonts w:ascii="Times New Roman" w:eastAsia="宋体" w:hAnsi="Times New Roman"/>
          <w:color w:val="000000"/>
          <w:sz w:val="20"/>
          <w:szCs w:val="20"/>
        </w:rPr>
        <w:t>51</w:t>
      </w:r>
    </w:p>
    <w:p w14:paraId="5CD8E307" w14:textId="77777777" w:rsidR="00BA49F5" w:rsidRDefault="007E5E49">
      <w:r>
        <w:pict w14:anchorId="5CD90CFE">
          <v:rect id="_x0000_i1075" style="width:415.3pt;height:1.5pt" o:hralign="center" o:hrstd="t" o:hr="t" fillcolor="#a0a0a0" stroked="f"/>
        </w:pict>
      </w:r>
    </w:p>
    <w:p w14:paraId="5CD8E308" w14:textId="77777777" w:rsidR="00BA49F5" w:rsidRDefault="00BA49F5"/>
    <w:p w14:paraId="5CD8E309" w14:textId="77777777" w:rsidR="00BA49F5" w:rsidRDefault="00BA49F5"/>
    <w:p w14:paraId="5CD8E30A" w14:textId="77777777" w:rsidR="00BA49F5" w:rsidRDefault="007E5E49">
      <w:hyperlink r:id="rId182" w:anchor="i6df229dad1864210ab76200083e26819_7" w:history="1">
        <w:r>
          <w:rPr>
            <w:rStyle w:val="a5"/>
            <w:rFonts w:ascii="Times New Roman" w:eastAsia="宋体" w:hAnsi="Times New Roman"/>
            <w:sz w:val="20"/>
            <w:szCs w:val="20"/>
          </w:rPr>
          <w:t>T</w:t>
        </w:r>
      </w:hyperlink>
      <w:hyperlink r:id="rId183" w:anchor="i6df229dad1864210ab76200083e26819_7" w:history="1">
        <w:r>
          <w:rPr>
            <w:rStyle w:val="a5"/>
            <w:rFonts w:ascii="Times New Roman" w:eastAsia="宋体" w:hAnsi="Times New Roman"/>
            <w:sz w:val="20"/>
            <w:szCs w:val="20"/>
          </w:rPr>
          <w:t>able of Contents</w:t>
        </w:r>
      </w:hyperlink>
    </w:p>
    <w:p w14:paraId="5CD8E30B" w14:textId="77777777" w:rsidR="00BA49F5" w:rsidRDefault="007E5E49">
      <w:pPr>
        <w:jc w:val="both"/>
      </w:pPr>
      <w:r>
        <w:rPr>
          <w:rFonts w:ascii="Times New Roman" w:eastAsia="宋体" w:hAnsi="Times New Roman"/>
          <w:b/>
          <w:bCs/>
          <w:color w:val="000000"/>
          <w:sz w:val="22"/>
          <w:szCs w:val="22"/>
        </w:rPr>
        <w:t>PART II</w:t>
      </w:r>
    </w:p>
    <w:p w14:paraId="5CD8E30C" w14:textId="77777777" w:rsidR="00BA49F5" w:rsidRDefault="00BA49F5">
      <w:pPr>
        <w:jc w:val="both"/>
      </w:pPr>
    </w:p>
    <w:p w14:paraId="5CD8E30D" w14:textId="77777777" w:rsidR="00BA49F5" w:rsidRDefault="007E5E49">
      <w:pPr>
        <w:ind w:hanging="720"/>
        <w:jc w:val="both"/>
      </w:pPr>
      <w:r>
        <w:rPr>
          <w:rFonts w:ascii="Times New Roman" w:eastAsia="宋体" w:hAnsi="Times New Roman"/>
          <w:b/>
          <w:bCs/>
          <w:color w:val="000000"/>
          <w:sz w:val="20"/>
          <w:szCs w:val="20"/>
        </w:rPr>
        <w:t>Item 5.Market for Registrant's Common Equity, Related Stockholder Matters and Issuer Purchases of Equity Securities</w:t>
      </w:r>
    </w:p>
    <w:p w14:paraId="5CD8E30E" w14:textId="77777777" w:rsidR="00BA49F5" w:rsidRDefault="00BA49F5">
      <w:pPr>
        <w:jc w:val="both"/>
      </w:pPr>
    </w:p>
    <w:p w14:paraId="5CD8E30F" w14:textId="77777777" w:rsidR="00BA49F5" w:rsidRDefault="007E5E49">
      <w:pPr>
        <w:jc w:val="both"/>
      </w:pPr>
      <w:r>
        <w:rPr>
          <w:rFonts w:ascii="Times New Roman" w:eastAsia="宋体" w:hAnsi="Times New Roman"/>
          <w:b/>
          <w:bCs/>
          <w:color w:val="000000"/>
          <w:sz w:val="20"/>
          <w:szCs w:val="20"/>
        </w:rPr>
        <w:t>Market Information for Common Stock</w:t>
      </w:r>
    </w:p>
    <w:p w14:paraId="5CD8E310" w14:textId="77777777" w:rsidR="00BA49F5" w:rsidRDefault="00BA49F5">
      <w:pPr>
        <w:ind w:firstLine="540"/>
        <w:jc w:val="both"/>
      </w:pPr>
    </w:p>
    <w:p w14:paraId="5CD8E311" w14:textId="77777777" w:rsidR="00BA49F5" w:rsidRDefault="007E5E49">
      <w:pPr>
        <w:ind w:firstLine="540"/>
        <w:jc w:val="both"/>
      </w:pPr>
      <w:r>
        <w:rPr>
          <w:rFonts w:ascii="Times New Roman" w:eastAsia="宋体" w:hAnsi="Times New Roman"/>
          <w:color w:val="000000"/>
          <w:sz w:val="20"/>
          <w:szCs w:val="20"/>
        </w:rPr>
        <w:t xml:space="preserve">On </w:t>
      </w:r>
      <w:r>
        <w:rPr>
          <w:rFonts w:ascii="Times New Roman" w:eastAsia="宋体" w:hAnsi="Times New Roman"/>
          <w:color w:val="000000"/>
          <w:sz w:val="20"/>
          <w:szCs w:val="20"/>
        </w:rPr>
        <w:t>June 9, 2022, Meta's Class A common stock began trading on the Nasdaq Global Select Market under the ticker symbol 'META'. This replaced the ticker symbol 'FB,' which had been used since the company's initial public offering in 2012. Prior to that time, th</w:t>
      </w:r>
      <w:r>
        <w:rPr>
          <w:rFonts w:ascii="Times New Roman" w:eastAsia="宋体" w:hAnsi="Times New Roman"/>
          <w:color w:val="000000"/>
          <w:sz w:val="20"/>
          <w:szCs w:val="20"/>
        </w:rPr>
        <w:t>ere was no public market for our stock.</w:t>
      </w:r>
    </w:p>
    <w:p w14:paraId="5CD8E312" w14:textId="77777777" w:rsidR="00BA49F5" w:rsidRDefault="00BA49F5">
      <w:pPr>
        <w:ind w:firstLine="540"/>
        <w:jc w:val="both"/>
      </w:pPr>
    </w:p>
    <w:p w14:paraId="5CD8E313" w14:textId="77777777" w:rsidR="00BA49F5" w:rsidRDefault="007E5E49">
      <w:pPr>
        <w:ind w:firstLine="540"/>
        <w:jc w:val="both"/>
      </w:pPr>
      <w:r>
        <w:rPr>
          <w:rFonts w:ascii="Times New Roman" w:eastAsia="宋体" w:hAnsi="Times New Roman"/>
          <w:color w:val="000000"/>
          <w:sz w:val="20"/>
          <w:szCs w:val="20"/>
        </w:rPr>
        <w:t>Our Class B common stock is not listed on any stock exchange nor traded on any public market.</w:t>
      </w:r>
    </w:p>
    <w:p w14:paraId="5CD8E314" w14:textId="77777777" w:rsidR="00BA49F5" w:rsidRDefault="00BA49F5">
      <w:pPr>
        <w:jc w:val="both"/>
      </w:pPr>
    </w:p>
    <w:p w14:paraId="5CD8E315" w14:textId="77777777" w:rsidR="00BA49F5" w:rsidRDefault="007E5E49">
      <w:pPr>
        <w:jc w:val="both"/>
      </w:pPr>
      <w:r>
        <w:rPr>
          <w:rFonts w:ascii="Times New Roman" w:eastAsia="宋体" w:hAnsi="Times New Roman"/>
          <w:b/>
          <w:bCs/>
          <w:color w:val="000000"/>
          <w:sz w:val="20"/>
          <w:szCs w:val="20"/>
        </w:rPr>
        <w:t>Holders of Record</w:t>
      </w:r>
    </w:p>
    <w:p w14:paraId="5CD8E316" w14:textId="77777777" w:rsidR="00BA49F5" w:rsidRDefault="00BA49F5">
      <w:pPr>
        <w:ind w:firstLine="540"/>
        <w:jc w:val="both"/>
      </w:pPr>
    </w:p>
    <w:p w14:paraId="5CD8E317" w14:textId="77777777" w:rsidR="00BA49F5" w:rsidRDefault="007E5E49">
      <w:pPr>
        <w:ind w:firstLine="540"/>
        <w:jc w:val="both"/>
      </w:pPr>
      <w:r>
        <w:rPr>
          <w:rFonts w:ascii="Times New Roman" w:eastAsia="宋体" w:hAnsi="Times New Roman"/>
          <w:color w:val="000000"/>
          <w:sz w:val="20"/>
          <w:szCs w:val="20"/>
        </w:rPr>
        <w:t xml:space="preserve">As of December 31, 2022, there were 3,204 stockholders of record of our Class A common stock, and </w:t>
      </w:r>
      <w:r>
        <w:rPr>
          <w:rFonts w:ascii="Times New Roman" w:eastAsia="宋体" w:hAnsi="Times New Roman"/>
          <w:color w:val="000000"/>
          <w:sz w:val="20"/>
          <w:szCs w:val="20"/>
        </w:rPr>
        <w:t>the closing price of our Class A common stock was $120.34 per share as reported on the Nasdaq Global Select Market. Because many of our shares of Class A common stock are held by brokers and other institutions on behalf of stockholders, we are unable to es</w:t>
      </w:r>
      <w:r>
        <w:rPr>
          <w:rFonts w:ascii="Times New Roman" w:eastAsia="宋体" w:hAnsi="Times New Roman"/>
          <w:color w:val="000000"/>
          <w:sz w:val="20"/>
          <w:szCs w:val="20"/>
        </w:rPr>
        <w:t>timate the total number of stockholders represented by these record holders. As of December 31, 2022, there were 27 stockholders of record of our Class B common stock.</w:t>
      </w:r>
    </w:p>
    <w:p w14:paraId="5CD8E318" w14:textId="77777777" w:rsidR="00BA49F5" w:rsidRDefault="00BA49F5">
      <w:pPr>
        <w:jc w:val="both"/>
      </w:pPr>
    </w:p>
    <w:p w14:paraId="5CD8E319" w14:textId="77777777" w:rsidR="00BA49F5" w:rsidRDefault="007E5E49">
      <w:pPr>
        <w:jc w:val="both"/>
      </w:pPr>
      <w:r>
        <w:rPr>
          <w:rFonts w:ascii="Times New Roman" w:eastAsia="宋体" w:hAnsi="Times New Roman"/>
          <w:b/>
          <w:bCs/>
          <w:color w:val="000000"/>
          <w:sz w:val="20"/>
          <w:szCs w:val="20"/>
        </w:rPr>
        <w:t>Dividend Policy</w:t>
      </w:r>
    </w:p>
    <w:p w14:paraId="5CD8E31A" w14:textId="77777777" w:rsidR="00BA49F5" w:rsidRDefault="00BA49F5">
      <w:pPr>
        <w:ind w:firstLine="540"/>
        <w:jc w:val="both"/>
      </w:pPr>
    </w:p>
    <w:p w14:paraId="5CD8E31B" w14:textId="77777777" w:rsidR="00BA49F5" w:rsidRDefault="007E5E49">
      <w:pPr>
        <w:ind w:firstLine="540"/>
        <w:jc w:val="both"/>
      </w:pPr>
      <w:r>
        <w:rPr>
          <w:rFonts w:ascii="Times New Roman" w:eastAsia="宋体" w:hAnsi="Times New Roman"/>
          <w:color w:val="000000"/>
          <w:sz w:val="20"/>
          <w:szCs w:val="20"/>
        </w:rPr>
        <w:t xml:space="preserve">We have never declared or paid any cash dividend on our common stock. </w:t>
      </w:r>
      <w:r>
        <w:rPr>
          <w:rFonts w:ascii="Times New Roman" w:eastAsia="宋体" w:hAnsi="Times New Roman"/>
          <w:color w:val="000000"/>
          <w:sz w:val="20"/>
          <w:szCs w:val="20"/>
        </w:rPr>
        <w:t xml:space="preserve">We intend to retain any future earnings to finance the operation and expansion of our business and fund our share repurchase program, and we do not expect to pay cash dividends in the foreseeable future. </w:t>
      </w:r>
    </w:p>
    <w:p w14:paraId="5CD8E31C" w14:textId="77777777" w:rsidR="00BA49F5" w:rsidRDefault="00BA49F5"/>
    <w:p w14:paraId="5CD8E31D" w14:textId="77777777" w:rsidR="00BA49F5" w:rsidRDefault="007E5E49">
      <w:r>
        <w:rPr>
          <w:rFonts w:ascii="Times New Roman" w:eastAsia="宋体" w:hAnsi="Times New Roman"/>
          <w:b/>
          <w:bCs/>
          <w:color w:val="000000"/>
          <w:sz w:val="20"/>
          <w:szCs w:val="20"/>
        </w:rPr>
        <w:t>Purchases of Equity Securities by the Issuer and A</w:t>
      </w:r>
      <w:r>
        <w:rPr>
          <w:rFonts w:ascii="Times New Roman" w:eastAsia="宋体" w:hAnsi="Times New Roman"/>
          <w:b/>
          <w:bCs/>
          <w:color w:val="000000"/>
          <w:sz w:val="20"/>
          <w:szCs w:val="20"/>
        </w:rPr>
        <w:t>ffiliated Purchasers</w:t>
      </w:r>
    </w:p>
    <w:p w14:paraId="5CD8E31E" w14:textId="77777777" w:rsidR="00BA49F5" w:rsidRDefault="00BA49F5"/>
    <w:p w14:paraId="5CD8E31F" w14:textId="77777777" w:rsidR="00BA49F5" w:rsidRDefault="007E5E49">
      <w:pPr>
        <w:ind w:firstLine="540"/>
      </w:pPr>
      <w:r>
        <w:rPr>
          <w:rFonts w:ascii="Times New Roman" w:eastAsia="宋体" w:hAnsi="Times New Roman"/>
          <w:color w:val="000000"/>
          <w:sz w:val="20"/>
          <w:szCs w:val="20"/>
        </w:rPr>
        <w:t>The following table summarizes the share repurchase activity for the three months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48"/>
        <w:gridCol w:w="2467"/>
        <w:gridCol w:w="37"/>
        <w:gridCol w:w="49"/>
        <w:gridCol w:w="1201"/>
        <w:gridCol w:w="36"/>
        <w:gridCol w:w="36"/>
        <w:gridCol w:w="36"/>
        <w:gridCol w:w="36"/>
        <w:gridCol w:w="120"/>
        <w:gridCol w:w="1040"/>
        <w:gridCol w:w="36"/>
        <w:gridCol w:w="36"/>
        <w:gridCol w:w="36"/>
        <w:gridCol w:w="36"/>
        <w:gridCol w:w="47"/>
        <w:gridCol w:w="1313"/>
        <w:gridCol w:w="36"/>
        <w:gridCol w:w="36"/>
        <w:gridCol w:w="36"/>
        <w:gridCol w:w="36"/>
        <w:gridCol w:w="121"/>
        <w:gridCol w:w="1425"/>
        <w:gridCol w:w="36"/>
      </w:tblGrid>
      <w:tr w:rsidR="00BA49F5" w14:paraId="5CD8E338" w14:textId="77777777">
        <w:tc>
          <w:tcPr>
            <w:tcW w:w="50" w:type="pct"/>
            <w:shd w:val="clear" w:color="auto" w:fill="auto"/>
            <w:vAlign w:val="bottom"/>
          </w:tcPr>
          <w:p w14:paraId="5CD8E320" w14:textId="77777777" w:rsidR="00BA49F5" w:rsidRDefault="00BA49F5">
            <w:pPr>
              <w:rPr>
                <w:rFonts w:ascii="宋体"/>
              </w:rPr>
            </w:pPr>
          </w:p>
        </w:tc>
        <w:tc>
          <w:tcPr>
            <w:tcW w:w="1500" w:type="pct"/>
            <w:shd w:val="clear" w:color="auto" w:fill="auto"/>
            <w:vAlign w:val="bottom"/>
          </w:tcPr>
          <w:p w14:paraId="5CD8E321" w14:textId="77777777" w:rsidR="00BA49F5" w:rsidRDefault="00BA49F5">
            <w:pPr>
              <w:rPr>
                <w:rFonts w:ascii="宋体"/>
              </w:rPr>
            </w:pPr>
          </w:p>
        </w:tc>
        <w:tc>
          <w:tcPr>
            <w:tcW w:w="5" w:type="pct"/>
            <w:shd w:val="clear" w:color="auto" w:fill="auto"/>
            <w:vAlign w:val="bottom"/>
          </w:tcPr>
          <w:p w14:paraId="5CD8E322" w14:textId="77777777" w:rsidR="00BA49F5" w:rsidRDefault="00BA49F5">
            <w:pPr>
              <w:rPr>
                <w:rFonts w:ascii="宋体"/>
              </w:rPr>
            </w:pPr>
          </w:p>
        </w:tc>
        <w:tc>
          <w:tcPr>
            <w:tcW w:w="50" w:type="pct"/>
            <w:shd w:val="clear" w:color="auto" w:fill="auto"/>
            <w:vAlign w:val="bottom"/>
          </w:tcPr>
          <w:p w14:paraId="5CD8E323" w14:textId="77777777" w:rsidR="00BA49F5" w:rsidRDefault="00BA49F5">
            <w:pPr>
              <w:rPr>
                <w:rFonts w:ascii="宋体"/>
              </w:rPr>
            </w:pPr>
          </w:p>
        </w:tc>
        <w:tc>
          <w:tcPr>
            <w:tcW w:w="741" w:type="pct"/>
            <w:shd w:val="clear" w:color="auto" w:fill="auto"/>
            <w:vAlign w:val="bottom"/>
          </w:tcPr>
          <w:p w14:paraId="5CD8E324" w14:textId="77777777" w:rsidR="00BA49F5" w:rsidRDefault="00BA49F5">
            <w:pPr>
              <w:rPr>
                <w:rFonts w:ascii="宋体"/>
              </w:rPr>
            </w:pPr>
          </w:p>
        </w:tc>
        <w:tc>
          <w:tcPr>
            <w:tcW w:w="5" w:type="pct"/>
            <w:shd w:val="clear" w:color="auto" w:fill="auto"/>
            <w:vAlign w:val="bottom"/>
          </w:tcPr>
          <w:p w14:paraId="5CD8E325" w14:textId="77777777" w:rsidR="00BA49F5" w:rsidRDefault="00BA49F5">
            <w:pPr>
              <w:rPr>
                <w:rFonts w:ascii="宋体"/>
              </w:rPr>
            </w:pPr>
          </w:p>
        </w:tc>
        <w:tc>
          <w:tcPr>
            <w:tcW w:w="5" w:type="pct"/>
            <w:shd w:val="clear" w:color="auto" w:fill="auto"/>
            <w:vAlign w:val="bottom"/>
          </w:tcPr>
          <w:p w14:paraId="5CD8E326" w14:textId="77777777" w:rsidR="00BA49F5" w:rsidRDefault="00BA49F5">
            <w:pPr>
              <w:rPr>
                <w:rFonts w:ascii="宋体"/>
              </w:rPr>
            </w:pPr>
          </w:p>
        </w:tc>
        <w:tc>
          <w:tcPr>
            <w:tcW w:w="27" w:type="pct"/>
            <w:shd w:val="clear" w:color="auto" w:fill="auto"/>
            <w:vAlign w:val="bottom"/>
          </w:tcPr>
          <w:p w14:paraId="5CD8E327" w14:textId="77777777" w:rsidR="00BA49F5" w:rsidRDefault="00BA49F5">
            <w:pPr>
              <w:rPr>
                <w:rFonts w:ascii="宋体"/>
              </w:rPr>
            </w:pPr>
          </w:p>
        </w:tc>
        <w:tc>
          <w:tcPr>
            <w:tcW w:w="5" w:type="pct"/>
            <w:shd w:val="clear" w:color="auto" w:fill="auto"/>
            <w:vAlign w:val="bottom"/>
          </w:tcPr>
          <w:p w14:paraId="5CD8E328" w14:textId="77777777" w:rsidR="00BA49F5" w:rsidRDefault="00BA49F5">
            <w:pPr>
              <w:rPr>
                <w:rFonts w:ascii="宋体"/>
              </w:rPr>
            </w:pPr>
          </w:p>
        </w:tc>
        <w:tc>
          <w:tcPr>
            <w:tcW w:w="50" w:type="pct"/>
            <w:shd w:val="clear" w:color="auto" w:fill="auto"/>
            <w:vAlign w:val="bottom"/>
          </w:tcPr>
          <w:p w14:paraId="5CD8E329" w14:textId="77777777" w:rsidR="00BA49F5" w:rsidRDefault="00BA49F5">
            <w:pPr>
              <w:rPr>
                <w:rFonts w:ascii="宋体"/>
              </w:rPr>
            </w:pPr>
          </w:p>
        </w:tc>
        <w:tc>
          <w:tcPr>
            <w:tcW w:w="659" w:type="pct"/>
            <w:shd w:val="clear" w:color="auto" w:fill="auto"/>
            <w:vAlign w:val="bottom"/>
          </w:tcPr>
          <w:p w14:paraId="5CD8E32A" w14:textId="77777777" w:rsidR="00BA49F5" w:rsidRDefault="00BA49F5">
            <w:pPr>
              <w:rPr>
                <w:rFonts w:ascii="宋体"/>
              </w:rPr>
            </w:pPr>
          </w:p>
        </w:tc>
        <w:tc>
          <w:tcPr>
            <w:tcW w:w="5" w:type="pct"/>
            <w:shd w:val="clear" w:color="auto" w:fill="auto"/>
            <w:vAlign w:val="bottom"/>
          </w:tcPr>
          <w:p w14:paraId="5CD8E32B" w14:textId="77777777" w:rsidR="00BA49F5" w:rsidRDefault="00BA49F5">
            <w:pPr>
              <w:rPr>
                <w:rFonts w:ascii="宋体"/>
              </w:rPr>
            </w:pPr>
          </w:p>
        </w:tc>
        <w:tc>
          <w:tcPr>
            <w:tcW w:w="5" w:type="pct"/>
            <w:shd w:val="clear" w:color="auto" w:fill="auto"/>
            <w:vAlign w:val="bottom"/>
          </w:tcPr>
          <w:p w14:paraId="5CD8E32C" w14:textId="77777777" w:rsidR="00BA49F5" w:rsidRDefault="00BA49F5">
            <w:pPr>
              <w:rPr>
                <w:rFonts w:ascii="宋体"/>
              </w:rPr>
            </w:pPr>
          </w:p>
        </w:tc>
        <w:tc>
          <w:tcPr>
            <w:tcW w:w="27" w:type="pct"/>
            <w:shd w:val="clear" w:color="auto" w:fill="auto"/>
            <w:vAlign w:val="bottom"/>
          </w:tcPr>
          <w:p w14:paraId="5CD8E32D" w14:textId="77777777" w:rsidR="00BA49F5" w:rsidRDefault="00BA49F5">
            <w:pPr>
              <w:rPr>
                <w:rFonts w:ascii="宋体"/>
              </w:rPr>
            </w:pPr>
          </w:p>
        </w:tc>
        <w:tc>
          <w:tcPr>
            <w:tcW w:w="5" w:type="pct"/>
            <w:shd w:val="clear" w:color="auto" w:fill="auto"/>
            <w:vAlign w:val="bottom"/>
          </w:tcPr>
          <w:p w14:paraId="5CD8E32E" w14:textId="77777777" w:rsidR="00BA49F5" w:rsidRDefault="00BA49F5">
            <w:pPr>
              <w:rPr>
                <w:rFonts w:ascii="宋体"/>
              </w:rPr>
            </w:pPr>
          </w:p>
        </w:tc>
        <w:tc>
          <w:tcPr>
            <w:tcW w:w="50" w:type="pct"/>
            <w:shd w:val="clear" w:color="auto" w:fill="auto"/>
            <w:vAlign w:val="bottom"/>
          </w:tcPr>
          <w:p w14:paraId="5CD8E32F" w14:textId="77777777" w:rsidR="00BA49F5" w:rsidRDefault="00BA49F5">
            <w:pPr>
              <w:rPr>
                <w:rFonts w:ascii="宋体"/>
              </w:rPr>
            </w:pPr>
          </w:p>
        </w:tc>
        <w:tc>
          <w:tcPr>
            <w:tcW w:w="822" w:type="pct"/>
            <w:shd w:val="clear" w:color="auto" w:fill="auto"/>
            <w:vAlign w:val="bottom"/>
          </w:tcPr>
          <w:p w14:paraId="5CD8E330" w14:textId="77777777" w:rsidR="00BA49F5" w:rsidRDefault="00BA49F5">
            <w:pPr>
              <w:rPr>
                <w:rFonts w:ascii="宋体"/>
              </w:rPr>
            </w:pPr>
          </w:p>
        </w:tc>
        <w:tc>
          <w:tcPr>
            <w:tcW w:w="5" w:type="pct"/>
            <w:shd w:val="clear" w:color="auto" w:fill="auto"/>
            <w:vAlign w:val="bottom"/>
          </w:tcPr>
          <w:p w14:paraId="5CD8E331" w14:textId="77777777" w:rsidR="00BA49F5" w:rsidRDefault="00BA49F5">
            <w:pPr>
              <w:rPr>
                <w:rFonts w:ascii="宋体"/>
              </w:rPr>
            </w:pPr>
          </w:p>
        </w:tc>
        <w:tc>
          <w:tcPr>
            <w:tcW w:w="5" w:type="pct"/>
            <w:shd w:val="clear" w:color="auto" w:fill="auto"/>
            <w:vAlign w:val="bottom"/>
          </w:tcPr>
          <w:p w14:paraId="5CD8E332" w14:textId="77777777" w:rsidR="00BA49F5" w:rsidRDefault="00BA49F5">
            <w:pPr>
              <w:rPr>
                <w:rFonts w:ascii="宋体"/>
              </w:rPr>
            </w:pPr>
          </w:p>
        </w:tc>
        <w:tc>
          <w:tcPr>
            <w:tcW w:w="27" w:type="pct"/>
            <w:shd w:val="clear" w:color="auto" w:fill="auto"/>
            <w:vAlign w:val="bottom"/>
          </w:tcPr>
          <w:p w14:paraId="5CD8E333" w14:textId="77777777" w:rsidR="00BA49F5" w:rsidRDefault="00BA49F5">
            <w:pPr>
              <w:rPr>
                <w:rFonts w:ascii="宋体"/>
              </w:rPr>
            </w:pPr>
          </w:p>
        </w:tc>
        <w:tc>
          <w:tcPr>
            <w:tcW w:w="5" w:type="pct"/>
            <w:shd w:val="clear" w:color="auto" w:fill="auto"/>
            <w:vAlign w:val="bottom"/>
          </w:tcPr>
          <w:p w14:paraId="5CD8E334" w14:textId="77777777" w:rsidR="00BA49F5" w:rsidRDefault="00BA49F5">
            <w:pPr>
              <w:rPr>
                <w:rFonts w:ascii="宋体"/>
              </w:rPr>
            </w:pPr>
          </w:p>
        </w:tc>
        <w:tc>
          <w:tcPr>
            <w:tcW w:w="50" w:type="pct"/>
            <w:shd w:val="clear" w:color="auto" w:fill="auto"/>
            <w:vAlign w:val="bottom"/>
          </w:tcPr>
          <w:p w14:paraId="5CD8E335" w14:textId="77777777" w:rsidR="00BA49F5" w:rsidRDefault="00BA49F5">
            <w:pPr>
              <w:rPr>
                <w:rFonts w:ascii="宋体"/>
              </w:rPr>
            </w:pPr>
          </w:p>
        </w:tc>
        <w:tc>
          <w:tcPr>
            <w:tcW w:w="890" w:type="pct"/>
            <w:shd w:val="clear" w:color="auto" w:fill="auto"/>
            <w:vAlign w:val="bottom"/>
          </w:tcPr>
          <w:p w14:paraId="5CD8E336" w14:textId="77777777" w:rsidR="00BA49F5" w:rsidRDefault="00BA49F5">
            <w:pPr>
              <w:rPr>
                <w:rFonts w:ascii="宋体"/>
              </w:rPr>
            </w:pPr>
          </w:p>
        </w:tc>
        <w:tc>
          <w:tcPr>
            <w:tcW w:w="5" w:type="pct"/>
            <w:shd w:val="clear" w:color="auto" w:fill="auto"/>
            <w:vAlign w:val="bottom"/>
          </w:tcPr>
          <w:p w14:paraId="5CD8E337" w14:textId="77777777" w:rsidR="00BA49F5" w:rsidRDefault="00BA49F5">
            <w:pPr>
              <w:rPr>
                <w:rFonts w:ascii="宋体"/>
              </w:rPr>
            </w:pPr>
          </w:p>
        </w:tc>
      </w:tr>
      <w:tr w:rsidR="00BA49F5" w14:paraId="5CD8E341" w14:textId="77777777">
        <w:tc>
          <w:tcPr>
            <w:tcW w:w="0" w:type="auto"/>
            <w:gridSpan w:val="3"/>
            <w:shd w:val="clear" w:color="auto" w:fill="auto"/>
            <w:tcMar>
              <w:top w:w="0" w:type="dxa"/>
              <w:left w:w="20" w:type="dxa"/>
              <w:bottom w:w="0" w:type="dxa"/>
              <w:right w:w="20" w:type="dxa"/>
            </w:tcMar>
            <w:vAlign w:val="bottom"/>
          </w:tcPr>
          <w:p w14:paraId="5CD8E33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33A" w14:textId="77777777" w:rsidR="00BA49F5" w:rsidRDefault="007E5E49">
            <w:pPr>
              <w:jc w:val="center"/>
              <w:textAlignment w:val="bottom"/>
            </w:pPr>
            <w:r>
              <w:rPr>
                <w:rFonts w:ascii="Times New Roman" w:eastAsia="宋体" w:hAnsi="Times New Roman"/>
                <w:b/>
                <w:bCs/>
                <w:color w:val="000000"/>
                <w:sz w:val="16"/>
                <w:szCs w:val="16"/>
              </w:rPr>
              <w:t xml:space="preserve">Total Number of Shares Purchased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5CD8E33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33C" w14:textId="77777777" w:rsidR="00BA49F5" w:rsidRDefault="007E5E49">
            <w:pPr>
              <w:jc w:val="center"/>
              <w:textAlignment w:val="bottom"/>
            </w:pPr>
            <w:r>
              <w:rPr>
                <w:rFonts w:ascii="Times New Roman" w:eastAsia="宋体" w:hAnsi="Times New Roman"/>
                <w:b/>
                <w:bCs/>
                <w:color w:val="000000"/>
                <w:sz w:val="16"/>
                <w:szCs w:val="16"/>
              </w:rPr>
              <w:t xml:space="preserve">Average Price Paid Per Share </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5CD8E33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33E" w14:textId="77777777" w:rsidR="00BA49F5" w:rsidRDefault="007E5E49">
            <w:pPr>
              <w:jc w:val="center"/>
              <w:textAlignment w:val="bottom"/>
            </w:pPr>
            <w:r>
              <w:rPr>
                <w:rFonts w:ascii="Times New Roman" w:eastAsia="宋体" w:hAnsi="Times New Roman"/>
                <w:b/>
                <w:bCs/>
                <w:color w:val="000000"/>
                <w:sz w:val="16"/>
                <w:szCs w:val="16"/>
              </w:rPr>
              <w:t xml:space="preserve">Total Number of Shares Purchased as Part of Publicly Announced Programs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5CD8E33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340" w14:textId="77777777" w:rsidR="00BA49F5" w:rsidRDefault="007E5E49">
            <w:pPr>
              <w:jc w:val="center"/>
              <w:textAlignment w:val="bottom"/>
            </w:pPr>
            <w:r>
              <w:rPr>
                <w:rFonts w:ascii="Times New Roman" w:eastAsia="宋体" w:hAnsi="Times New Roman"/>
                <w:b/>
                <w:bCs/>
                <w:color w:val="000000"/>
                <w:sz w:val="16"/>
                <w:szCs w:val="16"/>
              </w:rPr>
              <w:t>Approximate Dollar Value of Shares that May Yet Be Purchased Under the Plans o</w:t>
            </w:r>
            <w:r>
              <w:rPr>
                <w:rFonts w:ascii="Times New Roman" w:eastAsia="宋体" w:hAnsi="Times New Roman"/>
                <w:b/>
                <w:bCs/>
                <w:color w:val="000000"/>
                <w:sz w:val="16"/>
                <w:szCs w:val="16"/>
              </w:rPr>
              <w:t xml:space="preserve">r Programs </w:t>
            </w:r>
            <w:r>
              <w:rPr>
                <w:rFonts w:ascii="Times New Roman" w:eastAsia="宋体" w:hAnsi="Times New Roman"/>
                <w:b/>
                <w:bCs/>
                <w:color w:val="000000"/>
                <w:sz w:val="10"/>
                <w:szCs w:val="10"/>
              </w:rPr>
              <w:t>(1)</w:t>
            </w:r>
          </w:p>
        </w:tc>
      </w:tr>
      <w:tr w:rsidR="00BA49F5" w14:paraId="5CD8E34A" w14:textId="77777777">
        <w:tc>
          <w:tcPr>
            <w:tcW w:w="0" w:type="auto"/>
            <w:gridSpan w:val="3"/>
            <w:shd w:val="clear" w:color="auto" w:fill="FFFFFF"/>
            <w:tcMar>
              <w:top w:w="0" w:type="dxa"/>
              <w:left w:w="20" w:type="dxa"/>
              <w:bottom w:w="0" w:type="dxa"/>
              <w:right w:w="20" w:type="dxa"/>
            </w:tcMar>
            <w:vAlign w:val="bottom"/>
          </w:tcPr>
          <w:p w14:paraId="5CD8E342"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5CD8E343" w14:textId="77777777" w:rsidR="00BA49F5" w:rsidRDefault="007E5E49">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5CD8E344"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34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346"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5CD8E347" w14:textId="77777777" w:rsidR="00BA49F5" w:rsidRDefault="007E5E49">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5CD8E348"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5CD8E349" w14:textId="77777777" w:rsidR="00BA49F5" w:rsidRDefault="007E5E49">
            <w:pPr>
              <w:jc w:val="center"/>
              <w:textAlignment w:val="top"/>
            </w:pPr>
            <w:r>
              <w:rPr>
                <w:rFonts w:ascii="Times New Roman" w:eastAsia="宋体" w:hAnsi="Times New Roman"/>
                <w:b/>
                <w:bCs/>
                <w:color w:val="000000"/>
                <w:sz w:val="16"/>
                <w:szCs w:val="16"/>
              </w:rPr>
              <w:t>(in millions)</w:t>
            </w:r>
          </w:p>
        </w:tc>
      </w:tr>
      <w:tr w:rsidR="00BA49F5" w14:paraId="5CD8E359" w14:textId="77777777">
        <w:tc>
          <w:tcPr>
            <w:tcW w:w="0" w:type="auto"/>
            <w:gridSpan w:val="3"/>
            <w:shd w:val="clear" w:color="auto" w:fill="CCEEFF"/>
            <w:tcMar>
              <w:top w:w="40" w:type="dxa"/>
              <w:left w:w="20" w:type="dxa"/>
              <w:bottom w:w="40" w:type="dxa"/>
              <w:right w:w="20" w:type="dxa"/>
            </w:tcMar>
            <w:vAlign w:val="bottom"/>
          </w:tcPr>
          <w:p w14:paraId="5CD8E34B" w14:textId="77777777" w:rsidR="00BA49F5" w:rsidRDefault="007E5E49">
            <w:pPr>
              <w:textAlignment w:val="bottom"/>
            </w:pPr>
            <w:r>
              <w:rPr>
                <w:rFonts w:ascii="Times New Roman" w:eastAsia="宋体" w:hAnsi="Times New Roman"/>
                <w:color w:val="000000"/>
                <w:sz w:val="20"/>
                <w:szCs w:val="20"/>
              </w:rPr>
              <w:t>October 1 - 31, 2022</w:t>
            </w:r>
          </w:p>
        </w:tc>
        <w:tc>
          <w:tcPr>
            <w:tcW w:w="0" w:type="auto"/>
            <w:gridSpan w:val="2"/>
            <w:shd w:val="clear" w:color="auto" w:fill="CCEEFF"/>
            <w:tcMar>
              <w:top w:w="40" w:type="dxa"/>
              <w:left w:w="20" w:type="dxa"/>
              <w:bottom w:w="40" w:type="dxa"/>
              <w:right w:w="0" w:type="dxa"/>
            </w:tcMar>
            <w:vAlign w:val="bottom"/>
          </w:tcPr>
          <w:p w14:paraId="5CD8E34C" w14:textId="77777777" w:rsidR="00BA49F5" w:rsidRDefault="007E5E49">
            <w:pPr>
              <w:jc w:val="right"/>
              <w:textAlignment w:val="bottom"/>
            </w:pPr>
            <w:r>
              <w:rPr>
                <w:rFonts w:ascii="Times New Roman" w:eastAsia="宋体" w:hAnsi="Times New Roman"/>
                <w:color w:val="000000"/>
                <w:sz w:val="20"/>
                <w:szCs w:val="20"/>
              </w:rPr>
              <w:t>20,180 </w:t>
            </w:r>
          </w:p>
        </w:tc>
        <w:tc>
          <w:tcPr>
            <w:tcW w:w="0" w:type="auto"/>
            <w:shd w:val="clear" w:color="auto" w:fill="CCEEFF"/>
            <w:tcMar>
              <w:top w:w="40" w:type="dxa"/>
              <w:left w:w="0" w:type="dxa"/>
              <w:bottom w:w="40" w:type="dxa"/>
              <w:right w:w="20" w:type="dxa"/>
            </w:tcMar>
            <w:vAlign w:val="bottom"/>
          </w:tcPr>
          <w:p w14:paraId="5CD8E34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4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34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350" w14:textId="77777777" w:rsidR="00BA49F5" w:rsidRDefault="007E5E49">
            <w:pPr>
              <w:jc w:val="right"/>
              <w:textAlignment w:val="bottom"/>
            </w:pPr>
            <w:r>
              <w:rPr>
                <w:rFonts w:ascii="Times New Roman" w:eastAsia="宋体" w:hAnsi="Times New Roman"/>
                <w:color w:val="000000"/>
                <w:sz w:val="20"/>
                <w:szCs w:val="20"/>
              </w:rPr>
              <w:t>126.03 </w:t>
            </w:r>
          </w:p>
        </w:tc>
        <w:tc>
          <w:tcPr>
            <w:tcW w:w="0" w:type="auto"/>
            <w:shd w:val="clear" w:color="auto" w:fill="CCEEFF"/>
            <w:tcMar>
              <w:top w:w="40" w:type="dxa"/>
              <w:left w:w="0" w:type="dxa"/>
              <w:bottom w:w="40" w:type="dxa"/>
              <w:right w:w="20" w:type="dxa"/>
            </w:tcMar>
            <w:vAlign w:val="bottom"/>
          </w:tcPr>
          <w:p w14:paraId="5CD8E35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5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353" w14:textId="77777777" w:rsidR="00BA49F5" w:rsidRDefault="007E5E49">
            <w:pPr>
              <w:jc w:val="right"/>
              <w:textAlignment w:val="bottom"/>
            </w:pPr>
            <w:r>
              <w:rPr>
                <w:rFonts w:ascii="Times New Roman" w:eastAsia="宋体" w:hAnsi="Times New Roman"/>
                <w:color w:val="000000"/>
                <w:sz w:val="20"/>
                <w:szCs w:val="20"/>
              </w:rPr>
              <w:t>20,180 </w:t>
            </w:r>
          </w:p>
        </w:tc>
        <w:tc>
          <w:tcPr>
            <w:tcW w:w="0" w:type="auto"/>
            <w:shd w:val="clear" w:color="auto" w:fill="CCEEFF"/>
            <w:tcMar>
              <w:top w:w="40" w:type="dxa"/>
              <w:left w:w="0" w:type="dxa"/>
              <w:bottom w:w="40" w:type="dxa"/>
              <w:right w:w="20" w:type="dxa"/>
            </w:tcMar>
            <w:vAlign w:val="bottom"/>
          </w:tcPr>
          <w:p w14:paraId="5CD8E35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55"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35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357" w14:textId="77777777" w:rsidR="00BA49F5" w:rsidRDefault="007E5E49">
            <w:pPr>
              <w:jc w:val="right"/>
              <w:textAlignment w:val="bottom"/>
            </w:pPr>
            <w:r>
              <w:rPr>
                <w:rFonts w:ascii="Times New Roman" w:eastAsia="宋体" w:hAnsi="Times New Roman"/>
                <w:color w:val="000000"/>
                <w:sz w:val="20"/>
                <w:szCs w:val="20"/>
              </w:rPr>
              <w:t>15,232 </w:t>
            </w:r>
          </w:p>
        </w:tc>
        <w:tc>
          <w:tcPr>
            <w:tcW w:w="0" w:type="auto"/>
            <w:shd w:val="clear" w:color="auto" w:fill="CCEEFF"/>
            <w:tcMar>
              <w:top w:w="40" w:type="dxa"/>
              <w:left w:w="0" w:type="dxa"/>
              <w:bottom w:w="40" w:type="dxa"/>
              <w:right w:w="20" w:type="dxa"/>
            </w:tcMar>
            <w:vAlign w:val="bottom"/>
          </w:tcPr>
          <w:p w14:paraId="5CD8E358" w14:textId="77777777" w:rsidR="00BA49F5" w:rsidRDefault="00BA49F5">
            <w:pPr>
              <w:jc w:val="right"/>
              <w:rPr>
                <w:rFonts w:ascii="宋体"/>
              </w:rPr>
            </w:pPr>
          </w:p>
        </w:tc>
      </w:tr>
      <w:tr w:rsidR="00BA49F5" w14:paraId="5CD8E368" w14:textId="77777777">
        <w:tc>
          <w:tcPr>
            <w:tcW w:w="0" w:type="auto"/>
            <w:gridSpan w:val="3"/>
            <w:shd w:val="clear" w:color="auto" w:fill="auto"/>
            <w:tcMar>
              <w:top w:w="40" w:type="dxa"/>
              <w:left w:w="20" w:type="dxa"/>
              <w:bottom w:w="40" w:type="dxa"/>
              <w:right w:w="20" w:type="dxa"/>
            </w:tcMar>
            <w:vAlign w:val="bottom"/>
          </w:tcPr>
          <w:p w14:paraId="5CD8E35A" w14:textId="77777777" w:rsidR="00BA49F5" w:rsidRDefault="007E5E49">
            <w:pPr>
              <w:textAlignment w:val="bottom"/>
            </w:pPr>
            <w:r>
              <w:rPr>
                <w:rFonts w:ascii="Times New Roman" w:eastAsia="宋体" w:hAnsi="Times New Roman"/>
                <w:color w:val="000000"/>
                <w:sz w:val="20"/>
                <w:szCs w:val="20"/>
              </w:rPr>
              <w:t>November 1 - 30, 2022</w:t>
            </w:r>
          </w:p>
        </w:tc>
        <w:tc>
          <w:tcPr>
            <w:tcW w:w="0" w:type="auto"/>
            <w:gridSpan w:val="2"/>
            <w:shd w:val="clear" w:color="auto" w:fill="FFFFFF"/>
            <w:tcMar>
              <w:top w:w="40" w:type="dxa"/>
              <w:left w:w="20" w:type="dxa"/>
              <w:bottom w:w="40" w:type="dxa"/>
              <w:right w:w="0" w:type="dxa"/>
            </w:tcMar>
            <w:vAlign w:val="bottom"/>
          </w:tcPr>
          <w:p w14:paraId="5CD8E35B" w14:textId="77777777" w:rsidR="00BA49F5" w:rsidRDefault="007E5E49">
            <w:pPr>
              <w:jc w:val="right"/>
              <w:textAlignment w:val="bottom"/>
            </w:pPr>
            <w:r>
              <w:rPr>
                <w:rFonts w:ascii="Times New Roman" w:eastAsia="宋体" w:hAnsi="Times New Roman"/>
                <w:color w:val="000000"/>
                <w:sz w:val="20"/>
                <w:szCs w:val="20"/>
              </w:rPr>
              <w:t>24,878 </w:t>
            </w:r>
          </w:p>
        </w:tc>
        <w:tc>
          <w:tcPr>
            <w:tcW w:w="0" w:type="auto"/>
            <w:shd w:val="clear" w:color="auto" w:fill="FFFFFF"/>
            <w:tcMar>
              <w:top w:w="40" w:type="dxa"/>
              <w:left w:w="0" w:type="dxa"/>
              <w:bottom w:w="40" w:type="dxa"/>
              <w:right w:w="20" w:type="dxa"/>
            </w:tcMar>
            <w:vAlign w:val="bottom"/>
          </w:tcPr>
          <w:p w14:paraId="5CD8E35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35D"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35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35F" w14:textId="77777777" w:rsidR="00BA49F5" w:rsidRDefault="007E5E49">
            <w:pPr>
              <w:jc w:val="right"/>
              <w:textAlignment w:val="bottom"/>
            </w:pPr>
            <w:r>
              <w:rPr>
                <w:rFonts w:ascii="Times New Roman" w:eastAsia="宋体" w:hAnsi="Times New Roman"/>
                <w:color w:val="000000"/>
                <w:sz w:val="20"/>
                <w:szCs w:val="20"/>
              </w:rPr>
              <w:t>105.28 </w:t>
            </w:r>
          </w:p>
        </w:tc>
        <w:tc>
          <w:tcPr>
            <w:tcW w:w="0" w:type="auto"/>
            <w:shd w:val="clear" w:color="auto" w:fill="FFFFFF"/>
            <w:tcMar>
              <w:top w:w="40" w:type="dxa"/>
              <w:left w:w="0" w:type="dxa"/>
              <w:bottom w:w="40" w:type="dxa"/>
              <w:right w:w="20" w:type="dxa"/>
            </w:tcMar>
            <w:vAlign w:val="bottom"/>
          </w:tcPr>
          <w:p w14:paraId="5CD8E36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36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362" w14:textId="77777777" w:rsidR="00BA49F5" w:rsidRDefault="007E5E49">
            <w:pPr>
              <w:jc w:val="right"/>
              <w:textAlignment w:val="bottom"/>
            </w:pPr>
            <w:r>
              <w:rPr>
                <w:rFonts w:ascii="Times New Roman" w:eastAsia="宋体" w:hAnsi="Times New Roman"/>
                <w:color w:val="000000"/>
                <w:sz w:val="20"/>
                <w:szCs w:val="20"/>
              </w:rPr>
              <w:t>24,878 </w:t>
            </w:r>
          </w:p>
        </w:tc>
        <w:tc>
          <w:tcPr>
            <w:tcW w:w="0" w:type="auto"/>
            <w:shd w:val="clear" w:color="auto" w:fill="FFFFFF"/>
            <w:tcMar>
              <w:top w:w="40" w:type="dxa"/>
              <w:left w:w="0" w:type="dxa"/>
              <w:bottom w:w="40" w:type="dxa"/>
              <w:right w:w="20" w:type="dxa"/>
            </w:tcMar>
            <w:vAlign w:val="bottom"/>
          </w:tcPr>
          <w:p w14:paraId="5CD8E36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364"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36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366" w14:textId="77777777" w:rsidR="00BA49F5" w:rsidRDefault="007E5E49">
            <w:pPr>
              <w:jc w:val="right"/>
              <w:textAlignment w:val="bottom"/>
            </w:pPr>
            <w:r>
              <w:rPr>
                <w:rFonts w:ascii="Times New Roman" w:eastAsia="宋体" w:hAnsi="Times New Roman"/>
                <w:color w:val="000000"/>
                <w:sz w:val="20"/>
                <w:szCs w:val="20"/>
              </w:rPr>
              <w:t>12,613 </w:t>
            </w:r>
          </w:p>
        </w:tc>
        <w:tc>
          <w:tcPr>
            <w:tcW w:w="0" w:type="auto"/>
            <w:shd w:val="clear" w:color="auto" w:fill="FFFFFF"/>
            <w:tcMar>
              <w:top w:w="40" w:type="dxa"/>
              <w:left w:w="0" w:type="dxa"/>
              <w:bottom w:w="40" w:type="dxa"/>
              <w:right w:w="20" w:type="dxa"/>
            </w:tcMar>
            <w:vAlign w:val="bottom"/>
          </w:tcPr>
          <w:p w14:paraId="5CD8E367" w14:textId="77777777" w:rsidR="00BA49F5" w:rsidRDefault="00BA49F5">
            <w:pPr>
              <w:jc w:val="right"/>
              <w:rPr>
                <w:rFonts w:ascii="宋体"/>
              </w:rPr>
            </w:pPr>
          </w:p>
        </w:tc>
      </w:tr>
      <w:tr w:rsidR="00BA49F5" w14:paraId="5CD8E377" w14:textId="77777777">
        <w:tc>
          <w:tcPr>
            <w:tcW w:w="0" w:type="auto"/>
            <w:gridSpan w:val="3"/>
            <w:shd w:val="clear" w:color="auto" w:fill="CCEEFF"/>
            <w:tcMar>
              <w:top w:w="40" w:type="dxa"/>
              <w:left w:w="20" w:type="dxa"/>
              <w:bottom w:w="40" w:type="dxa"/>
              <w:right w:w="20" w:type="dxa"/>
            </w:tcMar>
            <w:vAlign w:val="bottom"/>
          </w:tcPr>
          <w:p w14:paraId="5CD8E369" w14:textId="77777777" w:rsidR="00BA49F5" w:rsidRDefault="007E5E49">
            <w:pPr>
              <w:textAlignment w:val="bottom"/>
            </w:pPr>
            <w:r>
              <w:rPr>
                <w:rFonts w:ascii="Times New Roman" w:eastAsia="宋体" w:hAnsi="Times New Roman"/>
                <w:color w:val="000000"/>
                <w:sz w:val="20"/>
                <w:szCs w:val="20"/>
              </w:rPr>
              <w:t>December 1 - 31, 2022</w:t>
            </w:r>
          </w:p>
        </w:tc>
        <w:tc>
          <w:tcPr>
            <w:tcW w:w="0" w:type="auto"/>
            <w:gridSpan w:val="2"/>
            <w:shd w:val="clear" w:color="auto" w:fill="CCEEFF"/>
            <w:tcMar>
              <w:top w:w="40" w:type="dxa"/>
              <w:left w:w="20" w:type="dxa"/>
              <w:bottom w:w="40" w:type="dxa"/>
              <w:right w:w="0" w:type="dxa"/>
            </w:tcMar>
            <w:vAlign w:val="bottom"/>
          </w:tcPr>
          <w:p w14:paraId="5CD8E36A" w14:textId="77777777" w:rsidR="00BA49F5" w:rsidRDefault="007E5E49">
            <w:pPr>
              <w:jc w:val="right"/>
              <w:textAlignment w:val="bottom"/>
            </w:pPr>
            <w:r>
              <w:rPr>
                <w:rFonts w:ascii="Times New Roman" w:eastAsia="宋体" w:hAnsi="Times New Roman"/>
                <w:color w:val="000000"/>
                <w:sz w:val="20"/>
                <w:szCs w:val="20"/>
              </w:rPr>
              <w:t>14,808 </w:t>
            </w:r>
          </w:p>
        </w:tc>
        <w:tc>
          <w:tcPr>
            <w:tcW w:w="0" w:type="auto"/>
            <w:shd w:val="clear" w:color="auto" w:fill="CCEEFF"/>
            <w:tcMar>
              <w:top w:w="40" w:type="dxa"/>
              <w:left w:w="0" w:type="dxa"/>
              <w:bottom w:w="40" w:type="dxa"/>
              <w:right w:w="20" w:type="dxa"/>
            </w:tcMar>
            <w:vAlign w:val="bottom"/>
          </w:tcPr>
          <w:p w14:paraId="5CD8E36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6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36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36E" w14:textId="77777777" w:rsidR="00BA49F5" w:rsidRDefault="007E5E49">
            <w:pPr>
              <w:jc w:val="right"/>
              <w:textAlignment w:val="bottom"/>
            </w:pPr>
            <w:r>
              <w:rPr>
                <w:rFonts w:ascii="Times New Roman" w:eastAsia="宋体" w:hAnsi="Times New Roman"/>
                <w:color w:val="000000"/>
                <w:sz w:val="20"/>
                <w:szCs w:val="20"/>
              </w:rPr>
              <w:t>117.87 </w:t>
            </w:r>
          </w:p>
        </w:tc>
        <w:tc>
          <w:tcPr>
            <w:tcW w:w="0" w:type="auto"/>
            <w:shd w:val="clear" w:color="auto" w:fill="CCEEFF"/>
            <w:tcMar>
              <w:top w:w="40" w:type="dxa"/>
              <w:left w:w="0" w:type="dxa"/>
              <w:bottom w:w="40" w:type="dxa"/>
              <w:right w:w="20" w:type="dxa"/>
            </w:tcMar>
            <w:vAlign w:val="bottom"/>
          </w:tcPr>
          <w:p w14:paraId="5CD8E36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7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371" w14:textId="77777777" w:rsidR="00BA49F5" w:rsidRDefault="007E5E49">
            <w:pPr>
              <w:jc w:val="right"/>
              <w:textAlignment w:val="bottom"/>
            </w:pPr>
            <w:r>
              <w:rPr>
                <w:rFonts w:ascii="Times New Roman" w:eastAsia="宋体" w:hAnsi="Times New Roman"/>
                <w:color w:val="000000"/>
                <w:sz w:val="20"/>
                <w:szCs w:val="20"/>
              </w:rPr>
              <w:t>14,808 </w:t>
            </w:r>
          </w:p>
        </w:tc>
        <w:tc>
          <w:tcPr>
            <w:tcW w:w="0" w:type="auto"/>
            <w:shd w:val="clear" w:color="auto" w:fill="CCEEFF"/>
            <w:tcMar>
              <w:top w:w="40" w:type="dxa"/>
              <w:left w:w="0" w:type="dxa"/>
              <w:bottom w:w="40" w:type="dxa"/>
              <w:right w:w="20" w:type="dxa"/>
            </w:tcMar>
            <w:vAlign w:val="bottom"/>
          </w:tcPr>
          <w:p w14:paraId="5CD8E37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373"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37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375" w14:textId="77777777" w:rsidR="00BA49F5" w:rsidRDefault="007E5E49">
            <w:pPr>
              <w:jc w:val="right"/>
              <w:textAlignment w:val="bottom"/>
            </w:pPr>
            <w:r>
              <w:rPr>
                <w:rFonts w:ascii="Times New Roman" w:eastAsia="宋体" w:hAnsi="Times New Roman"/>
                <w:color w:val="000000"/>
                <w:sz w:val="20"/>
                <w:szCs w:val="20"/>
              </w:rPr>
              <w:t>10,868 </w:t>
            </w:r>
          </w:p>
        </w:tc>
        <w:tc>
          <w:tcPr>
            <w:tcW w:w="0" w:type="auto"/>
            <w:shd w:val="clear" w:color="auto" w:fill="CCEEFF"/>
            <w:tcMar>
              <w:top w:w="40" w:type="dxa"/>
              <w:left w:w="0" w:type="dxa"/>
              <w:bottom w:w="40" w:type="dxa"/>
              <w:right w:w="20" w:type="dxa"/>
            </w:tcMar>
            <w:vAlign w:val="bottom"/>
          </w:tcPr>
          <w:p w14:paraId="5CD8E376" w14:textId="77777777" w:rsidR="00BA49F5" w:rsidRDefault="00BA49F5">
            <w:pPr>
              <w:jc w:val="right"/>
              <w:rPr>
                <w:rFonts w:ascii="宋体"/>
              </w:rPr>
            </w:pPr>
          </w:p>
        </w:tc>
      </w:tr>
      <w:tr w:rsidR="00BA49F5" w14:paraId="5CD8E382" w14:textId="77777777">
        <w:tc>
          <w:tcPr>
            <w:tcW w:w="0" w:type="auto"/>
            <w:gridSpan w:val="3"/>
            <w:shd w:val="clear" w:color="auto" w:fill="FFFFFF"/>
            <w:tcMar>
              <w:top w:w="0" w:type="dxa"/>
              <w:left w:w="20" w:type="dxa"/>
              <w:bottom w:w="0" w:type="dxa"/>
              <w:right w:w="20" w:type="dxa"/>
            </w:tcMar>
            <w:vAlign w:val="bottom"/>
          </w:tcPr>
          <w:p w14:paraId="5CD8E378"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379" w14:textId="77777777" w:rsidR="00BA49F5" w:rsidRDefault="007E5E49">
            <w:pPr>
              <w:jc w:val="right"/>
              <w:textAlignment w:val="bottom"/>
            </w:pPr>
            <w:r>
              <w:rPr>
                <w:rFonts w:ascii="Times New Roman" w:eastAsia="宋体" w:hAnsi="Times New Roman"/>
                <w:color w:val="000000"/>
                <w:sz w:val="20"/>
                <w:szCs w:val="20"/>
              </w:rPr>
              <w:t>59,866 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37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37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37C"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37D"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37E" w14:textId="77777777" w:rsidR="00BA49F5" w:rsidRDefault="007E5E49">
            <w:pPr>
              <w:jc w:val="right"/>
              <w:textAlignment w:val="bottom"/>
            </w:pPr>
            <w:r>
              <w:rPr>
                <w:rFonts w:ascii="Times New Roman" w:eastAsia="宋体" w:hAnsi="Times New Roman"/>
                <w:color w:val="000000"/>
                <w:sz w:val="20"/>
                <w:szCs w:val="20"/>
              </w:rPr>
              <w:t>59,866 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37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38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381" w14:textId="77777777" w:rsidR="00BA49F5" w:rsidRDefault="00BA49F5">
            <w:pPr>
              <w:rPr>
                <w:rFonts w:ascii="宋体"/>
              </w:rPr>
            </w:pPr>
          </w:p>
        </w:tc>
      </w:tr>
    </w:tbl>
    <w:p w14:paraId="5CD8E383" w14:textId="77777777" w:rsidR="00BA49F5" w:rsidRDefault="007E5E49">
      <w:r>
        <w:rPr>
          <w:rFonts w:ascii="Times New Roman" w:eastAsia="宋体" w:hAnsi="Times New Roman"/>
          <w:color w:val="000000"/>
          <w:sz w:val="20"/>
          <w:szCs w:val="20"/>
        </w:rPr>
        <w:t>_________________________</w:t>
      </w:r>
    </w:p>
    <w:p w14:paraId="5CD8E384" w14:textId="77777777" w:rsidR="00BA49F5" w:rsidRDefault="007E5E49">
      <w:pPr>
        <w:ind w:hanging="360"/>
        <w:jc w:val="both"/>
      </w:pPr>
      <w:r>
        <w:rPr>
          <w:rFonts w:ascii="Times New Roman" w:eastAsia="宋体" w:hAnsi="Times New Roman"/>
          <w:color w:val="000000"/>
          <w:sz w:val="18"/>
          <w:szCs w:val="18"/>
        </w:rPr>
        <w:t xml:space="preserve">(1)Our board of </w:t>
      </w:r>
      <w:r>
        <w:rPr>
          <w:rFonts w:ascii="Times New Roman" w:eastAsia="宋体" w:hAnsi="Times New Roman"/>
          <w:color w:val="000000"/>
          <w:sz w:val="18"/>
          <w:szCs w:val="18"/>
        </w:rPr>
        <w:t>directors has authorized a share repurchase program of our Class A common stock, which commenced in January 2017 and does not have an expiration date. In January 2023, an additional $40 billion of repurchases was authorized under this program. The timing a</w:t>
      </w:r>
      <w:r>
        <w:rPr>
          <w:rFonts w:ascii="Times New Roman" w:eastAsia="宋体" w:hAnsi="Times New Roman"/>
          <w:color w:val="000000"/>
          <w:sz w:val="18"/>
          <w:szCs w:val="18"/>
        </w:rPr>
        <w:t>nd actual number of shares repurchased depend on a variety of factors, including price, general business and market conditions, and other investment opportunities, and shares may be repurchased through open market purchases or privately negotiated transact</w:t>
      </w:r>
      <w:r>
        <w:rPr>
          <w:rFonts w:ascii="Times New Roman" w:eastAsia="宋体" w:hAnsi="Times New Roman"/>
          <w:color w:val="000000"/>
          <w:sz w:val="18"/>
          <w:szCs w:val="18"/>
        </w:rPr>
        <w:t>ions, including through the use of trading plans intended to qualify under Rule 10b5-1 under the Exchange Act. See Note 14 — Stockholders' Equity in Part II, Item 8 of the Annual Report on Form 10-K for additional information related to share repurchases.</w:t>
      </w:r>
    </w:p>
    <w:p w14:paraId="5CD8E385" w14:textId="77777777" w:rsidR="00BA49F5" w:rsidRDefault="007E5E49">
      <w:pPr>
        <w:ind w:hanging="360"/>
        <w:jc w:val="both"/>
      </w:pPr>
      <w:r>
        <w:rPr>
          <w:rFonts w:ascii="Times New Roman" w:eastAsia="宋体" w:hAnsi="Times New Roman"/>
          <w:color w:val="000000"/>
          <w:sz w:val="18"/>
          <w:szCs w:val="18"/>
        </w:rPr>
        <w:t>(2)Average price paid per share includes costs associated with the repurchases.</w:t>
      </w:r>
    </w:p>
    <w:p w14:paraId="5CD8E386" w14:textId="77777777" w:rsidR="00BA49F5" w:rsidRDefault="00BA49F5"/>
    <w:p w14:paraId="5CD8E387" w14:textId="77777777" w:rsidR="00BA49F5" w:rsidRDefault="007E5E49">
      <w:r>
        <w:rPr>
          <w:rFonts w:ascii="Times New Roman" w:eastAsia="宋体" w:hAnsi="Times New Roman"/>
          <w:b/>
          <w:bCs/>
          <w:color w:val="000000"/>
          <w:sz w:val="20"/>
          <w:szCs w:val="20"/>
        </w:rPr>
        <w:t>Recent Sale of Unregistered Securities and Use of Proceeds</w:t>
      </w:r>
    </w:p>
    <w:p w14:paraId="5CD8E388" w14:textId="77777777" w:rsidR="00BA49F5" w:rsidRDefault="00BA49F5">
      <w:pPr>
        <w:ind w:firstLine="540"/>
      </w:pPr>
    </w:p>
    <w:p w14:paraId="5CD8E389" w14:textId="77777777" w:rsidR="00BA49F5" w:rsidRDefault="007E5E49">
      <w:pPr>
        <w:ind w:firstLine="540"/>
      </w:pPr>
      <w:r>
        <w:rPr>
          <w:rFonts w:ascii="Times New Roman" w:eastAsia="宋体" w:hAnsi="Times New Roman"/>
          <w:b/>
          <w:bCs/>
          <w:i/>
          <w:iCs/>
          <w:color w:val="000000"/>
          <w:sz w:val="20"/>
          <w:szCs w:val="20"/>
        </w:rPr>
        <w:t xml:space="preserve">Recent Sale of Unregistered Securities </w:t>
      </w:r>
    </w:p>
    <w:p w14:paraId="5CD8E38A" w14:textId="77777777" w:rsidR="00BA49F5" w:rsidRDefault="00BA49F5">
      <w:pPr>
        <w:ind w:firstLine="540"/>
      </w:pPr>
    </w:p>
    <w:p w14:paraId="5CD8E38B" w14:textId="77777777" w:rsidR="00BA49F5" w:rsidRDefault="007E5E49">
      <w:pPr>
        <w:ind w:firstLine="540"/>
      </w:pPr>
      <w:r>
        <w:rPr>
          <w:rFonts w:ascii="Times New Roman" w:eastAsia="宋体" w:hAnsi="Times New Roman"/>
          <w:color w:val="000000"/>
          <w:sz w:val="20"/>
          <w:szCs w:val="20"/>
        </w:rPr>
        <w:t>None.</w:t>
      </w:r>
    </w:p>
    <w:p w14:paraId="5CD8E38C" w14:textId="77777777" w:rsidR="00BA49F5" w:rsidRDefault="00BA49F5"/>
    <w:p w14:paraId="5CD8E38D" w14:textId="77777777" w:rsidR="00BA49F5" w:rsidRDefault="007E5E49">
      <w:pPr>
        <w:jc w:val="center"/>
      </w:pPr>
      <w:r>
        <w:rPr>
          <w:rFonts w:ascii="Times New Roman" w:eastAsia="宋体" w:hAnsi="Times New Roman"/>
          <w:color w:val="000000"/>
          <w:sz w:val="20"/>
          <w:szCs w:val="20"/>
        </w:rPr>
        <w:t>52</w:t>
      </w:r>
    </w:p>
    <w:p w14:paraId="5CD8E38E" w14:textId="77777777" w:rsidR="00BA49F5" w:rsidRDefault="007E5E49">
      <w:r>
        <w:pict w14:anchorId="5CD90CFF">
          <v:rect id="_x0000_i1076" style="width:415.3pt;height:1.5pt" o:hralign="center" o:hrstd="t" o:hr="t" fillcolor="#a0a0a0" stroked="f"/>
        </w:pict>
      </w:r>
    </w:p>
    <w:p w14:paraId="5CD8E38F" w14:textId="77777777" w:rsidR="00BA49F5" w:rsidRDefault="00BA49F5"/>
    <w:p w14:paraId="5CD8E390" w14:textId="77777777" w:rsidR="00BA49F5" w:rsidRDefault="00BA49F5"/>
    <w:p w14:paraId="5CD8E391" w14:textId="77777777" w:rsidR="00BA49F5" w:rsidRDefault="007E5E49">
      <w:hyperlink r:id="rId184" w:anchor="i6df229dad1864210ab76200083e26819_7" w:history="1">
        <w:r>
          <w:rPr>
            <w:rStyle w:val="a5"/>
            <w:rFonts w:ascii="Times New Roman" w:eastAsia="宋体" w:hAnsi="Times New Roman"/>
            <w:sz w:val="20"/>
            <w:szCs w:val="20"/>
          </w:rPr>
          <w:t>T</w:t>
        </w:r>
      </w:hyperlink>
      <w:hyperlink r:id="rId185" w:anchor="i6df229dad1864210ab76200083e26819_7" w:history="1">
        <w:r>
          <w:rPr>
            <w:rStyle w:val="a5"/>
            <w:rFonts w:ascii="Times New Roman" w:eastAsia="宋体" w:hAnsi="Times New Roman"/>
            <w:sz w:val="20"/>
            <w:szCs w:val="20"/>
          </w:rPr>
          <w:t>able of Contents</w:t>
        </w:r>
      </w:hyperlink>
    </w:p>
    <w:p w14:paraId="5CD8E392" w14:textId="77777777" w:rsidR="00BA49F5" w:rsidRDefault="007E5E49">
      <w:r>
        <w:rPr>
          <w:rFonts w:ascii="Times New Roman" w:eastAsia="宋体" w:hAnsi="Times New Roman"/>
          <w:b/>
          <w:bCs/>
          <w:color w:val="000000"/>
          <w:sz w:val="20"/>
          <w:szCs w:val="20"/>
        </w:rPr>
        <w:t>Stock Performance Graph</w:t>
      </w:r>
    </w:p>
    <w:p w14:paraId="5CD8E393" w14:textId="77777777" w:rsidR="00BA49F5" w:rsidRDefault="00BA49F5">
      <w:pPr>
        <w:jc w:val="both"/>
      </w:pPr>
    </w:p>
    <w:p w14:paraId="5CD8E394" w14:textId="77777777" w:rsidR="00BA49F5" w:rsidRDefault="007E5E49">
      <w:pPr>
        <w:jc w:val="both"/>
      </w:pPr>
      <w:r>
        <w:rPr>
          <w:rFonts w:ascii="Times New Roman" w:eastAsia="宋体" w:hAnsi="Times New Roman"/>
          <w:i/>
          <w:iCs/>
          <w:color w:val="000000"/>
          <w:sz w:val="20"/>
          <w:szCs w:val="20"/>
        </w:rPr>
        <w:t>This performance graph shall not be deemed "soliciting material" or to be "filed" with the SEC for purposes of Section 18 of the Exchange Act, or otherwise subject</w:t>
      </w:r>
      <w:r>
        <w:rPr>
          <w:rFonts w:ascii="Times New Roman" w:eastAsia="宋体" w:hAnsi="Times New Roman"/>
          <w:i/>
          <w:iCs/>
          <w:color w:val="000000"/>
          <w:sz w:val="20"/>
          <w:szCs w:val="20"/>
        </w:rPr>
        <w:t xml:space="preserve"> to the liabilities under that Section, and shall not be deemed to be incorporated by reference into any filing of Meta Platforms, Inc. under the Securities Act of 1933, as amended, or the Exchange Act.</w:t>
      </w:r>
    </w:p>
    <w:p w14:paraId="5CD8E395" w14:textId="77777777" w:rsidR="00BA49F5" w:rsidRDefault="00BA49F5">
      <w:pPr>
        <w:ind w:firstLine="540"/>
        <w:jc w:val="both"/>
      </w:pPr>
    </w:p>
    <w:p w14:paraId="5CD8E396" w14:textId="77777777" w:rsidR="00BA49F5" w:rsidRDefault="007E5E49">
      <w:pPr>
        <w:ind w:firstLine="540"/>
        <w:jc w:val="both"/>
      </w:pPr>
      <w:r>
        <w:rPr>
          <w:rFonts w:ascii="Times New Roman" w:eastAsia="宋体" w:hAnsi="Times New Roman"/>
          <w:color w:val="000000"/>
          <w:sz w:val="20"/>
          <w:szCs w:val="20"/>
        </w:rPr>
        <w:t>The following graph shows a comparison of the cumula</w:t>
      </w:r>
      <w:r>
        <w:rPr>
          <w:rFonts w:ascii="Times New Roman" w:eastAsia="宋体" w:hAnsi="Times New Roman"/>
          <w:color w:val="000000"/>
          <w:sz w:val="20"/>
          <w:szCs w:val="20"/>
        </w:rPr>
        <w:t>tive total return for our Class A common stock, the Dow Jones Internet Composite Index (DJINET), the Standard &amp; Poor's 500 Stock Index (S&amp;P 500) and the Nasdaq Composite Index (Nasdaq Composite) for the five years ended December 31, 2022. The graph assumes</w:t>
      </w:r>
      <w:r>
        <w:rPr>
          <w:rFonts w:ascii="Times New Roman" w:eastAsia="宋体" w:hAnsi="Times New Roman"/>
          <w:color w:val="000000"/>
          <w:sz w:val="20"/>
          <w:szCs w:val="20"/>
        </w:rPr>
        <w:t xml:space="preserve"> that $100 was invested at the market close on the last trading day for the fiscal year ended December 31, 2017 in the Class A common stock of Meta Platforms, Inc., the DJINET, the S&amp;P 500, and the Nasdaq Composite and data for the DJINET, the S&amp;P 500, and</w:t>
      </w:r>
      <w:r>
        <w:rPr>
          <w:rFonts w:ascii="Times New Roman" w:eastAsia="宋体" w:hAnsi="Times New Roman"/>
          <w:color w:val="000000"/>
          <w:sz w:val="20"/>
          <w:szCs w:val="20"/>
        </w:rPr>
        <w:t xml:space="preserve"> the Nasdaq Composite assumes reinvestments of gross dividends. The stock price performance of the following graph is not necessarily indicative of future stock price performance.</w:t>
      </w:r>
    </w:p>
    <w:p w14:paraId="5CD8E397" w14:textId="77777777" w:rsidR="00BA49F5" w:rsidRDefault="00BA49F5">
      <w:pPr>
        <w:ind w:firstLine="540"/>
        <w:jc w:val="both"/>
      </w:pPr>
    </w:p>
    <w:p w14:paraId="5CD8E398"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w:instrText>
      </w:r>
      <w:r>
        <w:rPr>
          <w:rFonts w:ascii="宋体" w:eastAsia="宋体" w:hAnsi="宋体" w:cs="宋体"/>
        </w:rPr>
        <w:instrText xml:space="preserve">forms/./Inline XBRL Viewer_files/meta-20221231_g2.jpg"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00" wp14:editId="5CD90D01">
            <wp:extent cx="304800" cy="304800"/>
            <wp:effectExtent l="0" t="0" r="0" b="0"/>
            <wp:docPr id="33" name="图片 8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399" w14:textId="77777777" w:rsidR="00BA49F5" w:rsidRDefault="00BA49F5">
      <w:pPr>
        <w:spacing w:before="180"/>
        <w:ind w:firstLine="540"/>
        <w:jc w:val="center"/>
      </w:pPr>
    </w:p>
    <w:p w14:paraId="5CD8E39A" w14:textId="77777777" w:rsidR="00BA49F5" w:rsidRDefault="007E5E49">
      <w:pPr>
        <w:ind w:hanging="720"/>
      </w:pPr>
      <w:r>
        <w:rPr>
          <w:rFonts w:ascii="Times New Roman" w:eastAsia="宋体" w:hAnsi="Times New Roman"/>
          <w:b/>
          <w:bCs/>
          <w:color w:val="000000"/>
          <w:sz w:val="20"/>
          <w:szCs w:val="20"/>
        </w:rPr>
        <w:t>Item 6.[Reserved]</w:t>
      </w:r>
    </w:p>
    <w:p w14:paraId="5CD8E39B" w14:textId="77777777" w:rsidR="00BA49F5" w:rsidRDefault="007E5E49">
      <w:pPr>
        <w:jc w:val="center"/>
      </w:pPr>
      <w:r>
        <w:rPr>
          <w:rFonts w:ascii="Times New Roman" w:eastAsia="宋体" w:hAnsi="Times New Roman"/>
          <w:color w:val="000000"/>
          <w:sz w:val="20"/>
          <w:szCs w:val="20"/>
        </w:rPr>
        <w:t>53</w:t>
      </w:r>
    </w:p>
    <w:p w14:paraId="5CD8E39C" w14:textId="77777777" w:rsidR="00BA49F5" w:rsidRDefault="007E5E49">
      <w:r>
        <w:pict w14:anchorId="5CD90D02">
          <v:rect id="_x0000_i1077" style="width:415.3pt;height:1.5pt" o:hralign="center" o:hrstd="t" o:hr="t" fillcolor="#a0a0a0" stroked="f"/>
        </w:pict>
      </w:r>
    </w:p>
    <w:p w14:paraId="5CD8E39D" w14:textId="77777777" w:rsidR="00BA49F5" w:rsidRDefault="00BA49F5"/>
    <w:p w14:paraId="5CD8E39E" w14:textId="77777777" w:rsidR="00BA49F5" w:rsidRDefault="00BA49F5"/>
    <w:p w14:paraId="5CD8E39F" w14:textId="77777777" w:rsidR="00BA49F5" w:rsidRDefault="007E5E49">
      <w:hyperlink r:id="rId186" w:anchor="i6df229dad1864210ab76200083e26819_7" w:history="1">
        <w:r>
          <w:rPr>
            <w:rStyle w:val="a5"/>
            <w:rFonts w:ascii="Times New Roman" w:eastAsia="宋体" w:hAnsi="Times New Roman"/>
            <w:sz w:val="20"/>
            <w:szCs w:val="20"/>
          </w:rPr>
          <w:t>T</w:t>
        </w:r>
      </w:hyperlink>
      <w:hyperlink r:id="rId187" w:anchor="i6df229dad1864210ab76200083e26819_7" w:history="1">
        <w:r>
          <w:rPr>
            <w:rStyle w:val="a5"/>
            <w:rFonts w:ascii="Times New Roman" w:eastAsia="宋体" w:hAnsi="Times New Roman"/>
            <w:sz w:val="20"/>
            <w:szCs w:val="20"/>
          </w:rPr>
          <w:t>able of Contents</w:t>
        </w:r>
      </w:hyperlink>
    </w:p>
    <w:p w14:paraId="5CD8E3A0" w14:textId="77777777" w:rsidR="00BA49F5" w:rsidRDefault="007E5E49">
      <w:pPr>
        <w:ind w:hanging="720"/>
        <w:jc w:val="both"/>
      </w:pPr>
      <w:r>
        <w:rPr>
          <w:rFonts w:ascii="Times New Roman" w:eastAsia="宋体" w:hAnsi="Times New Roman"/>
          <w:b/>
          <w:bCs/>
          <w:color w:val="000000"/>
          <w:sz w:val="20"/>
          <w:szCs w:val="20"/>
        </w:rPr>
        <w:t>Item 7.Management's Discussion and Analysis of Financial Condition and Results of Oper</w:t>
      </w:r>
      <w:r>
        <w:rPr>
          <w:rFonts w:ascii="Times New Roman" w:eastAsia="宋体" w:hAnsi="Times New Roman"/>
          <w:b/>
          <w:bCs/>
          <w:color w:val="000000"/>
          <w:sz w:val="20"/>
          <w:szCs w:val="20"/>
        </w:rPr>
        <w:t>ations</w:t>
      </w:r>
    </w:p>
    <w:p w14:paraId="5CD8E3A1" w14:textId="77777777" w:rsidR="00BA49F5" w:rsidRDefault="00BA49F5">
      <w:pPr>
        <w:jc w:val="both"/>
      </w:pPr>
    </w:p>
    <w:p w14:paraId="5CD8E3A2" w14:textId="77777777" w:rsidR="00BA49F5" w:rsidRDefault="007E5E49">
      <w:pPr>
        <w:jc w:val="both"/>
      </w:pPr>
      <w:r>
        <w:rPr>
          <w:rFonts w:ascii="Times New Roman" w:eastAsia="宋体" w:hAnsi="Times New Roman"/>
          <w:i/>
          <w:iCs/>
          <w:color w:val="000000"/>
          <w:sz w:val="20"/>
          <w:szCs w:val="20"/>
        </w:rPr>
        <w:t>You should read the following discussion of our financial condition and results of operations in conjunction with our consolidated financial statements and the related notes included in Part II, Item 8, "Financial Statements and Supplementary Data"</w:t>
      </w:r>
      <w:r>
        <w:rPr>
          <w:rFonts w:ascii="Times New Roman" w:eastAsia="宋体" w:hAnsi="Times New Roman"/>
          <w:i/>
          <w:iCs/>
          <w:color w:val="000000"/>
          <w:sz w:val="20"/>
          <w:szCs w:val="20"/>
        </w:rPr>
        <w:t xml:space="preserve"> of this Annual Report on Form 10-K. In addition to our historical consolidated financial information, the following discussion contains forward-looking statements that reflect our plans, estimates, and beliefs. Our actual results could differ materially f</w:t>
      </w:r>
      <w:r>
        <w:rPr>
          <w:rFonts w:ascii="Times New Roman" w:eastAsia="宋体" w:hAnsi="Times New Roman"/>
          <w:i/>
          <w:iCs/>
          <w:color w:val="000000"/>
          <w:sz w:val="20"/>
          <w:szCs w:val="20"/>
        </w:rPr>
        <w:t>rom those discussed in the forward-looking statements. Factors that could cause or contribute to these differences include those discussed below and elsewhere in this Annual Report on Form 10-K, particularly in Part I, Item 1A, "Risk Factors." For a discus</w:t>
      </w:r>
      <w:r>
        <w:rPr>
          <w:rFonts w:ascii="Times New Roman" w:eastAsia="宋体" w:hAnsi="Times New Roman"/>
          <w:i/>
          <w:iCs/>
          <w:color w:val="000000"/>
          <w:sz w:val="20"/>
          <w:szCs w:val="20"/>
        </w:rPr>
        <w:t>sion of limitations in the measurement of certain of our community metrics, see the section entitled "Limitations of Key Metrics and Other Data" in this Annual Report on Form 10-K.</w:t>
      </w:r>
    </w:p>
    <w:p w14:paraId="5CD8E3A3" w14:textId="77777777" w:rsidR="00BA49F5" w:rsidRDefault="00BA49F5">
      <w:pPr>
        <w:jc w:val="both"/>
      </w:pPr>
    </w:p>
    <w:p w14:paraId="5CD8E3A4" w14:textId="77777777" w:rsidR="00BA49F5" w:rsidRDefault="007E5E49">
      <w:pPr>
        <w:jc w:val="both"/>
      </w:pPr>
      <w:r>
        <w:rPr>
          <w:rFonts w:ascii="Times New Roman" w:eastAsia="宋体" w:hAnsi="Times New Roman"/>
          <w:i/>
          <w:iCs/>
          <w:color w:val="000000"/>
          <w:sz w:val="20"/>
          <w:szCs w:val="20"/>
        </w:rPr>
        <w:t>To supplement our consolidated financial statements, which are prepared an</w:t>
      </w:r>
      <w:r>
        <w:rPr>
          <w:rFonts w:ascii="Times New Roman" w:eastAsia="宋体" w:hAnsi="Times New Roman"/>
          <w:i/>
          <w:iCs/>
          <w:color w:val="000000"/>
          <w:sz w:val="20"/>
          <w:szCs w:val="20"/>
        </w:rPr>
        <w:t>d presented in accordance with generally accepted accounting principles in the United States (GAAP), we present revenue on a constant currency basis and free cash flow, which are non-GAAP financial measures. Revenue on a constant currency basis is presente</w:t>
      </w:r>
      <w:r>
        <w:rPr>
          <w:rFonts w:ascii="Times New Roman" w:eastAsia="宋体" w:hAnsi="Times New Roman"/>
          <w:i/>
          <w:iCs/>
          <w:color w:val="000000"/>
          <w:sz w:val="20"/>
          <w:szCs w:val="20"/>
        </w:rPr>
        <w:t>d in the section entitled "</w:t>
      </w:r>
      <w:r>
        <w:rPr>
          <w:rFonts w:ascii="Times New Roman" w:eastAsia="宋体" w:hAnsi="Times New Roman"/>
          <w:color w:val="000000"/>
          <w:sz w:val="20"/>
          <w:szCs w:val="20"/>
        </w:rPr>
        <w:t>—</w:t>
      </w:r>
      <w:r>
        <w:rPr>
          <w:rFonts w:ascii="Times New Roman" w:eastAsia="宋体" w:hAnsi="Times New Roman"/>
          <w:i/>
          <w:iCs/>
          <w:color w:val="000000"/>
          <w:sz w:val="20"/>
          <w:szCs w:val="20"/>
        </w:rPr>
        <w:t>Revenue</w:t>
      </w:r>
      <w:r>
        <w:rPr>
          <w:rFonts w:ascii="Times New Roman" w:eastAsia="宋体" w:hAnsi="Times New Roman"/>
          <w:color w:val="000000"/>
          <w:sz w:val="20"/>
          <w:szCs w:val="20"/>
        </w:rPr>
        <w:t>—</w:t>
      </w:r>
      <w:r>
        <w:rPr>
          <w:rFonts w:ascii="Times New Roman" w:eastAsia="宋体" w:hAnsi="Times New Roman"/>
          <w:i/>
          <w:iCs/>
          <w:color w:val="000000"/>
          <w:sz w:val="20"/>
          <w:szCs w:val="20"/>
        </w:rPr>
        <w:t>Foreign Exchange Impact on Revenue." To calculate revenue on a constant currency basis, we translated revenue for the full year 2022 using 2021 monthly exchange rates for our settlement or billing currencies other than t</w:t>
      </w:r>
      <w:r>
        <w:rPr>
          <w:rFonts w:ascii="Times New Roman" w:eastAsia="宋体" w:hAnsi="Times New Roman"/>
          <w:i/>
          <w:iCs/>
          <w:color w:val="000000"/>
          <w:sz w:val="20"/>
          <w:szCs w:val="20"/>
        </w:rPr>
        <w:t>he U.S. dollar. For a full description of our free cash flow non-GAAP measure, see the section entitled "</w:t>
      </w:r>
      <w:r>
        <w:rPr>
          <w:rFonts w:ascii="Times New Roman" w:eastAsia="宋体" w:hAnsi="Times New Roman"/>
          <w:color w:val="000000"/>
          <w:sz w:val="20"/>
          <w:szCs w:val="20"/>
        </w:rPr>
        <w:t>—</w:t>
      </w:r>
      <w:r>
        <w:rPr>
          <w:rFonts w:ascii="Times New Roman" w:eastAsia="宋体" w:hAnsi="Times New Roman"/>
          <w:i/>
          <w:iCs/>
          <w:color w:val="000000"/>
          <w:sz w:val="20"/>
          <w:szCs w:val="20"/>
        </w:rPr>
        <w:t>Liquidity and Capital Resources—Free Cash Flow."</w:t>
      </w:r>
    </w:p>
    <w:p w14:paraId="5CD8E3A5" w14:textId="77777777" w:rsidR="00BA49F5" w:rsidRDefault="00BA49F5">
      <w:pPr>
        <w:jc w:val="both"/>
      </w:pPr>
    </w:p>
    <w:p w14:paraId="5CD8E3A6" w14:textId="77777777" w:rsidR="00BA49F5" w:rsidRDefault="007E5E49">
      <w:pPr>
        <w:jc w:val="both"/>
      </w:pPr>
      <w:r>
        <w:rPr>
          <w:rFonts w:ascii="Times New Roman" w:eastAsia="宋体" w:hAnsi="Times New Roman"/>
          <w:i/>
          <w:iCs/>
          <w:color w:val="000000"/>
          <w:sz w:val="20"/>
          <w:szCs w:val="20"/>
        </w:rPr>
        <w:t xml:space="preserve">These non-GAAP financial measures are not intended to be considered in isolation or as a substitute </w:t>
      </w:r>
      <w:r>
        <w:rPr>
          <w:rFonts w:ascii="Times New Roman" w:eastAsia="宋体" w:hAnsi="Times New Roman"/>
          <w:i/>
          <w:iCs/>
          <w:color w:val="000000"/>
          <w:sz w:val="20"/>
          <w:szCs w:val="20"/>
        </w:rPr>
        <w:t>for, or superior to, financial information prepared and presented in accordance with GAAP. These measures may be different from non</w:t>
      </w:r>
      <w:r>
        <w:rPr>
          <w:rFonts w:ascii="Times New Roman" w:eastAsia="宋体" w:hAnsi="Times New Roman"/>
          <w:i/>
          <w:iCs/>
          <w:color w:val="000000"/>
          <w:sz w:val="20"/>
          <w:szCs w:val="20"/>
        </w:rPr>
        <w:noBreakHyphen/>
        <w:t>GAAP financial measures used by other companies, limiting their usefulness for comparison purposes. Moreover, presentation o</w:t>
      </w:r>
      <w:r>
        <w:rPr>
          <w:rFonts w:ascii="Times New Roman" w:eastAsia="宋体" w:hAnsi="Times New Roman"/>
          <w:i/>
          <w:iCs/>
          <w:color w:val="000000"/>
          <w:sz w:val="20"/>
          <w:szCs w:val="20"/>
        </w:rPr>
        <w:t>f revenue on a constant currency basis is provided for year-over-year comparison purposes, and investors should be cautioned that the effect of changing foreign currency exchange rates has an actual effect on our operating results. We believe these non-GAA</w:t>
      </w:r>
      <w:r>
        <w:rPr>
          <w:rFonts w:ascii="Times New Roman" w:eastAsia="宋体" w:hAnsi="Times New Roman"/>
          <w:i/>
          <w:iCs/>
          <w:color w:val="000000"/>
          <w:sz w:val="20"/>
          <w:szCs w:val="20"/>
        </w:rPr>
        <w:t xml:space="preserve">P financial measures provide investors with useful supplemental information about the financial performance of our business, enable comparison of financial results between periods where certain items may vary independent of business performance, and allow </w:t>
      </w:r>
      <w:r>
        <w:rPr>
          <w:rFonts w:ascii="Times New Roman" w:eastAsia="宋体" w:hAnsi="Times New Roman"/>
          <w:i/>
          <w:iCs/>
          <w:color w:val="000000"/>
          <w:sz w:val="20"/>
          <w:szCs w:val="20"/>
        </w:rPr>
        <w:t>for greater transparency with respect to key metrics used by management in operating our business.</w:t>
      </w:r>
    </w:p>
    <w:p w14:paraId="5CD8E3A7" w14:textId="77777777" w:rsidR="00BA49F5" w:rsidRDefault="00BA49F5">
      <w:pPr>
        <w:jc w:val="both"/>
      </w:pPr>
    </w:p>
    <w:p w14:paraId="5CD8E3A8" w14:textId="77777777" w:rsidR="00BA49F5" w:rsidRDefault="007E5E49">
      <w:pPr>
        <w:jc w:val="both"/>
      </w:pPr>
      <w:r>
        <w:rPr>
          <w:rFonts w:ascii="Times New Roman" w:eastAsia="宋体" w:hAnsi="Times New Roman"/>
          <w:b/>
          <w:bCs/>
          <w:color w:val="000000"/>
          <w:sz w:val="20"/>
          <w:szCs w:val="20"/>
        </w:rPr>
        <w:t xml:space="preserve">Executive Overview of Full Year 2022 Results </w:t>
      </w:r>
    </w:p>
    <w:p w14:paraId="5CD8E3A9" w14:textId="77777777" w:rsidR="00BA49F5" w:rsidRDefault="00BA49F5">
      <w:pPr>
        <w:jc w:val="both"/>
      </w:pPr>
    </w:p>
    <w:p w14:paraId="5CD8E3AA" w14:textId="77777777" w:rsidR="00BA49F5" w:rsidRDefault="007E5E49">
      <w:pPr>
        <w:ind w:firstLine="540"/>
        <w:jc w:val="both"/>
      </w:pPr>
      <w:r>
        <w:rPr>
          <w:rFonts w:ascii="Times New Roman" w:eastAsia="宋体" w:hAnsi="Times New Roman"/>
          <w:color w:val="000000"/>
          <w:sz w:val="20"/>
          <w:szCs w:val="20"/>
          <w:shd w:val="clear" w:color="auto" w:fill="FFFFFF"/>
        </w:rPr>
        <w:t>Our mission is to give people the power to build community and bring the world closer together. In 2022, we c</w:t>
      </w:r>
      <w:r>
        <w:rPr>
          <w:rFonts w:ascii="Times New Roman" w:eastAsia="宋体" w:hAnsi="Times New Roman"/>
          <w:color w:val="000000"/>
          <w:sz w:val="20"/>
          <w:szCs w:val="20"/>
          <w:shd w:val="clear" w:color="auto" w:fill="FFFFFF"/>
        </w:rPr>
        <w:t xml:space="preserve">ontinued to focus on our main revenue growth priorities: (i) helping marketers use our products to connect with consumers and (ii) making our ads more relevant and effective. We also continued to invest in both our family of apps and our metaverse efforts </w:t>
      </w:r>
      <w:r>
        <w:rPr>
          <w:rFonts w:ascii="Times New Roman" w:eastAsia="宋体" w:hAnsi="Times New Roman"/>
          <w:color w:val="000000"/>
          <w:sz w:val="20"/>
          <w:szCs w:val="20"/>
          <w:shd w:val="clear" w:color="auto" w:fill="FFFFFF"/>
        </w:rPr>
        <w:t xml:space="preserve">based on our company priorities. </w:t>
      </w:r>
    </w:p>
    <w:p w14:paraId="5CD8E3AB" w14:textId="77777777" w:rsidR="00BA49F5" w:rsidRDefault="00BA49F5">
      <w:pPr>
        <w:jc w:val="both"/>
      </w:pPr>
    </w:p>
    <w:p w14:paraId="5CD8E3AC" w14:textId="77777777" w:rsidR="00BA49F5" w:rsidRDefault="007E5E49">
      <w:pPr>
        <w:ind w:firstLine="540"/>
        <w:jc w:val="both"/>
      </w:pPr>
      <w:r>
        <w:rPr>
          <w:rFonts w:ascii="Times New Roman" w:eastAsia="宋体" w:hAnsi="Times New Roman"/>
          <w:color w:val="000000"/>
          <w:sz w:val="20"/>
          <w:szCs w:val="20"/>
          <w:shd w:val="clear" w:color="auto" w:fill="FFFFFF"/>
        </w:rPr>
        <w:t>Our financial results and key community metrics for 2022 are set forth below. Our total revenue for 2022 was $116.61 billion, a decrease of 1% compared to 2021, which reflects a $5.96 billion negative impact from the appr</w:t>
      </w:r>
      <w:r>
        <w:rPr>
          <w:rFonts w:ascii="Times New Roman" w:eastAsia="宋体" w:hAnsi="Times New Roman"/>
          <w:color w:val="000000"/>
          <w:sz w:val="20"/>
          <w:szCs w:val="20"/>
          <w:shd w:val="clear" w:color="auto" w:fill="FFFFFF"/>
        </w:rPr>
        <w:t>eciation of the U.S. dollar relative to other foreign currencies. Revenue on a constant currency basis was $122.57 billion for 2022, an increase of 4% compared to 2021. Our advertising revenue was impacted by a reduction in advertising demand during 2022 c</w:t>
      </w:r>
      <w:r>
        <w:rPr>
          <w:rFonts w:ascii="Times New Roman" w:eastAsia="宋体" w:hAnsi="Times New Roman"/>
          <w:color w:val="000000"/>
          <w:sz w:val="20"/>
          <w:szCs w:val="20"/>
          <w:shd w:val="clear" w:color="auto" w:fill="FFFFFF"/>
        </w:rPr>
        <w:t>ompared to 2021, which we believe was primarily driven by reduced marketer spending as a result of a more challenging macroeconomic environment, as well as limitations on our ad targeting and measurement tools arising from changes to iOS and the regulatory</w:t>
      </w:r>
      <w:r>
        <w:rPr>
          <w:rFonts w:ascii="Times New Roman" w:eastAsia="宋体" w:hAnsi="Times New Roman"/>
          <w:color w:val="000000"/>
          <w:sz w:val="20"/>
          <w:szCs w:val="20"/>
          <w:shd w:val="clear" w:color="auto" w:fill="FFFFFF"/>
        </w:rPr>
        <w:t xml:space="preserve"> environment. Our </w:t>
      </w:r>
      <w:r>
        <w:rPr>
          <w:rFonts w:ascii="Times New Roman" w:eastAsia="宋体" w:hAnsi="Times New Roman"/>
          <w:color w:val="000000"/>
          <w:sz w:val="20"/>
          <w:szCs w:val="20"/>
        </w:rPr>
        <w:t>average price per ad decreased by 16%</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year-over-year in </w:t>
      </w:r>
      <w:r>
        <w:rPr>
          <w:rFonts w:ascii="Times New Roman" w:eastAsia="宋体" w:hAnsi="Times New Roman"/>
          <w:color w:val="000000"/>
          <w:sz w:val="20"/>
          <w:szCs w:val="20"/>
          <w:shd w:val="clear" w:color="auto" w:fill="FFFFFF"/>
        </w:rPr>
        <w:t>2022, partially offset by a</w:t>
      </w:r>
      <w:r>
        <w:rPr>
          <w:rFonts w:ascii="Times New Roman" w:eastAsia="宋体" w:hAnsi="Times New Roman"/>
          <w:color w:val="000000"/>
          <w:sz w:val="20"/>
          <w:szCs w:val="20"/>
        </w:rPr>
        <w:t>n 18% year-over-year increase in ad impressions delivered across our Family of Apps.</w:t>
      </w:r>
    </w:p>
    <w:p w14:paraId="5CD8E3AD" w14:textId="77777777" w:rsidR="00BA49F5" w:rsidRDefault="00BA49F5">
      <w:pPr>
        <w:ind w:firstLine="540"/>
        <w:jc w:val="both"/>
      </w:pPr>
    </w:p>
    <w:p w14:paraId="5CD8E3AE" w14:textId="77777777" w:rsidR="00BA49F5" w:rsidRDefault="007E5E49">
      <w:pPr>
        <w:ind w:firstLine="540"/>
        <w:jc w:val="both"/>
      </w:pPr>
      <w:r>
        <w:rPr>
          <w:rFonts w:ascii="Times New Roman" w:eastAsia="宋体" w:hAnsi="Times New Roman"/>
          <w:color w:val="000000"/>
          <w:sz w:val="20"/>
          <w:szCs w:val="20"/>
          <w:shd w:val="clear" w:color="auto" w:fill="FFFFFF"/>
        </w:rPr>
        <w:t>Income from operations for 2022 was $28.94 billion, a decrease of $17</w:t>
      </w:r>
      <w:r>
        <w:rPr>
          <w:rFonts w:ascii="Times New Roman" w:eastAsia="宋体" w:hAnsi="Times New Roman"/>
          <w:color w:val="000000"/>
          <w:sz w:val="20"/>
          <w:szCs w:val="20"/>
          <w:shd w:val="clear" w:color="auto" w:fill="FFFFFF"/>
        </w:rPr>
        <w:t xml:space="preserve">.81 billion, or 38%, compared to 2021, mainly due to an increase in payroll and related expenses associated with a 20% increase in employee headcount particularly in </w:t>
      </w:r>
      <w:r>
        <w:rPr>
          <w:rFonts w:ascii="Times New Roman" w:eastAsia="宋体" w:hAnsi="Times New Roman"/>
          <w:color w:val="000000"/>
          <w:sz w:val="20"/>
          <w:szCs w:val="20"/>
        </w:rPr>
        <w:t xml:space="preserve">engineering and other technical functions </w:t>
      </w:r>
      <w:r>
        <w:rPr>
          <w:rFonts w:ascii="Times New Roman" w:eastAsia="宋体" w:hAnsi="Times New Roman"/>
          <w:color w:val="000000"/>
          <w:sz w:val="20"/>
          <w:szCs w:val="20"/>
          <w:shd w:val="clear" w:color="auto" w:fill="FFFFFF"/>
        </w:rPr>
        <w:t>and higher operational expenses related to our d</w:t>
      </w:r>
      <w:r>
        <w:rPr>
          <w:rFonts w:ascii="Times New Roman" w:eastAsia="宋体" w:hAnsi="Times New Roman"/>
          <w:color w:val="000000"/>
          <w:sz w:val="20"/>
          <w:szCs w:val="20"/>
          <w:shd w:val="clear" w:color="auto" w:fill="FFFFFF"/>
        </w:rPr>
        <w:t>ata centers and technical infrastructure. Starting in the third quarter of 2022, we began a series of cost management initiatives including facilities consolidation, a layoff of approximately 11,000 employees, and a pivot in our data center strategy, which</w:t>
      </w:r>
      <w:r>
        <w:rPr>
          <w:rFonts w:ascii="Times New Roman" w:eastAsia="宋体" w:hAnsi="Times New Roman"/>
          <w:color w:val="000000"/>
          <w:sz w:val="20"/>
          <w:szCs w:val="20"/>
          <w:shd w:val="clear" w:color="auto" w:fill="FFFFFF"/>
        </w:rPr>
        <w:t xml:space="preserve"> resulted in total restructuring charges of $4.61 billion in 2022. We expect we may incur significant additional restructuring charges as we continue to focus on cost efficiency measures through 2023. </w:t>
      </w:r>
    </w:p>
    <w:p w14:paraId="5CD8E3AF" w14:textId="77777777" w:rsidR="00BA49F5" w:rsidRDefault="007E5E49">
      <w:pPr>
        <w:jc w:val="center"/>
      </w:pPr>
      <w:r>
        <w:rPr>
          <w:rFonts w:ascii="Times New Roman" w:eastAsia="宋体" w:hAnsi="Times New Roman"/>
          <w:color w:val="000000"/>
          <w:sz w:val="20"/>
          <w:szCs w:val="20"/>
        </w:rPr>
        <w:t>54</w:t>
      </w:r>
    </w:p>
    <w:p w14:paraId="5CD8E3B0" w14:textId="77777777" w:rsidR="00BA49F5" w:rsidRDefault="007E5E49">
      <w:r>
        <w:pict w14:anchorId="5CD90D03">
          <v:rect id="_x0000_i1078" style="width:415.3pt;height:1.5pt" o:hralign="center" o:hrstd="t" o:hr="t" fillcolor="#a0a0a0" stroked="f"/>
        </w:pict>
      </w:r>
    </w:p>
    <w:p w14:paraId="5CD8E3B1" w14:textId="77777777" w:rsidR="00BA49F5" w:rsidRDefault="00BA49F5"/>
    <w:p w14:paraId="5CD8E3B2" w14:textId="77777777" w:rsidR="00BA49F5" w:rsidRDefault="00BA49F5"/>
    <w:p w14:paraId="5CD8E3B3" w14:textId="77777777" w:rsidR="00BA49F5" w:rsidRDefault="007E5E49">
      <w:hyperlink r:id="rId188" w:anchor="i6df229dad1864210ab76200083e26819_7" w:history="1">
        <w:r>
          <w:rPr>
            <w:rStyle w:val="a5"/>
            <w:rFonts w:ascii="Times New Roman" w:eastAsia="宋体" w:hAnsi="Times New Roman"/>
            <w:sz w:val="20"/>
            <w:szCs w:val="20"/>
          </w:rPr>
          <w:t>T</w:t>
        </w:r>
      </w:hyperlink>
      <w:hyperlink r:id="rId189" w:anchor="i6df229dad1864210ab76200083e26819_7" w:history="1">
        <w:r>
          <w:rPr>
            <w:rStyle w:val="a5"/>
            <w:rFonts w:ascii="Times New Roman" w:eastAsia="宋体" w:hAnsi="Times New Roman"/>
            <w:sz w:val="20"/>
            <w:szCs w:val="20"/>
          </w:rPr>
          <w:t>able of Contents</w:t>
        </w:r>
      </w:hyperlink>
    </w:p>
    <w:p w14:paraId="5CD8E3B4" w14:textId="77777777" w:rsidR="00BA49F5" w:rsidRDefault="007E5E49">
      <w:pPr>
        <w:jc w:val="both"/>
      </w:pPr>
      <w:r>
        <w:rPr>
          <w:rFonts w:ascii="Times New Roman" w:eastAsia="宋体" w:hAnsi="Times New Roman"/>
          <w:b/>
          <w:bCs/>
          <w:i/>
          <w:iCs/>
          <w:color w:val="000000"/>
          <w:sz w:val="20"/>
          <w:szCs w:val="20"/>
        </w:rPr>
        <w:t>Consolidated and Segment Results</w:t>
      </w:r>
    </w:p>
    <w:p w14:paraId="5CD8E3B5" w14:textId="77777777" w:rsidR="00BA49F5" w:rsidRDefault="00BA49F5">
      <w:pPr>
        <w:jc w:val="both"/>
      </w:pPr>
    </w:p>
    <w:p w14:paraId="5CD8E3B6" w14:textId="77777777" w:rsidR="00BA49F5" w:rsidRDefault="007E5E49">
      <w:pPr>
        <w:ind w:firstLine="540"/>
        <w:jc w:val="both"/>
      </w:pPr>
      <w:r>
        <w:rPr>
          <w:rFonts w:ascii="Times New Roman" w:eastAsia="宋体" w:hAnsi="Times New Roman"/>
          <w:color w:val="000000"/>
          <w:sz w:val="20"/>
          <w:szCs w:val="20"/>
          <w:shd w:val="clear" w:color="auto" w:fill="FFFFFF"/>
        </w:rPr>
        <w:t xml:space="preserve">We report our financial results for our </w:t>
      </w:r>
      <w:r>
        <w:rPr>
          <w:rFonts w:ascii="Times New Roman" w:eastAsia="宋体" w:hAnsi="Times New Roman"/>
          <w:color w:val="000000"/>
          <w:sz w:val="20"/>
          <w:szCs w:val="20"/>
        </w:rPr>
        <w:t>two</w:t>
      </w:r>
      <w:r>
        <w:rPr>
          <w:rFonts w:ascii="Times New Roman" w:eastAsia="宋体" w:hAnsi="Times New Roman"/>
          <w:color w:val="000000"/>
          <w:sz w:val="20"/>
          <w:szCs w:val="20"/>
          <w:shd w:val="clear" w:color="auto" w:fill="FFFFFF"/>
        </w:rPr>
        <w:t xml:space="preserve"> reportable segments: Family of Apps (FoA) and Reality Labs (RL). FoA includes Facebook, Instagram, Messenger, WhatsApp, and other services. RL includes our augmented and virtual reality related consumer hardware, software, and content.</w:t>
      </w:r>
    </w:p>
    <w:p w14:paraId="5CD8E3B7" w14:textId="77777777" w:rsidR="00BA49F5" w:rsidRDefault="00BA49F5"/>
    <w:tbl>
      <w:tblPr>
        <w:tblW w:w="5000" w:type="pct"/>
        <w:tblCellMar>
          <w:top w:w="15" w:type="dxa"/>
          <w:left w:w="15" w:type="dxa"/>
          <w:bottom w:w="15" w:type="dxa"/>
          <w:right w:w="15" w:type="dxa"/>
        </w:tblCellMar>
        <w:tblLook w:val="04A0" w:firstRow="1" w:lastRow="0" w:firstColumn="1" w:lastColumn="0" w:noHBand="0" w:noVBand="1"/>
      </w:tblPr>
      <w:tblGrid>
        <w:gridCol w:w="43"/>
        <w:gridCol w:w="782"/>
        <w:gridCol w:w="36"/>
        <w:gridCol w:w="100"/>
        <w:gridCol w:w="563"/>
        <w:gridCol w:w="154"/>
        <w:gridCol w:w="36"/>
        <w:gridCol w:w="35"/>
        <w:gridCol w:w="35"/>
        <w:gridCol w:w="101"/>
        <w:gridCol w:w="564"/>
        <w:gridCol w:w="155"/>
        <w:gridCol w:w="36"/>
        <w:gridCol w:w="36"/>
        <w:gridCol w:w="36"/>
        <w:gridCol w:w="62"/>
        <w:gridCol w:w="428"/>
        <w:gridCol w:w="36"/>
        <w:gridCol w:w="36"/>
        <w:gridCol w:w="36"/>
        <w:gridCol w:w="36"/>
        <w:gridCol w:w="101"/>
        <w:gridCol w:w="551"/>
        <w:gridCol w:w="155"/>
        <w:gridCol w:w="36"/>
        <w:gridCol w:w="36"/>
        <w:gridCol w:w="36"/>
        <w:gridCol w:w="101"/>
        <w:gridCol w:w="551"/>
        <w:gridCol w:w="155"/>
        <w:gridCol w:w="36"/>
        <w:gridCol w:w="36"/>
        <w:gridCol w:w="36"/>
        <w:gridCol w:w="62"/>
        <w:gridCol w:w="428"/>
        <w:gridCol w:w="36"/>
        <w:gridCol w:w="36"/>
        <w:gridCol w:w="36"/>
        <w:gridCol w:w="36"/>
        <w:gridCol w:w="101"/>
        <w:gridCol w:w="564"/>
        <w:gridCol w:w="155"/>
        <w:gridCol w:w="36"/>
        <w:gridCol w:w="36"/>
        <w:gridCol w:w="36"/>
        <w:gridCol w:w="101"/>
        <w:gridCol w:w="564"/>
        <w:gridCol w:w="155"/>
        <w:gridCol w:w="36"/>
        <w:gridCol w:w="36"/>
        <w:gridCol w:w="36"/>
        <w:gridCol w:w="62"/>
        <w:gridCol w:w="428"/>
        <w:gridCol w:w="36"/>
        <w:gridCol w:w="36"/>
        <w:gridCol w:w="36"/>
        <w:gridCol w:w="36"/>
        <w:gridCol w:w="36"/>
      </w:tblGrid>
      <w:tr w:rsidR="00BA49F5" w14:paraId="5CD8E3F2" w14:textId="77777777">
        <w:tc>
          <w:tcPr>
            <w:tcW w:w="50" w:type="pct"/>
            <w:shd w:val="clear" w:color="auto" w:fill="auto"/>
            <w:vAlign w:val="bottom"/>
          </w:tcPr>
          <w:p w14:paraId="5CD8E3B8" w14:textId="77777777" w:rsidR="00BA49F5" w:rsidRDefault="00BA49F5">
            <w:pPr>
              <w:rPr>
                <w:rFonts w:ascii="宋体"/>
              </w:rPr>
            </w:pPr>
          </w:p>
        </w:tc>
        <w:tc>
          <w:tcPr>
            <w:tcW w:w="956" w:type="pct"/>
            <w:shd w:val="clear" w:color="auto" w:fill="auto"/>
            <w:vAlign w:val="bottom"/>
          </w:tcPr>
          <w:p w14:paraId="5CD8E3B9" w14:textId="77777777" w:rsidR="00BA49F5" w:rsidRDefault="00BA49F5">
            <w:pPr>
              <w:rPr>
                <w:rFonts w:ascii="宋体"/>
              </w:rPr>
            </w:pPr>
          </w:p>
        </w:tc>
        <w:tc>
          <w:tcPr>
            <w:tcW w:w="5" w:type="pct"/>
            <w:shd w:val="clear" w:color="auto" w:fill="auto"/>
            <w:vAlign w:val="bottom"/>
          </w:tcPr>
          <w:p w14:paraId="5CD8E3BA" w14:textId="77777777" w:rsidR="00BA49F5" w:rsidRDefault="00BA49F5">
            <w:pPr>
              <w:rPr>
                <w:rFonts w:ascii="宋体"/>
              </w:rPr>
            </w:pPr>
          </w:p>
        </w:tc>
        <w:tc>
          <w:tcPr>
            <w:tcW w:w="50" w:type="pct"/>
            <w:shd w:val="clear" w:color="auto" w:fill="auto"/>
            <w:vAlign w:val="bottom"/>
          </w:tcPr>
          <w:p w14:paraId="5CD8E3BB" w14:textId="77777777" w:rsidR="00BA49F5" w:rsidRDefault="00BA49F5">
            <w:pPr>
              <w:rPr>
                <w:rFonts w:ascii="宋体"/>
              </w:rPr>
            </w:pPr>
          </w:p>
        </w:tc>
        <w:tc>
          <w:tcPr>
            <w:tcW w:w="361" w:type="pct"/>
            <w:shd w:val="clear" w:color="auto" w:fill="auto"/>
            <w:vAlign w:val="bottom"/>
          </w:tcPr>
          <w:p w14:paraId="5CD8E3BC" w14:textId="77777777" w:rsidR="00BA49F5" w:rsidRDefault="00BA49F5">
            <w:pPr>
              <w:rPr>
                <w:rFonts w:ascii="宋体"/>
              </w:rPr>
            </w:pPr>
          </w:p>
        </w:tc>
        <w:tc>
          <w:tcPr>
            <w:tcW w:w="5" w:type="pct"/>
            <w:shd w:val="clear" w:color="auto" w:fill="auto"/>
            <w:vAlign w:val="bottom"/>
          </w:tcPr>
          <w:p w14:paraId="5CD8E3BD" w14:textId="77777777" w:rsidR="00BA49F5" w:rsidRDefault="00BA49F5">
            <w:pPr>
              <w:rPr>
                <w:rFonts w:ascii="宋体"/>
              </w:rPr>
            </w:pPr>
          </w:p>
        </w:tc>
        <w:tc>
          <w:tcPr>
            <w:tcW w:w="5" w:type="pct"/>
            <w:shd w:val="clear" w:color="auto" w:fill="auto"/>
            <w:vAlign w:val="bottom"/>
          </w:tcPr>
          <w:p w14:paraId="5CD8E3BE" w14:textId="77777777" w:rsidR="00BA49F5" w:rsidRDefault="00BA49F5">
            <w:pPr>
              <w:rPr>
                <w:rFonts w:ascii="宋体"/>
              </w:rPr>
            </w:pPr>
          </w:p>
        </w:tc>
        <w:tc>
          <w:tcPr>
            <w:tcW w:w="19" w:type="pct"/>
            <w:shd w:val="clear" w:color="auto" w:fill="auto"/>
            <w:vAlign w:val="bottom"/>
          </w:tcPr>
          <w:p w14:paraId="5CD8E3BF" w14:textId="77777777" w:rsidR="00BA49F5" w:rsidRDefault="00BA49F5">
            <w:pPr>
              <w:rPr>
                <w:rFonts w:ascii="宋体"/>
              </w:rPr>
            </w:pPr>
          </w:p>
        </w:tc>
        <w:tc>
          <w:tcPr>
            <w:tcW w:w="5" w:type="pct"/>
            <w:shd w:val="clear" w:color="auto" w:fill="auto"/>
            <w:vAlign w:val="bottom"/>
          </w:tcPr>
          <w:p w14:paraId="5CD8E3C0" w14:textId="77777777" w:rsidR="00BA49F5" w:rsidRDefault="00BA49F5">
            <w:pPr>
              <w:rPr>
                <w:rFonts w:ascii="宋体"/>
              </w:rPr>
            </w:pPr>
          </w:p>
        </w:tc>
        <w:tc>
          <w:tcPr>
            <w:tcW w:w="50" w:type="pct"/>
            <w:shd w:val="clear" w:color="auto" w:fill="auto"/>
            <w:vAlign w:val="bottom"/>
          </w:tcPr>
          <w:p w14:paraId="5CD8E3C1" w14:textId="77777777" w:rsidR="00BA49F5" w:rsidRDefault="00BA49F5">
            <w:pPr>
              <w:rPr>
                <w:rFonts w:ascii="宋体"/>
              </w:rPr>
            </w:pPr>
          </w:p>
        </w:tc>
        <w:tc>
          <w:tcPr>
            <w:tcW w:w="361" w:type="pct"/>
            <w:shd w:val="clear" w:color="auto" w:fill="auto"/>
            <w:vAlign w:val="bottom"/>
          </w:tcPr>
          <w:p w14:paraId="5CD8E3C2" w14:textId="77777777" w:rsidR="00BA49F5" w:rsidRDefault="00BA49F5">
            <w:pPr>
              <w:rPr>
                <w:rFonts w:ascii="宋体"/>
              </w:rPr>
            </w:pPr>
          </w:p>
        </w:tc>
        <w:tc>
          <w:tcPr>
            <w:tcW w:w="5" w:type="pct"/>
            <w:shd w:val="clear" w:color="auto" w:fill="auto"/>
            <w:vAlign w:val="bottom"/>
          </w:tcPr>
          <w:p w14:paraId="5CD8E3C3" w14:textId="77777777" w:rsidR="00BA49F5" w:rsidRDefault="00BA49F5">
            <w:pPr>
              <w:rPr>
                <w:rFonts w:ascii="宋体"/>
              </w:rPr>
            </w:pPr>
          </w:p>
        </w:tc>
        <w:tc>
          <w:tcPr>
            <w:tcW w:w="5" w:type="pct"/>
            <w:shd w:val="clear" w:color="auto" w:fill="auto"/>
            <w:vAlign w:val="bottom"/>
          </w:tcPr>
          <w:p w14:paraId="5CD8E3C4" w14:textId="77777777" w:rsidR="00BA49F5" w:rsidRDefault="00BA49F5">
            <w:pPr>
              <w:rPr>
                <w:rFonts w:ascii="宋体"/>
              </w:rPr>
            </w:pPr>
          </w:p>
        </w:tc>
        <w:tc>
          <w:tcPr>
            <w:tcW w:w="19" w:type="pct"/>
            <w:shd w:val="clear" w:color="auto" w:fill="auto"/>
            <w:vAlign w:val="bottom"/>
          </w:tcPr>
          <w:p w14:paraId="5CD8E3C5" w14:textId="77777777" w:rsidR="00BA49F5" w:rsidRDefault="00BA49F5">
            <w:pPr>
              <w:rPr>
                <w:rFonts w:ascii="宋体"/>
              </w:rPr>
            </w:pPr>
          </w:p>
        </w:tc>
        <w:tc>
          <w:tcPr>
            <w:tcW w:w="5" w:type="pct"/>
            <w:shd w:val="clear" w:color="auto" w:fill="auto"/>
            <w:vAlign w:val="bottom"/>
          </w:tcPr>
          <w:p w14:paraId="5CD8E3C6" w14:textId="77777777" w:rsidR="00BA49F5" w:rsidRDefault="00BA49F5">
            <w:pPr>
              <w:rPr>
                <w:rFonts w:ascii="宋体"/>
              </w:rPr>
            </w:pPr>
          </w:p>
        </w:tc>
        <w:tc>
          <w:tcPr>
            <w:tcW w:w="50" w:type="pct"/>
            <w:shd w:val="clear" w:color="auto" w:fill="auto"/>
            <w:vAlign w:val="bottom"/>
          </w:tcPr>
          <w:p w14:paraId="5CD8E3C7" w14:textId="77777777" w:rsidR="00BA49F5" w:rsidRDefault="00BA49F5">
            <w:pPr>
              <w:rPr>
                <w:rFonts w:ascii="宋体"/>
              </w:rPr>
            </w:pPr>
          </w:p>
        </w:tc>
        <w:tc>
          <w:tcPr>
            <w:tcW w:w="361" w:type="pct"/>
            <w:shd w:val="clear" w:color="auto" w:fill="auto"/>
            <w:vAlign w:val="bottom"/>
          </w:tcPr>
          <w:p w14:paraId="5CD8E3C8" w14:textId="77777777" w:rsidR="00BA49F5" w:rsidRDefault="00BA49F5">
            <w:pPr>
              <w:rPr>
                <w:rFonts w:ascii="宋体"/>
              </w:rPr>
            </w:pPr>
          </w:p>
        </w:tc>
        <w:tc>
          <w:tcPr>
            <w:tcW w:w="5" w:type="pct"/>
            <w:shd w:val="clear" w:color="auto" w:fill="auto"/>
            <w:vAlign w:val="bottom"/>
          </w:tcPr>
          <w:p w14:paraId="5CD8E3C9" w14:textId="77777777" w:rsidR="00BA49F5" w:rsidRDefault="00BA49F5">
            <w:pPr>
              <w:rPr>
                <w:rFonts w:ascii="宋体"/>
              </w:rPr>
            </w:pPr>
          </w:p>
        </w:tc>
        <w:tc>
          <w:tcPr>
            <w:tcW w:w="5" w:type="pct"/>
            <w:shd w:val="clear" w:color="auto" w:fill="auto"/>
            <w:vAlign w:val="bottom"/>
          </w:tcPr>
          <w:p w14:paraId="5CD8E3CA" w14:textId="77777777" w:rsidR="00BA49F5" w:rsidRDefault="00BA49F5">
            <w:pPr>
              <w:rPr>
                <w:rFonts w:ascii="宋体"/>
              </w:rPr>
            </w:pPr>
          </w:p>
        </w:tc>
        <w:tc>
          <w:tcPr>
            <w:tcW w:w="19" w:type="pct"/>
            <w:shd w:val="clear" w:color="auto" w:fill="auto"/>
            <w:vAlign w:val="bottom"/>
          </w:tcPr>
          <w:p w14:paraId="5CD8E3CB" w14:textId="77777777" w:rsidR="00BA49F5" w:rsidRDefault="00BA49F5">
            <w:pPr>
              <w:rPr>
                <w:rFonts w:ascii="宋体"/>
              </w:rPr>
            </w:pPr>
          </w:p>
        </w:tc>
        <w:tc>
          <w:tcPr>
            <w:tcW w:w="5" w:type="pct"/>
            <w:shd w:val="clear" w:color="auto" w:fill="auto"/>
            <w:vAlign w:val="bottom"/>
          </w:tcPr>
          <w:p w14:paraId="5CD8E3CC" w14:textId="77777777" w:rsidR="00BA49F5" w:rsidRDefault="00BA49F5">
            <w:pPr>
              <w:rPr>
                <w:rFonts w:ascii="宋体"/>
              </w:rPr>
            </w:pPr>
          </w:p>
        </w:tc>
        <w:tc>
          <w:tcPr>
            <w:tcW w:w="50" w:type="pct"/>
            <w:shd w:val="clear" w:color="auto" w:fill="auto"/>
            <w:vAlign w:val="bottom"/>
          </w:tcPr>
          <w:p w14:paraId="5CD8E3CD" w14:textId="77777777" w:rsidR="00BA49F5" w:rsidRDefault="00BA49F5">
            <w:pPr>
              <w:rPr>
                <w:rFonts w:ascii="宋体"/>
              </w:rPr>
            </w:pPr>
          </w:p>
        </w:tc>
        <w:tc>
          <w:tcPr>
            <w:tcW w:w="361" w:type="pct"/>
            <w:shd w:val="clear" w:color="auto" w:fill="auto"/>
            <w:vAlign w:val="bottom"/>
          </w:tcPr>
          <w:p w14:paraId="5CD8E3CE" w14:textId="77777777" w:rsidR="00BA49F5" w:rsidRDefault="00BA49F5">
            <w:pPr>
              <w:rPr>
                <w:rFonts w:ascii="宋体"/>
              </w:rPr>
            </w:pPr>
          </w:p>
        </w:tc>
        <w:tc>
          <w:tcPr>
            <w:tcW w:w="5" w:type="pct"/>
            <w:shd w:val="clear" w:color="auto" w:fill="auto"/>
            <w:vAlign w:val="bottom"/>
          </w:tcPr>
          <w:p w14:paraId="5CD8E3CF" w14:textId="77777777" w:rsidR="00BA49F5" w:rsidRDefault="00BA49F5">
            <w:pPr>
              <w:rPr>
                <w:rFonts w:ascii="宋体"/>
              </w:rPr>
            </w:pPr>
          </w:p>
        </w:tc>
        <w:tc>
          <w:tcPr>
            <w:tcW w:w="5" w:type="pct"/>
            <w:shd w:val="clear" w:color="auto" w:fill="auto"/>
            <w:vAlign w:val="bottom"/>
          </w:tcPr>
          <w:p w14:paraId="5CD8E3D0" w14:textId="77777777" w:rsidR="00BA49F5" w:rsidRDefault="00BA49F5">
            <w:pPr>
              <w:rPr>
                <w:rFonts w:ascii="宋体"/>
              </w:rPr>
            </w:pPr>
          </w:p>
        </w:tc>
        <w:tc>
          <w:tcPr>
            <w:tcW w:w="19" w:type="pct"/>
            <w:shd w:val="clear" w:color="auto" w:fill="auto"/>
            <w:vAlign w:val="bottom"/>
          </w:tcPr>
          <w:p w14:paraId="5CD8E3D1" w14:textId="77777777" w:rsidR="00BA49F5" w:rsidRDefault="00BA49F5">
            <w:pPr>
              <w:rPr>
                <w:rFonts w:ascii="宋体"/>
              </w:rPr>
            </w:pPr>
          </w:p>
        </w:tc>
        <w:tc>
          <w:tcPr>
            <w:tcW w:w="5" w:type="pct"/>
            <w:shd w:val="clear" w:color="auto" w:fill="auto"/>
            <w:vAlign w:val="bottom"/>
          </w:tcPr>
          <w:p w14:paraId="5CD8E3D2" w14:textId="77777777" w:rsidR="00BA49F5" w:rsidRDefault="00BA49F5">
            <w:pPr>
              <w:rPr>
                <w:rFonts w:ascii="宋体"/>
              </w:rPr>
            </w:pPr>
          </w:p>
        </w:tc>
        <w:tc>
          <w:tcPr>
            <w:tcW w:w="50" w:type="pct"/>
            <w:shd w:val="clear" w:color="auto" w:fill="auto"/>
            <w:vAlign w:val="bottom"/>
          </w:tcPr>
          <w:p w14:paraId="5CD8E3D3" w14:textId="77777777" w:rsidR="00BA49F5" w:rsidRDefault="00BA49F5">
            <w:pPr>
              <w:rPr>
                <w:rFonts w:ascii="宋体"/>
              </w:rPr>
            </w:pPr>
          </w:p>
        </w:tc>
        <w:tc>
          <w:tcPr>
            <w:tcW w:w="361" w:type="pct"/>
            <w:shd w:val="clear" w:color="auto" w:fill="auto"/>
            <w:vAlign w:val="bottom"/>
          </w:tcPr>
          <w:p w14:paraId="5CD8E3D4" w14:textId="77777777" w:rsidR="00BA49F5" w:rsidRDefault="00BA49F5">
            <w:pPr>
              <w:rPr>
                <w:rFonts w:ascii="宋体"/>
              </w:rPr>
            </w:pPr>
          </w:p>
        </w:tc>
        <w:tc>
          <w:tcPr>
            <w:tcW w:w="5" w:type="pct"/>
            <w:shd w:val="clear" w:color="auto" w:fill="auto"/>
            <w:vAlign w:val="bottom"/>
          </w:tcPr>
          <w:p w14:paraId="5CD8E3D5" w14:textId="77777777" w:rsidR="00BA49F5" w:rsidRDefault="00BA49F5">
            <w:pPr>
              <w:rPr>
                <w:rFonts w:ascii="宋体"/>
              </w:rPr>
            </w:pPr>
          </w:p>
        </w:tc>
        <w:tc>
          <w:tcPr>
            <w:tcW w:w="5" w:type="pct"/>
            <w:shd w:val="clear" w:color="auto" w:fill="auto"/>
            <w:vAlign w:val="bottom"/>
          </w:tcPr>
          <w:p w14:paraId="5CD8E3D6" w14:textId="77777777" w:rsidR="00BA49F5" w:rsidRDefault="00BA49F5">
            <w:pPr>
              <w:rPr>
                <w:rFonts w:ascii="宋体"/>
              </w:rPr>
            </w:pPr>
          </w:p>
        </w:tc>
        <w:tc>
          <w:tcPr>
            <w:tcW w:w="19" w:type="pct"/>
            <w:shd w:val="clear" w:color="auto" w:fill="auto"/>
            <w:vAlign w:val="bottom"/>
          </w:tcPr>
          <w:p w14:paraId="5CD8E3D7" w14:textId="77777777" w:rsidR="00BA49F5" w:rsidRDefault="00BA49F5">
            <w:pPr>
              <w:rPr>
                <w:rFonts w:ascii="宋体"/>
              </w:rPr>
            </w:pPr>
          </w:p>
        </w:tc>
        <w:tc>
          <w:tcPr>
            <w:tcW w:w="5" w:type="pct"/>
            <w:shd w:val="clear" w:color="auto" w:fill="auto"/>
            <w:vAlign w:val="bottom"/>
          </w:tcPr>
          <w:p w14:paraId="5CD8E3D8" w14:textId="77777777" w:rsidR="00BA49F5" w:rsidRDefault="00BA49F5">
            <w:pPr>
              <w:rPr>
                <w:rFonts w:ascii="宋体"/>
              </w:rPr>
            </w:pPr>
          </w:p>
        </w:tc>
        <w:tc>
          <w:tcPr>
            <w:tcW w:w="50" w:type="pct"/>
            <w:shd w:val="clear" w:color="auto" w:fill="auto"/>
            <w:vAlign w:val="bottom"/>
          </w:tcPr>
          <w:p w14:paraId="5CD8E3D9" w14:textId="77777777" w:rsidR="00BA49F5" w:rsidRDefault="00BA49F5">
            <w:pPr>
              <w:rPr>
                <w:rFonts w:ascii="宋体"/>
              </w:rPr>
            </w:pPr>
          </w:p>
        </w:tc>
        <w:tc>
          <w:tcPr>
            <w:tcW w:w="361" w:type="pct"/>
            <w:shd w:val="clear" w:color="auto" w:fill="auto"/>
            <w:vAlign w:val="bottom"/>
          </w:tcPr>
          <w:p w14:paraId="5CD8E3DA" w14:textId="77777777" w:rsidR="00BA49F5" w:rsidRDefault="00BA49F5">
            <w:pPr>
              <w:rPr>
                <w:rFonts w:ascii="宋体"/>
              </w:rPr>
            </w:pPr>
          </w:p>
        </w:tc>
        <w:tc>
          <w:tcPr>
            <w:tcW w:w="5" w:type="pct"/>
            <w:shd w:val="clear" w:color="auto" w:fill="auto"/>
            <w:vAlign w:val="bottom"/>
          </w:tcPr>
          <w:p w14:paraId="5CD8E3DB" w14:textId="77777777" w:rsidR="00BA49F5" w:rsidRDefault="00BA49F5">
            <w:pPr>
              <w:rPr>
                <w:rFonts w:ascii="宋体"/>
              </w:rPr>
            </w:pPr>
          </w:p>
        </w:tc>
        <w:tc>
          <w:tcPr>
            <w:tcW w:w="5" w:type="pct"/>
            <w:shd w:val="clear" w:color="auto" w:fill="auto"/>
            <w:vAlign w:val="bottom"/>
          </w:tcPr>
          <w:p w14:paraId="5CD8E3DC" w14:textId="77777777" w:rsidR="00BA49F5" w:rsidRDefault="00BA49F5">
            <w:pPr>
              <w:rPr>
                <w:rFonts w:ascii="宋体"/>
              </w:rPr>
            </w:pPr>
          </w:p>
        </w:tc>
        <w:tc>
          <w:tcPr>
            <w:tcW w:w="19" w:type="pct"/>
            <w:shd w:val="clear" w:color="auto" w:fill="auto"/>
            <w:vAlign w:val="bottom"/>
          </w:tcPr>
          <w:p w14:paraId="5CD8E3DD" w14:textId="77777777" w:rsidR="00BA49F5" w:rsidRDefault="00BA49F5">
            <w:pPr>
              <w:rPr>
                <w:rFonts w:ascii="宋体"/>
              </w:rPr>
            </w:pPr>
          </w:p>
        </w:tc>
        <w:tc>
          <w:tcPr>
            <w:tcW w:w="5" w:type="pct"/>
            <w:shd w:val="clear" w:color="auto" w:fill="auto"/>
            <w:vAlign w:val="bottom"/>
          </w:tcPr>
          <w:p w14:paraId="5CD8E3DE" w14:textId="77777777" w:rsidR="00BA49F5" w:rsidRDefault="00BA49F5">
            <w:pPr>
              <w:rPr>
                <w:rFonts w:ascii="宋体"/>
              </w:rPr>
            </w:pPr>
          </w:p>
        </w:tc>
        <w:tc>
          <w:tcPr>
            <w:tcW w:w="50" w:type="pct"/>
            <w:shd w:val="clear" w:color="auto" w:fill="auto"/>
            <w:vAlign w:val="bottom"/>
          </w:tcPr>
          <w:p w14:paraId="5CD8E3DF" w14:textId="77777777" w:rsidR="00BA49F5" w:rsidRDefault="00BA49F5">
            <w:pPr>
              <w:rPr>
                <w:rFonts w:ascii="宋体"/>
              </w:rPr>
            </w:pPr>
          </w:p>
        </w:tc>
        <w:tc>
          <w:tcPr>
            <w:tcW w:w="361" w:type="pct"/>
            <w:shd w:val="clear" w:color="auto" w:fill="auto"/>
            <w:vAlign w:val="bottom"/>
          </w:tcPr>
          <w:p w14:paraId="5CD8E3E0" w14:textId="77777777" w:rsidR="00BA49F5" w:rsidRDefault="00BA49F5">
            <w:pPr>
              <w:rPr>
                <w:rFonts w:ascii="宋体"/>
              </w:rPr>
            </w:pPr>
          </w:p>
        </w:tc>
        <w:tc>
          <w:tcPr>
            <w:tcW w:w="5" w:type="pct"/>
            <w:shd w:val="clear" w:color="auto" w:fill="auto"/>
            <w:vAlign w:val="bottom"/>
          </w:tcPr>
          <w:p w14:paraId="5CD8E3E1" w14:textId="77777777" w:rsidR="00BA49F5" w:rsidRDefault="00BA49F5">
            <w:pPr>
              <w:rPr>
                <w:rFonts w:ascii="宋体"/>
              </w:rPr>
            </w:pPr>
          </w:p>
        </w:tc>
        <w:tc>
          <w:tcPr>
            <w:tcW w:w="5" w:type="pct"/>
            <w:shd w:val="clear" w:color="auto" w:fill="auto"/>
            <w:vAlign w:val="bottom"/>
          </w:tcPr>
          <w:p w14:paraId="5CD8E3E2" w14:textId="77777777" w:rsidR="00BA49F5" w:rsidRDefault="00BA49F5">
            <w:pPr>
              <w:rPr>
                <w:rFonts w:ascii="宋体"/>
              </w:rPr>
            </w:pPr>
          </w:p>
        </w:tc>
        <w:tc>
          <w:tcPr>
            <w:tcW w:w="19" w:type="pct"/>
            <w:shd w:val="clear" w:color="auto" w:fill="auto"/>
            <w:vAlign w:val="bottom"/>
          </w:tcPr>
          <w:p w14:paraId="5CD8E3E3" w14:textId="77777777" w:rsidR="00BA49F5" w:rsidRDefault="00BA49F5">
            <w:pPr>
              <w:rPr>
                <w:rFonts w:ascii="宋体"/>
              </w:rPr>
            </w:pPr>
          </w:p>
        </w:tc>
        <w:tc>
          <w:tcPr>
            <w:tcW w:w="5" w:type="pct"/>
            <w:shd w:val="clear" w:color="auto" w:fill="auto"/>
            <w:vAlign w:val="bottom"/>
          </w:tcPr>
          <w:p w14:paraId="5CD8E3E4" w14:textId="77777777" w:rsidR="00BA49F5" w:rsidRDefault="00BA49F5">
            <w:pPr>
              <w:rPr>
                <w:rFonts w:ascii="宋体"/>
              </w:rPr>
            </w:pPr>
          </w:p>
        </w:tc>
        <w:tc>
          <w:tcPr>
            <w:tcW w:w="50" w:type="pct"/>
            <w:shd w:val="clear" w:color="auto" w:fill="auto"/>
            <w:vAlign w:val="bottom"/>
          </w:tcPr>
          <w:p w14:paraId="5CD8E3E5" w14:textId="77777777" w:rsidR="00BA49F5" w:rsidRDefault="00BA49F5">
            <w:pPr>
              <w:rPr>
                <w:rFonts w:ascii="宋体"/>
              </w:rPr>
            </w:pPr>
          </w:p>
        </w:tc>
        <w:tc>
          <w:tcPr>
            <w:tcW w:w="361" w:type="pct"/>
            <w:shd w:val="clear" w:color="auto" w:fill="auto"/>
            <w:vAlign w:val="bottom"/>
          </w:tcPr>
          <w:p w14:paraId="5CD8E3E6" w14:textId="77777777" w:rsidR="00BA49F5" w:rsidRDefault="00BA49F5">
            <w:pPr>
              <w:rPr>
                <w:rFonts w:ascii="宋体"/>
              </w:rPr>
            </w:pPr>
          </w:p>
        </w:tc>
        <w:tc>
          <w:tcPr>
            <w:tcW w:w="5" w:type="pct"/>
            <w:shd w:val="clear" w:color="auto" w:fill="auto"/>
            <w:vAlign w:val="bottom"/>
          </w:tcPr>
          <w:p w14:paraId="5CD8E3E7" w14:textId="77777777" w:rsidR="00BA49F5" w:rsidRDefault="00BA49F5">
            <w:pPr>
              <w:rPr>
                <w:rFonts w:ascii="宋体"/>
              </w:rPr>
            </w:pPr>
          </w:p>
        </w:tc>
        <w:tc>
          <w:tcPr>
            <w:tcW w:w="5" w:type="pct"/>
            <w:shd w:val="clear" w:color="auto" w:fill="auto"/>
            <w:vAlign w:val="bottom"/>
          </w:tcPr>
          <w:p w14:paraId="5CD8E3E8" w14:textId="77777777" w:rsidR="00BA49F5" w:rsidRDefault="00BA49F5">
            <w:pPr>
              <w:rPr>
                <w:rFonts w:ascii="宋体"/>
              </w:rPr>
            </w:pPr>
          </w:p>
        </w:tc>
        <w:tc>
          <w:tcPr>
            <w:tcW w:w="19" w:type="pct"/>
            <w:shd w:val="clear" w:color="auto" w:fill="auto"/>
            <w:vAlign w:val="bottom"/>
          </w:tcPr>
          <w:p w14:paraId="5CD8E3E9" w14:textId="77777777" w:rsidR="00BA49F5" w:rsidRDefault="00BA49F5">
            <w:pPr>
              <w:rPr>
                <w:rFonts w:ascii="宋体"/>
              </w:rPr>
            </w:pPr>
          </w:p>
        </w:tc>
        <w:tc>
          <w:tcPr>
            <w:tcW w:w="5" w:type="pct"/>
            <w:shd w:val="clear" w:color="auto" w:fill="auto"/>
            <w:vAlign w:val="bottom"/>
          </w:tcPr>
          <w:p w14:paraId="5CD8E3EA" w14:textId="77777777" w:rsidR="00BA49F5" w:rsidRDefault="00BA49F5">
            <w:pPr>
              <w:rPr>
                <w:rFonts w:ascii="宋体"/>
              </w:rPr>
            </w:pPr>
          </w:p>
        </w:tc>
        <w:tc>
          <w:tcPr>
            <w:tcW w:w="50" w:type="pct"/>
            <w:shd w:val="clear" w:color="auto" w:fill="auto"/>
            <w:vAlign w:val="bottom"/>
          </w:tcPr>
          <w:p w14:paraId="5CD8E3EB" w14:textId="77777777" w:rsidR="00BA49F5" w:rsidRDefault="00BA49F5">
            <w:pPr>
              <w:rPr>
                <w:rFonts w:ascii="宋体"/>
              </w:rPr>
            </w:pPr>
          </w:p>
        </w:tc>
        <w:tc>
          <w:tcPr>
            <w:tcW w:w="361" w:type="pct"/>
            <w:shd w:val="clear" w:color="auto" w:fill="auto"/>
            <w:vAlign w:val="bottom"/>
          </w:tcPr>
          <w:p w14:paraId="5CD8E3EC" w14:textId="77777777" w:rsidR="00BA49F5" w:rsidRDefault="00BA49F5">
            <w:pPr>
              <w:rPr>
                <w:rFonts w:ascii="宋体"/>
              </w:rPr>
            </w:pPr>
          </w:p>
        </w:tc>
        <w:tc>
          <w:tcPr>
            <w:tcW w:w="5" w:type="pct"/>
            <w:shd w:val="clear" w:color="auto" w:fill="auto"/>
            <w:vAlign w:val="bottom"/>
          </w:tcPr>
          <w:p w14:paraId="5CD8E3ED" w14:textId="77777777" w:rsidR="00BA49F5" w:rsidRDefault="00BA49F5">
            <w:pPr>
              <w:rPr>
                <w:rFonts w:ascii="宋体"/>
              </w:rPr>
            </w:pPr>
          </w:p>
        </w:tc>
        <w:tc>
          <w:tcPr>
            <w:tcW w:w="0" w:type="auto"/>
            <w:shd w:val="clear" w:color="auto" w:fill="auto"/>
            <w:vAlign w:val="bottom"/>
          </w:tcPr>
          <w:p w14:paraId="5CD8E3EE" w14:textId="77777777" w:rsidR="00BA49F5" w:rsidRDefault="00BA49F5">
            <w:pPr>
              <w:rPr>
                <w:rFonts w:ascii="宋体"/>
                <w:vanish/>
              </w:rPr>
            </w:pPr>
          </w:p>
        </w:tc>
        <w:tc>
          <w:tcPr>
            <w:tcW w:w="0" w:type="auto"/>
            <w:shd w:val="clear" w:color="auto" w:fill="auto"/>
            <w:vAlign w:val="bottom"/>
          </w:tcPr>
          <w:p w14:paraId="5CD8E3EF" w14:textId="77777777" w:rsidR="00BA49F5" w:rsidRDefault="00BA49F5">
            <w:pPr>
              <w:rPr>
                <w:rFonts w:ascii="宋体"/>
                <w:vanish/>
              </w:rPr>
            </w:pPr>
          </w:p>
        </w:tc>
        <w:tc>
          <w:tcPr>
            <w:tcW w:w="0" w:type="auto"/>
            <w:shd w:val="clear" w:color="auto" w:fill="auto"/>
            <w:vAlign w:val="bottom"/>
          </w:tcPr>
          <w:p w14:paraId="5CD8E3F0" w14:textId="77777777" w:rsidR="00BA49F5" w:rsidRDefault="00BA49F5">
            <w:pPr>
              <w:rPr>
                <w:rFonts w:ascii="宋体"/>
                <w:vanish/>
              </w:rPr>
            </w:pPr>
          </w:p>
        </w:tc>
        <w:tc>
          <w:tcPr>
            <w:tcW w:w="0" w:type="auto"/>
            <w:shd w:val="clear" w:color="auto" w:fill="auto"/>
            <w:vAlign w:val="bottom"/>
          </w:tcPr>
          <w:p w14:paraId="5CD8E3F1" w14:textId="77777777" w:rsidR="00BA49F5" w:rsidRDefault="00BA49F5">
            <w:pPr>
              <w:rPr>
                <w:rFonts w:ascii="宋体"/>
                <w:vanish/>
              </w:rPr>
            </w:pPr>
          </w:p>
        </w:tc>
      </w:tr>
      <w:tr w:rsidR="00BA49F5" w14:paraId="5CD8E3FD" w14:textId="77777777">
        <w:tc>
          <w:tcPr>
            <w:tcW w:w="0" w:type="auto"/>
            <w:gridSpan w:val="3"/>
            <w:shd w:val="clear" w:color="auto" w:fill="auto"/>
            <w:tcMar>
              <w:top w:w="0" w:type="dxa"/>
              <w:left w:w="20" w:type="dxa"/>
              <w:bottom w:w="0" w:type="dxa"/>
              <w:right w:w="20" w:type="dxa"/>
            </w:tcMar>
            <w:vAlign w:val="bottom"/>
          </w:tcPr>
          <w:p w14:paraId="5CD8E3F3"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center"/>
          </w:tcPr>
          <w:p w14:paraId="5CD8E3F4" w14:textId="77777777" w:rsidR="00BA49F5" w:rsidRDefault="007E5E49">
            <w:pPr>
              <w:jc w:val="center"/>
              <w:textAlignment w:val="center"/>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5CD8E3F5"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center"/>
          </w:tcPr>
          <w:p w14:paraId="5CD8E3F6" w14:textId="77777777" w:rsidR="00BA49F5" w:rsidRDefault="007E5E49">
            <w:pPr>
              <w:jc w:val="center"/>
              <w:textAlignment w:val="center"/>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5CD8E3F7"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center"/>
          </w:tcPr>
          <w:p w14:paraId="5CD8E3F8" w14:textId="77777777" w:rsidR="00BA49F5" w:rsidRDefault="007E5E49">
            <w:pPr>
              <w:jc w:val="center"/>
              <w:textAlignment w:val="center"/>
            </w:pPr>
            <w:r>
              <w:rPr>
                <w:rFonts w:ascii="Times New Roman" w:eastAsia="宋体" w:hAnsi="Times New Roman"/>
                <w:b/>
                <w:bCs/>
                <w:color w:val="000000"/>
                <w:sz w:val="16"/>
                <w:szCs w:val="16"/>
              </w:rPr>
              <w:t>Total</w:t>
            </w:r>
          </w:p>
        </w:tc>
        <w:tc>
          <w:tcPr>
            <w:tcW w:w="0" w:type="auto"/>
            <w:shd w:val="clear" w:color="auto" w:fill="auto"/>
            <w:vAlign w:val="bottom"/>
          </w:tcPr>
          <w:p w14:paraId="5CD8E3F9" w14:textId="77777777" w:rsidR="00BA49F5" w:rsidRDefault="00BA49F5">
            <w:pPr>
              <w:rPr>
                <w:rFonts w:ascii="宋体"/>
                <w:vanish/>
              </w:rPr>
            </w:pPr>
          </w:p>
        </w:tc>
        <w:tc>
          <w:tcPr>
            <w:tcW w:w="0" w:type="auto"/>
            <w:shd w:val="clear" w:color="auto" w:fill="auto"/>
            <w:vAlign w:val="bottom"/>
          </w:tcPr>
          <w:p w14:paraId="5CD8E3FA" w14:textId="77777777" w:rsidR="00BA49F5" w:rsidRDefault="00BA49F5">
            <w:pPr>
              <w:rPr>
                <w:rFonts w:ascii="宋体"/>
                <w:vanish/>
              </w:rPr>
            </w:pPr>
          </w:p>
        </w:tc>
        <w:tc>
          <w:tcPr>
            <w:tcW w:w="0" w:type="auto"/>
            <w:shd w:val="clear" w:color="auto" w:fill="auto"/>
            <w:vAlign w:val="bottom"/>
          </w:tcPr>
          <w:p w14:paraId="5CD8E3FB" w14:textId="77777777" w:rsidR="00BA49F5" w:rsidRDefault="00BA49F5">
            <w:pPr>
              <w:rPr>
                <w:rFonts w:ascii="宋体"/>
                <w:vanish/>
              </w:rPr>
            </w:pPr>
          </w:p>
        </w:tc>
        <w:tc>
          <w:tcPr>
            <w:tcW w:w="0" w:type="auto"/>
            <w:shd w:val="clear" w:color="auto" w:fill="auto"/>
            <w:vAlign w:val="bottom"/>
          </w:tcPr>
          <w:p w14:paraId="5CD8E3FC" w14:textId="77777777" w:rsidR="00BA49F5" w:rsidRDefault="00BA49F5">
            <w:pPr>
              <w:rPr>
                <w:rFonts w:ascii="宋体"/>
                <w:vanish/>
              </w:rPr>
            </w:pPr>
          </w:p>
        </w:tc>
      </w:tr>
      <w:tr w:rsidR="00BA49F5" w14:paraId="5CD8E40E" w14:textId="77777777">
        <w:trPr>
          <w:trHeight w:val="460"/>
        </w:trPr>
        <w:tc>
          <w:tcPr>
            <w:tcW w:w="0" w:type="auto"/>
            <w:gridSpan w:val="3"/>
            <w:shd w:val="clear" w:color="auto" w:fill="auto"/>
            <w:tcMar>
              <w:top w:w="0" w:type="dxa"/>
              <w:left w:w="20" w:type="dxa"/>
              <w:bottom w:w="0" w:type="dxa"/>
              <w:right w:w="20" w:type="dxa"/>
            </w:tcMar>
            <w:vAlign w:val="bottom"/>
          </w:tcPr>
          <w:p w14:paraId="5CD8E3FE"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5CD8E3FF" w14:textId="77777777" w:rsidR="00BA49F5" w:rsidRDefault="007E5E49">
            <w:pPr>
              <w:jc w:val="center"/>
              <w:textAlignment w:val="center"/>
            </w:pPr>
            <w:r>
              <w:rPr>
                <w:rFonts w:ascii="Times New Roman" w:eastAsia="宋体" w:hAnsi="Times New Roman"/>
                <w:b/>
                <w:bCs/>
                <w:color w:val="000000"/>
                <w:sz w:val="16"/>
                <w:szCs w:val="16"/>
              </w:rPr>
              <w:t>Year Ended</w:t>
            </w:r>
            <w:r>
              <w:rPr>
                <w:rFonts w:ascii="Times New Roman" w:eastAsia="宋体" w:hAnsi="Times New Roman"/>
                <w:b/>
                <w:bCs/>
                <w:color w:val="000000"/>
                <w:sz w:val="16"/>
                <w:szCs w:val="16"/>
              </w:rPr>
              <w:br/>
              <w:t>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02"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5CD8E403" w14:textId="77777777" w:rsidR="00BA49F5" w:rsidRDefault="007E5E49">
            <w:pPr>
              <w:jc w:val="center"/>
              <w:textAlignment w:val="center"/>
            </w:pPr>
            <w:r>
              <w:rPr>
                <w:rFonts w:ascii="Times New Roman" w:eastAsia="宋体" w:hAnsi="Times New Roman"/>
                <w:b/>
                <w:bCs/>
                <w:color w:val="000000"/>
                <w:sz w:val="16"/>
                <w:szCs w:val="16"/>
              </w:rPr>
              <w:t>Year Ended</w:t>
            </w:r>
            <w:r>
              <w:rPr>
                <w:rFonts w:ascii="Times New Roman" w:eastAsia="宋体" w:hAnsi="Times New Roman"/>
                <w:b/>
                <w:bCs/>
                <w:color w:val="000000"/>
                <w:sz w:val="16"/>
                <w:szCs w:val="16"/>
              </w:rPr>
              <w:br/>
              <w:t>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4"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06"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5CD8E407" w14:textId="77777777" w:rsidR="00BA49F5" w:rsidRDefault="007E5E49">
            <w:pPr>
              <w:jc w:val="center"/>
              <w:textAlignment w:val="center"/>
            </w:pPr>
            <w:r>
              <w:rPr>
                <w:rFonts w:ascii="Times New Roman" w:eastAsia="宋体" w:hAnsi="Times New Roman"/>
                <w:b/>
                <w:bCs/>
                <w:color w:val="000000"/>
                <w:sz w:val="16"/>
                <w:szCs w:val="16"/>
              </w:rPr>
              <w:t>Year Ended</w:t>
            </w:r>
            <w:r>
              <w:rPr>
                <w:rFonts w:ascii="Times New Roman" w:eastAsia="宋体" w:hAnsi="Times New Roman"/>
                <w:b/>
                <w:bCs/>
                <w:color w:val="000000"/>
                <w:sz w:val="16"/>
                <w:szCs w:val="16"/>
              </w:rPr>
              <w:br/>
              <w:t>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8"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09" w14:textId="77777777" w:rsidR="00BA49F5" w:rsidRDefault="00BA49F5">
            <w:pPr>
              <w:rPr>
                <w:rFonts w:ascii="宋体"/>
              </w:rPr>
            </w:pPr>
          </w:p>
        </w:tc>
        <w:tc>
          <w:tcPr>
            <w:tcW w:w="0" w:type="auto"/>
            <w:shd w:val="clear" w:color="auto" w:fill="auto"/>
            <w:vAlign w:val="bottom"/>
          </w:tcPr>
          <w:p w14:paraId="5CD8E40A" w14:textId="77777777" w:rsidR="00BA49F5" w:rsidRDefault="00BA49F5">
            <w:pPr>
              <w:rPr>
                <w:rFonts w:ascii="宋体"/>
                <w:vanish/>
              </w:rPr>
            </w:pPr>
          </w:p>
        </w:tc>
        <w:tc>
          <w:tcPr>
            <w:tcW w:w="0" w:type="auto"/>
            <w:shd w:val="clear" w:color="auto" w:fill="auto"/>
            <w:vAlign w:val="bottom"/>
          </w:tcPr>
          <w:p w14:paraId="5CD8E40B" w14:textId="77777777" w:rsidR="00BA49F5" w:rsidRDefault="00BA49F5">
            <w:pPr>
              <w:rPr>
                <w:rFonts w:ascii="宋体"/>
                <w:vanish/>
              </w:rPr>
            </w:pPr>
          </w:p>
        </w:tc>
        <w:tc>
          <w:tcPr>
            <w:tcW w:w="0" w:type="auto"/>
            <w:shd w:val="clear" w:color="auto" w:fill="auto"/>
            <w:vAlign w:val="bottom"/>
          </w:tcPr>
          <w:p w14:paraId="5CD8E40C" w14:textId="77777777" w:rsidR="00BA49F5" w:rsidRDefault="00BA49F5">
            <w:pPr>
              <w:rPr>
                <w:rFonts w:ascii="宋体"/>
                <w:vanish/>
              </w:rPr>
            </w:pPr>
          </w:p>
        </w:tc>
        <w:tc>
          <w:tcPr>
            <w:tcW w:w="0" w:type="auto"/>
            <w:shd w:val="clear" w:color="auto" w:fill="auto"/>
            <w:vAlign w:val="bottom"/>
          </w:tcPr>
          <w:p w14:paraId="5CD8E40D" w14:textId="77777777" w:rsidR="00BA49F5" w:rsidRDefault="00BA49F5">
            <w:pPr>
              <w:rPr>
                <w:rFonts w:ascii="宋体"/>
                <w:vanish/>
              </w:rPr>
            </w:pPr>
          </w:p>
        </w:tc>
      </w:tr>
      <w:tr w:rsidR="00BA49F5" w14:paraId="5CD8E425" w14:textId="77777777">
        <w:trPr>
          <w:trHeight w:val="300"/>
        </w:trPr>
        <w:tc>
          <w:tcPr>
            <w:tcW w:w="0" w:type="auto"/>
            <w:gridSpan w:val="3"/>
            <w:shd w:val="clear" w:color="auto" w:fill="auto"/>
            <w:tcMar>
              <w:top w:w="0" w:type="dxa"/>
              <w:left w:w="20" w:type="dxa"/>
              <w:bottom w:w="0" w:type="dxa"/>
              <w:right w:w="20" w:type="dxa"/>
            </w:tcMar>
            <w:vAlign w:val="bottom"/>
          </w:tcPr>
          <w:p w14:paraId="5CD8E40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0" w14:textId="77777777" w:rsidR="00BA49F5" w:rsidRDefault="007E5E49">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1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2" w14:textId="77777777" w:rsidR="00BA49F5" w:rsidRDefault="007E5E49">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5CD8E41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center"/>
          </w:tcPr>
          <w:p w14:paraId="5CD8E414" w14:textId="77777777" w:rsidR="00BA49F5" w:rsidRDefault="007E5E49">
            <w:pPr>
              <w:jc w:val="center"/>
              <w:textAlignment w:val="center"/>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5CD8E41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6" w14:textId="77777777" w:rsidR="00BA49F5" w:rsidRDefault="007E5E49">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1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8" w14:textId="77777777" w:rsidR="00BA49F5" w:rsidRDefault="007E5E49">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5CD8E41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center"/>
          </w:tcPr>
          <w:p w14:paraId="5CD8E41A" w14:textId="77777777" w:rsidR="00BA49F5" w:rsidRDefault="007E5E49">
            <w:pPr>
              <w:jc w:val="center"/>
              <w:textAlignment w:val="center"/>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5CD8E41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C" w14:textId="77777777" w:rsidR="00BA49F5" w:rsidRDefault="007E5E49">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1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CD8E41E" w14:textId="77777777" w:rsidR="00BA49F5" w:rsidRDefault="007E5E49">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5CD8E41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center"/>
          </w:tcPr>
          <w:p w14:paraId="5CD8E420" w14:textId="77777777" w:rsidR="00BA49F5" w:rsidRDefault="007E5E49">
            <w:pPr>
              <w:jc w:val="center"/>
              <w:textAlignment w:val="center"/>
            </w:pPr>
            <w:r>
              <w:rPr>
                <w:rFonts w:ascii="Times New Roman" w:eastAsia="宋体" w:hAnsi="Times New Roman"/>
                <w:b/>
                <w:bCs/>
                <w:color w:val="000000"/>
                <w:sz w:val="16"/>
                <w:szCs w:val="16"/>
              </w:rPr>
              <w:t>% change</w:t>
            </w:r>
          </w:p>
        </w:tc>
        <w:tc>
          <w:tcPr>
            <w:tcW w:w="0" w:type="auto"/>
            <w:shd w:val="clear" w:color="auto" w:fill="auto"/>
            <w:vAlign w:val="bottom"/>
          </w:tcPr>
          <w:p w14:paraId="5CD8E421" w14:textId="77777777" w:rsidR="00BA49F5" w:rsidRDefault="00BA49F5">
            <w:pPr>
              <w:rPr>
                <w:rFonts w:ascii="宋体"/>
                <w:vanish/>
              </w:rPr>
            </w:pPr>
          </w:p>
        </w:tc>
        <w:tc>
          <w:tcPr>
            <w:tcW w:w="0" w:type="auto"/>
            <w:shd w:val="clear" w:color="auto" w:fill="auto"/>
            <w:vAlign w:val="bottom"/>
          </w:tcPr>
          <w:p w14:paraId="5CD8E422" w14:textId="77777777" w:rsidR="00BA49F5" w:rsidRDefault="00BA49F5">
            <w:pPr>
              <w:rPr>
                <w:rFonts w:ascii="宋体"/>
                <w:vanish/>
              </w:rPr>
            </w:pPr>
          </w:p>
        </w:tc>
        <w:tc>
          <w:tcPr>
            <w:tcW w:w="0" w:type="auto"/>
            <w:shd w:val="clear" w:color="auto" w:fill="auto"/>
            <w:vAlign w:val="bottom"/>
          </w:tcPr>
          <w:p w14:paraId="5CD8E423" w14:textId="77777777" w:rsidR="00BA49F5" w:rsidRDefault="00BA49F5">
            <w:pPr>
              <w:rPr>
                <w:rFonts w:ascii="宋体"/>
                <w:vanish/>
              </w:rPr>
            </w:pPr>
          </w:p>
        </w:tc>
        <w:tc>
          <w:tcPr>
            <w:tcW w:w="0" w:type="auto"/>
            <w:shd w:val="clear" w:color="auto" w:fill="auto"/>
            <w:vAlign w:val="bottom"/>
          </w:tcPr>
          <w:p w14:paraId="5CD8E424" w14:textId="77777777" w:rsidR="00BA49F5" w:rsidRDefault="00BA49F5">
            <w:pPr>
              <w:rPr>
                <w:rFonts w:ascii="宋体"/>
                <w:vanish/>
              </w:rPr>
            </w:pPr>
          </w:p>
        </w:tc>
      </w:tr>
      <w:tr w:rsidR="00BA49F5" w14:paraId="5CD8E43C" w14:textId="77777777">
        <w:trPr>
          <w:trHeight w:val="60"/>
        </w:trPr>
        <w:tc>
          <w:tcPr>
            <w:tcW w:w="0" w:type="auto"/>
            <w:gridSpan w:val="3"/>
            <w:shd w:val="clear" w:color="auto" w:fill="auto"/>
            <w:tcMar>
              <w:top w:w="0" w:type="dxa"/>
              <w:left w:w="20" w:type="dxa"/>
              <w:bottom w:w="0" w:type="dxa"/>
              <w:right w:w="20" w:type="dxa"/>
            </w:tcMar>
            <w:vAlign w:val="bottom"/>
          </w:tcPr>
          <w:p w14:paraId="5CD8E42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2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28"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2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2A"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2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2C"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2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2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2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3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3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32"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3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34"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3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43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437" w14:textId="77777777" w:rsidR="00BA49F5" w:rsidRDefault="00BA49F5">
            <w:pPr>
              <w:rPr>
                <w:rFonts w:ascii="宋体"/>
              </w:rPr>
            </w:pPr>
          </w:p>
        </w:tc>
        <w:tc>
          <w:tcPr>
            <w:tcW w:w="0" w:type="auto"/>
            <w:shd w:val="clear" w:color="auto" w:fill="auto"/>
            <w:vAlign w:val="bottom"/>
          </w:tcPr>
          <w:p w14:paraId="5CD8E438" w14:textId="77777777" w:rsidR="00BA49F5" w:rsidRDefault="00BA49F5">
            <w:pPr>
              <w:rPr>
                <w:rFonts w:ascii="宋体"/>
                <w:vanish/>
              </w:rPr>
            </w:pPr>
          </w:p>
        </w:tc>
        <w:tc>
          <w:tcPr>
            <w:tcW w:w="0" w:type="auto"/>
            <w:shd w:val="clear" w:color="auto" w:fill="auto"/>
            <w:vAlign w:val="bottom"/>
          </w:tcPr>
          <w:p w14:paraId="5CD8E439" w14:textId="77777777" w:rsidR="00BA49F5" w:rsidRDefault="00BA49F5">
            <w:pPr>
              <w:rPr>
                <w:rFonts w:ascii="宋体"/>
                <w:vanish/>
              </w:rPr>
            </w:pPr>
          </w:p>
        </w:tc>
        <w:tc>
          <w:tcPr>
            <w:tcW w:w="0" w:type="auto"/>
            <w:shd w:val="clear" w:color="auto" w:fill="auto"/>
            <w:vAlign w:val="bottom"/>
          </w:tcPr>
          <w:p w14:paraId="5CD8E43A" w14:textId="77777777" w:rsidR="00BA49F5" w:rsidRDefault="00BA49F5">
            <w:pPr>
              <w:rPr>
                <w:rFonts w:ascii="宋体"/>
                <w:vanish/>
              </w:rPr>
            </w:pPr>
          </w:p>
        </w:tc>
        <w:tc>
          <w:tcPr>
            <w:tcW w:w="0" w:type="auto"/>
            <w:shd w:val="clear" w:color="auto" w:fill="auto"/>
            <w:vAlign w:val="bottom"/>
          </w:tcPr>
          <w:p w14:paraId="5CD8E43B" w14:textId="77777777" w:rsidR="00BA49F5" w:rsidRDefault="00BA49F5">
            <w:pPr>
              <w:rPr>
                <w:rFonts w:ascii="宋体"/>
                <w:vanish/>
              </w:rPr>
            </w:pPr>
          </w:p>
        </w:tc>
      </w:tr>
      <w:tr w:rsidR="00BA49F5" w14:paraId="5CD8E443" w14:textId="77777777">
        <w:tc>
          <w:tcPr>
            <w:tcW w:w="0" w:type="auto"/>
            <w:gridSpan w:val="3"/>
            <w:shd w:val="clear" w:color="auto" w:fill="auto"/>
            <w:tcMar>
              <w:top w:w="0" w:type="dxa"/>
              <w:left w:w="20" w:type="dxa"/>
              <w:bottom w:w="0" w:type="dxa"/>
              <w:right w:w="20" w:type="dxa"/>
            </w:tcMar>
            <w:vAlign w:val="bottom"/>
          </w:tcPr>
          <w:p w14:paraId="5CD8E43D" w14:textId="77777777" w:rsidR="00BA49F5" w:rsidRDefault="00BA49F5">
            <w:pPr>
              <w:rPr>
                <w:rFonts w:ascii="宋体"/>
              </w:rPr>
            </w:pPr>
          </w:p>
        </w:tc>
        <w:tc>
          <w:tcPr>
            <w:tcW w:w="0" w:type="auto"/>
            <w:gridSpan w:val="51"/>
            <w:shd w:val="clear" w:color="auto" w:fill="auto"/>
            <w:tcMar>
              <w:top w:w="40" w:type="dxa"/>
              <w:left w:w="20" w:type="dxa"/>
              <w:bottom w:w="40" w:type="dxa"/>
              <w:right w:w="20" w:type="dxa"/>
            </w:tcMar>
          </w:tcPr>
          <w:p w14:paraId="5CD8E43E"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c>
          <w:tcPr>
            <w:tcW w:w="0" w:type="auto"/>
            <w:shd w:val="clear" w:color="auto" w:fill="auto"/>
            <w:vAlign w:val="bottom"/>
          </w:tcPr>
          <w:p w14:paraId="5CD8E43F" w14:textId="77777777" w:rsidR="00BA49F5" w:rsidRDefault="00BA49F5">
            <w:pPr>
              <w:rPr>
                <w:rFonts w:ascii="宋体"/>
                <w:vanish/>
              </w:rPr>
            </w:pPr>
          </w:p>
        </w:tc>
        <w:tc>
          <w:tcPr>
            <w:tcW w:w="0" w:type="auto"/>
            <w:shd w:val="clear" w:color="auto" w:fill="auto"/>
            <w:vAlign w:val="bottom"/>
          </w:tcPr>
          <w:p w14:paraId="5CD8E440" w14:textId="77777777" w:rsidR="00BA49F5" w:rsidRDefault="00BA49F5">
            <w:pPr>
              <w:rPr>
                <w:rFonts w:ascii="宋体"/>
                <w:vanish/>
              </w:rPr>
            </w:pPr>
          </w:p>
        </w:tc>
        <w:tc>
          <w:tcPr>
            <w:tcW w:w="0" w:type="auto"/>
            <w:shd w:val="clear" w:color="auto" w:fill="auto"/>
            <w:vAlign w:val="bottom"/>
          </w:tcPr>
          <w:p w14:paraId="5CD8E441" w14:textId="77777777" w:rsidR="00BA49F5" w:rsidRDefault="00BA49F5">
            <w:pPr>
              <w:rPr>
                <w:rFonts w:ascii="宋体"/>
                <w:vanish/>
              </w:rPr>
            </w:pPr>
          </w:p>
        </w:tc>
        <w:tc>
          <w:tcPr>
            <w:tcW w:w="0" w:type="auto"/>
            <w:shd w:val="clear" w:color="auto" w:fill="auto"/>
            <w:vAlign w:val="bottom"/>
          </w:tcPr>
          <w:p w14:paraId="5CD8E442" w14:textId="77777777" w:rsidR="00BA49F5" w:rsidRDefault="00BA49F5">
            <w:pPr>
              <w:rPr>
                <w:rFonts w:ascii="宋体"/>
                <w:vanish/>
              </w:rPr>
            </w:pPr>
          </w:p>
        </w:tc>
      </w:tr>
      <w:tr w:rsidR="00BA49F5" w14:paraId="5CD8E466" w14:textId="77777777">
        <w:tc>
          <w:tcPr>
            <w:tcW w:w="0" w:type="auto"/>
            <w:gridSpan w:val="3"/>
            <w:shd w:val="clear" w:color="auto" w:fill="CCEEFF"/>
            <w:tcMar>
              <w:top w:w="40" w:type="dxa"/>
              <w:left w:w="20" w:type="dxa"/>
              <w:bottom w:w="40" w:type="dxa"/>
              <w:right w:w="20" w:type="dxa"/>
            </w:tcMar>
            <w:vAlign w:val="bottom"/>
          </w:tcPr>
          <w:p w14:paraId="5CD8E444" w14:textId="77777777" w:rsidR="00BA49F5" w:rsidRDefault="007E5E49">
            <w:pPr>
              <w:textAlignment w:val="bottom"/>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5CD8E445"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46" w14:textId="77777777" w:rsidR="00BA49F5" w:rsidRDefault="007E5E49">
            <w:pPr>
              <w:jc w:val="right"/>
              <w:textAlignment w:val="bottom"/>
            </w:pPr>
            <w:r>
              <w:rPr>
                <w:rFonts w:ascii="Times New Roman" w:eastAsia="宋体" w:hAnsi="Times New Roman"/>
                <w:color w:val="000000"/>
                <w:sz w:val="17"/>
                <w:szCs w:val="17"/>
              </w:rPr>
              <w:t>114,450 </w:t>
            </w:r>
          </w:p>
        </w:tc>
        <w:tc>
          <w:tcPr>
            <w:tcW w:w="0" w:type="auto"/>
            <w:shd w:val="clear" w:color="auto" w:fill="CCEEFF"/>
            <w:tcMar>
              <w:top w:w="40" w:type="dxa"/>
              <w:left w:w="0" w:type="dxa"/>
              <w:bottom w:w="40" w:type="dxa"/>
              <w:right w:w="20" w:type="dxa"/>
            </w:tcMar>
            <w:vAlign w:val="bottom"/>
          </w:tcPr>
          <w:p w14:paraId="5CD8E44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48"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49"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4A" w14:textId="77777777" w:rsidR="00BA49F5" w:rsidRDefault="007E5E49">
            <w:pPr>
              <w:jc w:val="right"/>
              <w:textAlignment w:val="bottom"/>
            </w:pPr>
            <w:r>
              <w:rPr>
                <w:rFonts w:ascii="Times New Roman" w:eastAsia="宋体" w:hAnsi="Times New Roman"/>
                <w:color w:val="000000"/>
                <w:sz w:val="17"/>
                <w:szCs w:val="17"/>
              </w:rPr>
              <w:t>115,655 </w:t>
            </w:r>
          </w:p>
        </w:tc>
        <w:tc>
          <w:tcPr>
            <w:tcW w:w="0" w:type="auto"/>
            <w:shd w:val="clear" w:color="auto" w:fill="CCEEFF"/>
            <w:tcMar>
              <w:top w:w="40" w:type="dxa"/>
              <w:left w:w="0" w:type="dxa"/>
              <w:bottom w:w="40" w:type="dxa"/>
              <w:right w:w="20" w:type="dxa"/>
            </w:tcMar>
            <w:vAlign w:val="bottom"/>
          </w:tcPr>
          <w:p w14:paraId="5CD8E44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4C"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4D" w14:textId="77777777" w:rsidR="00BA49F5" w:rsidRDefault="007E5E49">
            <w:pPr>
              <w:jc w:val="center"/>
              <w:textAlignment w:val="bottom"/>
            </w:pPr>
            <w:r>
              <w:rPr>
                <w:rFonts w:ascii="Times New Roman" w:eastAsia="宋体" w:hAnsi="Times New Roman"/>
                <w:i/>
                <w:iCs/>
                <w:color w:val="000000"/>
                <w:sz w:val="17"/>
                <w:szCs w:val="17"/>
              </w:rPr>
              <w:t>(1)%</w:t>
            </w:r>
          </w:p>
        </w:tc>
        <w:tc>
          <w:tcPr>
            <w:tcW w:w="0" w:type="auto"/>
            <w:gridSpan w:val="3"/>
            <w:shd w:val="clear" w:color="auto" w:fill="CCEEFF"/>
            <w:tcMar>
              <w:top w:w="0" w:type="dxa"/>
              <w:left w:w="20" w:type="dxa"/>
              <w:bottom w:w="0" w:type="dxa"/>
              <w:right w:w="20" w:type="dxa"/>
            </w:tcMar>
            <w:vAlign w:val="bottom"/>
          </w:tcPr>
          <w:p w14:paraId="5CD8E44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4F"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50" w14:textId="77777777" w:rsidR="00BA49F5" w:rsidRDefault="007E5E49">
            <w:pPr>
              <w:jc w:val="right"/>
              <w:textAlignment w:val="bottom"/>
            </w:pPr>
            <w:r>
              <w:rPr>
                <w:rFonts w:ascii="Times New Roman" w:eastAsia="宋体" w:hAnsi="Times New Roman"/>
                <w:color w:val="000000"/>
                <w:sz w:val="17"/>
                <w:szCs w:val="17"/>
              </w:rPr>
              <w:t>2,159 </w:t>
            </w:r>
          </w:p>
        </w:tc>
        <w:tc>
          <w:tcPr>
            <w:tcW w:w="0" w:type="auto"/>
            <w:shd w:val="clear" w:color="auto" w:fill="CCEEFF"/>
            <w:tcMar>
              <w:top w:w="40" w:type="dxa"/>
              <w:left w:w="0" w:type="dxa"/>
              <w:bottom w:w="40" w:type="dxa"/>
              <w:right w:w="20" w:type="dxa"/>
            </w:tcMar>
            <w:vAlign w:val="bottom"/>
          </w:tcPr>
          <w:p w14:paraId="5CD8E45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52"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53"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54" w14:textId="77777777" w:rsidR="00BA49F5" w:rsidRDefault="007E5E49">
            <w:pPr>
              <w:jc w:val="right"/>
              <w:textAlignment w:val="bottom"/>
            </w:pPr>
            <w:r>
              <w:rPr>
                <w:rFonts w:ascii="Times New Roman" w:eastAsia="宋体" w:hAnsi="Times New Roman"/>
                <w:color w:val="000000"/>
                <w:sz w:val="17"/>
                <w:szCs w:val="17"/>
              </w:rPr>
              <w:t>2,274 </w:t>
            </w:r>
          </w:p>
        </w:tc>
        <w:tc>
          <w:tcPr>
            <w:tcW w:w="0" w:type="auto"/>
            <w:shd w:val="clear" w:color="auto" w:fill="CCEEFF"/>
            <w:tcMar>
              <w:top w:w="40" w:type="dxa"/>
              <w:left w:w="0" w:type="dxa"/>
              <w:bottom w:w="40" w:type="dxa"/>
              <w:right w:w="20" w:type="dxa"/>
            </w:tcMar>
            <w:vAlign w:val="bottom"/>
          </w:tcPr>
          <w:p w14:paraId="5CD8E45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56"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57" w14:textId="77777777" w:rsidR="00BA49F5" w:rsidRDefault="007E5E49">
            <w:pPr>
              <w:jc w:val="center"/>
              <w:textAlignment w:val="bottom"/>
            </w:pPr>
            <w:r>
              <w:rPr>
                <w:rFonts w:ascii="Times New Roman" w:eastAsia="宋体" w:hAnsi="Times New Roman"/>
                <w:i/>
                <w:iCs/>
                <w:color w:val="000000"/>
                <w:sz w:val="17"/>
                <w:szCs w:val="17"/>
              </w:rPr>
              <w:t>(5)%</w:t>
            </w:r>
          </w:p>
        </w:tc>
        <w:tc>
          <w:tcPr>
            <w:tcW w:w="0" w:type="auto"/>
            <w:gridSpan w:val="3"/>
            <w:shd w:val="clear" w:color="auto" w:fill="CCEEFF"/>
            <w:tcMar>
              <w:top w:w="0" w:type="dxa"/>
              <w:left w:w="20" w:type="dxa"/>
              <w:bottom w:w="0" w:type="dxa"/>
              <w:right w:w="20" w:type="dxa"/>
            </w:tcMar>
            <w:vAlign w:val="bottom"/>
          </w:tcPr>
          <w:p w14:paraId="5CD8E458"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59"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5A" w14:textId="77777777" w:rsidR="00BA49F5" w:rsidRDefault="007E5E49">
            <w:pPr>
              <w:jc w:val="right"/>
              <w:textAlignment w:val="bottom"/>
            </w:pPr>
            <w:r>
              <w:rPr>
                <w:rFonts w:ascii="Times New Roman" w:eastAsia="宋体" w:hAnsi="Times New Roman"/>
                <w:color w:val="000000"/>
                <w:sz w:val="17"/>
                <w:szCs w:val="17"/>
              </w:rPr>
              <w:t>116,609 </w:t>
            </w:r>
          </w:p>
        </w:tc>
        <w:tc>
          <w:tcPr>
            <w:tcW w:w="0" w:type="auto"/>
            <w:shd w:val="clear" w:color="auto" w:fill="CCEEFF"/>
            <w:tcMar>
              <w:top w:w="40" w:type="dxa"/>
              <w:left w:w="0" w:type="dxa"/>
              <w:bottom w:w="40" w:type="dxa"/>
              <w:right w:w="20" w:type="dxa"/>
            </w:tcMar>
            <w:vAlign w:val="bottom"/>
          </w:tcPr>
          <w:p w14:paraId="5CD8E45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5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5D"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5E" w14:textId="77777777" w:rsidR="00BA49F5" w:rsidRDefault="007E5E49">
            <w:pPr>
              <w:jc w:val="right"/>
              <w:textAlignment w:val="bottom"/>
            </w:pPr>
            <w:r>
              <w:rPr>
                <w:rFonts w:ascii="Times New Roman" w:eastAsia="宋体" w:hAnsi="Times New Roman"/>
                <w:color w:val="000000"/>
                <w:sz w:val="17"/>
                <w:szCs w:val="17"/>
              </w:rPr>
              <w:t>117,929 </w:t>
            </w:r>
          </w:p>
        </w:tc>
        <w:tc>
          <w:tcPr>
            <w:tcW w:w="0" w:type="auto"/>
            <w:shd w:val="clear" w:color="auto" w:fill="CCEEFF"/>
            <w:tcMar>
              <w:top w:w="40" w:type="dxa"/>
              <w:left w:w="0" w:type="dxa"/>
              <w:bottom w:w="40" w:type="dxa"/>
              <w:right w:w="20" w:type="dxa"/>
            </w:tcMar>
            <w:vAlign w:val="bottom"/>
          </w:tcPr>
          <w:p w14:paraId="5CD8E45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60"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61" w14:textId="77777777" w:rsidR="00BA49F5" w:rsidRDefault="007E5E49">
            <w:pPr>
              <w:jc w:val="center"/>
              <w:textAlignment w:val="bottom"/>
            </w:pPr>
            <w:r>
              <w:rPr>
                <w:rFonts w:ascii="Times New Roman" w:eastAsia="宋体" w:hAnsi="Times New Roman"/>
                <w:i/>
                <w:iCs/>
                <w:color w:val="000000"/>
                <w:sz w:val="17"/>
                <w:szCs w:val="17"/>
              </w:rPr>
              <w:t>(1)%</w:t>
            </w:r>
          </w:p>
        </w:tc>
        <w:tc>
          <w:tcPr>
            <w:tcW w:w="0" w:type="auto"/>
            <w:shd w:val="clear" w:color="auto" w:fill="auto"/>
            <w:vAlign w:val="bottom"/>
          </w:tcPr>
          <w:p w14:paraId="5CD8E462" w14:textId="77777777" w:rsidR="00BA49F5" w:rsidRDefault="00BA49F5">
            <w:pPr>
              <w:rPr>
                <w:rFonts w:ascii="宋体"/>
                <w:vanish/>
              </w:rPr>
            </w:pPr>
          </w:p>
        </w:tc>
        <w:tc>
          <w:tcPr>
            <w:tcW w:w="0" w:type="auto"/>
            <w:shd w:val="clear" w:color="auto" w:fill="auto"/>
            <w:vAlign w:val="bottom"/>
          </w:tcPr>
          <w:p w14:paraId="5CD8E463" w14:textId="77777777" w:rsidR="00BA49F5" w:rsidRDefault="00BA49F5">
            <w:pPr>
              <w:rPr>
                <w:rFonts w:ascii="宋体"/>
                <w:vanish/>
              </w:rPr>
            </w:pPr>
          </w:p>
        </w:tc>
        <w:tc>
          <w:tcPr>
            <w:tcW w:w="0" w:type="auto"/>
            <w:shd w:val="clear" w:color="auto" w:fill="auto"/>
            <w:vAlign w:val="bottom"/>
          </w:tcPr>
          <w:p w14:paraId="5CD8E464" w14:textId="77777777" w:rsidR="00BA49F5" w:rsidRDefault="00BA49F5">
            <w:pPr>
              <w:rPr>
                <w:rFonts w:ascii="宋体"/>
                <w:vanish/>
              </w:rPr>
            </w:pPr>
          </w:p>
        </w:tc>
        <w:tc>
          <w:tcPr>
            <w:tcW w:w="0" w:type="auto"/>
            <w:shd w:val="clear" w:color="auto" w:fill="auto"/>
            <w:vAlign w:val="bottom"/>
          </w:tcPr>
          <w:p w14:paraId="5CD8E465" w14:textId="77777777" w:rsidR="00BA49F5" w:rsidRDefault="00BA49F5">
            <w:pPr>
              <w:rPr>
                <w:rFonts w:ascii="宋体"/>
                <w:vanish/>
              </w:rPr>
            </w:pPr>
          </w:p>
        </w:tc>
      </w:tr>
      <w:tr w:rsidR="00BA49F5" w14:paraId="5CD8E489" w14:textId="77777777">
        <w:tc>
          <w:tcPr>
            <w:tcW w:w="0" w:type="auto"/>
            <w:gridSpan w:val="3"/>
            <w:shd w:val="clear" w:color="auto" w:fill="FFFFFF"/>
            <w:tcMar>
              <w:top w:w="40" w:type="dxa"/>
              <w:left w:w="20" w:type="dxa"/>
              <w:bottom w:w="40" w:type="dxa"/>
              <w:right w:w="20" w:type="dxa"/>
            </w:tcMar>
            <w:vAlign w:val="bottom"/>
          </w:tcPr>
          <w:p w14:paraId="5CD8E467" w14:textId="77777777" w:rsidR="00BA49F5" w:rsidRDefault="007E5E49">
            <w:pPr>
              <w:textAlignment w:val="bottom"/>
            </w:pPr>
            <w:r>
              <w:rPr>
                <w:rFonts w:ascii="Times New Roman" w:eastAsia="宋体" w:hAnsi="Times New Roman"/>
                <w:color w:val="000000"/>
                <w:sz w:val="20"/>
                <w:szCs w:val="20"/>
              </w:rPr>
              <w:t>Costs and expenses</w:t>
            </w:r>
          </w:p>
        </w:tc>
        <w:tc>
          <w:tcPr>
            <w:tcW w:w="0" w:type="auto"/>
            <w:shd w:val="clear" w:color="auto" w:fill="FFFFFF"/>
            <w:tcMar>
              <w:top w:w="40" w:type="dxa"/>
              <w:left w:w="20" w:type="dxa"/>
              <w:bottom w:w="40" w:type="dxa"/>
              <w:right w:w="0" w:type="dxa"/>
            </w:tcMar>
            <w:vAlign w:val="bottom"/>
          </w:tcPr>
          <w:p w14:paraId="5CD8E468"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69" w14:textId="77777777" w:rsidR="00BA49F5" w:rsidRDefault="007E5E49">
            <w:pPr>
              <w:jc w:val="right"/>
              <w:textAlignment w:val="bottom"/>
            </w:pPr>
            <w:r>
              <w:rPr>
                <w:rFonts w:ascii="Times New Roman" w:eastAsia="宋体" w:hAnsi="Times New Roman"/>
                <w:color w:val="000000"/>
                <w:sz w:val="17"/>
                <w:szCs w:val="17"/>
              </w:rPr>
              <w:t>71,789 </w:t>
            </w:r>
          </w:p>
        </w:tc>
        <w:tc>
          <w:tcPr>
            <w:tcW w:w="0" w:type="auto"/>
            <w:shd w:val="clear" w:color="auto" w:fill="FFFFFF"/>
            <w:tcMar>
              <w:top w:w="40" w:type="dxa"/>
              <w:left w:w="0" w:type="dxa"/>
              <w:bottom w:w="40" w:type="dxa"/>
              <w:right w:w="20" w:type="dxa"/>
            </w:tcMar>
            <w:vAlign w:val="bottom"/>
          </w:tcPr>
          <w:p w14:paraId="5CD8E46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6B"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46C"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6D" w14:textId="77777777" w:rsidR="00BA49F5" w:rsidRDefault="007E5E49">
            <w:pPr>
              <w:jc w:val="right"/>
              <w:textAlignment w:val="bottom"/>
            </w:pPr>
            <w:r>
              <w:rPr>
                <w:rFonts w:ascii="Times New Roman" w:eastAsia="宋体" w:hAnsi="Times New Roman"/>
                <w:color w:val="000000"/>
                <w:sz w:val="17"/>
                <w:szCs w:val="17"/>
              </w:rPr>
              <w:t>58,709 </w:t>
            </w:r>
          </w:p>
        </w:tc>
        <w:tc>
          <w:tcPr>
            <w:tcW w:w="0" w:type="auto"/>
            <w:shd w:val="clear" w:color="auto" w:fill="FFFFFF"/>
            <w:tcMar>
              <w:top w:w="40" w:type="dxa"/>
              <w:left w:w="0" w:type="dxa"/>
              <w:bottom w:w="40" w:type="dxa"/>
              <w:right w:w="20" w:type="dxa"/>
            </w:tcMar>
            <w:vAlign w:val="bottom"/>
          </w:tcPr>
          <w:p w14:paraId="5CD8E46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6F"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470" w14:textId="77777777" w:rsidR="00BA49F5" w:rsidRDefault="007E5E49">
            <w:pPr>
              <w:jc w:val="center"/>
              <w:textAlignment w:val="bottom"/>
            </w:pPr>
            <w:r>
              <w:rPr>
                <w:rFonts w:ascii="Times New Roman" w:eastAsia="宋体" w:hAnsi="Times New Roman"/>
                <w:i/>
                <w:iCs/>
                <w:color w:val="000000"/>
                <w:sz w:val="17"/>
                <w:szCs w:val="17"/>
              </w:rPr>
              <w:t>22%</w:t>
            </w:r>
          </w:p>
        </w:tc>
        <w:tc>
          <w:tcPr>
            <w:tcW w:w="0" w:type="auto"/>
            <w:gridSpan w:val="3"/>
            <w:shd w:val="clear" w:color="auto" w:fill="FFFFFF"/>
            <w:tcMar>
              <w:top w:w="0" w:type="dxa"/>
              <w:left w:w="20" w:type="dxa"/>
              <w:bottom w:w="0" w:type="dxa"/>
              <w:right w:w="20" w:type="dxa"/>
            </w:tcMar>
            <w:vAlign w:val="bottom"/>
          </w:tcPr>
          <w:p w14:paraId="5CD8E471"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472"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73" w14:textId="77777777" w:rsidR="00BA49F5" w:rsidRDefault="007E5E49">
            <w:pPr>
              <w:jc w:val="right"/>
              <w:textAlignment w:val="bottom"/>
            </w:pPr>
            <w:r>
              <w:rPr>
                <w:rFonts w:ascii="Times New Roman" w:eastAsia="宋体" w:hAnsi="Times New Roman"/>
                <w:color w:val="000000"/>
                <w:sz w:val="17"/>
                <w:szCs w:val="17"/>
              </w:rPr>
              <w:t>15,876 </w:t>
            </w:r>
          </w:p>
        </w:tc>
        <w:tc>
          <w:tcPr>
            <w:tcW w:w="0" w:type="auto"/>
            <w:shd w:val="clear" w:color="auto" w:fill="FFFFFF"/>
            <w:tcMar>
              <w:top w:w="40" w:type="dxa"/>
              <w:left w:w="0" w:type="dxa"/>
              <w:bottom w:w="40" w:type="dxa"/>
              <w:right w:w="20" w:type="dxa"/>
            </w:tcMar>
            <w:vAlign w:val="bottom"/>
          </w:tcPr>
          <w:p w14:paraId="5CD8E47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75"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476"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77" w14:textId="77777777" w:rsidR="00BA49F5" w:rsidRDefault="007E5E49">
            <w:pPr>
              <w:jc w:val="right"/>
              <w:textAlignment w:val="bottom"/>
            </w:pPr>
            <w:r>
              <w:rPr>
                <w:rFonts w:ascii="Times New Roman" w:eastAsia="宋体" w:hAnsi="Times New Roman"/>
                <w:color w:val="000000"/>
                <w:sz w:val="17"/>
                <w:szCs w:val="17"/>
              </w:rPr>
              <w:t>12,467 </w:t>
            </w:r>
          </w:p>
        </w:tc>
        <w:tc>
          <w:tcPr>
            <w:tcW w:w="0" w:type="auto"/>
            <w:shd w:val="clear" w:color="auto" w:fill="FFFFFF"/>
            <w:tcMar>
              <w:top w:w="40" w:type="dxa"/>
              <w:left w:w="0" w:type="dxa"/>
              <w:bottom w:w="40" w:type="dxa"/>
              <w:right w:w="20" w:type="dxa"/>
            </w:tcMar>
            <w:vAlign w:val="bottom"/>
          </w:tcPr>
          <w:p w14:paraId="5CD8E47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79"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47A" w14:textId="77777777" w:rsidR="00BA49F5" w:rsidRDefault="007E5E49">
            <w:pPr>
              <w:jc w:val="center"/>
              <w:textAlignment w:val="bottom"/>
            </w:pPr>
            <w:r>
              <w:rPr>
                <w:rFonts w:ascii="Times New Roman" w:eastAsia="宋体" w:hAnsi="Times New Roman"/>
                <w:i/>
                <w:iCs/>
                <w:color w:val="000000"/>
                <w:sz w:val="17"/>
                <w:szCs w:val="17"/>
              </w:rPr>
              <w:t>27%</w:t>
            </w:r>
          </w:p>
        </w:tc>
        <w:tc>
          <w:tcPr>
            <w:tcW w:w="0" w:type="auto"/>
            <w:gridSpan w:val="3"/>
            <w:shd w:val="clear" w:color="auto" w:fill="FFFFFF"/>
            <w:tcMar>
              <w:top w:w="0" w:type="dxa"/>
              <w:left w:w="20" w:type="dxa"/>
              <w:bottom w:w="0" w:type="dxa"/>
              <w:right w:w="20" w:type="dxa"/>
            </w:tcMar>
            <w:vAlign w:val="bottom"/>
          </w:tcPr>
          <w:p w14:paraId="5CD8E47B"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47C"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7D" w14:textId="77777777" w:rsidR="00BA49F5" w:rsidRDefault="007E5E49">
            <w:pPr>
              <w:jc w:val="right"/>
              <w:textAlignment w:val="bottom"/>
            </w:pPr>
            <w:r>
              <w:rPr>
                <w:rFonts w:ascii="Times New Roman" w:eastAsia="宋体" w:hAnsi="Times New Roman"/>
                <w:color w:val="000000"/>
                <w:sz w:val="17"/>
                <w:szCs w:val="17"/>
              </w:rPr>
              <w:t>87,665 </w:t>
            </w:r>
          </w:p>
        </w:tc>
        <w:tc>
          <w:tcPr>
            <w:tcW w:w="0" w:type="auto"/>
            <w:shd w:val="clear" w:color="auto" w:fill="FFFFFF"/>
            <w:tcMar>
              <w:top w:w="40" w:type="dxa"/>
              <w:left w:w="0" w:type="dxa"/>
              <w:bottom w:w="40" w:type="dxa"/>
              <w:right w:w="20" w:type="dxa"/>
            </w:tcMar>
            <w:vAlign w:val="bottom"/>
          </w:tcPr>
          <w:p w14:paraId="5CD8E47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7F"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480"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5CD8E481" w14:textId="77777777" w:rsidR="00BA49F5" w:rsidRDefault="007E5E49">
            <w:pPr>
              <w:jc w:val="right"/>
              <w:textAlignment w:val="bottom"/>
            </w:pPr>
            <w:r>
              <w:rPr>
                <w:rFonts w:ascii="Times New Roman" w:eastAsia="宋体" w:hAnsi="Times New Roman"/>
                <w:color w:val="000000"/>
                <w:sz w:val="17"/>
                <w:szCs w:val="17"/>
              </w:rPr>
              <w:t>71,176 </w:t>
            </w:r>
          </w:p>
        </w:tc>
        <w:tc>
          <w:tcPr>
            <w:tcW w:w="0" w:type="auto"/>
            <w:shd w:val="clear" w:color="auto" w:fill="FFFFFF"/>
            <w:tcMar>
              <w:top w:w="40" w:type="dxa"/>
              <w:left w:w="0" w:type="dxa"/>
              <w:bottom w:w="40" w:type="dxa"/>
              <w:right w:w="20" w:type="dxa"/>
            </w:tcMar>
            <w:vAlign w:val="bottom"/>
          </w:tcPr>
          <w:p w14:paraId="5CD8E48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483"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484" w14:textId="77777777" w:rsidR="00BA49F5" w:rsidRDefault="007E5E49">
            <w:pPr>
              <w:jc w:val="center"/>
              <w:textAlignment w:val="bottom"/>
            </w:pPr>
            <w:r>
              <w:rPr>
                <w:rFonts w:ascii="Times New Roman" w:eastAsia="宋体" w:hAnsi="Times New Roman"/>
                <w:i/>
                <w:iCs/>
                <w:color w:val="000000"/>
                <w:sz w:val="17"/>
                <w:szCs w:val="17"/>
              </w:rPr>
              <w:t>23%</w:t>
            </w:r>
          </w:p>
        </w:tc>
        <w:tc>
          <w:tcPr>
            <w:tcW w:w="0" w:type="auto"/>
            <w:shd w:val="clear" w:color="auto" w:fill="auto"/>
            <w:vAlign w:val="bottom"/>
          </w:tcPr>
          <w:p w14:paraId="5CD8E485" w14:textId="77777777" w:rsidR="00BA49F5" w:rsidRDefault="00BA49F5">
            <w:pPr>
              <w:rPr>
                <w:rFonts w:ascii="宋体"/>
                <w:vanish/>
              </w:rPr>
            </w:pPr>
          </w:p>
        </w:tc>
        <w:tc>
          <w:tcPr>
            <w:tcW w:w="0" w:type="auto"/>
            <w:shd w:val="clear" w:color="auto" w:fill="auto"/>
            <w:vAlign w:val="bottom"/>
          </w:tcPr>
          <w:p w14:paraId="5CD8E486" w14:textId="77777777" w:rsidR="00BA49F5" w:rsidRDefault="00BA49F5">
            <w:pPr>
              <w:rPr>
                <w:rFonts w:ascii="宋体"/>
                <w:vanish/>
              </w:rPr>
            </w:pPr>
          </w:p>
        </w:tc>
        <w:tc>
          <w:tcPr>
            <w:tcW w:w="0" w:type="auto"/>
            <w:shd w:val="clear" w:color="auto" w:fill="auto"/>
            <w:vAlign w:val="bottom"/>
          </w:tcPr>
          <w:p w14:paraId="5CD8E487" w14:textId="77777777" w:rsidR="00BA49F5" w:rsidRDefault="00BA49F5">
            <w:pPr>
              <w:rPr>
                <w:rFonts w:ascii="宋体"/>
                <w:vanish/>
              </w:rPr>
            </w:pPr>
          </w:p>
        </w:tc>
        <w:tc>
          <w:tcPr>
            <w:tcW w:w="0" w:type="auto"/>
            <w:shd w:val="clear" w:color="auto" w:fill="auto"/>
            <w:vAlign w:val="bottom"/>
          </w:tcPr>
          <w:p w14:paraId="5CD8E488" w14:textId="77777777" w:rsidR="00BA49F5" w:rsidRDefault="00BA49F5">
            <w:pPr>
              <w:rPr>
                <w:rFonts w:ascii="宋体"/>
                <w:vanish/>
              </w:rPr>
            </w:pPr>
          </w:p>
        </w:tc>
      </w:tr>
      <w:tr w:rsidR="00BA49F5" w14:paraId="5CD8E4AC" w14:textId="77777777">
        <w:tc>
          <w:tcPr>
            <w:tcW w:w="0" w:type="auto"/>
            <w:gridSpan w:val="3"/>
            <w:shd w:val="clear" w:color="auto" w:fill="CCEEFF"/>
            <w:tcMar>
              <w:top w:w="40" w:type="dxa"/>
              <w:left w:w="20" w:type="dxa"/>
              <w:bottom w:w="40" w:type="dxa"/>
              <w:right w:w="20" w:type="dxa"/>
            </w:tcMar>
            <w:vAlign w:val="bottom"/>
          </w:tcPr>
          <w:p w14:paraId="5CD8E48A" w14:textId="77777777" w:rsidR="00BA49F5" w:rsidRDefault="007E5E49">
            <w:pPr>
              <w:textAlignment w:val="bottom"/>
            </w:pPr>
            <w:r>
              <w:rPr>
                <w:rFonts w:ascii="Times New Roman" w:eastAsia="宋体" w:hAnsi="Times New Roman"/>
                <w:color w:val="000000"/>
                <w:sz w:val="20"/>
                <w:szCs w:val="20"/>
              </w:rPr>
              <w:t>Income (loss) from operations</w:t>
            </w:r>
          </w:p>
        </w:tc>
        <w:tc>
          <w:tcPr>
            <w:tcW w:w="0" w:type="auto"/>
            <w:shd w:val="clear" w:color="auto" w:fill="CCEEFF"/>
            <w:tcMar>
              <w:top w:w="40" w:type="dxa"/>
              <w:left w:w="20" w:type="dxa"/>
              <w:bottom w:w="40" w:type="dxa"/>
              <w:right w:w="0" w:type="dxa"/>
            </w:tcMar>
            <w:vAlign w:val="bottom"/>
          </w:tcPr>
          <w:p w14:paraId="5CD8E48B"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8C" w14:textId="77777777" w:rsidR="00BA49F5" w:rsidRDefault="007E5E49">
            <w:pPr>
              <w:jc w:val="right"/>
              <w:textAlignment w:val="bottom"/>
            </w:pPr>
            <w:r>
              <w:rPr>
                <w:rFonts w:ascii="Times New Roman" w:eastAsia="宋体" w:hAnsi="Times New Roman"/>
                <w:color w:val="000000"/>
                <w:sz w:val="17"/>
                <w:szCs w:val="17"/>
              </w:rPr>
              <w:t>42,661 </w:t>
            </w:r>
          </w:p>
        </w:tc>
        <w:tc>
          <w:tcPr>
            <w:tcW w:w="0" w:type="auto"/>
            <w:shd w:val="clear" w:color="auto" w:fill="CCEEFF"/>
            <w:tcMar>
              <w:top w:w="40" w:type="dxa"/>
              <w:left w:w="0" w:type="dxa"/>
              <w:bottom w:w="40" w:type="dxa"/>
              <w:right w:w="20" w:type="dxa"/>
            </w:tcMar>
            <w:vAlign w:val="bottom"/>
          </w:tcPr>
          <w:p w14:paraId="5CD8E48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8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8F"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90" w14:textId="77777777" w:rsidR="00BA49F5" w:rsidRDefault="007E5E49">
            <w:pPr>
              <w:jc w:val="right"/>
              <w:textAlignment w:val="bottom"/>
            </w:pPr>
            <w:r>
              <w:rPr>
                <w:rFonts w:ascii="Times New Roman" w:eastAsia="宋体" w:hAnsi="Times New Roman"/>
                <w:color w:val="000000"/>
                <w:sz w:val="17"/>
                <w:szCs w:val="17"/>
              </w:rPr>
              <w:t>56,946 </w:t>
            </w:r>
          </w:p>
        </w:tc>
        <w:tc>
          <w:tcPr>
            <w:tcW w:w="0" w:type="auto"/>
            <w:shd w:val="clear" w:color="auto" w:fill="CCEEFF"/>
            <w:tcMar>
              <w:top w:w="40" w:type="dxa"/>
              <w:left w:w="0" w:type="dxa"/>
              <w:bottom w:w="40" w:type="dxa"/>
              <w:right w:w="20" w:type="dxa"/>
            </w:tcMar>
            <w:vAlign w:val="bottom"/>
          </w:tcPr>
          <w:p w14:paraId="5CD8E49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92"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93" w14:textId="77777777" w:rsidR="00BA49F5" w:rsidRDefault="007E5E49">
            <w:pPr>
              <w:jc w:val="center"/>
              <w:textAlignment w:val="bottom"/>
            </w:pPr>
            <w:r>
              <w:rPr>
                <w:rFonts w:ascii="Times New Roman" w:eastAsia="宋体" w:hAnsi="Times New Roman"/>
                <w:i/>
                <w:iCs/>
                <w:color w:val="000000"/>
                <w:sz w:val="17"/>
                <w:szCs w:val="17"/>
              </w:rPr>
              <w:t>(25)%</w:t>
            </w:r>
          </w:p>
        </w:tc>
        <w:tc>
          <w:tcPr>
            <w:tcW w:w="0" w:type="auto"/>
            <w:gridSpan w:val="3"/>
            <w:shd w:val="clear" w:color="auto" w:fill="CCEEFF"/>
            <w:tcMar>
              <w:top w:w="0" w:type="dxa"/>
              <w:left w:w="20" w:type="dxa"/>
              <w:bottom w:w="0" w:type="dxa"/>
              <w:right w:w="20" w:type="dxa"/>
            </w:tcMar>
            <w:vAlign w:val="bottom"/>
          </w:tcPr>
          <w:p w14:paraId="5CD8E494"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95"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96" w14:textId="77777777" w:rsidR="00BA49F5" w:rsidRDefault="007E5E49">
            <w:pPr>
              <w:jc w:val="right"/>
              <w:textAlignment w:val="bottom"/>
            </w:pPr>
            <w:r>
              <w:rPr>
                <w:rFonts w:ascii="Times New Roman" w:eastAsia="宋体" w:hAnsi="Times New Roman"/>
                <w:color w:val="000000"/>
                <w:sz w:val="17"/>
                <w:szCs w:val="17"/>
              </w:rPr>
              <w:t>(13,717)</w:t>
            </w:r>
          </w:p>
        </w:tc>
        <w:tc>
          <w:tcPr>
            <w:tcW w:w="0" w:type="auto"/>
            <w:shd w:val="clear" w:color="auto" w:fill="CCEEFF"/>
            <w:tcMar>
              <w:top w:w="40" w:type="dxa"/>
              <w:left w:w="0" w:type="dxa"/>
              <w:bottom w:w="40" w:type="dxa"/>
              <w:right w:w="20" w:type="dxa"/>
            </w:tcMar>
            <w:vAlign w:val="bottom"/>
          </w:tcPr>
          <w:p w14:paraId="5CD8E49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98"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99"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9A" w14:textId="77777777" w:rsidR="00BA49F5" w:rsidRDefault="007E5E49">
            <w:pPr>
              <w:jc w:val="right"/>
              <w:textAlignment w:val="bottom"/>
            </w:pPr>
            <w:r>
              <w:rPr>
                <w:rFonts w:ascii="Times New Roman" w:eastAsia="宋体" w:hAnsi="Times New Roman"/>
                <w:color w:val="000000"/>
                <w:sz w:val="17"/>
                <w:szCs w:val="17"/>
              </w:rPr>
              <w:t>(10,193)</w:t>
            </w:r>
          </w:p>
        </w:tc>
        <w:tc>
          <w:tcPr>
            <w:tcW w:w="0" w:type="auto"/>
            <w:shd w:val="clear" w:color="auto" w:fill="CCEEFF"/>
            <w:tcMar>
              <w:top w:w="40" w:type="dxa"/>
              <w:left w:w="0" w:type="dxa"/>
              <w:bottom w:w="40" w:type="dxa"/>
              <w:right w:w="20" w:type="dxa"/>
            </w:tcMar>
            <w:vAlign w:val="bottom"/>
          </w:tcPr>
          <w:p w14:paraId="5CD8E49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9C"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9D" w14:textId="77777777" w:rsidR="00BA49F5" w:rsidRDefault="007E5E49">
            <w:pPr>
              <w:jc w:val="center"/>
              <w:textAlignment w:val="bottom"/>
            </w:pPr>
            <w:r>
              <w:rPr>
                <w:rFonts w:ascii="Times New Roman" w:eastAsia="宋体" w:hAnsi="Times New Roman"/>
                <w:i/>
                <w:iCs/>
                <w:color w:val="000000"/>
                <w:sz w:val="17"/>
                <w:szCs w:val="17"/>
              </w:rPr>
              <w:t>(35)%</w:t>
            </w:r>
          </w:p>
        </w:tc>
        <w:tc>
          <w:tcPr>
            <w:tcW w:w="0" w:type="auto"/>
            <w:gridSpan w:val="3"/>
            <w:shd w:val="clear" w:color="auto" w:fill="CCEEFF"/>
            <w:tcMar>
              <w:top w:w="0" w:type="dxa"/>
              <w:left w:w="20" w:type="dxa"/>
              <w:bottom w:w="0" w:type="dxa"/>
              <w:right w:w="20" w:type="dxa"/>
            </w:tcMar>
            <w:vAlign w:val="bottom"/>
          </w:tcPr>
          <w:p w14:paraId="5CD8E49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9F"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A0" w14:textId="77777777" w:rsidR="00BA49F5" w:rsidRDefault="007E5E49">
            <w:pPr>
              <w:jc w:val="right"/>
              <w:textAlignment w:val="bottom"/>
            </w:pPr>
            <w:r>
              <w:rPr>
                <w:rFonts w:ascii="Times New Roman" w:eastAsia="宋体" w:hAnsi="Times New Roman"/>
                <w:color w:val="000000"/>
                <w:sz w:val="17"/>
                <w:szCs w:val="17"/>
              </w:rPr>
              <w:t>28,944 </w:t>
            </w:r>
          </w:p>
        </w:tc>
        <w:tc>
          <w:tcPr>
            <w:tcW w:w="0" w:type="auto"/>
            <w:shd w:val="clear" w:color="auto" w:fill="CCEEFF"/>
            <w:tcMar>
              <w:top w:w="40" w:type="dxa"/>
              <w:left w:w="0" w:type="dxa"/>
              <w:bottom w:w="40" w:type="dxa"/>
              <w:right w:w="20" w:type="dxa"/>
            </w:tcMar>
            <w:vAlign w:val="bottom"/>
          </w:tcPr>
          <w:p w14:paraId="5CD8E4A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A2"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4A3" w14:textId="77777777" w:rsidR="00BA49F5" w:rsidRDefault="007E5E49">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5CD8E4A4" w14:textId="77777777" w:rsidR="00BA49F5" w:rsidRDefault="007E5E49">
            <w:pPr>
              <w:jc w:val="right"/>
              <w:textAlignment w:val="bottom"/>
            </w:pPr>
            <w:r>
              <w:rPr>
                <w:rFonts w:ascii="Times New Roman" w:eastAsia="宋体" w:hAnsi="Times New Roman"/>
                <w:color w:val="000000"/>
                <w:sz w:val="17"/>
                <w:szCs w:val="17"/>
              </w:rPr>
              <w:t>46,753 </w:t>
            </w:r>
          </w:p>
        </w:tc>
        <w:tc>
          <w:tcPr>
            <w:tcW w:w="0" w:type="auto"/>
            <w:shd w:val="clear" w:color="auto" w:fill="CCEEFF"/>
            <w:tcMar>
              <w:top w:w="40" w:type="dxa"/>
              <w:left w:w="0" w:type="dxa"/>
              <w:bottom w:w="40" w:type="dxa"/>
              <w:right w:w="20" w:type="dxa"/>
            </w:tcMar>
            <w:vAlign w:val="bottom"/>
          </w:tcPr>
          <w:p w14:paraId="5CD8E4A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4A6"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4A7" w14:textId="77777777" w:rsidR="00BA49F5" w:rsidRDefault="007E5E49">
            <w:pPr>
              <w:jc w:val="center"/>
              <w:textAlignment w:val="bottom"/>
            </w:pPr>
            <w:r>
              <w:rPr>
                <w:rFonts w:ascii="Times New Roman" w:eastAsia="宋体" w:hAnsi="Times New Roman"/>
                <w:i/>
                <w:iCs/>
                <w:color w:val="000000"/>
                <w:sz w:val="17"/>
                <w:szCs w:val="17"/>
              </w:rPr>
              <w:t>(38)%</w:t>
            </w:r>
          </w:p>
        </w:tc>
        <w:tc>
          <w:tcPr>
            <w:tcW w:w="0" w:type="auto"/>
            <w:shd w:val="clear" w:color="auto" w:fill="auto"/>
            <w:vAlign w:val="bottom"/>
          </w:tcPr>
          <w:p w14:paraId="5CD8E4A8" w14:textId="77777777" w:rsidR="00BA49F5" w:rsidRDefault="00BA49F5">
            <w:pPr>
              <w:rPr>
                <w:rFonts w:ascii="宋体"/>
                <w:vanish/>
              </w:rPr>
            </w:pPr>
          </w:p>
        </w:tc>
        <w:tc>
          <w:tcPr>
            <w:tcW w:w="0" w:type="auto"/>
            <w:shd w:val="clear" w:color="auto" w:fill="auto"/>
            <w:vAlign w:val="bottom"/>
          </w:tcPr>
          <w:p w14:paraId="5CD8E4A9" w14:textId="77777777" w:rsidR="00BA49F5" w:rsidRDefault="00BA49F5">
            <w:pPr>
              <w:rPr>
                <w:rFonts w:ascii="宋体"/>
                <w:vanish/>
              </w:rPr>
            </w:pPr>
          </w:p>
        </w:tc>
        <w:tc>
          <w:tcPr>
            <w:tcW w:w="0" w:type="auto"/>
            <w:shd w:val="clear" w:color="auto" w:fill="auto"/>
            <w:vAlign w:val="bottom"/>
          </w:tcPr>
          <w:p w14:paraId="5CD8E4AA" w14:textId="77777777" w:rsidR="00BA49F5" w:rsidRDefault="00BA49F5">
            <w:pPr>
              <w:rPr>
                <w:rFonts w:ascii="宋体"/>
                <w:vanish/>
              </w:rPr>
            </w:pPr>
          </w:p>
        </w:tc>
        <w:tc>
          <w:tcPr>
            <w:tcW w:w="0" w:type="auto"/>
            <w:shd w:val="clear" w:color="auto" w:fill="auto"/>
            <w:vAlign w:val="bottom"/>
          </w:tcPr>
          <w:p w14:paraId="5CD8E4AB" w14:textId="77777777" w:rsidR="00BA49F5" w:rsidRDefault="00BA49F5">
            <w:pPr>
              <w:rPr>
                <w:rFonts w:ascii="宋体"/>
                <w:vanish/>
              </w:rPr>
            </w:pPr>
          </w:p>
        </w:tc>
      </w:tr>
      <w:tr w:rsidR="00BA49F5" w14:paraId="5CD8E4C9" w14:textId="77777777">
        <w:tc>
          <w:tcPr>
            <w:tcW w:w="0" w:type="auto"/>
            <w:gridSpan w:val="3"/>
            <w:shd w:val="clear" w:color="auto" w:fill="FFFFFF"/>
            <w:tcMar>
              <w:top w:w="40" w:type="dxa"/>
              <w:left w:w="20" w:type="dxa"/>
              <w:bottom w:w="40" w:type="dxa"/>
              <w:right w:w="20" w:type="dxa"/>
            </w:tcMar>
            <w:vAlign w:val="bottom"/>
          </w:tcPr>
          <w:p w14:paraId="5CD8E4AD" w14:textId="77777777" w:rsidR="00BA49F5" w:rsidRDefault="007E5E49">
            <w:pPr>
              <w:textAlignment w:val="bottom"/>
            </w:pPr>
            <w:r>
              <w:rPr>
                <w:rFonts w:ascii="Times New Roman" w:eastAsia="宋体" w:hAnsi="Times New Roman"/>
                <w:i/>
                <w:iCs/>
                <w:color w:val="000000"/>
                <w:sz w:val="20"/>
                <w:szCs w:val="20"/>
              </w:rPr>
              <w:t>Operating margin</w:t>
            </w:r>
          </w:p>
        </w:tc>
        <w:tc>
          <w:tcPr>
            <w:tcW w:w="0" w:type="auto"/>
            <w:gridSpan w:val="2"/>
            <w:shd w:val="clear" w:color="auto" w:fill="FFFFFF"/>
            <w:tcMar>
              <w:top w:w="40" w:type="dxa"/>
              <w:left w:w="20" w:type="dxa"/>
              <w:bottom w:w="40" w:type="dxa"/>
              <w:right w:w="0" w:type="dxa"/>
            </w:tcMar>
            <w:vAlign w:val="bottom"/>
          </w:tcPr>
          <w:p w14:paraId="5CD8E4AE" w14:textId="77777777" w:rsidR="00BA49F5" w:rsidRDefault="007E5E49">
            <w:pPr>
              <w:jc w:val="right"/>
              <w:textAlignment w:val="bottom"/>
            </w:pPr>
            <w:r>
              <w:rPr>
                <w:rFonts w:ascii="Times New Roman" w:eastAsia="宋体" w:hAnsi="Times New Roman"/>
                <w:i/>
                <w:iCs/>
                <w:color w:val="000000"/>
                <w:sz w:val="17"/>
                <w:szCs w:val="17"/>
              </w:rPr>
              <w:t>37 </w:t>
            </w:r>
          </w:p>
        </w:tc>
        <w:tc>
          <w:tcPr>
            <w:tcW w:w="0" w:type="auto"/>
            <w:shd w:val="clear" w:color="auto" w:fill="FFFFFF"/>
            <w:tcMar>
              <w:top w:w="40" w:type="dxa"/>
              <w:left w:w="0" w:type="dxa"/>
              <w:bottom w:w="40" w:type="dxa"/>
              <w:right w:w="20" w:type="dxa"/>
            </w:tcMar>
            <w:vAlign w:val="bottom"/>
          </w:tcPr>
          <w:p w14:paraId="5CD8E4AF"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B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4B1" w14:textId="77777777" w:rsidR="00BA49F5" w:rsidRDefault="007E5E49">
            <w:pPr>
              <w:jc w:val="right"/>
              <w:textAlignment w:val="bottom"/>
            </w:pPr>
            <w:r>
              <w:rPr>
                <w:rFonts w:ascii="Times New Roman" w:eastAsia="宋体" w:hAnsi="Times New Roman"/>
                <w:i/>
                <w:iCs/>
                <w:color w:val="000000"/>
                <w:sz w:val="17"/>
                <w:szCs w:val="17"/>
              </w:rPr>
              <w:t>49 </w:t>
            </w:r>
          </w:p>
        </w:tc>
        <w:tc>
          <w:tcPr>
            <w:tcW w:w="0" w:type="auto"/>
            <w:shd w:val="clear" w:color="auto" w:fill="FFFFFF"/>
            <w:tcMar>
              <w:top w:w="40" w:type="dxa"/>
              <w:left w:w="0" w:type="dxa"/>
              <w:bottom w:w="40" w:type="dxa"/>
              <w:right w:w="20" w:type="dxa"/>
            </w:tcMar>
            <w:vAlign w:val="bottom"/>
          </w:tcPr>
          <w:p w14:paraId="5CD8E4B2"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B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4B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4B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4B6" w14:textId="77777777" w:rsidR="00BA49F5" w:rsidRDefault="007E5E49">
            <w:pPr>
              <w:jc w:val="right"/>
              <w:textAlignment w:val="bottom"/>
            </w:pPr>
            <w:r>
              <w:rPr>
                <w:rFonts w:ascii="Times New Roman" w:eastAsia="宋体" w:hAnsi="Times New Roman"/>
                <w:i/>
                <w:iCs/>
                <w:color w:val="000000"/>
                <w:sz w:val="17"/>
                <w:szCs w:val="17"/>
              </w:rPr>
              <w:t>(635)</w:t>
            </w:r>
          </w:p>
        </w:tc>
        <w:tc>
          <w:tcPr>
            <w:tcW w:w="0" w:type="auto"/>
            <w:shd w:val="clear" w:color="auto" w:fill="FFFFFF"/>
            <w:tcMar>
              <w:top w:w="40" w:type="dxa"/>
              <w:left w:w="0" w:type="dxa"/>
              <w:bottom w:w="40" w:type="dxa"/>
              <w:right w:w="20" w:type="dxa"/>
            </w:tcMar>
            <w:vAlign w:val="bottom"/>
          </w:tcPr>
          <w:p w14:paraId="5CD8E4B7"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B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4B9" w14:textId="77777777" w:rsidR="00BA49F5" w:rsidRDefault="007E5E49">
            <w:pPr>
              <w:jc w:val="right"/>
              <w:textAlignment w:val="bottom"/>
            </w:pPr>
            <w:r>
              <w:rPr>
                <w:rFonts w:ascii="Times New Roman" w:eastAsia="宋体" w:hAnsi="Times New Roman"/>
                <w:i/>
                <w:iCs/>
                <w:color w:val="000000"/>
                <w:sz w:val="17"/>
                <w:szCs w:val="17"/>
              </w:rPr>
              <w:t>(448)</w:t>
            </w:r>
          </w:p>
        </w:tc>
        <w:tc>
          <w:tcPr>
            <w:tcW w:w="0" w:type="auto"/>
            <w:shd w:val="clear" w:color="auto" w:fill="FFFFFF"/>
            <w:tcMar>
              <w:top w:w="40" w:type="dxa"/>
              <w:left w:w="0" w:type="dxa"/>
              <w:bottom w:w="40" w:type="dxa"/>
              <w:right w:w="20" w:type="dxa"/>
            </w:tcMar>
            <w:vAlign w:val="bottom"/>
          </w:tcPr>
          <w:p w14:paraId="5CD8E4BA"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B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4BC"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4B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4BE" w14:textId="77777777" w:rsidR="00BA49F5" w:rsidRDefault="007E5E49">
            <w:pPr>
              <w:jc w:val="right"/>
              <w:textAlignment w:val="bottom"/>
            </w:pPr>
            <w:r>
              <w:rPr>
                <w:rFonts w:ascii="Times New Roman" w:eastAsia="宋体" w:hAnsi="Times New Roman"/>
                <w:i/>
                <w:iCs/>
                <w:color w:val="000000"/>
                <w:sz w:val="17"/>
                <w:szCs w:val="17"/>
              </w:rPr>
              <w:t>25 </w:t>
            </w:r>
          </w:p>
        </w:tc>
        <w:tc>
          <w:tcPr>
            <w:tcW w:w="0" w:type="auto"/>
            <w:shd w:val="clear" w:color="auto" w:fill="FFFFFF"/>
            <w:tcMar>
              <w:top w:w="40" w:type="dxa"/>
              <w:left w:w="0" w:type="dxa"/>
              <w:bottom w:w="40" w:type="dxa"/>
              <w:right w:w="20" w:type="dxa"/>
            </w:tcMar>
            <w:vAlign w:val="bottom"/>
          </w:tcPr>
          <w:p w14:paraId="5CD8E4BF"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C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4C1" w14:textId="77777777" w:rsidR="00BA49F5" w:rsidRDefault="007E5E49">
            <w:pPr>
              <w:jc w:val="right"/>
              <w:textAlignment w:val="bottom"/>
            </w:pPr>
            <w:r>
              <w:rPr>
                <w:rFonts w:ascii="Times New Roman" w:eastAsia="宋体" w:hAnsi="Times New Roman"/>
                <w:i/>
                <w:iCs/>
                <w:color w:val="000000"/>
                <w:sz w:val="17"/>
                <w:szCs w:val="17"/>
              </w:rPr>
              <w:t>40 </w:t>
            </w:r>
          </w:p>
        </w:tc>
        <w:tc>
          <w:tcPr>
            <w:tcW w:w="0" w:type="auto"/>
            <w:shd w:val="clear" w:color="auto" w:fill="FFFFFF"/>
            <w:tcMar>
              <w:top w:w="40" w:type="dxa"/>
              <w:left w:w="0" w:type="dxa"/>
              <w:bottom w:w="40" w:type="dxa"/>
              <w:right w:w="20" w:type="dxa"/>
            </w:tcMar>
            <w:vAlign w:val="bottom"/>
          </w:tcPr>
          <w:p w14:paraId="5CD8E4C2" w14:textId="77777777" w:rsidR="00BA49F5" w:rsidRDefault="007E5E49">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5CD8E4C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4C4" w14:textId="77777777" w:rsidR="00BA49F5" w:rsidRDefault="00BA49F5">
            <w:pPr>
              <w:rPr>
                <w:rFonts w:ascii="宋体"/>
              </w:rPr>
            </w:pPr>
          </w:p>
        </w:tc>
        <w:tc>
          <w:tcPr>
            <w:tcW w:w="0" w:type="auto"/>
            <w:shd w:val="clear" w:color="auto" w:fill="auto"/>
            <w:vAlign w:val="bottom"/>
          </w:tcPr>
          <w:p w14:paraId="5CD8E4C5" w14:textId="77777777" w:rsidR="00BA49F5" w:rsidRDefault="00BA49F5">
            <w:pPr>
              <w:rPr>
                <w:rFonts w:ascii="宋体"/>
                <w:vanish/>
              </w:rPr>
            </w:pPr>
          </w:p>
        </w:tc>
        <w:tc>
          <w:tcPr>
            <w:tcW w:w="0" w:type="auto"/>
            <w:shd w:val="clear" w:color="auto" w:fill="auto"/>
            <w:vAlign w:val="bottom"/>
          </w:tcPr>
          <w:p w14:paraId="5CD8E4C6" w14:textId="77777777" w:rsidR="00BA49F5" w:rsidRDefault="00BA49F5">
            <w:pPr>
              <w:rPr>
                <w:rFonts w:ascii="宋体"/>
                <w:vanish/>
              </w:rPr>
            </w:pPr>
          </w:p>
        </w:tc>
        <w:tc>
          <w:tcPr>
            <w:tcW w:w="0" w:type="auto"/>
            <w:shd w:val="clear" w:color="auto" w:fill="auto"/>
            <w:vAlign w:val="bottom"/>
          </w:tcPr>
          <w:p w14:paraId="5CD8E4C7" w14:textId="77777777" w:rsidR="00BA49F5" w:rsidRDefault="00BA49F5">
            <w:pPr>
              <w:rPr>
                <w:rFonts w:ascii="宋体"/>
                <w:vanish/>
              </w:rPr>
            </w:pPr>
          </w:p>
        </w:tc>
        <w:tc>
          <w:tcPr>
            <w:tcW w:w="0" w:type="auto"/>
            <w:shd w:val="clear" w:color="auto" w:fill="auto"/>
            <w:vAlign w:val="bottom"/>
          </w:tcPr>
          <w:p w14:paraId="5CD8E4C8" w14:textId="77777777" w:rsidR="00BA49F5" w:rsidRDefault="00BA49F5">
            <w:pPr>
              <w:rPr>
                <w:rFonts w:ascii="宋体"/>
                <w:vanish/>
              </w:rPr>
            </w:pPr>
          </w:p>
        </w:tc>
      </w:tr>
    </w:tbl>
    <w:p w14:paraId="5CD8E4CA" w14:textId="77777777" w:rsidR="00BA49F5" w:rsidRDefault="007E5E49">
      <w:pPr>
        <w:spacing w:before="60"/>
        <w:ind w:hanging="360"/>
        <w:jc w:val="both"/>
      </w:pPr>
      <w:r>
        <w:rPr>
          <w:rFonts w:ascii="Times New Roman" w:eastAsia="宋体" w:hAnsi="Times New Roman"/>
          <w:color w:val="000000"/>
          <w:sz w:val="20"/>
          <w:szCs w:val="20"/>
        </w:rPr>
        <w:t>•Net income was $23.20 billion, w</w:t>
      </w:r>
      <w:r>
        <w:rPr>
          <w:rFonts w:ascii="Times New Roman" w:eastAsia="宋体" w:hAnsi="Times New Roman"/>
          <w:color w:val="000000"/>
          <w:sz w:val="20"/>
          <w:szCs w:val="20"/>
        </w:rPr>
        <w:t>ith diluted earnings per share of $8.59 for the year ended December 31, 2022.</w:t>
      </w:r>
    </w:p>
    <w:p w14:paraId="5CD8E4CB" w14:textId="77777777" w:rsidR="00BA49F5" w:rsidRDefault="007E5E49">
      <w:pPr>
        <w:spacing w:before="60"/>
        <w:ind w:hanging="360"/>
        <w:jc w:val="both"/>
      </w:pPr>
      <w:r>
        <w:rPr>
          <w:rFonts w:ascii="Times New Roman" w:eastAsia="宋体" w:hAnsi="Times New Roman"/>
          <w:color w:val="000000"/>
          <w:sz w:val="20"/>
          <w:szCs w:val="20"/>
        </w:rPr>
        <w:t>•Capital expenditures, including principal payments on finance leases, were $32.04 billion for the year ended December 31, 2022.</w:t>
      </w:r>
    </w:p>
    <w:p w14:paraId="5CD8E4CC" w14:textId="77777777" w:rsidR="00BA49F5" w:rsidRDefault="007E5E49">
      <w:pPr>
        <w:spacing w:before="60"/>
        <w:ind w:hanging="360"/>
        <w:jc w:val="both"/>
      </w:pPr>
      <w:r>
        <w:rPr>
          <w:rFonts w:ascii="Times New Roman" w:eastAsia="宋体" w:hAnsi="Times New Roman"/>
          <w:color w:val="000000"/>
          <w:sz w:val="20"/>
          <w:szCs w:val="20"/>
        </w:rPr>
        <w:t xml:space="preserve">•Effective tax rate was 19.5% for the year ended </w:t>
      </w:r>
      <w:r>
        <w:rPr>
          <w:rFonts w:ascii="Times New Roman" w:eastAsia="宋体" w:hAnsi="Times New Roman"/>
          <w:color w:val="000000"/>
          <w:sz w:val="20"/>
          <w:szCs w:val="20"/>
        </w:rPr>
        <w:t>December 31, 2022.</w:t>
      </w:r>
    </w:p>
    <w:p w14:paraId="5CD8E4CD" w14:textId="77777777" w:rsidR="00BA49F5" w:rsidRDefault="007E5E49">
      <w:pPr>
        <w:spacing w:before="60"/>
        <w:ind w:hanging="360"/>
        <w:jc w:val="both"/>
      </w:pPr>
      <w:r>
        <w:rPr>
          <w:rFonts w:ascii="Times New Roman" w:eastAsia="宋体" w:hAnsi="Times New Roman"/>
          <w:color w:val="000000"/>
          <w:sz w:val="20"/>
          <w:szCs w:val="20"/>
        </w:rPr>
        <w:t>•Cash, cash equivalents, and marketable securities were $40.74 billion as of December 31, 2022.</w:t>
      </w:r>
    </w:p>
    <w:p w14:paraId="5CD8E4CE" w14:textId="77777777" w:rsidR="00BA49F5" w:rsidRDefault="007E5E49">
      <w:pPr>
        <w:spacing w:before="60"/>
        <w:ind w:hanging="360"/>
        <w:jc w:val="both"/>
      </w:pPr>
      <w:r>
        <w:rPr>
          <w:rFonts w:ascii="Times New Roman" w:eastAsia="宋体" w:hAnsi="Times New Roman"/>
          <w:color w:val="000000"/>
          <w:sz w:val="20"/>
          <w:szCs w:val="20"/>
        </w:rPr>
        <w:t>•Long-term debt was $9.92 billion as of December 31, 2022.</w:t>
      </w:r>
    </w:p>
    <w:p w14:paraId="5CD8E4CF" w14:textId="77777777" w:rsidR="00BA49F5" w:rsidRDefault="007E5E49">
      <w:pPr>
        <w:spacing w:before="60"/>
        <w:ind w:hanging="360"/>
        <w:jc w:val="both"/>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rPr>
        <w:t xml:space="preserve">Headcount was 86,482 as of December 31, 2022, an increase of 20% year-over-year. </w:t>
      </w:r>
      <w:r>
        <w:rPr>
          <w:rFonts w:ascii="Times New Roman" w:eastAsia="宋体" w:hAnsi="Times New Roman"/>
          <w:color w:val="000000"/>
          <w:sz w:val="20"/>
          <w:szCs w:val="20"/>
        </w:rPr>
        <w:t xml:space="preserve">Our reported headcount includes a substantial majority of the approximately </w:t>
      </w:r>
      <w:r>
        <w:rPr>
          <w:rFonts w:ascii="Times New Roman" w:eastAsia="宋体" w:hAnsi="Times New Roman"/>
          <w:color w:val="000000"/>
          <w:sz w:val="20"/>
          <w:szCs w:val="20"/>
          <w:shd w:val="clear" w:color="auto" w:fill="FFFFFF"/>
        </w:rPr>
        <w:t xml:space="preserve">11,000 employees impacted by the layoff we announced in November 2022, who </w:t>
      </w:r>
      <w:r>
        <w:rPr>
          <w:rFonts w:ascii="Times New Roman" w:eastAsia="宋体" w:hAnsi="Times New Roman"/>
          <w:color w:val="000000"/>
          <w:sz w:val="20"/>
          <w:szCs w:val="20"/>
        </w:rPr>
        <w:t>will no longer be reflected in our headcount by the end of the first quarter of 2023.</w:t>
      </w:r>
    </w:p>
    <w:p w14:paraId="5CD8E4D0" w14:textId="77777777" w:rsidR="00BA49F5" w:rsidRDefault="00BA49F5">
      <w:pPr>
        <w:jc w:val="both"/>
      </w:pPr>
    </w:p>
    <w:p w14:paraId="5CD8E4D1" w14:textId="77777777" w:rsidR="00BA49F5" w:rsidRDefault="007E5E49">
      <w:pPr>
        <w:jc w:val="both"/>
      </w:pPr>
      <w:r>
        <w:rPr>
          <w:rFonts w:ascii="Times New Roman" w:eastAsia="宋体" w:hAnsi="Times New Roman"/>
          <w:b/>
          <w:bCs/>
          <w:i/>
          <w:iCs/>
          <w:color w:val="000000"/>
          <w:sz w:val="20"/>
          <w:szCs w:val="20"/>
        </w:rPr>
        <w:t>Restructuring</w:t>
      </w:r>
    </w:p>
    <w:p w14:paraId="5CD8E4D2" w14:textId="77777777" w:rsidR="00BA49F5" w:rsidRDefault="00BA49F5">
      <w:pPr>
        <w:jc w:val="both"/>
      </w:pPr>
    </w:p>
    <w:p w14:paraId="5CD8E4D3" w14:textId="77777777" w:rsidR="00BA49F5" w:rsidRDefault="007E5E49">
      <w:pPr>
        <w:ind w:firstLine="540"/>
        <w:jc w:val="both"/>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2022, we initiated several measures to pursue greater efficiency and to realign our business and strategic priorities. This includes a facilities consolidation strategy to sublease, early terminate, or abandon several office buildings under operating lease</w:t>
      </w:r>
      <w:r>
        <w:rPr>
          <w:rFonts w:ascii="Times New Roman" w:eastAsia="宋体" w:hAnsi="Times New Roman"/>
          <w:color w:val="000000"/>
          <w:sz w:val="20"/>
          <w:szCs w:val="20"/>
          <w:shd w:val="clear" w:color="auto" w:fill="FFFFFF"/>
        </w:rPr>
        <w:t>s, a layoff of approximately 11,000 of our employees across the FoA and RL segments, and a pivot towards a next generation data center design, including cancellation of multiple data center projects.</w:t>
      </w:r>
    </w:p>
    <w:p w14:paraId="5CD8E4D4" w14:textId="77777777" w:rsidR="00BA49F5" w:rsidRDefault="00BA49F5">
      <w:pPr>
        <w:jc w:val="both"/>
      </w:pPr>
    </w:p>
    <w:p w14:paraId="5CD8E4D5" w14:textId="77777777" w:rsidR="00BA49F5" w:rsidRDefault="007E5E49">
      <w:pPr>
        <w:ind w:firstLine="540"/>
        <w:jc w:val="both"/>
      </w:pPr>
      <w:r>
        <w:rPr>
          <w:rFonts w:ascii="Times New Roman" w:eastAsia="宋体" w:hAnsi="Times New Roman"/>
          <w:color w:val="000000"/>
          <w:sz w:val="20"/>
          <w:szCs w:val="20"/>
          <w:shd w:val="clear" w:color="auto" w:fill="FFFFFF"/>
        </w:rPr>
        <w:t>A summary of our restructuring charges for the year end</w:t>
      </w:r>
      <w:r>
        <w:rPr>
          <w:rFonts w:ascii="Times New Roman" w:eastAsia="宋体" w:hAnsi="Times New Roman"/>
          <w:color w:val="000000"/>
          <w:sz w:val="20"/>
          <w:szCs w:val="20"/>
          <w:shd w:val="clear" w:color="auto" w:fill="FFFFFF"/>
        </w:rPr>
        <w:t xml:space="preserve">ed December 31, 2022 by major activity type is as follows </w:t>
      </w:r>
      <w:r>
        <w:rPr>
          <w:rFonts w:ascii="Times New Roman" w:eastAsia="宋体" w:hAnsi="Times New Roman"/>
          <w:color w:val="000000"/>
          <w:sz w:val="20"/>
          <w:szCs w:val="20"/>
        </w:rPr>
        <w:t>(in millions)</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540"/>
        <w:gridCol w:w="38"/>
        <w:gridCol w:w="121"/>
        <w:gridCol w:w="976"/>
        <w:gridCol w:w="36"/>
        <w:gridCol w:w="36"/>
        <w:gridCol w:w="36"/>
        <w:gridCol w:w="36"/>
        <w:gridCol w:w="36"/>
        <w:gridCol w:w="36"/>
        <w:gridCol w:w="121"/>
        <w:gridCol w:w="891"/>
        <w:gridCol w:w="36"/>
        <w:gridCol w:w="36"/>
        <w:gridCol w:w="36"/>
        <w:gridCol w:w="36"/>
        <w:gridCol w:w="120"/>
        <w:gridCol w:w="878"/>
        <w:gridCol w:w="36"/>
        <w:gridCol w:w="36"/>
        <w:gridCol w:w="36"/>
        <w:gridCol w:w="36"/>
        <w:gridCol w:w="36"/>
        <w:gridCol w:w="36"/>
        <w:gridCol w:w="120"/>
        <w:gridCol w:w="880"/>
        <w:gridCol w:w="36"/>
      </w:tblGrid>
      <w:tr w:rsidR="00BA49F5" w14:paraId="5CD8E4F2" w14:textId="77777777">
        <w:tc>
          <w:tcPr>
            <w:tcW w:w="50" w:type="pct"/>
            <w:shd w:val="clear" w:color="auto" w:fill="auto"/>
            <w:vAlign w:val="bottom"/>
          </w:tcPr>
          <w:p w14:paraId="5CD8E4D6" w14:textId="77777777" w:rsidR="00BA49F5" w:rsidRDefault="00BA49F5">
            <w:pPr>
              <w:rPr>
                <w:rFonts w:ascii="宋体"/>
              </w:rPr>
            </w:pPr>
          </w:p>
        </w:tc>
        <w:tc>
          <w:tcPr>
            <w:tcW w:w="2229" w:type="pct"/>
            <w:shd w:val="clear" w:color="auto" w:fill="auto"/>
            <w:vAlign w:val="bottom"/>
          </w:tcPr>
          <w:p w14:paraId="5CD8E4D7" w14:textId="77777777" w:rsidR="00BA49F5" w:rsidRDefault="00BA49F5">
            <w:pPr>
              <w:rPr>
                <w:rFonts w:ascii="宋体"/>
              </w:rPr>
            </w:pPr>
          </w:p>
        </w:tc>
        <w:tc>
          <w:tcPr>
            <w:tcW w:w="5" w:type="pct"/>
            <w:shd w:val="clear" w:color="auto" w:fill="auto"/>
            <w:vAlign w:val="bottom"/>
          </w:tcPr>
          <w:p w14:paraId="5CD8E4D8" w14:textId="77777777" w:rsidR="00BA49F5" w:rsidRDefault="00BA49F5">
            <w:pPr>
              <w:rPr>
                <w:rFonts w:ascii="宋体"/>
              </w:rPr>
            </w:pPr>
          </w:p>
        </w:tc>
        <w:tc>
          <w:tcPr>
            <w:tcW w:w="50" w:type="pct"/>
            <w:shd w:val="clear" w:color="auto" w:fill="auto"/>
            <w:vAlign w:val="bottom"/>
          </w:tcPr>
          <w:p w14:paraId="5CD8E4D9" w14:textId="77777777" w:rsidR="00BA49F5" w:rsidRDefault="00BA49F5">
            <w:pPr>
              <w:rPr>
                <w:rFonts w:ascii="宋体"/>
              </w:rPr>
            </w:pPr>
          </w:p>
        </w:tc>
        <w:tc>
          <w:tcPr>
            <w:tcW w:w="644" w:type="pct"/>
            <w:shd w:val="clear" w:color="auto" w:fill="auto"/>
            <w:vAlign w:val="bottom"/>
          </w:tcPr>
          <w:p w14:paraId="5CD8E4DA" w14:textId="77777777" w:rsidR="00BA49F5" w:rsidRDefault="00BA49F5">
            <w:pPr>
              <w:rPr>
                <w:rFonts w:ascii="宋体"/>
              </w:rPr>
            </w:pPr>
          </w:p>
        </w:tc>
        <w:tc>
          <w:tcPr>
            <w:tcW w:w="5" w:type="pct"/>
            <w:shd w:val="clear" w:color="auto" w:fill="auto"/>
            <w:vAlign w:val="bottom"/>
          </w:tcPr>
          <w:p w14:paraId="5CD8E4DB" w14:textId="77777777" w:rsidR="00BA49F5" w:rsidRDefault="00BA49F5">
            <w:pPr>
              <w:rPr>
                <w:rFonts w:ascii="宋体"/>
              </w:rPr>
            </w:pPr>
          </w:p>
        </w:tc>
        <w:tc>
          <w:tcPr>
            <w:tcW w:w="0" w:type="auto"/>
            <w:shd w:val="clear" w:color="auto" w:fill="auto"/>
            <w:vAlign w:val="bottom"/>
          </w:tcPr>
          <w:p w14:paraId="5CD8E4DC" w14:textId="77777777" w:rsidR="00BA49F5" w:rsidRDefault="00BA49F5">
            <w:pPr>
              <w:rPr>
                <w:rFonts w:ascii="宋体"/>
                <w:vanish/>
              </w:rPr>
            </w:pPr>
          </w:p>
        </w:tc>
        <w:tc>
          <w:tcPr>
            <w:tcW w:w="0" w:type="auto"/>
            <w:shd w:val="clear" w:color="auto" w:fill="auto"/>
            <w:vAlign w:val="bottom"/>
          </w:tcPr>
          <w:p w14:paraId="5CD8E4DD" w14:textId="77777777" w:rsidR="00BA49F5" w:rsidRDefault="00BA49F5">
            <w:pPr>
              <w:rPr>
                <w:rFonts w:ascii="宋体"/>
                <w:vanish/>
              </w:rPr>
            </w:pPr>
          </w:p>
        </w:tc>
        <w:tc>
          <w:tcPr>
            <w:tcW w:w="5" w:type="pct"/>
            <w:shd w:val="clear" w:color="auto" w:fill="auto"/>
            <w:vAlign w:val="bottom"/>
          </w:tcPr>
          <w:p w14:paraId="5CD8E4DE" w14:textId="77777777" w:rsidR="00BA49F5" w:rsidRDefault="00BA49F5">
            <w:pPr>
              <w:rPr>
                <w:rFonts w:ascii="宋体"/>
              </w:rPr>
            </w:pPr>
          </w:p>
        </w:tc>
        <w:tc>
          <w:tcPr>
            <w:tcW w:w="19" w:type="pct"/>
            <w:shd w:val="clear" w:color="auto" w:fill="auto"/>
            <w:vAlign w:val="bottom"/>
          </w:tcPr>
          <w:p w14:paraId="5CD8E4DF" w14:textId="77777777" w:rsidR="00BA49F5" w:rsidRDefault="00BA49F5">
            <w:pPr>
              <w:rPr>
                <w:rFonts w:ascii="宋体"/>
              </w:rPr>
            </w:pPr>
          </w:p>
        </w:tc>
        <w:tc>
          <w:tcPr>
            <w:tcW w:w="5" w:type="pct"/>
            <w:shd w:val="clear" w:color="auto" w:fill="auto"/>
            <w:vAlign w:val="bottom"/>
          </w:tcPr>
          <w:p w14:paraId="5CD8E4E0" w14:textId="77777777" w:rsidR="00BA49F5" w:rsidRDefault="00BA49F5">
            <w:pPr>
              <w:rPr>
                <w:rFonts w:ascii="宋体"/>
              </w:rPr>
            </w:pPr>
          </w:p>
        </w:tc>
        <w:tc>
          <w:tcPr>
            <w:tcW w:w="50" w:type="pct"/>
            <w:shd w:val="clear" w:color="auto" w:fill="auto"/>
            <w:vAlign w:val="bottom"/>
          </w:tcPr>
          <w:p w14:paraId="5CD8E4E1" w14:textId="77777777" w:rsidR="00BA49F5" w:rsidRDefault="00BA49F5">
            <w:pPr>
              <w:rPr>
                <w:rFonts w:ascii="宋体"/>
              </w:rPr>
            </w:pPr>
          </w:p>
        </w:tc>
        <w:tc>
          <w:tcPr>
            <w:tcW w:w="592" w:type="pct"/>
            <w:shd w:val="clear" w:color="auto" w:fill="auto"/>
            <w:vAlign w:val="bottom"/>
          </w:tcPr>
          <w:p w14:paraId="5CD8E4E2" w14:textId="77777777" w:rsidR="00BA49F5" w:rsidRDefault="00BA49F5">
            <w:pPr>
              <w:rPr>
                <w:rFonts w:ascii="宋体"/>
              </w:rPr>
            </w:pPr>
          </w:p>
        </w:tc>
        <w:tc>
          <w:tcPr>
            <w:tcW w:w="5" w:type="pct"/>
            <w:shd w:val="clear" w:color="auto" w:fill="auto"/>
            <w:vAlign w:val="bottom"/>
          </w:tcPr>
          <w:p w14:paraId="5CD8E4E3" w14:textId="77777777" w:rsidR="00BA49F5" w:rsidRDefault="00BA49F5">
            <w:pPr>
              <w:rPr>
                <w:rFonts w:ascii="宋体"/>
              </w:rPr>
            </w:pPr>
          </w:p>
        </w:tc>
        <w:tc>
          <w:tcPr>
            <w:tcW w:w="5" w:type="pct"/>
            <w:shd w:val="clear" w:color="auto" w:fill="auto"/>
            <w:vAlign w:val="bottom"/>
          </w:tcPr>
          <w:p w14:paraId="5CD8E4E4" w14:textId="77777777" w:rsidR="00BA49F5" w:rsidRDefault="00BA49F5">
            <w:pPr>
              <w:rPr>
                <w:rFonts w:ascii="宋体"/>
              </w:rPr>
            </w:pPr>
          </w:p>
        </w:tc>
        <w:tc>
          <w:tcPr>
            <w:tcW w:w="19" w:type="pct"/>
            <w:shd w:val="clear" w:color="auto" w:fill="auto"/>
            <w:vAlign w:val="bottom"/>
          </w:tcPr>
          <w:p w14:paraId="5CD8E4E5" w14:textId="77777777" w:rsidR="00BA49F5" w:rsidRDefault="00BA49F5">
            <w:pPr>
              <w:rPr>
                <w:rFonts w:ascii="宋体"/>
              </w:rPr>
            </w:pPr>
          </w:p>
        </w:tc>
        <w:tc>
          <w:tcPr>
            <w:tcW w:w="5" w:type="pct"/>
            <w:shd w:val="clear" w:color="auto" w:fill="auto"/>
            <w:vAlign w:val="bottom"/>
          </w:tcPr>
          <w:p w14:paraId="5CD8E4E6" w14:textId="77777777" w:rsidR="00BA49F5" w:rsidRDefault="00BA49F5">
            <w:pPr>
              <w:rPr>
                <w:rFonts w:ascii="宋体"/>
              </w:rPr>
            </w:pPr>
          </w:p>
        </w:tc>
        <w:tc>
          <w:tcPr>
            <w:tcW w:w="50" w:type="pct"/>
            <w:shd w:val="clear" w:color="auto" w:fill="auto"/>
            <w:vAlign w:val="bottom"/>
          </w:tcPr>
          <w:p w14:paraId="5CD8E4E7" w14:textId="77777777" w:rsidR="00BA49F5" w:rsidRDefault="00BA49F5">
            <w:pPr>
              <w:rPr>
                <w:rFonts w:ascii="宋体"/>
              </w:rPr>
            </w:pPr>
          </w:p>
        </w:tc>
        <w:tc>
          <w:tcPr>
            <w:tcW w:w="584" w:type="pct"/>
            <w:shd w:val="clear" w:color="auto" w:fill="auto"/>
            <w:vAlign w:val="bottom"/>
          </w:tcPr>
          <w:p w14:paraId="5CD8E4E8" w14:textId="77777777" w:rsidR="00BA49F5" w:rsidRDefault="00BA49F5">
            <w:pPr>
              <w:rPr>
                <w:rFonts w:ascii="宋体"/>
              </w:rPr>
            </w:pPr>
          </w:p>
        </w:tc>
        <w:tc>
          <w:tcPr>
            <w:tcW w:w="5" w:type="pct"/>
            <w:shd w:val="clear" w:color="auto" w:fill="auto"/>
            <w:vAlign w:val="bottom"/>
          </w:tcPr>
          <w:p w14:paraId="5CD8E4E9" w14:textId="77777777" w:rsidR="00BA49F5" w:rsidRDefault="00BA49F5">
            <w:pPr>
              <w:rPr>
                <w:rFonts w:ascii="宋体"/>
              </w:rPr>
            </w:pPr>
          </w:p>
        </w:tc>
        <w:tc>
          <w:tcPr>
            <w:tcW w:w="5" w:type="pct"/>
            <w:shd w:val="clear" w:color="auto" w:fill="auto"/>
            <w:vAlign w:val="bottom"/>
          </w:tcPr>
          <w:p w14:paraId="5CD8E4EA" w14:textId="77777777" w:rsidR="00BA49F5" w:rsidRDefault="00BA49F5">
            <w:pPr>
              <w:rPr>
                <w:rFonts w:ascii="宋体"/>
              </w:rPr>
            </w:pPr>
          </w:p>
        </w:tc>
        <w:tc>
          <w:tcPr>
            <w:tcW w:w="19" w:type="pct"/>
            <w:shd w:val="clear" w:color="auto" w:fill="auto"/>
            <w:vAlign w:val="bottom"/>
          </w:tcPr>
          <w:p w14:paraId="5CD8E4EB" w14:textId="77777777" w:rsidR="00BA49F5" w:rsidRDefault="00BA49F5">
            <w:pPr>
              <w:rPr>
                <w:rFonts w:ascii="宋体"/>
              </w:rPr>
            </w:pPr>
          </w:p>
        </w:tc>
        <w:tc>
          <w:tcPr>
            <w:tcW w:w="5" w:type="pct"/>
            <w:shd w:val="clear" w:color="auto" w:fill="auto"/>
            <w:vAlign w:val="bottom"/>
          </w:tcPr>
          <w:p w14:paraId="5CD8E4EC" w14:textId="77777777" w:rsidR="00BA49F5" w:rsidRDefault="00BA49F5">
            <w:pPr>
              <w:rPr>
                <w:rFonts w:ascii="宋体"/>
              </w:rPr>
            </w:pPr>
          </w:p>
        </w:tc>
        <w:tc>
          <w:tcPr>
            <w:tcW w:w="0" w:type="auto"/>
            <w:shd w:val="clear" w:color="auto" w:fill="auto"/>
            <w:vAlign w:val="bottom"/>
          </w:tcPr>
          <w:p w14:paraId="5CD8E4ED" w14:textId="77777777" w:rsidR="00BA49F5" w:rsidRDefault="00BA49F5">
            <w:pPr>
              <w:rPr>
                <w:rFonts w:ascii="宋体"/>
                <w:vanish/>
              </w:rPr>
            </w:pPr>
          </w:p>
        </w:tc>
        <w:tc>
          <w:tcPr>
            <w:tcW w:w="0" w:type="auto"/>
            <w:shd w:val="clear" w:color="auto" w:fill="auto"/>
            <w:vAlign w:val="bottom"/>
          </w:tcPr>
          <w:p w14:paraId="5CD8E4EE" w14:textId="77777777" w:rsidR="00BA49F5" w:rsidRDefault="00BA49F5">
            <w:pPr>
              <w:rPr>
                <w:rFonts w:ascii="宋体"/>
                <w:vanish/>
              </w:rPr>
            </w:pPr>
          </w:p>
        </w:tc>
        <w:tc>
          <w:tcPr>
            <w:tcW w:w="50" w:type="pct"/>
            <w:shd w:val="clear" w:color="auto" w:fill="auto"/>
            <w:vAlign w:val="bottom"/>
          </w:tcPr>
          <w:p w14:paraId="5CD8E4EF" w14:textId="77777777" w:rsidR="00BA49F5" w:rsidRDefault="00BA49F5">
            <w:pPr>
              <w:rPr>
                <w:rFonts w:ascii="宋体"/>
              </w:rPr>
            </w:pPr>
          </w:p>
        </w:tc>
        <w:tc>
          <w:tcPr>
            <w:tcW w:w="585" w:type="pct"/>
            <w:shd w:val="clear" w:color="auto" w:fill="auto"/>
            <w:vAlign w:val="bottom"/>
          </w:tcPr>
          <w:p w14:paraId="5CD8E4F0" w14:textId="77777777" w:rsidR="00BA49F5" w:rsidRDefault="00BA49F5">
            <w:pPr>
              <w:rPr>
                <w:rFonts w:ascii="宋体"/>
              </w:rPr>
            </w:pPr>
          </w:p>
        </w:tc>
        <w:tc>
          <w:tcPr>
            <w:tcW w:w="5" w:type="pct"/>
            <w:shd w:val="clear" w:color="auto" w:fill="auto"/>
            <w:vAlign w:val="bottom"/>
          </w:tcPr>
          <w:p w14:paraId="5CD8E4F1" w14:textId="77777777" w:rsidR="00BA49F5" w:rsidRDefault="00BA49F5">
            <w:pPr>
              <w:rPr>
                <w:rFonts w:ascii="宋体"/>
              </w:rPr>
            </w:pPr>
          </w:p>
        </w:tc>
      </w:tr>
      <w:tr w:rsidR="00BA49F5" w14:paraId="5CD8E4FF" w14:textId="77777777">
        <w:tc>
          <w:tcPr>
            <w:tcW w:w="0" w:type="auto"/>
            <w:gridSpan w:val="3"/>
            <w:shd w:val="clear" w:color="auto" w:fill="auto"/>
            <w:tcMar>
              <w:top w:w="0" w:type="dxa"/>
              <w:left w:w="20" w:type="dxa"/>
              <w:bottom w:w="0" w:type="dxa"/>
              <w:right w:w="20" w:type="dxa"/>
            </w:tcMar>
            <w:vAlign w:val="bottom"/>
          </w:tcPr>
          <w:p w14:paraId="5CD8E4F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4F4" w14:textId="77777777" w:rsidR="00BA49F5" w:rsidRDefault="007E5E49">
            <w:pPr>
              <w:jc w:val="center"/>
              <w:textAlignment w:val="bottom"/>
            </w:pPr>
            <w:r>
              <w:rPr>
                <w:rFonts w:ascii="Times New Roman" w:eastAsia="宋体" w:hAnsi="Times New Roman"/>
                <w:b/>
                <w:bCs/>
                <w:color w:val="000000"/>
                <w:sz w:val="16"/>
                <w:szCs w:val="16"/>
              </w:rPr>
              <w:t>Facilities Consolidation</w:t>
            </w:r>
          </w:p>
        </w:tc>
        <w:tc>
          <w:tcPr>
            <w:tcW w:w="0" w:type="auto"/>
            <w:shd w:val="clear" w:color="auto" w:fill="auto"/>
            <w:vAlign w:val="bottom"/>
          </w:tcPr>
          <w:p w14:paraId="5CD8E4F5" w14:textId="77777777" w:rsidR="00BA49F5" w:rsidRDefault="00BA49F5">
            <w:pPr>
              <w:rPr>
                <w:rFonts w:ascii="宋体"/>
                <w:vanish/>
              </w:rPr>
            </w:pPr>
          </w:p>
        </w:tc>
        <w:tc>
          <w:tcPr>
            <w:tcW w:w="0" w:type="auto"/>
            <w:shd w:val="clear" w:color="auto" w:fill="auto"/>
            <w:vAlign w:val="bottom"/>
          </w:tcPr>
          <w:p w14:paraId="5CD8E4F6" w14:textId="77777777" w:rsidR="00BA49F5" w:rsidRDefault="00BA49F5">
            <w:pPr>
              <w:rPr>
                <w:rFonts w:ascii="宋体"/>
                <w:vanish/>
              </w:rPr>
            </w:pPr>
          </w:p>
        </w:tc>
        <w:tc>
          <w:tcPr>
            <w:tcW w:w="0" w:type="auto"/>
            <w:gridSpan w:val="3"/>
            <w:shd w:val="clear" w:color="auto" w:fill="auto"/>
            <w:tcMar>
              <w:top w:w="0" w:type="dxa"/>
              <w:left w:w="20" w:type="dxa"/>
              <w:bottom w:w="0" w:type="dxa"/>
              <w:right w:w="20" w:type="dxa"/>
            </w:tcMar>
            <w:vAlign w:val="bottom"/>
          </w:tcPr>
          <w:p w14:paraId="5CD8E4F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4F8" w14:textId="77777777" w:rsidR="00BA49F5" w:rsidRDefault="007E5E49">
            <w:pPr>
              <w:jc w:val="center"/>
              <w:textAlignment w:val="bottom"/>
            </w:pPr>
            <w:r>
              <w:rPr>
                <w:rFonts w:ascii="Times New Roman" w:eastAsia="宋体" w:hAnsi="Times New Roman"/>
                <w:b/>
                <w:bCs/>
                <w:color w:val="000000"/>
                <w:sz w:val="16"/>
                <w:szCs w:val="16"/>
              </w:rPr>
              <w:t>Severance and Other Personnel Costs</w:t>
            </w:r>
          </w:p>
        </w:tc>
        <w:tc>
          <w:tcPr>
            <w:tcW w:w="0" w:type="auto"/>
            <w:gridSpan w:val="3"/>
            <w:shd w:val="clear" w:color="auto" w:fill="auto"/>
            <w:tcMar>
              <w:top w:w="0" w:type="dxa"/>
              <w:left w:w="20" w:type="dxa"/>
              <w:bottom w:w="0" w:type="dxa"/>
              <w:right w:w="20" w:type="dxa"/>
            </w:tcMar>
            <w:vAlign w:val="bottom"/>
          </w:tcPr>
          <w:p w14:paraId="5CD8E4F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4FA" w14:textId="77777777" w:rsidR="00BA49F5" w:rsidRDefault="007E5E49">
            <w:pPr>
              <w:jc w:val="center"/>
              <w:textAlignment w:val="bottom"/>
            </w:pPr>
            <w:r>
              <w:rPr>
                <w:rFonts w:ascii="Times New Roman" w:eastAsia="宋体" w:hAnsi="Times New Roman"/>
                <w:b/>
                <w:bCs/>
                <w:color w:val="000000"/>
                <w:sz w:val="16"/>
                <w:szCs w:val="16"/>
              </w:rPr>
              <w:t>Data Center Assets</w:t>
            </w:r>
          </w:p>
        </w:tc>
        <w:tc>
          <w:tcPr>
            <w:tcW w:w="0" w:type="auto"/>
            <w:gridSpan w:val="3"/>
            <w:shd w:val="clear" w:color="auto" w:fill="auto"/>
            <w:tcMar>
              <w:top w:w="0" w:type="dxa"/>
              <w:left w:w="20" w:type="dxa"/>
              <w:bottom w:w="0" w:type="dxa"/>
              <w:right w:w="20" w:type="dxa"/>
            </w:tcMar>
            <w:vAlign w:val="bottom"/>
          </w:tcPr>
          <w:p w14:paraId="5CD8E4FB" w14:textId="77777777" w:rsidR="00BA49F5" w:rsidRDefault="00BA49F5">
            <w:pPr>
              <w:rPr>
                <w:rFonts w:ascii="宋体"/>
              </w:rPr>
            </w:pPr>
          </w:p>
        </w:tc>
        <w:tc>
          <w:tcPr>
            <w:tcW w:w="0" w:type="auto"/>
            <w:shd w:val="clear" w:color="auto" w:fill="auto"/>
            <w:vAlign w:val="bottom"/>
          </w:tcPr>
          <w:p w14:paraId="5CD8E4FC" w14:textId="77777777" w:rsidR="00BA49F5" w:rsidRDefault="00BA49F5">
            <w:pPr>
              <w:rPr>
                <w:rFonts w:ascii="宋体"/>
                <w:vanish/>
              </w:rPr>
            </w:pPr>
          </w:p>
        </w:tc>
        <w:tc>
          <w:tcPr>
            <w:tcW w:w="0" w:type="auto"/>
            <w:shd w:val="clear" w:color="auto" w:fill="auto"/>
            <w:vAlign w:val="bottom"/>
          </w:tcPr>
          <w:p w14:paraId="5CD8E4FD" w14:textId="77777777" w:rsidR="00BA49F5" w:rsidRDefault="00BA49F5">
            <w:pPr>
              <w:rPr>
                <w:rFonts w:ascii="宋体"/>
                <w:vanish/>
              </w:rPr>
            </w:pPr>
          </w:p>
        </w:tc>
        <w:tc>
          <w:tcPr>
            <w:tcW w:w="0" w:type="auto"/>
            <w:gridSpan w:val="3"/>
            <w:shd w:val="clear" w:color="auto" w:fill="auto"/>
            <w:tcMar>
              <w:top w:w="40" w:type="dxa"/>
              <w:left w:w="20" w:type="dxa"/>
              <w:bottom w:w="40" w:type="dxa"/>
              <w:right w:w="20" w:type="dxa"/>
            </w:tcMar>
            <w:vAlign w:val="bottom"/>
          </w:tcPr>
          <w:p w14:paraId="5CD8E4FE" w14:textId="77777777" w:rsidR="00BA49F5" w:rsidRDefault="007E5E49">
            <w:pPr>
              <w:jc w:val="center"/>
              <w:textAlignment w:val="bottom"/>
            </w:pPr>
            <w:r>
              <w:rPr>
                <w:rFonts w:ascii="Times New Roman" w:eastAsia="宋体" w:hAnsi="Times New Roman"/>
                <w:b/>
                <w:bCs/>
                <w:color w:val="000000"/>
                <w:sz w:val="16"/>
                <w:szCs w:val="16"/>
              </w:rPr>
              <w:t>Total</w:t>
            </w:r>
          </w:p>
        </w:tc>
      </w:tr>
      <w:tr w:rsidR="00BA49F5" w14:paraId="5CD8E514" w14:textId="77777777">
        <w:tc>
          <w:tcPr>
            <w:tcW w:w="0" w:type="auto"/>
            <w:gridSpan w:val="3"/>
            <w:shd w:val="clear" w:color="auto" w:fill="CCEEFF"/>
            <w:tcMar>
              <w:top w:w="40" w:type="dxa"/>
              <w:left w:w="20" w:type="dxa"/>
              <w:bottom w:w="40" w:type="dxa"/>
              <w:right w:w="20" w:type="dxa"/>
            </w:tcMar>
            <w:vAlign w:val="center"/>
          </w:tcPr>
          <w:p w14:paraId="5CD8E500" w14:textId="77777777" w:rsidR="00BA49F5" w:rsidRDefault="007E5E49">
            <w:pPr>
              <w:textAlignment w:val="center"/>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E50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502" w14:textId="77777777" w:rsidR="00BA49F5" w:rsidRDefault="007E5E49">
            <w:pPr>
              <w:jc w:val="right"/>
              <w:textAlignment w:val="bottom"/>
            </w:pPr>
            <w:r>
              <w:rPr>
                <w:rFonts w:ascii="Times New Roman" w:eastAsia="宋体" w:hAnsi="Times New Roman"/>
                <w:color w:val="000000"/>
                <w:sz w:val="20"/>
                <w:szCs w:val="20"/>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503" w14:textId="77777777" w:rsidR="00BA49F5" w:rsidRDefault="00BA49F5">
            <w:pPr>
              <w:jc w:val="right"/>
              <w:rPr>
                <w:rFonts w:ascii="宋体"/>
              </w:rPr>
            </w:pPr>
          </w:p>
        </w:tc>
        <w:tc>
          <w:tcPr>
            <w:tcW w:w="0" w:type="auto"/>
            <w:shd w:val="clear" w:color="auto" w:fill="auto"/>
            <w:vAlign w:val="bottom"/>
          </w:tcPr>
          <w:p w14:paraId="5CD8E504" w14:textId="77777777" w:rsidR="00BA49F5" w:rsidRDefault="00BA49F5">
            <w:pPr>
              <w:rPr>
                <w:rFonts w:ascii="宋体"/>
                <w:vanish/>
              </w:rPr>
            </w:pPr>
          </w:p>
        </w:tc>
        <w:tc>
          <w:tcPr>
            <w:tcW w:w="0" w:type="auto"/>
            <w:shd w:val="clear" w:color="auto" w:fill="auto"/>
            <w:vAlign w:val="bottom"/>
          </w:tcPr>
          <w:p w14:paraId="5CD8E505"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E506"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50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508"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50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0A"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50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50C" w14:textId="77777777" w:rsidR="00BA49F5" w:rsidRDefault="007E5E49">
            <w:pPr>
              <w:jc w:val="right"/>
              <w:textAlignment w:val="bottom"/>
            </w:pPr>
            <w:r>
              <w:rPr>
                <w:rFonts w:ascii="Times New Roman" w:eastAsia="宋体" w:hAnsi="Times New Roman"/>
                <w:color w:val="000000"/>
                <w:sz w:val="20"/>
                <w:szCs w:val="20"/>
              </w:rPr>
              <w:t>1,341 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50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0E" w14:textId="77777777" w:rsidR="00BA49F5" w:rsidRDefault="00BA49F5">
            <w:pPr>
              <w:rPr>
                <w:rFonts w:ascii="宋体"/>
              </w:rPr>
            </w:pPr>
          </w:p>
        </w:tc>
        <w:tc>
          <w:tcPr>
            <w:tcW w:w="0" w:type="auto"/>
            <w:shd w:val="clear" w:color="auto" w:fill="auto"/>
            <w:vAlign w:val="bottom"/>
          </w:tcPr>
          <w:p w14:paraId="5CD8E50F" w14:textId="77777777" w:rsidR="00BA49F5" w:rsidRDefault="00BA49F5">
            <w:pPr>
              <w:rPr>
                <w:rFonts w:ascii="宋体"/>
                <w:vanish/>
              </w:rPr>
            </w:pPr>
          </w:p>
        </w:tc>
        <w:tc>
          <w:tcPr>
            <w:tcW w:w="0" w:type="auto"/>
            <w:shd w:val="clear" w:color="auto" w:fill="auto"/>
            <w:vAlign w:val="bottom"/>
          </w:tcPr>
          <w:p w14:paraId="5CD8E510" w14:textId="77777777" w:rsidR="00BA49F5" w:rsidRDefault="00BA49F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51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512" w14:textId="77777777" w:rsidR="00BA49F5" w:rsidRDefault="007E5E49">
            <w:pPr>
              <w:jc w:val="right"/>
              <w:textAlignment w:val="bottom"/>
            </w:pPr>
            <w:r>
              <w:rPr>
                <w:rFonts w:ascii="Times New Roman" w:eastAsia="宋体" w:hAnsi="Times New Roman"/>
                <w:color w:val="000000"/>
                <w:sz w:val="20"/>
                <w:szCs w:val="20"/>
              </w:rPr>
              <w:t>1,495 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513" w14:textId="77777777" w:rsidR="00BA49F5" w:rsidRDefault="00BA49F5">
            <w:pPr>
              <w:jc w:val="right"/>
              <w:rPr>
                <w:rFonts w:ascii="宋体"/>
              </w:rPr>
            </w:pPr>
          </w:p>
        </w:tc>
      </w:tr>
      <w:tr w:rsidR="00BA49F5" w14:paraId="5CD8E525" w14:textId="77777777">
        <w:tc>
          <w:tcPr>
            <w:tcW w:w="0" w:type="auto"/>
            <w:gridSpan w:val="3"/>
            <w:shd w:val="clear" w:color="auto" w:fill="FFFFFF"/>
            <w:tcMar>
              <w:top w:w="40" w:type="dxa"/>
              <w:left w:w="20" w:type="dxa"/>
              <w:bottom w:w="40" w:type="dxa"/>
              <w:right w:w="20" w:type="dxa"/>
            </w:tcMar>
            <w:vAlign w:val="center"/>
          </w:tcPr>
          <w:p w14:paraId="5CD8E515" w14:textId="77777777" w:rsidR="00BA49F5" w:rsidRDefault="007E5E49">
            <w:pPr>
              <w:textAlignment w:val="center"/>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CD8E516" w14:textId="77777777" w:rsidR="00BA49F5" w:rsidRDefault="007E5E49">
            <w:pPr>
              <w:jc w:val="right"/>
              <w:textAlignment w:val="bottom"/>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vAlign w:val="bottom"/>
          </w:tcPr>
          <w:p w14:paraId="5CD8E517" w14:textId="77777777" w:rsidR="00BA49F5" w:rsidRDefault="00BA49F5">
            <w:pPr>
              <w:jc w:val="right"/>
              <w:rPr>
                <w:rFonts w:ascii="宋体"/>
              </w:rPr>
            </w:pPr>
          </w:p>
        </w:tc>
        <w:tc>
          <w:tcPr>
            <w:tcW w:w="0" w:type="auto"/>
            <w:shd w:val="clear" w:color="auto" w:fill="auto"/>
            <w:vAlign w:val="bottom"/>
          </w:tcPr>
          <w:p w14:paraId="5CD8E518" w14:textId="77777777" w:rsidR="00BA49F5" w:rsidRDefault="00BA49F5">
            <w:pPr>
              <w:rPr>
                <w:rFonts w:ascii="宋体"/>
                <w:vanish/>
              </w:rPr>
            </w:pPr>
          </w:p>
        </w:tc>
        <w:tc>
          <w:tcPr>
            <w:tcW w:w="0" w:type="auto"/>
            <w:shd w:val="clear" w:color="auto" w:fill="auto"/>
            <w:vAlign w:val="bottom"/>
          </w:tcPr>
          <w:p w14:paraId="5CD8E519" w14:textId="77777777" w:rsidR="00BA49F5" w:rsidRDefault="00BA49F5">
            <w:pPr>
              <w:rPr>
                <w:rFonts w:ascii="宋体"/>
                <w:vanish/>
              </w:rPr>
            </w:pPr>
          </w:p>
        </w:tc>
        <w:tc>
          <w:tcPr>
            <w:tcW w:w="0" w:type="auto"/>
            <w:gridSpan w:val="3"/>
            <w:shd w:val="clear" w:color="auto" w:fill="FFFFFF"/>
            <w:tcMar>
              <w:top w:w="0" w:type="dxa"/>
              <w:left w:w="20" w:type="dxa"/>
              <w:bottom w:w="0" w:type="dxa"/>
              <w:right w:w="20" w:type="dxa"/>
            </w:tcMar>
            <w:vAlign w:val="bottom"/>
          </w:tcPr>
          <w:p w14:paraId="5CD8E51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51B" w14:textId="77777777" w:rsidR="00BA49F5" w:rsidRDefault="007E5E49">
            <w:pPr>
              <w:jc w:val="right"/>
              <w:textAlignment w:val="bottom"/>
            </w:pPr>
            <w:r>
              <w:rPr>
                <w:rFonts w:ascii="Times New Roman" w:eastAsia="宋体" w:hAnsi="Times New Roman"/>
                <w:color w:val="000000"/>
                <w:sz w:val="20"/>
                <w:szCs w:val="20"/>
              </w:rPr>
              <w:t>408 </w:t>
            </w:r>
          </w:p>
        </w:tc>
        <w:tc>
          <w:tcPr>
            <w:tcW w:w="0" w:type="auto"/>
            <w:shd w:val="clear" w:color="auto" w:fill="FFFFFF"/>
            <w:tcMar>
              <w:top w:w="40" w:type="dxa"/>
              <w:left w:w="0" w:type="dxa"/>
              <w:bottom w:w="40" w:type="dxa"/>
              <w:right w:w="20" w:type="dxa"/>
            </w:tcMar>
            <w:vAlign w:val="bottom"/>
          </w:tcPr>
          <w:p w14:paraId="5CD8E51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51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51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E51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520" w14:textId="77777777" w:rsidR="00BA49F5" w:rsidRDefault="00BA49F5">
            <w:pPr>
              <w:rPr>
                <w:rFonts w:ascii="宋体"/>
              </w:rPr>
            </w:pPr>
          </w:p>
        </w:tc>
        <w:tc>
          <w:tcPr>
            <w:tcW w:w="0" w:type="auto"/>
            <w:shd w:val="clear" w:color="auto" w:fill="auto"/>
            <w:vAlign w:val="bottom"/>
          </w:tcPr>
          <w:p w14:paraId="5CD8E521" w14:textId="77777777" w:rsidR="00BA49F5" w:rsidRDefault="00BA49F5">
            <w:pPr>
              <w:rPr>
                <w:rFonts w:ascii="宋体"/>
                <w:vanish/>
              </w:rPr>
            </w:pPr>
          </w:p>
        </w:tc>
        <w:tc>
          <w:tcPr>
            <w:tcW w:w="0" w:type="auto"/>
            <w:shd w:val="clear" w:color="auto" w:fill="auto"/>
            <w:vAlign w:val="bottom"/>
          </w:tcPr>
          <w:p w14:paraId="5CD8E522" w14:textId="77777777" w:rsidR="00BA49F5" w:rsidRDefault="00BA49F5">
            <w:pPr>
              <w:rPr>
                <w:rFonts w:ascii="宋体"/>
                <w:vanish/>
              </w:rPr>
            </w:pPr>
          </w:p>
        </w:tc>
        <w:tc>
          <w:tcPr>
            <w:tcW w:w="0" w:type="auto"/>
            <w:gridSpan w:val="2"/>
            <w:shd w:val="clear" w:color="auto" w:fill="FFFFFF"/>
            <w:tcMar>
              <w:top w:w="40" w:type="dxa"/>
              <w:left w:w="20" w:type="dxa"/>
              <w:bottom w:w="40" w:type="dxa"/>
              <w:right w:w="0" w:type="dxa"/>
            </w:tcMar>
            <w:vAlign w:val="bottom"/>
          </w:tcPr>
          <w:p w14:paraId="5CD8E523" w14:textId="77777777" w:rsidR="00BA49F5" w:rsidRDefault="007E5E49">
            <w:pPr>
              <w:jc w:val="right"/>
              <w:textAlignment w:val="bottom"/>
            </w:pPr>
            <w:r>
              <w:rPr>
                <w:rFonts w:ascii="Times New Roman" w:eastAsia="宋体" w:hAnsi="Times New Roman"/>
                <w:color w:val="000000"/>
                <w:sz w:val="20"/>
                <w:szCs w:val="20"/>
              </w:rPr>
              <w:t>1,719 </w:t>
            </w:r>
          </w:p>
        </w:tc>
        <w:tc>
          <w:tcPr>
            <w:tcW w:w="0" w:type="auto"/>
            <w:shd w:val="clear" w:color="auto" w:fill="FFFFFF"/>
            <w:tcMar>
              <w:top w:w="40" w:type="dxa"/>
              <w:left w:w="0" w:type="dxa"/>
              <w:bottom w:w="40" w:type="dxa"/>
              <w:right w:w="20" w:type="dxa"/>
            </w:tcMar>
            <w:vAlign w:val="bottom"/>
          </w:tcPr>
          <w:p w14:paraId="5CD8E524" w14:textId="77777777" w:rsidR="00BA49F5" w:rsidRDefault="00BA49F5">
            <w:pPr>
              <w:jc w:val="right"/>
              <w:rPr>
                <w:rFonts w:ascii="宋体"/>
              </w:rPr>
            </w:pPr>
          </w:p>
        </w:tc>
      </w:tr>
      <w:tr w:rsidR="00BA49F5" w14:paraId="5CD8E536" w14:textId="77777777">
        <w:tc>
          <w:tcPr>
            <w:tcW w:w="0" w:type="auto"/>
            <w:gridSpan w:val="3"/>
            <w:shd w:val="clear" w:color="auto" w:fill="CCEEFF"/>
            <w:tcMar>
              <w:top w:w="40" w:type="dxa"/>
              <w:left w:w="20" w:type="dxa"/>
              <w:bottom w:w="40" w:type="dxa"/>
              <w:right w:w="20" w:type="dxa"/>
            </w:tcMar>
            <w:vAlign w:val="center"/>
          </w:tcPr>
          <w:p w14:paraId="5CD8E526" w14:textId="77777777" w:rsidR="00BA49F5" w:rsidRDefault="007E5E49">
            <w:pPr>
              <w:textAlignment w:val="center"/>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5CD8E527" w14:textId="77777777" w:rsidR="00BA49F5" w:rsidRDefault="007E5E49">
            <w:pPr>
              <w:jc w:val="right"/>
              <w:textAlignment w:val="bottom"/>
            </w:pPr>
            <w:r>
              <w:rPr>
                <w:rFonts w:ascii="Times New Roman" w:eastAsia="宋体" w:hAnsi="Times New Roman"/>
                <w:color w:val="000000"/>
                <w:sz w:val="20"/>
                <w:szCs w:val="20"/>
              </w:rPr>
              <w:t>404 </w:t>
            </w:r>
          </w:p>
        </w:tc>
        <w:tc>
          <w:tcPr>
            <w:tcW w:w="0" w:type="auto"/>
            <w:shd w:val="clear" w:color="auto" w:fill="CCEEFF"/>
            <w:tcMar>
              <w:top w:w="40" w:type="dxa"/>
              <w:left w:w="0" w:type="dxa"/>
              <w:bottom w:w="40" w:type="dxa"/>
              <w:right w:w="20" w:type="dxa"/>
            </w:tcMar>
            <w:vAlign w:val="bottom"/>
          </w:tcPr>
          <w:p w14:paraId="5CD8E528" w14:textId="77777777" w:rsidR="00BA49F5" w:rsidRDefault="00BA49F5">
            <w:pPr>
              <w:jc w:val="right"/>
              <w:rPr>
                <w:rFonts w:ascii="宋体"/>
              </w:rPr>
            </w:pPr>
          </w:p>
        </w:tc>
        <w:tc>
          <w:tcPr>
            <w:tcW w:w="0" w:type="auto"/>
            <w:shd w:val="clear" w:color="auto" w:fill="auto"/>
            <w:vAlign w:val="bottom"/>
          </w:tcPr>
          <w:p w14:paraId="5CD8E529" w14:textId="77777777" w:rsidR="00BA49F5" w:rsidRDefault="00BA49F5">
            <w:pPr>
              <w:rPr>
                <w:rFonts w:ascii="宋体"/>
                <w:vanish/>
              </w:rPr>
            </w:pPr>
          </w:p>
        </w:tc>
        <w:tc>
          <w:tcPr>
            <w:tcW w:w="0" w:type="auto"/>
            <w:shd w:val="clear" w:color="auto" w:fill="auto"/>
            <w:vAlign w:val="bottom"/>
          </w:tcPr>
          <w:p w14:paraId="5CD8E52A"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E52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52C" w14:textId="77777777" w:rsidR="00BA49F5" w:rsidRDefault="007E5E49">
            <w:pPr>
              <w:jc w:val="right"/>
              <w:textAlignment w:val="bottom"/>
            </w:pPr>
            <w:r>
              <w:rPr>
                <w:rFonts w:ascii="Times New Roman" w:eastAsia="宋体" w:hAnsi="Times New Roman"/>
                <w:color w:val="000000"/>
                <w:sz w:val="20"/>
                <w:szCs w:val="20"/>
              </w:rPr>
              <w:t>234 </w:t>
            </w:r>
          </w:p>
        </w:tc>
        <w:tc>
          <w:tcPr>
            <w:tcW w:w="0" w:type="auto"/>
            <w:shd w:val="clear" w:color="auto" w:fill="CCEEFF"/>
            <w:tcMar>
              <w:top w:w="40" w:type="dxa"/>
              <w:left w:w="0" w:type="dxa"/>
              <w:bottom w:w="40" w:type="dxa"/>
              <w:right w:w="20" w:type="dxa"/>
            </w:tcMar>
            <w:vAlign w:val="bottom"/>
          </w:tcPr>
          <w:p w14:paraId="5CD8E52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2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52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E53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31" w14:textId="77777777" w:rsidR="00BA49F5" w:rsidRDefault="00BA49F5">
            <w:pPr>
              <w:rPr>
                <w:rFonts w:ascii="宋体"/>
              </w:rPr>
            </w:pPr>
          </w:p>
        </w:tc>
        <w:tc>
          <w:tcPr>
            <w:tcW w:w="0" w:type="auto"/>
            <w:shd w:val="clear" w:color="auto" w:fill="auto"/>
            <w:vAlign w:val="bottom"/>
          </w:tcPr>
          <w:p w14:paraId="5CD8E532" w14:textId="77777777" w:rsidR="00BA49F5" w:rsidRDefault="00BA49F5">
            <w:pPr>
              <w:rPr>
                <w:rFonts w:ascii="宋体"/>
                <w:vanish/>
              </w:rPr>
            </w:pPr>
          </w:p>
        </w:tc>
        <w:tc>
          <w:tcPr>
            <w:tcW w:w="0" w:type="auto"/>
            <w:shd w:val="clear" w:color="auto" w:fill="auto"/>
            <w:vAlign w:val="bottom"/>
          </w:tcPr>
          <w:p w14:paraId="5CD8E533" w14:textId="77777777" w:rsidR="00BA49F5" w:rsidRDefault="00BA49F5">
            <w:pPr>
              <w:rPr>
                <w:rFonts w:ascii="宋体"/>
                <w:vanish/>
              </w:rPr>
            </w:pPr>
          </w:p>
        </w:tc>
        <w:tc>
          <w:tcPr>
            <w:tcW w:w="0" w:type="auto"/>
            <w:gridSpan w:val="2"/>
            <w:shd w:val="clear" w:color="auto" w:fill="CCEEFF"/>
            <w:tcMar>
              <w:top w:w="40" w:type="dxa"/>
              <w:left w:w="20" w:type="dxa"/>
              <w:bottom w:w="40" w:type="dxa"/>
              <w:right w:w="0" w:type="dxa"/>
            </w:tcMar>
            <w:vAlign w:val="bottom"/>
          </w:tcPr>
          <w:p w14:paraId="5CD8E534" w14:textId="77777777" w:rsidR="00BA49F5" w:rsidRDefault="007E5E49">
            <w:pPr>
              <w:jc w:val="right"/>
              <w:textAlignment w:val="bottom"/>
            </w:pPr>
            <w:r>
              <w:rPr>
                <w:rFonts w:ascii="Times New Roman" w:eastAsia="宋体" w:hAnsi="Times New Roman"/>
                <w:color w:val="000000"/>
                <w:sz w:val="20"/>
                <w:szCs w:val="20"/>
              </w:rPr>
              <w:t>638 </w:t>
            </w:r>
          </w:p>
        </w:tc>
        <w:tc>
          <w:tcPr>
            <w:tcW w:w="0" w:type="auto"/>
            <w:shd w:val="clear" w:color="auto" w:fill="CCEEFF"/>
            <w:tcMar>
              <w:top w:w="40" w:type="dxa"/>
              <w:left w:w="0" w:type="dxa"/>
              <w:bottom w:w="40" w:type="dxa"/>
              <w:right w:w="20" w:type="dxa"/>
            </w:tcMar>
            <w:vAlign w:val="bottom"/>
          </w:tcPr>
          <w:p w14:paraId="5CD8E535" w14:textId="77777777" w:rsidR="00BA49F5" w:rsidRDefault="00BA49F5">
            <w:pPr>
              <w:jc w:val="right"/>
              <w:rPr>
                <w:rFonts w:ascii="宋体"/>
              </w:rPr>
            </w:pPr>
          </w:p>
        </w:tc>
      </w:tr>
      <w:tr w:rsidR="00BA49F5" w14:paraId="5CD8E547" w14:textId="77777777">
        <w:tc>
          <w:tcPr>
            <w:tcW w:w="0" w:type="auto"/>
            <w:gridSpan w:val="3"/>
            <w:shd w:val="clear" w:color="auto" w:fill="FFFFFF"/>
            <w:tcMar>
              <w:top w:w="40" w:type="dxa"/>
              <w:left w:w="20" w:type="dxa"/>
              <w:bottom w:w="40" w:type="dxa"/>
              <w:right w:w="20" w:type="dxa"/>
            </w:tcMar>
            <w:vAlign w:val="bottom"/>
          </w:tcPr>
          <w:p w14:paraId="5CD8E537"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5CD8E538" w14:textId="77777777" w:rsidR="00BA49F5" w:rsidRDefault="007E5E49">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left w:w="0" w:type="dxa"/>
              <w:bottom w:w="40" w:type="dxa"/>
              <w:right w:w="20" w:type="dxa"/>
            </w:tcMar>
            <w:vAlign w:val="bottom"/>
          </w:tcPr>
          <w:p w14:paraId="5CD8E539" w14:textId="77777777" w:rsidR="00BA49F5" w:rsidRDefault="00BA49F5">
            <w:pPr>
              <w:jc w:val="right"/>
              <w:rPr>
                <w:rFonts w:ascii="宋体"/>
              </w:rPr>
            </w:pPr>
          </w:p>
        </w:tc>
        <w:tc>
          <w:tcPr>
            <w:tcW w:w="0" w:type="auto"/>
            <w:shd w:val="clear" w:color="auto" w:fill="auto"/>
            <w:vAlign w:val="bottom"/>
          </w:tcPr>
          <w:p w14:paraId="5CD8E53A" w14:textId="77777777" w:rsidR="00BA49F5" w:rsidRDefault="00BA49F5">
            <w:pPr>
              <w:rPr>
                <w:rFonts w:ascii="宋体"/>
                <w:vanish/>
              </w:rPr>
            </w:pPr>
          </w:p>
        </w:tc>
        <w:tc>
          <w:tcPr>
            <w:tcW w:w="0" w:type="auto"/>
            <w:shd w:val="clear" w:color="auto" w:fill="auto"/>
            <w:vAlign w:val="bottom"/>
          </w:tcPr>
          <w:p w14:paraId="5CD8E53B" w14:textId="77777777" w:rsidR="00BA49F5" w:rsidRDefault="00BA49F5">
            <w:pPr>
              <w:rPr>
                <w:rFonts w:ascii="宋体"/>
                <w:vanish/>
              </w:rPr>
            </w:pPr>
          </w:p>
        </w:tc>
        <w:tc>
          <w:tcPr>
            <w:tcW w:w="0" w:type="auto"/>
            <w:gridSpan w:val="3"/>
            <w:shd w:val="clear" w:color="auto" w:fill="FFFFFF"/>
            <w:tcMar>
              <w:top w:w="0" w:type="dxa"/>
              <w:left w:w="20" w:type="dxa"/>
              <w:bottom w:w="0" w:type="dxa"/>
              <w:right w:w="20" w:type="dxa"/>
            </w:tcMar>
            <w:vAlign w:val="bottom"/>
          </w:tcPr>
          <w:p w14:paraId="5CD8E53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53D" w14:textId="77777777" w:rsidR="00BA49F5" w:rsidRDefault="007E5E49">
            <w:pPr>
              <w:jc w:val="right"/>
              <w:textAlignment w:val="bottom"/>
            </w:pPr>
            <w:r>
              <w:rPr>
                <w:rFonts w:ascii="Times New Roman" w:eastAsia="宋体" w:hAnsi="Times New Roman"/>
                <w:color w:val="000000"/>
                <w:sz w:val="20"/>
                <w:szCs w:val="20"/>
              </w:rPr>
              <w:t>333 </w:t>
            </w:r>
          </w:p>
        </w:tc>
        <w:tc>
          <w:tcPr>
            <w:tcW w:w="0" w:type="auto"/>
            <w:shd w:val="clear" w:color="auto" w:fill="FFFFFF"/>
            <w:tcMar>
              <w:top w:w="40" w:type="dxa"/>
              <w:left w:w="0" w:type="dxa"/>
              <w:bottom w:w="40" w:type="dxa"/>
              <w:right w:w="20" w:type="dxa"/>
            </w:tcMar>
            <w:vAlign w:val="bottom"/>
          </w:tcPr>
          <w:p w14:paraId="5CD8E53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53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54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E54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542" w14:textId="77777777" w:rsidR="00BA49F5" w:rsidRDefault="00BA49F5">
            <w:pPr>
              <w:rPr>
                <w:rFonts w:ascii="宋体"/>
              </w:rPr>
            </w:pPr>
          </w:p>
        </w:tc>
        <w:tc>
          <w:tcPr>
            <w:tcW w:w="0" w:type="auto"/>
            <w:shd w:val="clear" w:color="auto" w:fill="auto"/>
            <w:vAlign w:val="bottom"/>
          </w:tcPr>
          <w:p w14:paraId="5CD8E543" w14:textId="77777777" w:rsidR="00BA49F5" w:rsidRDefault="00BA49F5">
            <w:pPr>
              <w:rPr>
                <w:rFonts w:ascii="宋体"/>
                <w:vanish/>
              </w:rPr>
            </w:pPr>
          </w:p>
        </w:tc>
        <w:tc>
          <w:tcPr>
            <w:tcW w:w="0" w:type="auto"/>
            <w:shd w:val="clear" w:color="auto" w:fill="auto"/>
            <w:vAlign w:val="bottom"/>
          </w:tcPr>
          <w:p w14:paraId="5CD8E544" w14:textId="77777777" w:rsidR="00BA49F5" w:rsidRDefault="00BA49F5">
            <w:pPr>
              <w:rPr>
                <w:rFonts w:ascii="宋体"/>
                <w:vanish/>
              </w:rPr>
            </w:pPr>
          </w:p>
        </w:tc>
        <w:tc>
          <w:tcPr>
            <w:tcW w:w="0" w:type="auto"/>
            <w:gridSpan w:val="2"/>
            <w:shd w:val="clear" w:color="auto" w:fill="FFFFFF"/>
            <w:tcMar>
              <w:top w:w="40" w:type="dxa"/>
              <w:left w:w="20" w:type="dxa"/>
              <w:bottom w:w="40" w:type="dxa"/>
              <w:right w:w="0" w:type="dxa"/>
            </w:tcMar>
            <w:vAlign w:val="bottom"/>
          </w:tcPr>
          <w:p w14:paraId="5CD8E545" w14:textId="77777777" w:rsidR="00BA49F5" w:rsidRDefault="007E5E49">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left w:w="0" w:type="dxa"/>
              <w:bottom w:w="40" w:type="dxa"/>
              <w:right w:w="20" w:type="dxa"/>
            </w:tcMar>
            <w:vAlign w:val="bottom"/>
          </w:tcPr>
          <w:p w14:paraId="5CD8E546" w14:textId="77777777" w:rsidR="00BA49F5" w:rsidRDefault="00BA49F5">
            <w:pPr>
              <w:jc w:val="right"/>
              <w:rPr>
                <w:rFonts w:ascii="宋体"/>
              </w:rPr>
            </w:pPr>
          </w:p>
        </w:tc>
      </w:tr>
      <w:tr w:rsidR="00BA49F5" w14:paraId="5CD8E55C" w14:textId="77777777">
        <w:tc>
          <w:tcPr>
            <w:tcW w:w="0" w:type="auto"/>
            <w:gridSpan w:val="3"/>
            <w:shd w:val="clear" w:color="auto" w:fill="CCEEFF"/>
            <w:tcMar>
              <w:top w:w="40" w:type="dxa"/>
              <w:left w:w="380" w:type="dxa"/>
              <w:bottom w:w="40" w:type="dxa"/>
              <w:right w:w="20" w:type="dxa"/>
            </w:tcMar>
            <w:vAlign w:val="bottom"/>
          </w:tcPr>
          <w:p w14:paraId="5CD8E548"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54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54A" w14:textId="77777777" w:rsidR="00BA49F5" w:rsidRDefault="007E5E49">
            <w:pPr>
              <w:jc w:val="right"/>
              <w:textAlignment w:val="bottom"/>
            </w:pPr>
            <w:r>
              <w:rPr>
                <w:rFonts w:ascii="Times New Roman" w:eastAsia="宋体" w:hAnsi="Times New Roman"/>
                <w:color w:val="000000"/>
                <w:sz w:val="20"/>
                <w:szCs w:val="20"/>
              </w:rPr>
              <w:t>2,295 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54B" w14:textId="77777777" w:rsidR="00BA49F5" w:rsidRDefault="00BA49F5">
            <w:pPr>
              <w:jc w:val="right"/>
              <w:rPr>
                <w:rFonts w:ascii="宋体"/>
              </w:rPr>
            </w:pPr>
          </w:p>
        </w:tc>
        <w:tc>
          <w:tcPr>
            <w:tcW w:w="0" w:type="auto"/>
            <w:shd w:val="clear" w:color="auto" w:fill="auto"/>
            <w:vAlign w:val="bottom"/>
          </w:tcPr>
          <w:p w14:paraId="5CD8E54C" w14:textId="77777777" w:rsidR="00BA49F5" w:rsidRDefault="00BA49F5">
            <w:pPr>
              <w:rPr>
                <w:rFonts w:ascii="宋体"/>
                <w:vanish/>
              </w:rPr>
            </w:pPr>
          </w:p>
        </w:tc>
        <w:tc>
          <w:tcPr>
            <w:tcW w:w="0" w:type="auto"/>
            <w:shd w:val="clear" w:color="auto" w:fill="auto"/>
            <w:vAlign w:val="bottom"/>
          </w:tcPr>
          <w:p w14:paraId="5CD8E54D"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E54E"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54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550" w14:textId="77777777" w:rsidR="00BA49F5" w:rsidRDefault="007E5E49">
            <w:pPr>
              <w:jc w:val="right"/>
              <w:textAlignment w:val="bottom"/>
            </w:pPr>
            <w:r>
              <w:rPr>
                <w:rFonts w:ascii="Times New Roman" w:eastAsia="宋体" w:hAnsi="Times New Roman"/>
                <w:color w:val="000000"/>
                <w:sz w:val="20"/>
                <w:szCs w:val="20"/>
              </w:rPr>
              <w:t>975 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55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52"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55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554" w14:textId="77777777" w:rsidR="00BA49F5" w:rsidRDefault="007E5E49">
            <w:pPr>
              <w:jc w:val="right"/>
              <w:textAlignment w:val="bottom"/>
            </w:pPr>
            <w:r>
              <w:rPr>
                <w:rFonts w:ascii="Times New Roman" w:eastAsia="宋体" w:hAnsi="Times New Roman"/>
                <w:color w:val="000000"/>
                <w:sz w:val="20"/>
                <w:szCs w:val="20"/>
              </w:rPr>
              <w:t>1,341 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55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556" w14:textId="77777777" w:rsidR="00BA49F5" w:rsidRDefault="00BA49F5">
            <w:pPr>
              <w:rPr>
                <w:rFonts w:ascii="宋体"/>
              </w:rPr>
            </w:pPr>
          </w:p>
        </w:tc>
        <w:tc>
          <w:tcPr>
            <w:tcW w:w="0" w:type="auto"/>
            <w:shd w:val="clear" w:color="auto" w:fill="auto"/>
            <w:vAlign w:val="bottom"/>
          </w:tcPr>
          <w:p w14:paraId="5CD8E557" w14:textId="77777777" w:rsidR="00BA49F5" w:rsidRDefault="00BA49F5">
            <w:pPr>
              <w:rPr>
                <w:rFonts w:ascii="宋体"/>
                <w:vanish/>
              </w:rPr>
            </w:pPr>
          </w:p>
        </w:tc>
        <w:tc>
          <w:tcPr>
            <w:tcW w:w="0" w:type="auto"/>
            <w:shd w:val="clear" w:color="auto" w:fill="auto"/>
            <w:vAlign w:val="bottom"/>
          </w:tcPr>
          <w:p w14:paraId="5CD8E558" w14:textId="77777777" w:rsidR="00BA49F5" w:rsidRDefault="00BA49F5">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55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55A" w14:textId="77777777" w:rsidR="00BA49F5" w:rsidRDefault="007E5E49">
            <w:pPr>
              <w:jc w:val="right"/>
              <w:textAlignment w:val="bottom"/>
            </w:pPr>
            <w:r>
              <w:rPr>
                <w:rFonts w:ascii="Times New Roman" w:eastAsia="宋体" w:hAnsi="Times New Roman"/>
                <w:color w:val="000000"/>
                <w:sz w:val="20"/>
                <w:szCs w:val="20"/>
              </w:rPr>
              <w:t>4,611 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55B" w14:textId="77777777" w:rsidR="00BA49F5" w:rsidRDefault="00BA49F5">
            <w:pPr>
              <w:jc w:val="right"/>
              <w:rPr>
                <w:rFonts w:ascii="宋体"/>
              </w:rPr>
            </w:pPr>
          </w:p>
        </w:tc>
      </w:tr>
    </w:tbl>
    <w:p w14:paraId="5CD8E55D" w14:textId="77777777" w:rsidR="00BA49F5" w:rsidRDefault="00BA49F5">
      <w:pPr>
        <w:jc w:val="both"/>
      </w:pPr>
    </w:p>
    <w:p w14:paraId="5CD8E55E" w14:textId="77777777" w:rsidR="00BA49F5" w:rsidRDefault="007E5E49">
      <w:pPr>
        <w:ind w:firstLine="540"/>
        <w:jc w:val="both"/>
      </w:pPr>
      <w:r>
        <w:rPr>
          <w:rFonts w:ascii="Times New Roman" w:eastAsia="宋体" w:hAnsi="Times New Roman"/>
          <w:color w:val="000000"/>
          <w:sz w:val="20"/>
          <w:szCs w:val="20"/>
          <w:shd w:val="clear" w:color="auto" w:fill="FFFFFF"/>
        </w:rPr>
        <w:t xml:space="preserve">Total restructuring charges recorded under our FoA segment were $4.10 billion and </w:t>
      </w:r>
      <w:r>
        <w:rPr>
          <w:rFonts w:ascii="Times New Roman" w:eastAsia="宋体" w:hAnsi="Times New Roman"/>
          <w:color w:val="000000"/>
          <w:sz w:val="20"/>
          <w:szCs w:val="20"/>
          <w:shd w:val="clear" w:color="auto" w:fill="FFFFFF"/>
        </w:rPr>
        <w:t>RL segment were $515 million. These charges lowered our operating margin by</w:t>
      </w:r>
      <w:r>
        <w:rPr>
          <w:rFonts w:ascii="Times New Roman" w:eastAsia="宋体" w:hAnsi="Times New Roman"/>
          <w:color w:val="000000"/>
          <w:sz w:val="20"/>
          <w:szCs w:val="20"/>
        </w:rPr>
        <w:t xml:space="preserve"> four percentage points and diluted earnings per share (EPS) by $1.34. </w:t>
      </w:r>
      <w:r>
        <w:rPr>
          <w:rFonts w:ascii="Times New Roman" w:eastAsia="宋体" w:hAnsi="Times New Roman"/>
          <w:color w:val="000000"/>
          <w:sz w:val="20"/>
          <w:szCs w:val="20"/>
          <w:shd w:val="clear" w:color="auto" w:fill="FFFFFF"/>
        </w:rPr>
        <w:t>The impact of severance and other personnel costs recorded in the fourth quarter of 2022 was not material afte</w:t>
      </w:r>
      <w:r>
        <w:rPr>
          <w:rFonts w:ascii="Times New Roman" w:eastAsia="宋体" w:hAnsi="Times New Roman"/>
          <w:color w:val="000000"/>
          <w:sz w:val="20"/>
          <w:szCs w:val="20"/>
          <w:shd w:val="clear" w:color="auto" w:fill="FFFFFF"/>
        </w:rPr>
        <w:t>r offsetting with the savings from the decreases in payroll, bonus and other benefits expenses.</w:t>
      </w:r>
    </w:p>
    <w:p w14:paraId="5CD8E55F" w14:textId="77777777" w:rsidR="00BA49F5" w:rsidRDefault="00BA49F5">
      <w:pPr>
        <w:ind w:firstLine="540"/>
        <w:jc w:val="both"/>
      </w:pPr>
    </w:p>
    <w:p w14:paraId="5CD8E560" w14:textId="77777777" w:rsidR="00BA49F5" w:rsidRDefault="007E5E49">
      <w:pPr>
        <w:ind w:firstLine="540"/>
        <w:jc w:val="both"/>
      </w:pPr>
      <w:r>
        <w:rPr>
          <w:rFonts w:ascii="Times New Roman" w:eastAsia="宋体" w:hAnsi="Times New Roman"/>
          <w:color w:val="000000"/>
          <w:sz w:val="20"/>
          <w:szCs w:val="20"/>
        </w:rPr>
        <w:t xml:space="preserve">See Note 3 — Restructuring in the notes to the consolidated financial statements included in Part II, Item 8, "Financial Statements and Supplementary Data" of </w:t>
      </w:r>
      <w:r>
        <w:rPr>
          <w:rFonts w:ascii="Times New Roman" w:eastAsia="宋体" w:hAnsi="Times New Roman"/>
          <w:color w:val="000000"/>
          <w:sz w:val="20"/>
          <w:szCs w:val="20"/>
        </w:rPr>
        <w:t>this Annual Report on Form 10-K for additional information regarding restructuring charges.</w:t>
      </w:r>
    </w:p>
    <w:p w14:paraId="5CD8E561" w14:textId="77777777" w:rsidR="00BA49F5" w:rsidRDefault="007E5E49">
      <w:pPr>
        <w:jc w:val="center"/>
      </w:pPr>
      <w:r>
        <w:rPr>
          <w:rFonts w:ascii="Times New Roman" w:eastAsia="宋体" w:hAnsi="Times New Roman"/>
          <w:color w:val="000000"/>
          <w:sz w:val="20"/>
          <w:szCs w:val="20"/>
        </w:rPr>
        <w:t>55</w:t>
      </w:r>
    </w:p>
    <w:p w14:paraId="5CD8E562" w14:textId="77777777" w:rsidR="00BA49F5" w:rsidRDefault="007E5E49">
      <w:r>
        <w:pict w14:anchorId="5CD90D04">
          <v:rect id="_x0000_i1079" style="width:415.3pt;height:1.5pt" o:hralign="center" o:hrstd="t" o:hr="t" fillcolor="#a0a0a0" stroked="f"/>
        </w:pict>
      </w:r>
    </w:p>
    <w:p w14:paraId="5CD8E563" w14:textId="77777777" w:rsidR="00BA49F5" w:rsidRDefault="00BA49F5"/>
    <w:p w14:paraId="5CD8E564" w14:textId="77777777" w:rsidR="00BA49F5" w:rsidRDefault="00BA49F5"/>
    <w:p w14:paraId="5CD8E565" w14:textId="77777777" w:rsidR="00BA49F5" w:rsidRDefault="007E5E49">
      <w:hyperlink r:id="rId190" w:anchor="i6df229dad1864210ab76200083e26819_7" w:history="1">
        <w:r>
          <w:rPr>
            <w:rStyle w:val="a5"/>
            <w:rFonts w:ascii="Times New Roman" w:eastAsia="宋体" w:hAnsi="Times New Roman"/>
            <w:sz w:val="20"/>
            <w:szCs w:val="20"/>
          </w:rPr>
          <w:t>T</w:t>
        </w:r>
      </w:hyperlink>
      <w:hyperlink r:id="rId191" w:anchor="i6df229dad1864210ab76200083e26819_7" w:history="1">
        <w:r>
          <w:rPr>
            <w:rStyle w:val="a5"/>
            <w:rFonts w:ascii="Times New Roman" w:eastAsia="宋体" w:hAnsi="Times New Roman"/>
            <w:sz w:val="20"/>
            <w:szCs w:val="20"/>
          </w:rPr>
          <w:t>able of Contents</w:t>
        </w:r>
      </w:hyperlink>
    </w:p>
    <w:p w14:paraId="5CD8E566" w14:textId="77777777" w:rsidR="00BA49F5" w:rsidRDefault="007E5E49">
      <w:pPr>
        <w:jc w:val="both"/>
      </w:pPr>
      <w:r>
        <w:rPr>
          <w:rFonts w:ascii="Times New Roman" w:eastAsia="宋体" w:hAnsi="Times New Roman"/>
          <w:b/>
          <w:bCs/>
          <w:i/>
          <w:iCs/>
          <w:color w:val="000000"/>
          <w:sz w:val="20"/>
          <w:szCs w:val="20"/>
        </w:rPr>
        <w:t>Family of Apps Metrics</w:t>
      </w:r>
    </w:p>
    <w:p w14:paraId="5CD8E567" w14:textId="77777777" w:rsidR="00BA49F5" w:rsidRDefault="00BA49F5">
      <w:pPr>
        <w:jc w:val="both"/>
      </w:pPr>
    </w:p>
    <w:p w14:paraId="5CD8E568" w14:textId="77777777" w:rsidR="00BA49F5" w:rsidRDefault="007E5E49">
      <w:pPr>
        <w:ind w:hanging="360"/>
        <w:jc w:val="both"/>
      </w:pPr>
      <w:r>
        <w:rPr>
          <w:rFonts w:ascii="Times New Roman" w:eastAsia="宋体" w:hAnsi="Times New Roman"/>
          <w:color w:val="000000"/>
          <w:sz w:val="20"/>
          <w:szCs w:val="20"/>
        </w:rPr>
        <w:t xml:space="preserve">•Family daily active people (DAP) was 2.96 billion on </w:t>
      </w:r>
      <w:r>
        <w:rPr>
          <w:rFonts w:ascii="Times New Roman" w:eastAsia="宋体" w:hAnsi="Times New Roman"/>
          <w:color w:val="000000"/>
          <w:sz w:val="20"/>
          <w:szCs w:val="20"/>
        </w:rPr>
        <w:t>average for December 2022, an increase of 5% year-over-year.</w:t>
      </w:r>
    </w:p>
    <w:p w14:paraId="5CD8E569" w14:textId="77777777" w:rsidR="00BA49F5" w:rsidRDefault="007E5E49">
      <w:pPr>
        <w:spacing w:before="60"/>
        <w:ind w:hanging="360"/>
        <w:jc w:val="both"/>
      </w:pPr>
      <w:r>
        <w:rPr>
          <w:rFonts w:ascii="Times New Roman" w:eastAsia="宋体" w:hAnsi="Times New Roman"/>
          <w:color w:val="000000"/>
          <w:sz w:val="20"/>
          <w:szCs w:val="20"/>
        </w:rPr>
        <w:t>•Family monthly active people (MAP) was 3.74 billion as of December 31, 2022, an increase of 4% year-over-year.</w:t>
      </w:r>
    </w:p>
    <w:p w14:paraId="5CD8E56A" w14:textId="77777777" w:rsidR="00BA49F5" w:rsidRDefault="007E5E49">
      <w:pPr>
        <w:spacing w:before="60"/>
        <w:ind w:hanging="360"/>
        <w:jc w:val="both"/>
      </w:pPr>
      <w:r>
        <w:rPr>
          <w:rFonts w:ascii="Times New Roman" w:eastAsia="宋体" w:hAnsi="Times New Roman"/>
          <w:color w:val="000000"/>
          <w:sz w:val="20"/>
          <w:szCs w:val="20"/>
        </w:rPr>
        <w:t>•Facebook daily active users (DAUs) were 2.00 billion on average for December 2022,</w:t>
      </w:r>
      <w:r>
        <w:rPr>
          <w:rFonts w:ascii="Times New Roman" w:eastAsia="宋体" w:hAnsi="Times New Roman"/>
          <w:color w:val="000000"/>
          <w:sz w:val="20"/>
          <w:szCs w:val="20"/>
        </w:rPr>
        <w:t xml:space="preserve"> an increase of 4% year-over-year.</w:t>
      </w:r>
    </w:p>
    <w:p w14:paraId="5CD8E56B" w14:textId="77777777" w:rsidR="00BA49F5" w:rsidRDefault="007E5E49">
      <w:pPr>
        <w:spacing w:before="60"/>
        <w:ind w:hanging="360"/>
        <w:jc w:val="both"/>
      </w:pPr>
      <w:r>
        <w:rPr>
          <w:rFonts w:ascii="Times New Roman" w:eastAsia="宋体" w:hAnsi="Times New Roman"/>
          <w:color w:val="000000"/>
          <w:sz w:val="20"/>
          <w:szCs w:val="20"/>
        </w:rPr>
        <w:t>•Facebook monthly active users (MAUs) were 2.96 billion as of December 31, 2022, an increase of 2% year-over-year.</w:t>
      </w:r>
    </w:p>
    <w:p w14:paraId="5CD8E56C" w14:textId="77777777" w:rsidR="00BA49F5" w:rsidRDefault="007E5E49">
      <w:pPr>
        <w:spacing w:before="60"/>
        <w:ind w:hanging="360"/>
        <w:jc w:val="both"/>
      </w:pPr>
      <w:r>
        <w:rPr>
          <w:rFonts w:ascii="Times New Roman" w:eastAsia="宋体" w:hAnsi="Times New Roman"/>
          <w:color w:val="000000"/>
          <w:sz w:val="20"/>
          <w:szCs w:val="20"/>
        </w:rPr>
        <w:t xml:space="preserve">•Ad impressions delivered across our Family of Apps increased by 18% year-over-year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and the average price per ad decreased by 16%</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year-over-year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w:t>
      </w:r>
    </w:p>
    <w:p w14:paraId="5CD8E56D" w14:textId="77777777" w:rsidR="00BA49F5" w:rsidRDefault="00BA49F5">
      <w:pPr>
        <w:jc w:val="both"/>
      </w:pPr>
    </w:p>
    <w:p w14:paraId="5CD8E56E" w14:textId="77777777" w:rsidR="00BA49F5" w:rsidRDefault="007E5E49">
      <w:pPr>
        <w:jc w:val="both"/>
      </w:pPr>
      <w:r>
        <w:rPr>
          <w:rFonts w:ascii="Times New Roman" w:eastAsia="宋体" w:hAnsi="Times New Roman"/>
          <w:b/>
          <w:bCs/>
          <w:i/>
          <w:iCs/>
          <w:color w:val="000000"/>
          <w:sz w:val="20"/>
          <w:szCs w:val="20"/>
        </w:rPr>
        <w:t>Developments in Advertising</w:t>
      </w:r>
    </w:p>
    <w:p w14:paraId="5CD8E56F" w14:textId="77777777" w:rsidR="00BA49F5" w:rsidRDefault="00BA49F5">
      <w:pPr>
        <w:ind w:firstLine="540"/>
      </w:pPr>
    </w:p>
    <w:p w14:paraId="5CD8E570" w14:textId="77777777" w:rsidR="00BA49F5" w:rsidRDefault="007E5E49">
      <w:pPr>
        <w:ind w:firstLine="540"/>
        <w:jc w:val="both"/>
      </w:pPr>
      <w:r>
        <w:rPr>
          <w:rFonts w:ascii="Times New Roman" w:eastAsia="宋体" w:hAnsi="Times New Roman"/>
          <w:color w:val="000000"/>
          <w:sz w:val="20"/>
          <w:szCs w:val="20"/>
        </w:rPr>
        <w:t>Substantially all of our revenue is currently generated from ad</w:t>
      </w:r>
      <w:r>
        <w:rPr>
          <w:rFonts w:ascii="Times New Roman" w:eastAsia="宋体" w:hAnsi="Times New Roman"/>
          <w:color w:val="000000"/>
          <w:sz w:val="20"/>
          <w:szCs w:val="20"/>
        </w:rPr>
        <w:t>vertising on Facebook and Instagram. We rely on targeting and measurement tools that incorporate data signals from user activity on websites and services that we do not control in order to deliver relevant and effective ads to our users. Our advertising re</w:t>
      </w:r>
      <w:r>
        <w:rPr>
          <w:rFonts w:ascii="Times New Roman" w:eastAsia="宋体" w:hAnsi="Times New Roman"/>
          <w:color w:val="000000"/>
          <w:sz w:val="20"/>
          <w:szCs w:val="20"/>
        </w:rPr>
        <w:t>venue has been, and we expect will continue to be, adversely affected by reduced marketer spending as a result of limitations on our ad targeting and measurement tools arising from changes to the regulatory environment and third-party mobile operating syst</w:t>
      </w:r>
      <w:r>
        <w:rPr>
          <w:rFonts w:ascii="Times New Roman" w:eastAsia="宋体" w:hAnsi="Times New Roman"/>
          <w:color w:val="000000"/>
          <w:sz w:val="20"/>
          <w:szCs w:val="20"/>
        </w:rPr>
        <w:t>ems and browsers.</w:t>
      </w:r>
    </w:p>
    <w:p w14:paraId="5CD8E571" w14:textId="77777777" w:rsidR="00BA49F5" w:rsidRDefault="00BA49F5">
      <w:pPr>
        <w:ind w:firstLine="540"/>
        <w:jc w:val="both"/>
      </w:pPr>
    </w:p>
    <w:p w14:paraId="5CD8E572" w14:textId="77777777" w:rsidR="00BA49F5" w:rsidRDefault="007E5E49">
      <w:pPr>
        <w:ind w:firstLine="540"/>
        <w:jc w:val="both"/>
      </w:pPr>
      <w:r>
        <w:rPr>
          <w:rFonts w:ascii="Times New Roman" w:eastAsia="宋体" w:hAnsi="Times New Roman"/>
          <w:color w:val="000000"/>
          <w:sz w:val="20"/>
          <w:szCs w:val="20"/>
        </w:rPr>
        <w:t xml:space="preserve">In particular, legislative and regulatory developments such as the General Data Protection Regulation, ePrivacy Directive, and California Privacy Rights Act have impacted our ability to use data signals in our ad products, and we expect </w:t>
      </w:r>
      <w:r>
        <w:rPr>
          <w:rFonts w:ascii="Times New Roman" w:eastAsia="宋体" w:hAnsi="Times New Roman"/>
          <w:color w:val="000000"/>
          <w:sz w:val="20"/>
          <w:szCs w:val="20"/>
        </w:rPr>
        <w:t>these and other developments such as the Digital Markets Act will have further impact in the future. As a result, we have implemented, and we will continue to implement, changes to our products and user data practices, which reduce our ability to effective</w:t>
      </w:r>
      <w:r>
        <w:rPr>
          <w:rFonts w:ascii="Times New Roman" w:eastAsia="宋体" w:hAnsi="Times New Roman"/>
          <w:color w:val="000000"/>
          <w:sz w:val="20"/>
          <w:szCs w:val="20"/>
        </w:rPr>
        <w:t>ly target and measure ads. In addition, mobile operating system and browser providers, such as Apple and Google, have implemented product changes and/or announced future plans to limit the ability of websites and application developers to collect and use t</w:t>
      </w:r>
      <w:r>
        <w:rPr>
          <w:rFonts w:ascii="Times New Roman" w:eastAsia="宋体" w:hAnsi="Times New Roman"/>
          <w:color w:val="000000"/>
          <w:sz w:val="20"/>
          <w:szCs w:val="20"/>
        </w:rPr>
        <w:t>hese signals to target and measure advertising. For example, in 2021, Apple made certain changes to its products and data use policies in connection with changes to its iOS operating system that reduce our and other iOS developers' ability to target and me</w:t>
      </w:r>
      <w:r>
        <w:rPr>
          <w:rFonts w:ascii="Times New Roman" w:eastAsia="宋体" w:hAnsi="Times New Roman"/>
          <w:color w:val="000000"/>
          <w:sz w:val="20"/>
          <w:szCs w:val="20"/>
        </w:rPr>
        <w:t>asure advertising, which has negatively impacted, and we expect will continue to negatively impact, the size of the budgets marketers are willing to commit to us and other advertising platforms.</w:t>
      </w:r>
    </w:p>
    <w:p w14:paraId="5CD8E573" w14:textId="77777777" w:rsidR="00BA49F5" w:rsidRDefault="00BA49F5">
      <w:pPr>
        <w:ind w:firstLine="540"/>
        <w:jc w:val="both"/>
      </w:pPr>
    </w:p>
    <w:p w14:paraId="5CD8E574" w14:textId="77777777" w:rsidR="00BA49F5" w:rsidRDefault="007E5E49">
      <w:pPr>
        <w:ind w:firstLine="540"/>
        <w:jc w:val="both"/>
      </w:pPr>
      <w:r>
        <w:rPr>
          <w:rFonts w:ascii="Times New Roman" w:eastAsia="宋体" w:hAnsi="Times New Roman"/>
          <w:color w:val="000000"/>
          <w:sz w:val="20"/>
          <w:szCs w:val="20"/>
        </w:rPr>
        <w:t>To mitigate these developments, we are working to evolve our</w:t>
      </w:r>
      <w:r>
        <w:rPr>
          <w:rFonts w:ascii="Times New Roman" w:eastAsia="宋体" w:hAnsi="Times New Roman"/>
          <w:color w:val="000000"/>
          <w:sz w:val="20"/>
          <w:szCs w:val="20"/>
        </w:rPr>
        <w:t xml:space="preserve"> advertising systems to improve the performance of our ad products. We are developing privacy enhancing technologies to deliver relevant ads and measurement capabilities while reducing the amount of personal information we process, including by relying mor</w:t>
      </w:r>
      <w:r>
        <w:rPr>
          <w:rFonts w:ascii="Times New Roman" w:eastAsia="宋体" w:hAnsi="Times New Roman"/>
          <w:color w:val="000000"/>
          <w:sz w:val="20"/>
          <w:szCs w:val="20"/>
        </w:rPr>
        <w:t>e on anonymized or aggregated third-party data. In addition, we are developing tools that enable marketers to share their data into our systems, as well as ad products that generate more valuable signals within our apps. More broadly, we also continue to i</w:t>
      </w:r>
      <w:r>
        <w:rPr>
          <w:rFonts w:ascii="Times New Roman" w:eastAsia="宋体" w:hAnsi="Times New Roman"/>
          <w:color w:val="000000"/>
          <w:sz w:val="20"/>
          <w:szCs w:val="20"/>
        </w:rPr>
        <w:t xml:space="preserve">nnovate our advertising tools to help marketers prepare campaigns and connect with consumers, including developing growing formats such as Reels ads and our business messaging ad products. Across all of these efforts, we are making significant investments </w:t>
      </w:r>
      <w:r>
        <w:rPr>
          <w:rFonts w:ascii="Times New Roman" w:eastAsia="宋体" w:hAnsi="Times New Roman"/>
          <w:color w:val="000000"/>
          <w:sz w:val="20"/>
          <w:szCs w:val="20"/>
        </w:rPr>
        <w:t>in artificial intelligence and machine learning to improve our delivery, targeting, and measurement capabilities. We are also engaging with others across our industry to explore the possibility of new open standards for the private and secure processing of</w:t>
      </w:r>
      <w:r>
        <w:rPr>
          <w:rFonts w:ascii="Times New Roman" w:eastAsia="宋体" w:hAnsi="Times New Roman"/>
          <w:color w:val="000000"/>
          <w:sz w:val="20"/>
          <w:szCs w:val="20"/>
        </w:rPr>
        <w:t xml:space="preserve"> data for advertising purposes. We expect that some of these efforts will be long-term initiatives, and that the regulatory and platform developments described above will continue to adversely impact our advertising revenue for the foreseeable future.</w:t>
      </w:r>
    </w:p>
    <w:p w14:paraId="5CD8E575" w14:textId="77777777" w:rsidR="00BA49F5" w:rsidRDefault="00BA49F5">
      <w:pPr>
        <w:ind w:firstLine="540"/>
        <w:jc w:val="both"/>
      </w:pPr>
    </w:p>
    <w:p w14:paraId="5CD8E576" w14:textId="77777777" w:rsidR="00BA49F5" w:rsidRDefault="007E5E49">
      <w:pPr>
        <w:jc w:val="both"/>
      </w:pPr>
      <w:r>
        <w:rPr>
          <w:rFonts w:ascii="Times New Roman" w:eastAsia="宋体" w:hAnsi="Times New Roman"/>
          <w:b/>
          <w:bCs/>
          <w:i/>
          <w:iCs/>
          <w:color w:val="000000"/>
          <w:sz w:val="20"/>
          <w:szCs w:val="20"/>
        </w:rPr>
        <w:t>Oth</w:t>
      </w:r>
      <w:r>
        <w:rPr>
          <w:rFonts w:ascii="Times New Roman" w:eastAsia="宋体" w:hAnsi="Times New Roman"/>
          <w:b/>
          <w:bCs/>
          <w:i/>
          <w:iCs/>
          <w:color w:val="000000"/>
          <w:sz w:val="20"/>
          <w:szCs w:val="20"/>
        </w:rPr>
        <w:t>er Business and Macroeconomic Conditions</w:t>
      </w:r>
    </w:p>
    <w:p w14:paraId="5CD8E577" w14:textId="77777777" w:rsidR="00BA49F5" w:rsidRDefault="00BA49F5">
      <w:pPr>
        <w:ind w:firstLine="540"/>
      </w:pPr>
    </w:p>
    <w:p w14:paraId="5CD8E578" w14:textId="77777777" w:rsidR="00BA49F5" w:rsidRDefault="007E5E49">
      <w:pPr>
        <w:ind w:firstLine="540"/>
        <w:jc w:val="both"/>
      </w:pPr>
      <w:r>
        <w:rPr>
          <w:rFonts w:ascii="Times New Roman" w:eastAsia="宋体" w:hAnsi="Times New Roman"/>
          <w:color w:val="000000"/>
          <w:sz w:val="20"/>
          <w:szCs w:val="20"/>
        </w:rPr>
        <w:t>Other global and regional business, macroeconomic, and geopolitical conditions also have had, and we believe will continue to have, an impact on our user growth and engagement and advertising revenue. In particular</w:t>
      </w:r>
      <w:r>
        <w:rPr>
          <w:rFonts w:ascii="Times New Roman" w:eastAsia="宋体" w:hAnsi="Times New Roman"/>
          <w:color w:val="000000"/>
          <w:sz w:val="20"/>
          <w:szCs w:val="20"/>
        </w:rPr>
        <w:t>, we believe advertising budgets have been pressured by factors such as inflation, rising interest rates, and related market uncertainty, which has led to reduced marketer spending. In addition, competitive products and services have reduced some users' en</w:t>
      </w:r>
      <w:r>
        <w:rPr>
          <w:rFonts w:ascii="Times New Roman" w:eastAsia="宋体" w:hAnsi="Times New Roman"/>
          <w:color w:val="000000"/>
          <w:sz w:val="20"/>
          <w:szCs w:val="20"/>
        </w:rPr>
        <w:t>gagement with our products and services. In response to competitive pressures, we have introduced new features such as Reels and are investing in our artificial intelligence-powered discovery engine to recommend relevant unconnected content across our prod</w:t>
      </w:r>
      <w:r>
        <w:rPr>
          <w:rFonts w:ascii="Times New Roman" w:eastAsia="宋体" w:hAnsi="Times New Roman"/>
          <w:color w:val="000000"/>
          <w:sz w:val="20"/>
          <w:szCs w:val="20"/>
        </w:rPr>
        <w:t>ucts. While Reels is growing in usage, it is not currently monetized at the same rate as our feed or Stories products. We also have seen fluctuations and declines in the size of our active user base in one or more markets from time to time. For example, in</w:t>
      </w:r>
      <w:r>
        <w:rPr>
          <w:rFonts w:ascii="Times New Roman" w:eastAsia="宋体" w:hAnsi="Times New Roman"/>
          <w:color w:val="000000"/>
          <w:sz w:val="20"/>
          <w:szCs w:val="20"/>
        </w:rPr>
        <w:t xml:space="preserve"> connection with the war in Ukraine, access to Facebook and Instagram was restricted in Russia and the services were then prohibited by the Russian government, which adversely affected user growth and engagement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These trends adversely affected adv</w:t>
      </w:r>
      <w:r>
        <w:rPr>
          <w:rFonts w:ascii="Times New Roman" w:eastAsia="宋体" w:hAnsi="Times New Roman"/>
          <w:color w:val="000000"/>
          <w:sz w:val="20"/>
          <w:szCs w:val="20"/>
        </w:rPr>
        <w:t xml:space="preserve">ertising revenue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and we expect will continue to affect our advertising revenue in the foreseeable future.</w:t>
      </w:r>
    </w:p>
    <w:p w14:paraId="5CD8E579" w14:textId="77777777" w:rsidR="00BA49F5" w:rsidRDefault="007E5E49">
      <w:pPr>
        <w:jc w:val="center"/>
      </w:pPr>
      <w:r>
        <w:rPr>
          <w:rFonts w:ascii="Times New Roman" w:eastAsia="宋体" w:hAnsi="Times New Roman"/>
          <w:color w:val="000000"/>
          <w:sz w:val="20"/>
          <w:szCs w:val="20"/>
        </w:rPr>
        <w:t>56</w:t>
      </w:r>
    </w:p>
    <w:p w14:paraId="5CD8E57A" w14:textId="77777777" w:rsidR="00BA49F5" w:rsidRDefault="007E5E49">
      <w:r>
        <w:pict w14:anchorId="5CD90D05">
          <v:rect id="_x0000_i1080" style="width:415.3pt;height:1.5pt" o:hralign="center" o:hrstd="t" o:hr="t" fillcolor="#a0a0a0" stroked="f"/>
        </w:pict>
      </w:r>
    </w:p>
    <w:p w14:paraId="5CD8E57B" w14:textId="77777777" w:rsidR="00BA49F5" w:rsidRDefault="00BA49F5"/>
    <w:p w14:paraId="5CD8E57C" w14:textId="77777777" w:rsidR="00BA49F5" w:rsidRDefault="00BA49F5"/>
    <w:p w14:paraId="5CD8E57D" w14:textId="77777777" w:rsidR="00BA49F5" w:rsidRDefault="007E5E49">
      <w:hyperlink r:id="rId192" w:anchor="i6df229dad1864210ab76200083e26819_7" w:history="1">
        <w:r>
          <w:rPr>
            <w:rStyle w:val="a5"/>
            <w:rFonts w:ascii="Times New Roman" w:eastAsia="宋体" w:hAnsi="Times New Roman"/>
            <w:sz w:val="20"/>
            <w:szCs w:val="20"/>
          </w:rPr>
          <w:t>T</w:t>
        </w:r>
      </w:hyperlink>
      <w:hyperlink r:id="rId193" w:anchor="i6df229dad1864210ab76200083e26819_7" w:history="1">
        <w:r>
          <w:rPr>
            <w:rStyle w:val="a5"/>
            <w:rFonts w:ascii="Times New Roman" w:eastAsia="宋体" w:hAnsi="Times New Roman"/>
            <w:sz w:val="20"/>
            <w:szCs w:val="20"/>
          </w:rPr>
          <w:t>able of Contents</w:t>
        </w:r>
      </w:hyperlink>
    </w:p>
    <w:p w14:paraId="5CD8E57E" w14:textId="77777777" w:rsidR="00BA49F5" w:rsidRDefault="00BA49F5">
      <w:pPr>
        <w:ind w:firstLine="540"/>
        <w:jc w:val="both"/>
      </w:pPr>
    </w:p>
    <w:p w14:paraId="5CD8E57F" w14:textId="77777777" w:rsidR="00BA49F5" w:rsidRDefault="007E5E49">
      <w:pPr>
        <w:ind w:firstLine="540"/>
        <w:jc w:val="both"/>
      </w:pPr>
      <w:r>
        <w:rPr>
          <w:rFonts w:ascii="Times New Roman" w:eastAsia="宋体" w:hAnsi="Times New Roman"/>
          <w:color w:val="000000"/>
          <w:sz w:val="20"/>
          <w:szCs w:val="20"/>
        </w:rPr>
        <w:t>The COVID-19 pandemic has also impacted our business and results of operations, with a varied impact on user growth and engagement, as well as the demand for and pricing of our ads from period to period. While we experienced a reduction in advertising dema</w:t>
      </w:r>
      <w:r>
        <w:rPr>
          <w:rFonts w:ascii="Times New Roman" w:eastAsia="宋体" w:hAnsi="Times New Roman"/>
          <w:color w:val="000000"/>
          <w:sz w:val="20"/>
          <w:szCs w:val="20"/>
        </w:rPr>
        <w:t>nd and a related decline in pricing during the onset of the pandemic, we believe the pandemic subsequently contributed to an acceleration in the growth of online commerce, and we experienced increasing demand for advertising as a result of this trend. More</w:t>
      </w:r>
      <w:r>
        <w:rPr>
          <w:rFonts w:ascii="Times New Roman" w:eastAsia="宋体" w:hAnsi="Times New Roman"/>
          <w:color w:val="000000"/>
          <w:sz w:val="20"/>
          <w:szCs w:val="20"/>
        </w:rPr>
        <w:t xml:space="preserve"> recently, we believe this growth has declined, and we saw continued softening of advertising demand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xml:space="preserve"> as many activities that shifted online during COVID-19 related lockdowns resumed in person. We may experience similar volatility in the demand for </w:t>
      </w:r>
      <w:r>
        <w:rPr>
          <w:rFonts w:ascii="Times New Roman" w:eastAsia="宋体" w:hAnsi="Times New Roman"/>
          <w:color w:val="000000"/>
          <w:sz w:val="20"/>
          <w:szCs w:val="20"/>
        </w:rPr>
        <w:t>and pricing of our advertising services as a result of the pandemic in the future.</w:t>
      </w:r>
    </w:p>
    <w:p w14:paraId="5CD8E580" w14:textId="77777777" w:rsidR="00BA49F5" w:rsidRDefault="00BA49F5">
      <w:pPr>
        <w:ind w:firstLine="540"/>
        <w:jc w:val="both"/>
      </w:pPr>
    </w:p>
    <w:p w14:paraId="5CD8E581" w14:textId="77777777" w:rsidR="00BA49F5" w:rsidRDefault="007E5E49">
      <w:pPr>
        <w:ind w:firstLine="540"/>
        <w:jc w:val="both"/>
      </w:pPr>
      <w:r>
        <w:rPr>
          <w:rFonts w:ascii="Times New Roman" w:eastAsia="宋体" w:hAnsi="Times New Roman"/>
          <w:color w:val="000000"/>
          <w:sz w:val="20"/>
          <w:szCs w:val="20"/>
        </w:rPr>
        <w:t>Although we regularly evaluate a variety of sources to understand trends in our advertising revenue, we do not have perfect visibility into the factors driving advertiser s</w:t>
      </w:r>
      <w:r>
        <w:rPr>
          <w:rFonts w:ascii="Times New Roman" w:eastAsia="宋体" w:hAnsi="Times New Roman"/>
          <w:color w:val="000000"/>
          <w:sz w:val="20"/>
          <w:szCs w:val="20"/>
        </w:rPr>
        <w:t xml:space="preserve">pending decisions and our assessments involve complex judgments about what is driving advertising decisions across a large and diversified advertiser base across the globe. Trends impacting advertising spend are also dynamic and interrelated. As a result, </w:t>
      </w:r>
      <w:r>
        <w:rPr>
          <w:rFonts w:ascii="Times New Roman" w:eastAsia="宋体" w:hAnsi="Times New Roman"/>
          <w:color w:val="000000"/>
          <w:sz w:val="20"/>
          <w:szCs w:val="20"/>
        </w:rPr>
        <w:t>it is difficult to identify with precision which advertiser spending decisions are attributable to which trends, and we are unable to quantify the exact impact that each trend had on our advertising revenue during the periods presented.</w:t>
      </w:r>
    </w:p>
    <w:p w14:paraId="5CD8E582" w14:textId="77777777" w:rsidR="00BA49F5" w:rsidRDefault="00BA49F5">
      <w:pPr>
        <w:ind w:firstLine="540"/>
        <w:jc w:val="both"/>
      </w:pPr>
    </w:p>
    <w:p w14:paraId="5CD8E583" w14:textId="77777777" w:rsidR="00BA49F5" w:rsidRDefault="007E5E49">
      <w:pPr>
        <w:jc w:val="both"/>
      </w:pPr>
      <w:r>
        <w:rPr>
          <w:rFonts w:ascii="Times New Roman" w:eastAsia="宋体" w:hAnsi="Times New Roman"/>
          <w:b/>
          <w:bCs/>
          <w:i/>
          <w:iCs/>
          <w:color w:val="000000"/>
          <w:sz w:val="20"/>
          <w:szCs w:val="20"/>
        </w:rPr>
        <w:t>Investment Philoso</w:t>
      </w:r>
      <w:r>
        <w:rPr>
          <w:rFonts w:ascii="Times New Roman" w:eastAsia="宋体" w:hAnsi="Times New Roman"/>
          <w:b/>
          <w:bCs/>
          <w:i/>
          <w:iCs/>
          <w:color w:val="000000"/>
          <w:sz w:val="20"/>
          <w:szCs w:val="20"/>
        </w:rPr>
        <w:t>phy</w:t>
      </w:r>
    </w:p>
    <w:p w14:paraId="5CD8E584" w14:textId="77777777" w:rsidR="00BA49F5" w:rsidRDefault="00BA49F5">
      <w:pPr>
        <w:ind w:firstLine="540"/>
        <w:jc w:val="both"/>
      </w:pPr>
    </w:p>
    <w:p w14:paraId="5CD8E585" w14:textId="77777777" w:rsidR="00BA49F5" w:rsidRDefault="007E5E49">
      <w:pPr>
        <w:ind w:firstLine="540"/>
        <w:jc w:val="both"/>
      </w:pPr>
      <w:r>
        <w:rPr>
          <w:rFonts w:ascii="Times New Roman" w:eastAsia="宋体" w:hAnsi="Times New Roman"/>
          <w:color w:val="000000"/>
          <w:sz w:val="20"/>
          <w:szCs w:val="20"/>
        </w:rPr>
        <w:t xml:space="preserve">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xml:space="preserve">, we continued to invest based on the following company priorities: (i) continue making progress on the major social issues facing the internet and our company, including privacy, safety, and security; (ii) build new experiences that </w:t>
      </w:r>
      <w:r>
        <w:rPr>
          <w:rFonts w:ascii="Times New Roman" w:eastAsia="宋体" w:hAnsi="Times New Roman"/>
          <w:color w:val="000000"/>
          <w:sz w:val="20"/>
          <w:szCs w:val="20"/>
        </w:rPr>
        <w:t>meaningfully improve people's lives today and set the stage for even bigger improvements in the future; (iii) keep building our business by supporting the millions of businesses that rely on our services to grow and create jobs; and (iv) communicate more t</w:t>
      </w:r>
      <w:r>
        <w:rPr>
          <w:rFonts w:ascii="Times New Roman" w:eastAsia="宋体" w:hAnsi="Times New Roman"/>
          <w:color w:val="000000"/>
          <w:sz w:val="20"/>
          <w:szCs w:val="20"/>
        </w:rPr>
        <w:t>ransparently about what we're doing and the role our services play in the world.</w:t>
      </w:r>
    </w:p>
    <w:p w14:paraId="5CD8E586" w14:textId="77777777" w:rsidR="00BA49F5" w:rsidRDefault="00BA49F5">
      <w:pPr>
        <w:ind w:firstLine="540"/>
        <w:jc w:val="both"/>
      </w:pPr>
    </w:p>
    <w:p w14:paraId="5CD8E587" w14:textId="77777777" w:rsidR="00BA49F5" w:rsidRDefault="007E5E49">
      <w:pPr>
        <w:ind w:firstLine="540"/>
        <w:jc w:val="both"/>
      </w:pPr>
      <w:r>
        <w:rPr>
          <w:rFonts w:ascii="Times New Roman" w:eastAsia="宋体" w:hAnsi="Times New Roman"/>
          <w:color w:val="000000"/>
          <w:sz w:val="20"/>
          <w:szCs w:val="20"/>
        </w:rPr>
        <w:t>We anticipate that investments in our data center capacity, servers, network infrastructure, and headcount will continue to drive expense growth in 2023, which will adversely</w:t>
      </w:r>
      <w:r>
        <w:rPr>
          <w:rFonts w:ascii="Times New Roman" w:eastAsia="宋体" w:hAnsi="Times New Roman"/>
          <w:color w:val="000000"/>
          <w:sz w:val="20"/>
          <w:szCs w:val="20"/>
        </w:rPr>
        <w:t xml:space="preserve"> affect our operating margin and profitability. The majority of our investments are directed toward developing our family of apps. In </w:t>
      </w:r>
      <w:r>
        <w:rPr>
          <w:rFonts w:ascii="Times New Roman" w:eastAsia="宋体" w:hAnsi="Times New Roman"/>
          <w:color w:val="000000"/>
          <w:sz w:val="20"/>
          <w:szCs w:val="20"/>
          <w:shd w:val="clear" w:color="auto" w:fill="FFFFFF"/>
        </w:rPr>
        <w:t>2022</w:t>
      </w:r>
      <w:r>
        <w:rPr>
          <w:rFonts w:ascii="Times New Roman" w:eastAsia="宋体" w:hAnsi="Times New Roman"/>
          <w:color w:val="000000"/>
          <w:sz w:val="20"/>
          <w:szCs w:val="20"/>
        </w:rPr>
        <w:t>, 82% of our total costs and expenses were recognized in FoA and 18% were recognized in RL. Our FoA investments includ</w:t>
      </w:r>
      <w:r>
        <w:rPr>
          <w:rFonts w:ascii="Times New Roman" w:eastAsia="宋体" w:hAnsi="Times New Roman"/>
          <w:color w:val="000000"/>
          <w:sz w:val="20"/>
          <w:szCs w:val="20"/>
        </w:rPr>
        <w:t>e expenses relating to headcount, data centers and technical infrastructure as part of our efforts to develop our apps and our advertising services. We are also making significant investments in our metaverse efforts, including developing virtual and augme</w:t>
      </w:r>
      <w:r>
        <w:rPr>
          <w:rFonts w:ascii="Times New Roman" w:eastAsia="宋体" w:hAnsi="Times New Roman"/>
          <w:color w:val="000000"/>
          <w:sz w:val="20"/>
          <w:szCs w:val="20"/>
        </w:rPr>
        <w:t>nted reality devices, software for social platforms, neural interfaces, and other foundational technologies for the metaverse. Our RL investments include expenses relating to headcount and technology development across these efforts. Many of our RL investm</w:t>
      </w:r>
      <w:r>
        <w:rPr>
          <w:rFonts w:ascii="Times New Roman" w:eastAsia="宋体" w:hAnsi="Times New Roman"/>
          <w:color w:val="000000"/>
          <w:sz w:val="20"/>
          <w:szCs w:val="20"/>
        </w:rPr>
        <w:t>ents are directed toward long-term, cutting-edge research and development for products for the metaverse that are not on the market today and may only be fully realized in the next decade. Although it is inherently difficult to predict when and how the met</w:t>
      </w:r>
      <w:r>
        <w:rPr>
          <w:rFonts w:ascii="Times New Roman" w:eastAsia="宋体" w:hAnsi="Times New Roman"/>
          <w:color w:val="000000"/>
          <w:sz w:val="20"/>
          <w:szCs w:val="20"/>
        </w:rPr>
        <w:t xml:space="preserve">averse ecosystem will develop, we expect our RL segment to continue to operate at a loss for the foreseeable future, and our ability to support our metaverse efforts is dependent on generating sufficient profits from other areas of our business. We expect </w:t>
      </w:r>
      <w:r>
        <w:rPr>
          <w:rFonts w:ascii="Times New Roman" w:eastAsia="宋体" w:hAnsi="Times New Roman"/>
          <w:color w:val="000000"/>
          <w:sz w:val="20"/>
          <w:szCs w:val="20"/>
        </w:rPr>
        <w:t xml:space="preserve">this will be a complex, evolving, and long-term initiative. We are investing now because we believe this is the next chapter of the internet and will unlock monetization opportunities for businesses, developers, and creators, including around advertising, </w:t>
      </w:r>
      <w:r>
        <w:rPr>
          <w:rFonts w:ascii="Times New Roman" w:eastAsia="宋体" w:hAnsi="Times New Roman"/>
          <w:color w:val="000000"/>
          <w:sz w:val="20"/>
          <w:szCs w:val="20"/>
        </w:rPr>
        <w:t>hardware, and digital goods.</w:t>
      </w:r>
    </w:p>
    <w:p w14:paraId="5CD8E588" w14:textId="77777777" w:rsidR="00BA49F5" w:rsidRDefault="007E5E49">
      <w:pPr>
        <w:jc w:val="center"/>
      </w:pPr>
      <w:r>
        <w:rPr>
          <w:rFonts w:ascii="Times New Roman" w:eastAsia="宋体" w:hAnsi="Times New Roman"/>
          <w:color w:val="000000"/>
          <w:sz w:val="20"/>
          <w:szCs w:val="20"/>
        </w:rPr>
        <w:t>57</w:t>
      </w:r>
    </w:p>
    <w:p w14:paraId="5CD8E589" w14:textId="77777777" w:rsidR="00BA49F5" w:rsidRDefault="007E5E49">
      <w:r>
        <w:pict w14:anchorId="5CD90D06">
          <v:rect id="_x0000_i1081" style="width:415.3pt;height:1.5pt" o:hralign="center" o:hrstd="t" o:hr="t" fillcolor="#a0a0a0" stroked="f"/>
        </w:pict>
      </w:r>
    </w:p>
    <w:p w14:paraId="5CD8E58A" w14:textId="77777777" w:rsidR="00BA49F5" w:rsidRDefault="00BA49F5"/>
    <w:p w14:paraId="5CD8E58B" w14:textId="77777777" w:rsidR="00BA49F5" w:rsidRDefault="00BA49F5"/>
    <w:p w14:paraId="5CD8E58C" w14:textId="77777777" w:rsidR="00BA49F5" w:rsidRDefault="007E5E49">
      <w:hyperlink r:id="rId194" w:anchor="i6df229dad1864210ab76200083e26819_7" w:history="1">
        <w:r>
          <w:rPr>
            <w:rStyle w:val="a5"/>
            <w:rFonts w:ascii="Times New Roman" w:eastAsia="宋体" w:hAnsi="Times New Roman"/>
            <w:sz w:val="20"/>
            <w:szCs w:val="20"/>
          </w:rPr>
          <w:t>T</w:t>
        </w:r>
      </w:hyperlink>
      <w:hyperlink r:id="rId195" w:anchor="i6df229dad1864210ab76200083e26819_7" w:history="1">
        <w:r>
          <w:rPr>
            <w:rStyle w:val="a5"/>
            <w:rFonts w:ascii="Times New Roman" w:eastAsia="宋体" w:hAnsi="Times New Roman"/>
            <w:sz w:val="20"/>
            <w:szCs w:val="20"/>
          </w:rPr>
          <w:t>able of Contents</w:t>
        </w:r>
      </w:hyperlink>
    </w:p>
    <w:p w14:paraId="5CD8E58D" w14:textId="77777777" w:rsidR="00BA49F5" w:rsidRDefault="007E5E49">
      <w:pPr>
        <w:jc w:val="both"/>
      </w:pPr>
      <w:r>
        <w:rPr>
          <w:rFonts w:ascii="Times New Roman" w:eastAsia="宋体" w:hAnsi="Times New Roman"/>
          <w:b/>
          <w:bCs/>
          <w:color w:val="000000"/>
          <w:sz w:val="20"/>
          <w:szCs w:val="20"/>
        </w:rPr>
        <w:t>Trends in Our Family Metrics</w:t>
      </w:r>
    </w:p>
    <w:p w14:paraId="5CD8E58E" w14:textId="77777777" w:rsidR="00BA49F5" w:rsidRDefault="00BA49F5">
      <w:pPr>
        <w:ind w:firstLine="540"/>
        <w:jc w:val="both"/>
      </w:pPr>
    </w:p>
    <w:p w14:paraId="5CD8E58F" w14:textId="77777777" w:rsidR="00BA49F5" w:rsidRDefault="007E5E49">
      <w:pPr>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DAP or MAP, respectively, based on their other activities on our Family products.</w:t>
      </w:r>
      <w:r>
        <w:rPr>
          <w:rFonts w:ascii="Times New Roman" w:eastAsia="宋体" w:hAnsi="Times New Roman"/>
          <w:color w:val="000000"/>
          <w:sz w:val="20"/>
          <w:szCs w:val="20"/>
        </w:rPr>
        <w:t xml:space="preserve"> </w:t>
      </w:r>
    </w:p>
    <w:p w14:paraId="5CD8E590" w14:textId="77777777" w:rsidR="00BA49F5" w:rsidRDefault="00BA49F5">
      <w:pPr>
        <w:ind w:firstLine="540"/>
        <w:jc w:val="both"/>
      </w:pPr>
    </w:p>
    <w:p w14:paraId="5CD8E591" w14:textId="77777777" w:rsidR="00BA49F5" w:rsidRDefault="007E5E49">
      <w:pPr>
        <w:ind w:firstLine="540"/>
        <w:jc w:val="both"/>
      </w:pPr>
      <w:r>
        <w:rPr>
          <w:rFonts w:ascii="Times New Roman" w:eastAsia="宋体" w:hAnsi="Times New Roman"/>
          <w:color w:val="000000"/>
          <w:sz w:val="20"/>
          <w:szCs w:val="20"/>
        </w:rPr>
        <w:t xml:space="preserve">Trends in the number of people in our community affect our revenue and financial results by influencing the number of ads we are able to show, the value of our ads to marketers, as well as our expenses and capital expenditures. Substantially all of our </w:t>
      </w:r>
      <w:r>
        <w:rPr>
          <w:rFonts w:ascii="Times New Roman" w:eastAsia="宋体" w:hAnsi="Times New Roman"/>
          <w:color w:val="000000"/>
          <w:sz w:val="20"/>
          <w:szCs w:val="20"/>
        </w:rPr>
        <w:t>daily and monthly active people (as defined below) access our Family products on mobile devices.</w:t>
      </w:r>
    </w:p>
    <w:p w14:paraId="5CD8E592" w14:textId="77777777" w:rsidR="00BA49F5" w:rsidRDefault="00BA49F5">
      <w:pPr>
        <w:jc w:val="both"/>
      </w:pPr>
    </w:p>
    <w:p w14:paraId="5CD8E593" w14:textId="77777777" w:rsidR="00BA49F5" w:rsidRDefault="007E5E49">
      <w:pP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Instagram, Messenger, and/or WhatsApp (collectivel</w:t>
      </w:r>
      <w:r>
        <w:rPr>
          <w:rFonts w:ascii="Times New Roman" w:eastAsia="宋体" w:hAnsi="Times New Roman"/>
          <w:color w:val="000000"/>
          <w:sz w:val="20"/>
          <w:szCs w:val="20"/>
        </w:rPr>
        <w:t>y, our "Family" of products) who visited at least one of these Family products through a mobile device application or using a web or mobile browser on a given day. We do not require people to use a common identifier or link their accounts to use multiple p</w:t>
      </w:r>
      <w:r>
        <w:rPr>
          <w:rFonts w:ascii="Times New Roman" w:eastAsia="宋体" w:hAnsi="Times New Roman"/>
          <w:color w:val="000000"/>
          <w:sz w:val="20"/>
          <w:szCs w:val="20"/>
        </w:rPr>
        <w:t>roducts in our Family, and therefore must seek to attribute multiple user accounts within and across products to individual people. Our calculations of DAP rely upon complex techniques, algorithms, and machine learning models that seek to estimate the unde</w:t>
      </w:r>
      <w:r>
        <w:rPr>
          <w:rFonts w:ascii="Times New Roman" w:eastAsia="宋体" w:hAnsi="Times New Roman"/>
          <w:color w:val="000000"/>
          <w:sz w:val="20"/>
          <w:szCs w:val="20"/>
        </w:rPr>
        <w:t xml:space="preserve">rlying number of unique people using one or more of these products, including by matching user accounts within an individual product and across multiple products when we believe they are attributable to a single person, and counting such group of accounts </w:t>
      </w:r>
      <w:r>
        <w:rPr>
          <w:rFonts w:ascii="Times New Roman" w:eastAsia="宋体" w:hAnsi="Times New Roman"/>
          <w:color w:val="000000"/>
          <w:sz w:val="20"/>
          <w:szCs w:val="20"/>
        </w:rPr>
        <w:t>as one person. As these techniques and models require significant judgment, are developed based on internal reviews of limited samples of user accounts, and are calibrated against user survey data, there is necessarily some margin of error in our estimates</w:t>
      </w:r>
      <w:r>
        <w:rPr>
          <w:rFonts w:ascii="Times New Roman" w:eastAsia="宋体" w:hAnsi="Times New Roman"/>
          <w:color w:val="000000"/>
          <w:sz w:val="20"/>
          <w:szCs w:val="20"/>
        </w:rPr>
        <w:t>. We view DAP, and DAP as a percentage of MAP, as measures of engagement across our products. For additional information, see the section entitled "Limitations of Key Metrics and Other Data" in this Annual Report on Form 10-K.</w:t>
      </w:r>
    </w:p>
    <w:p w14:paraId="5CD8E594" w14:textId="77777777" w:rsidR="00BA49F5" w:rsidRDefault="00BA49F5">
      <w:pPr>
        <w:ind w:firstLine="540"/>
        <w:jc w:val="both"/>
      </w:pPr>
    </w:p>
    <w:p w14:paraId="5CD8E595" w14:textId="77777777" w:rsidR="00BA49F5" w:rsidRDefault="007E5E49">
      <w:pPr>
        <w:jc w:val="center"/>
      </w:pPr>
      <w:r>
        <w:rPr>
          <w:rFonts w:ascii="宋体" w:eastAsia="宋体" w:hAnsi="宋体" w:cs="宋体"/>
        </w:rPr>
        <w:fldChar w:fldCharType="begin"/>
      </w:r>
      <w:r>
        <w:rPr>
          <w:rFonts w:ascii="宋体" w:eastAsia="宋体" w:hAnsi="宋体" w:cs="宋体"/>
        </w:rPr>
        <w:instrText>INCLUDEPICTURE \d "/Users/xu</w:instrText>
      </w:r>
      <w:r>
        <w:rPr>
          <w:rFonts w:ascii="宋体" w:eastAsia="宋体" w:hAnsi="宋体" w:cs="宋体"/>
        </w:rPr>
        <w:instrText xml:space="preserve">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07" wp14:editId="5CD90D08">
            <wp:extent cx="304800" cy="304800"/>
            <wp:effectExtent l="0" t="0" r="0" b="0"/>
            <wp:docPr id="39" name="图片 9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60" w:type="dxa"/>
        <w:jc w:val="center"/>
        <w:tblCellMar>
          <w:top w:w="15" w:type="dxa"/>
          <w:left w:w="15" w:type="dxa"/>
          <w:bottom w:w="15" w:type="dxa"/>
          <w:right w:w="15" w:type="dxa"/>
        </w:tblCellMar>
        <w:tblLook w:val="04A0" w:firstRow="1" w:lastRow="0" w:firstColumn="1" w:lastColumn="0" w:noHBand="0" w:noVBand="1"/>
      </w:tblPr>
      <w:tblGrid>
        <w:gridCol w:w="36"/>
        <w:gridCol w:w="743"/>
        <w:gridCol w:w="36"/>
        <w:gridCol w:w="36"/>
        <w:gridCol w:w="510"/>
        <w:gridCol w:w="36"/>
        <w:gridCol w:w="36"/>
        <w:gridCol w:w="510"/>
        <w:gridCol w:w="36"/>
        <w:gridCol w:w="36"/>
        <w:gridCol w:w="511"/>
        <w:gridCol w:w="36"/>
        <w:gridCol w:w="36"/>
        <w:gridCol w:w="511"/>
        <w:gridCol w:w="36"/>
        <w:gridCol w:w="36"/>
        <w:gridCol w:w="511"/>
        <w:gridCol w:w="36"/>
        <w:gridCol w:w="36"/>
        <w:gridCol w:w="511"/>
        <w:gridCol w:w="36"/>
        <w:gridCol w:w="36"/>
        <w:gridCol w:w="511"/>
        <w:gridCol w:w="36"/>
        <w:gridCol w:w="36"/>
        <w:gridCol w:w="511"/>
        <w:gridCol w:w="36"/>
        <w:gridCol w:w="36"/>
        <w:gridCol w:w="511"/>
        <w:gridCol w:w="36"/>
      </w:tblGrid>
      <w:tr w:rsidR="00BA49F5" w14:paraId="5CD8E5B4" w14:textId="77777777">
        <w:trPr>
          <w:jc w:val="center"/>
        </w:trPr>
        <w:tc>
          <w:tcPr>
            <w:tcW w:w="20" w:type="dxa"/>
            <w:shd w:val="clear" w:color="auto" w:fill="auto"/>
            <w:vAlign w:val="bottom"/>
          </w:tcPr>
          <w:p w14:paraId="5CD8E596" w14:textId="77777777" w:rsidR="00BA49F5" w:rsidRDefault="00BA49F5">
            <w:pPr>
              <w:rPr>
                <w:rFonts w:ascii="宋体"/>
              </w:rPr>
            </w:pPr>
          </w:p>
        </w:tc>
        <w:tc>
          <w:tcPr>
            <w:tcW w:w="755" w:type="dxa"/>
            <w:shd w:val="clear" w:color="auto" w:fill="auto"/>
            <w:vAlign w:val="bottom"/>
          </w:tcPr>
          <w:p w14:paraId="5CD8E597" w14:textId="77777777" w:rsidR="00BA49F5" w:rsidRDefault="00BA49F5">
            <w:pPr>
              <w:rPr>
                <w:rFonts w:ascii="宋体"/>
              </w:rPr>
            </w:pPr>
          </w:p>
        </w:tc>
        <w:tc>
          <w:tcPr>
            <w:tcW w:w="20" w:type="dxa"/>
            <w:shd w:val="clear" w:color="auto" w:fill="auto"/>
            <w:vAlign w:val="bottom"/>
          </w:tcPr>
          <w:p w14:paraId="5CD8E598" w14:textId="77777777" w:rsidR="00BA49F5" w:rsidRDefault="00BA49F5">
            <w:pPr>
              <w:rPr>
                <w:rFonts w:ascii="宋体"/>
              </w:rPr>
            </w:pPr>
          </w:p>
        </w:tc>
        <w:tc>
          <w:tcPr>
            <w:tcW w:w="20" w:type="dxa"/>
            <w:shd w:val="clear" w:color="auto" w:fill="auto"/>
            <w:vAlign w:val="bottom"/>
          </w:tcPr>
          <w:p w14:paraId="5CD8E599" w14:textId="77777777" w:rsidR="00BA49F5" w:rsidRDefault="00BA49F5">
            <w:pPr>
              <w:rPr>
                <w:rFonts w:ascii="宋体"/>
              </w:rPr>
            </w:pPr>
          </w:p>
        </w:tc>
        <w:tc>
          <w:tcPr>
            <w:tcW w:w="545" w:type="dxa"/>
            <w:shd w:val="clear" w:color="auto" w:fill="auto"/>
            <w:vAlign w:val="bottom"/>
          </w:tcPr>
          <w:p w14:paraId="5CD8E59A" w14:textId="77777777" w:rsidR="00BA49F5" w:rsidRDefault="00BA49F5">
            <w:pPr>
              <w:rPr>
                <w:rFonts w:ascii="宋体"/>
              </w:rPr>
            </w:pPr>
          </w:p>
        </w:tc>
        <w:tc>
          <w:tcPr>
            <w:tcW w:w="20" w:type="dxa"/>
            <w:shd w:val="clear" w:color="auto" w:fill="auto"/>
            <w:vAlign w:val="bottom"/>
          </w:tcPr>
          <w:p w14:paraId="5CD8E59B" w14:textId="77777777" w:rsidR="00BA49F5" w:rsidRDefault="00BA49F5">
            <w:pPr>
              <w:rPr>
                <w:rFonts w:ascii="宋体"/>
              </w:rPr>
            </w:pPr>
          </w:p>
        </w:tc>
        <w:tc>
          <w:tcPr>
            <w:tcW w:w="20" w:type="dxa"/>
            <w:shd w:val="clear" w:color="auto" w:fill="auto"/>
            <w:vAlign w:val="bottom"/>
          </w:tcPr>
          <w:p w14:paraId="5CD8E59C" w14:textId="77777777" w:rsidR="00BA49F5" w:rsidRDefault="00BA49F5">
            <w:pPr>
              <w:rPr>
                <w:rFonts w:ascii="宋体"/>
              </w:rPr>
            </w:pPr>
          </w:p>
        </w:tc>
        <w:tc>
          <w:tcPr>
            <w:tcW w:w="545" w:type="dxa"/>
            <w:shd w:val="clear" w:color="auto" w:fill="auto"/>
            <w:vAlign w:val="bottom"/>
          </w:tcPr>
          <w:p w14:paraId="5CD8E59D" w14:textId="77777777" w:rsidR="00BA49F5" w:rsidRDefault="00BA49F5">
            <w:pPr>
              <w:rPr>
                <w:rFonts w:ascii="宋体"/>
              </w:rPr>
            </w:pPr>
          </w:p>
        </w:tc>
        <w:tc>
          <w:tcPr>
            <w:tcW w:w="20" w:type="dxa"/>
            <w:shd w:val="clear" w:color="auto" w:fill="auto"/>
            <w:vAlign w:val="bottom"/>
          </w:tcPr>
          <w:p w14:paraId="5CD8E59E" w14:textId="77777777" w:rsidR="00BA49F5" w:rsidRDefault="00BA49F5">
            <w:pPr>
              <w:rPr>
                <w:rFonts w:ascii="宋体"/>
              </w:rPr>
            </w:pPr>
          </w:p>
        </w:tc>
        <w:tc>
          <w:tcPr>
            <w:tcW w:w="20" w:type="dxa"/>
            <w:shd w:val="clear" w:color="auto" w:fill="auto"/>
            <w:vAlign w:val="bottom"/>
          </w:tcPr>
          <w:p w14:paraId="5CD8E59F" w14:textId="77777777" w:rsidR="00BA49F5" w:rsidRDefault="00BA49F5">
            <w:pPr>
              <w:rPr>
                <w:rFonts w:ascii="宋体"/>
              </w:rPr>
            </w:pPr>
          </w:p>
        </w:tc>
        <w:tc>
          <w:tcPr>
            <w:tcW w:w="545" w:type="dxa"/>
            <w:shd w:val="clear" w:color="auto" w:fill="auto"/>
            <w:vAlign w:val="bottom"/>
          </w:tcPr>
          <w:p w14:paraId="5CD8E5A0" w14:textId="77777777" w:rsidR="00BA49F5" w:rsidRDefault="00BA49F5">
            <w:pPr>
              <w:rPr>
                <w:rFonts w:ascii="宋体"/>
              </w:rPr>
            </w:pPr>
          </w:p>
        </w:tc>
        <w:tc>
          <w:tcPr>
            <w:tcW w:w="20" w:type="dxa"/>
            <w:shd w:val="clear" w:color="auto" w:fill="auto"/>
            <w:vAlign w:val="bottom"/>
          </w:tcPr>
          <w:p w14:paraId="5CD8E5A1" w14:textId="77777777" w:rsidR="00BA49F5" w:rsidRDefault="00BA49F5">
            <w:pPr>
              <w:rPr>
                <w:rFonts w:ascii="宋体"/>
              </w:rPr>
            </w:pPr>
          </w:p>
        </w:tc>
        <w:tc>
          <w:tcPr>
            <w:tcW w:w="20" w:type="dxa"/>
            <w:shd w:val="clear" w:color="auto" w:fill="auto"/>
            <w:vAlign w:val="bottom"/>
          </w:tcPr>
          <w:p w14:paraId="5CD8E5A2" w14:textId="77777777" w:rsidR="00BA49F5" w:rsidRDefault="00BA49F5">
            <w:pPr>
              <w:rPr>
                <w:rFonts w:ascii="宋体"/>
              </w:rPr>
            </w:pPr>
          </w:p>
        </w:tc>
        <w:tc>
          <w:tcPr>
            <w:tcW w:w="545" w:type="dxa"/>
            <w:shd w:val="clear" w:color="auto" w:fill="auto"/>
            <w:vAlign w:val="bottom"/>
          </w:tcPr>
          <w:p w14:paraId="5CD8E5A3" w14:textId="77777777" w:rsidR="00BA49F5" w:rsidRDefault="00BA49F5">
            <w:pPr>
              <w:rPr>
                <w:rFonts w:ascii="宋体"/>
              </w:rPr>
            </w:pPr>
          </w:p>
        </w:tc>
        <w:tc>
          <w:tcPr>
            <w:tcW w:w="20" w:type="dxa"/>
            <w:shd w:val="clear" w:color="auto" w:fill="auto"/>
            <w:vAlign w:val="bottom"/>
          </w:tcPr>
          <w:p w14:paraId="5CD8E5A4" w14:textId="77777777" w:rsidR="00BA49F5" w:rsidRDefault="00BA49F5">
            <w:pPr>
              <w:rPr>
                <w:rFonts w:ascii="宋体"/>
              </w:rPr>
            </w:pPr>
          </w:p>
        </w:tc>
        <w:tc>
          <w:tcPr>
            <w:tcW w:w="20" w:type="dxa"/>
            <w:shd w:val="clear" w:color="auto" w:fill="auto"/>
            <w:vAlign w:val="bottom"/>
          </w:tcPr>
          <w:p w14:paraId="5CD8E5A5" w14:textId="77777777" w:rsidR="00BA49F5" w:rsidRDefault="00BA49F5">
            <w:pPr>
              <w:rPr>
                <w:rFonts w:ascii="宋体"/>
              </w:rPr>
            </w:pPr>
          </w:p>
        </w:tc>
        <w:tc>
          <w:tcPr>
            <w:tcW w:w="545" w:type="dxa"/>
            <w:shd w:val="clear" w:color="auto" w:fill="auto"/>
            <w:vAlign w:val="bottom"/>
          </w:tcPr>
          <w:p w14:paraId="5CD8E5A6" w14:textId="77777777" w:rsidR="00BA49F5" w:rsidRDefault="00BA49F5">
            <w:pPr>
              <w:rPr>
                <w:rFonts w:ascii="宋体"/>
              </w:rPr>
            </w:pPr>
          </w:p>
        </w:tc>
        <w:tc>
          <w:tcPr>
            <w:tcW w:w="20" w:type="dxa"/>
            <w:shd w:val="clear" w:color="auto" w:fill="auto"/>
            <w:vAlign w:val="bottom"/>
          </w:tcPr>
          <w:p w14:paraId="5CD8E5A7" w14:textId="77777777" w:rsidR="00BA49F5" w:rsidRDefault="00BA49F5">
            <w:pPr>
              <w:rPr>
                <w:rFonts w:ascii="宋体"/>
              </w:rPr>
            </w:pPr>
          </w:p>
        </w:tc>
        <w:tc>
          <w:tcPr>
            <w:tcW w:w="20" w:type="dxa"/>
            <w:shd w:val="clear" w:color="auto" w:fill="auto"/>
            <w:vAlign w:val="bottom"/>
          </w:tcPr>
          <w:p w14:paraId="5CD8E5A8" w14:textId="77777777" w:rsidR="00BA49F5" w:rsidRDefault="00BA49F5">
            <w:pPr>
              <w:rPr>
                <w:rFonts w:ascii="宋体"/>
              </w:rPr>
            </w:pPr>
          </w:p>
        </w:tc>
        <w:tc>
          <w:tcPr>
            <w:tcW w:w="545" w:type="dxa"/>
            <w:shd w:val="clear" w:color="auto" w:fill="auto"/>
            <w:vAlign w:val="bottom"/>
          </w:tcPr>
          <w:p w14:paraId="5CD8E5A9" w14:textId="77777777" w:rsidR="00BA49F5" w:rsidRDefault="00BA49F5">
            <w:pPr>
              <w:rPr>
                <w:rFonts w:ascii="宋体"/>
              </w:rPr>
            </w:pPr>
          </w:p>
        </w:tc>
        <w:tc>
          <w:tcPr>
            <w:tcW w:w="20" w:type="dxa"/>
            <w:shd w:val="clear" w:color="auto" w:fill="auto"/>
            <w:vAlign w:val="bottom"/>
          </w:tcPr>
          <w:p w14:paraId="5CD8E5AA" w14:textId="77777777" w:rsidR="00BA49F5" w:rsidRDefault="00BA49F5">
            <w:pPr>
              <w:rPr>
                <w:rFonts w:ascii="宋体"/>
              </w:rPr>
            </w:pPr>
          </w:p>
        </w:tc>
        <w:tc>
          <w:tcPr>
            <w:tcW w:w="20" w:type="dxa"/>
            <w:shd w:val="clear" w:color="auto" w:fill="auto"/>
            <w:vAlign w:val="bottom"/>
          </w:tcPr>
          <w:p w14:paraId="5CD8E5AB" w14:textId="77777777" w:rsidR="00BA49F5" w:rsidRDefault="00BA49F5">
            <w:pPr>
              <w:rPr>
                <w:rFonts w:ascii="宋体"/>
              </w:rPr>
            </w:pPr>
          </w:p>
        </w:tc>
        <w:tc>
          <w:tcPr>
            <w:tcW w:w="545" w:type="dxa"/>
            <w:shd w:val="clear" w:color="auto" w:fill="auto"/>
            <w:vAlign w:val="bottom"/>
          </w:tcPr>
          <w:p w14:paraId="5CD8E5AC" w14:textId="77777777" w:rsidR="00BA49F5" w:rsidRDefault="00BA49F5">
            <w:pPr>
              <w:rPr>
                <w:rFonts w:ascii="宋体"/>
              </w:rPr>
            </w:pPr>
          </w:p>
        </w:tc>
        <w:tc>
          <w:tcPr>
            <w:tcW w:w="20" w:type="dxa"/>
            <w:shd w:val="clear" w:color="auto" w:fill="auto"/>
            <w:vAlign w:val="bottom"/>
          </w:tcPr>
          <w:p w14:paraId="5CD8E5AD" w14:textId="77777777" w:rsidR="00BA49F5" w:rsidRDefault="00BA49F5">
            <w:pPr>
              <w:rPr>
                <w:rFonts w:ascii="宋体"/>
              </w:rPr>
            </w:pPr>
          </w:p>
        </w:tc>
        <w:tc>
          <w:tcPr>
            <w:tcW w:w="20" w:type="dxa"/>
            <w:shd w:val="clear" w:color="auto" w:fill="auto"/>
            <w:vAlign w:val="bottom"/>
          </w:tcPr>
          <w:p w14:paraId="5CD8E5AE" w14:textId="77777777" w:rsidR="00BA49F5" w:rsidRDefault="00BA49F5">
            <w:pPr>
              <w:rPr>
                <w:rFonts w:ascii="宋体"/>
              </w:rPr>
            </w:pPr>
          </w:p>
        </w:tc>
        <w:tc>
          <w:tcPr>
            <w:tcW w:w="545" w:type="dxa"/>
            <w:shd w:val="clear" w:color="auto" w:fill="auto"/>
            <w:vAlign w:val="bottom"/>
          </w:tcPr>
          <w:p w14:paraId="5CD8E5AF" w14:textId="77777777" w:rsidR="00BA49F5" w:rsidRDefault="00BA49F5">
            <w:pPr>
              <w:rPr>
                <w:rFonts w:ascii="宋体"/>
              </w:rPr>
            </w:pPr>
          </w:p>
        </w:tc>
        <w:tc>
          <w:tcPr>
            <w:tcW w:w="20" w:type="dxa"/>
            <w:shd w:val="clear" w:color="auto" w:fill="auto"/>
            <w:vAlign w:val="bottom"/>
          </w:tcPr>
          <w:p w14:paraId="5CD8E5B0" w14:textId="77777777" w:rsidR="00BA49F5" w:rsidRDefault="00BA49F5">
            <w:pPr>
              <w:rPr>
                <w:rFonts w:ascii="宋体"/>
              </w:rPr>
            </w:pPr>
          </w:p>
        </w:tc>
        <w:tc>
          <w:tcPr>
            <w:tcW w:w="20" w:type="dxa"/>
            <w:shd w:val="clear" w:color="auto" w:fill="auto"/>
            <w:vAlign w:val="bottom"/>
          </w:tcPr>
          <w:p w14:paraId="5CD8E5B1" w14:textId="77777777" w:rsidR="00BA49F5" w:rsidRDefault="00BA49F5">
            <w:pPr>
              <w:rPr>
                <w:rFonts w:ascii="宋体"/>
              </w:rPr>
            </w:pPr>
          </w:p>
        </w:tc>
        <w:tc>
          <w:tcPr>
            <w:tcW w:w="545" w:type="dxa"/>
            <w:shd w:val="clear" w:color="auto" w:fill="auto"/>
            <w:vAlign w:val="bottom"/>
          </w:tcPr>
          <w:p w14:paraId="5CD8E5B2" w14:textId="77777777" w:rsidR="00BA49F5" w:rsidRDefault="00BA49F5">
            <w:pPr>
              <w:rPr>
                <w:rFonts w:ascii="宋体"/>
              </w:rPr>
            </w:pPr>
          </w:p>
        </w:tc>
        <w:tc>
          <w:tcPr>
            <w:tcW w:w="20" w:type="dxa"/>
            <w:shd w:val="clear" w:color="auto" w:fill="auto"/>
            <w:vAlign w:val="bottom"/>
          </w:tcPr>
          <w:p w14:paraId="5CD8E5B3" w14:textId="77777777" w:rsidR="00BA49F5" w:rsidRDefault="00BA49F5">
            <w:pPr>
              <w:rPr>
                <w:rFonts w:ascii="宋体"/>
              </w:rPr>
            </w:pPr>
          </w:p>
        </w:tc>
      </w:tr>
      <w:tr w:rsidR="00BA49F5" w14:paraId="5CD8E5BF" w14:textId="77777777">
        <w:trPr>
          <w:trHeight w:val="220"/>
          <w:jc w:val="center"/>
        </w:trPr>
        <w:tc>
          <w:tcPr>
            <w:tcW w:w="0" w:type="auto"/>
            <w:gridSpan w:val="3"/>
            <w:shd w:val="clear" w:color="auto" w:fill="auto"/>
            <w:tcMar>
              <w:top w:w="40" w:type="dxa"/>
              <w:left w:w="20" w:type="dxa"/>
              <w:bottom w:w="40" w:type="dxa"/>
              <w:right w:w="20" w:type="dxa"/>
            </w:tcMar>
          </w:tcPr>
          <w:p w14:paraId="5CD8E5B5" w14:textId="77777777" w:rsidR="00BA49F5" w:rsidRDefault="007E5E49">
            <w:pPr>
              <w:jc w:val="right"/>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5CD8E5B6"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7"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8"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9" w14:textId="77777777" w:rsidR="00BA49F5" w:rsidRDefault="007E5E49">
            <w:pP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5CD8E5BA"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B"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C"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D" w14:textId="77777777" w:rsidR="00BA49F5" w:rsidRDefault="007E5E49">
            <w:pP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5CD8E5BE" w14:textId="77777777" w:rsidR="00BA49F5" w:rsidRDefault="007E5E49">
            <w:pPr>
              <w:textAlignment w:val="top"/>
            </w:pPr>
            <w:r>
              <w:rPr>
                <w:rFonts w:ascii="sans-serif" w:eastAsia="宋体" w:hAnsi="sans-serif" w:cs="sans-serif"/>
                <w:color w:val="000000"/>
                <w:sz w:val="16"/>
                <w:szCs w:val="16"/>
              </w:rPr>
              <w:t>79%</w:t>
            </w:r>
          </w:p>
        </w:tc>
      </w:tr>
    </w:tbl>
    <w:p w14:paraId="5CD8E5C0" w14:textId="77777777" w:rsidR="00BA49F5" w:rsidRDefault="00BA49F5">
      <w:pPr>
        <w:ind w:firstLine="540"/>
        <w:jc w:val="center"/>
      </w:pPr>
    </w:p>
    <w:p w14:paraId="5CD8E5C1" w14:textId="77777777" w:rsidR="00BA49F5" w:rsidRDefault="007E5E49">
      <w:pP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3%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Annual Report on Form 10-K. In the first quarter of 2021, we updated our Family metrics calculations to maintain calibration</w:t>
      </w:r>
      <w:r>
        <w:rPr>
          <w:rFonts w:ascii="Times New Roman" w:eastAsia="宋体" w:hAnsi="Times New Roman"/>
          <w:i/>
          <w:iCs/>
          <w:color w:val="000000"/>
          <w:sz w:val="16"/>
          <w:szCs w:val="16"/>
        </w:rPr>
        <w:t xml:space="preserve"> of our models against recent user survey data, and we estimate such update contributed an aggregate of approximately 60 million DAP to our reported worldwide DAP in March 2021. In the third quarter of 2022, we updated our Family metrics calculations to ma</w:t>
      </w:r>
      <w:r>
        <w:rPr>
          <w:rFonts w:ascii="Times New Roman" w:eastAsia="宋体" w:hAnsi="Times New Roman"/>
          <w:i/>
          <w:iCs/>
          <w:color w:val="000000"/>
          <w:sz w:val="16"/>
          <w:szCs w:val="16"/>
        </w:rPr>
        <w:t>intain calibration of our models against recent user survey data, and we estimate such update contributed an aggregate of approximately 30 million DAP to our reported worldwide DAP in September 2022.</w:t>
      </w:r>
    </w:p>
    <w:p w14:paraId="5CD8E5C2" w14:textId="77777777" w:rsidR="00BA49F5" w:rsidRDefault="00BA49F5">
      <w:pPr>
        <w:ind w:firstLine="540"/>
        <w:jc w:val="both"/>
      </w:pPr>
    </w:p>
    <w:p w14:paraId="5CD8E5C3" w14:textId="77777777" w:rsidR="00BA49F5" w:rsidRDefault="007E5E49">
      <w:pPr>
        <w:ind w:firstLine="540"/>
        <w:jc w:val="both"/>
      </w:pPr>
      <w:r>
        <w:rPr>
          <w:rFonts w:ascii="Times New Roman" w:eastAsia="宋体" w:hAnsi="Times New Roman"/>
          <w:color w:val="000000"/>
          <w:sz w:val="20"/>
          <w:szCs w:val="20"/>
        </w:rPr>
        <w:t xml:space="preserve">Worldwide DAP increased 5% to 2.96 billion on average during December 2022 from 2.82 billion during December 2021. </w:t>
      </w:r>
    </w:p>
    <w:p w14:paraId="5CD8E5C4" w14:textId="77777777" w:rsidR="00BA49F5" w:rsidRDefault="00BA49F5">
      <w:pPr>
        <w:ind w:firstLine="540"/>
        <w:jc w:val="both"/>
      </w:pPr>
    </w:p>
    <w:p w14:paraId="5CD8E5C5" w14:textId="77777777" w:rsidR="00BA49F5" w:rsidRDefault="00BA49F5">
      <w:pPr>
        <w:jc w:val="both"/>
      </w:pPr>
    </w:p>
    <w:p w14:paraId="5CD8E5C6" w14:textId="77777777" w:rsidR="00BA49F5" w:rsidRDefault="00BA49F5">
      <w:pPr>
        <w:jc w:val="both"/>
      </w:pPr>
    </w:p>
    <w:p w14:paraId="5CD8E5C7" w14:textId="77777777" w:rsidR="00BA49F5" w:rsidRDefault="007E5E49">
      <w:pPr>
        <w:jc w:val="center"/>
      </w:pPr>
      <w:r>
        <w:rPr>
          <w:rFonts w:ascii="Times New Roman" w:eastAsia="宋体" w:hAnsi="Times New Roman"/>
          <w:color w:val="000000"/>
          <w:sz w:val="20"/>
          <w:szCs w:val="20"/>
        </w:rPr>
        <w:t>58</w:t>
      </w:r>
    </w:p>
    <w:p w14:paraId="5CD8E5C8" w14:textId="77777777" w:rsidR="00BA49F5" w:rsidRDefault="007E5E49">
      <w:r>
        <w:pict w14:anchorId="5CD90D09">
          <v:rect id="_x0000_i1082" style="width:415.3pt;height:1.5pt" o:hralign="center" o:hrstd="t" o:hr="t" fillcolor="#a0a0a0" stroked="f"/>
        </w:pict>
      </w:r>
    </w:p>
    <w:p w14:paraId="5CD8E5C9" w14:textId="77777777" w:rsidR="00BA49F5" w:rsidRDefault="00BA49F5"/>
    <w:p w14:paraId="5CD8E5CA" w14:textId="77777777" w:rsidR="00BA49F5" w:rsidRDefault="00BA49F5"/>
    <w:p w14:paraId="5CD8E5CB" w14:textId="77777777" w:rsidR="00BA49F5" w:rsidRDefault="007E5E49">
      <w:hyperlink r:id="rId196" w:anchor="i6df229dad1864210ab76200083e26819_7" w:history="1">
        <w:r>
          <w:rPr>
            <w:rStyle w:val="a5"/>
            <w:rFonts w:ascii="Times New Roman" w:eastAsia="宋体" w:hAnsi="Times New Roman"/>
            <w:sz w:val="20"/>
            <w:szCs w:val="20"/>
          </w:rPr>
          <w:t>T</w:t>
        </w:r>
      </w:hyperlink>
      <w:hyperlink r:id="rId197" w:anchor="i6df229dad1864210ab76200083e26819_7" w:history="1">
        <w:r>
          <w:rPr>
            <w:rStyle w:val="a5"/>
            <w:rFonts w:ascii="Times New Roman" w:eastAsia="宋体" w:hAnsi="Times New Roman"/>
            <w:sz w:val="20"/>
            <w:szCs w:val="20"/>
          </w:rPr>
          <w:t>able of Contents</w:t>
        </w:r>
      </w:hyperlink>
    </w:p>
    <w:p w14:paraId="5CD8E5CC" w14:textId="77777777" w:rsidR="00BA49F5" w:rsidRDefault="007E5E49">
      <w:pP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w:t>
      </w:r>
      <w:r>
        <w:rPr>
          <w:rFonts w:ascii="Times New Roman" w:eastAsia="宋体" w:hAnsi="Times New Roman"/>
          <w:color w:val="000000"/>
          <w:sz w:val="20"/>
          <w:szCs w:val="20"/>
        </w:rPr>
        <w:t>a mobile device application or using a web or mobile browser in the last 30 days as of the date of measurement. We do not require people to use a common identifier or link their accounts to use multiple products in our Family, and therefore must seek to at</w:t>
      </w:r>
      <w:r>
        <w:rPr>
          <w:rFonts w:ascii="Times New Roman" w:eastAsia="宋体" w:hAnsi="Times New Roman"/>
          <w:color w:val="000000"/>
          <w:sz w:val="20"/>
          <w:szCs w:val="20"/>
        </w:rPr>
        <w:t xml:space="preserve">tribute multiple user accounts within and across products to individual people. Our calculations of MAP rely upon complex techniques, algorithms, and machine learning models that seek to estimate the underlying number of unique people using one or more of </w:t>
      </w:r>
      <w:r>
        <w:rPr>
          <w:rFonts w:ascii="Times New Roman" w:eastAsia="宋体" w:hAnsi="Times New Roman"/>
          <w:color w:val="000000"/>
          <w:sz w:val="20"/>
          <w:szCs w:val="20"/>
        </w:rPr>
        <w:t>these products, including by matching user accounts within an individual product and across multiple products when we believe they are attributable to a single person, and counting such group of accounts as one person. As these techniques and models requir</w:t>
      </w:r>
      <w:r>
        <w:rPr>
          <w:rFonts w:ascii="Times New Roman" w:eastAsia="宋体" w:hAnsi="Times New Roman"/>
          <w:color w:val="000000"/>
          <w:sz w:val="20"/>
          <w:szCs w:val="20"/>
        </w:rPr>
        <w:t>e significant judgment, are developed based on internal reviews of limited samples of user accounts, and are calibrated against user survey data, there is necessarily some margin of error in our estimates. We view MAP as a measure of the size of our global</w:t>
      </w:r>
      <w:r>
        <w:rPr>
          <w:rFonts w:ascii="Times New Roman" w:eastAsia="宋体" w:hAnsi="Times New Roman"/>
          <w:color w:val="000000"/>
          <w:sz w:val="20"/>
          <w:szCs w:val="20"/>
        </w:rPr>
        <w:t xml:space="preserve"> active community of people using our products. For additional information, see the section entitled "Limitations of Key Metrics and Other Data" in this Annual Report on Form 10-K.</w:t>
      </w:r>
    </w:p>
    <w:p w14:paraId="5CD8E5CD" w14:textId="77777777" w:rsidR="00BA49F5" w:rsidRDefault="00BA49F5">
      <w:pPr>
        <w:jc w:val="both"/>
      </w:pPr>
    </w:p>
    <w:p w14:paraId="5CD8E5CE"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w:instrText>
      </w:r>
      <w:r>
        <w:rPr>
          <w:rFonts w:ascii="宋体" w:eastAsia="宋体" w:hAnsi="宋体" w:cs="宋体"/>
        </w:rPr>
        <w:instrText xml:space="preserve">tforms/./Inline XBRL Viewer_files/meta-20221231_g4.jpg"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0A" wp14:editId="5CD90D0B">
            <wp:extent cx="304800" cy="304800"/>
            <wp:effectExtent l="0" t="0" r="0" b="0"/>
            <wp:docPr id="49" name="图片 9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5CF" w14:textId="77777777" w:rsidR="00BA49F5" w:rsidRDefault="007E5E49">
      <w:pPr>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w:t>
      </w:r>
      <w:r>
        <w:rPr>
          <w:rFonts w:ascii="Times New Roman" w:eastAsia="宋体" w:hAnsi="Times New Roman"/>
          <w:i/>
          <w:iCs/>
          <w:color w:val="000000"/>
          <w:sz w:val="16"/>
          <w:szCs w:val="16"/>
        </w:rPr>
        <w:t xml:space="preserve">l variances and errors. While we expect the error margin for these estimates to vary from period to period, we estimate that such margin generally will be approximately 3% of our worldwide MAP. At our scale, it is very difficult to attribute multiple user </w:t>
      </w:r>
      <w:r>
        <w:rPr>
          <w:rFonts w:ascii="Times New Roman" w:eastAsia="宋体" w:hAnsi="Times New Roman"/>
          <w:i/>
          <w:iCs/>
          <w:color w:val="000000"/>
          <w:sz w:val="16"/>
          <w:szCs w:val="16"/>
        </w:rPr>
        <w:t xml:space="preserve">accounts within and across products to individual people, and it is possible that the actual numbers of unique people using our products may vary significantly from our estimates, potentially beyond our estimated error margins. For additional information, </w:t>
      </w:r>
      <w:r>
        <w:rPr>
          <w:rFonts w:ascii="Times New Roman" w:eastAsia="宋体" w:hAnsi="Times New Roman"/>
          <w:i/>
          <w:iCs/>
          <w:color w:val="000000"/>
          <w:sz w:val="16"/>
          <w:szCs w:val="16"/>
        </w:rPr>
        <w:t xml:space="preserve">see the section entitled "Limitations of Key Metrics and Other Data" in this Annual Report on Form 10-K. In the first quarter of 2021, we updated our Family metrics calculations to maintain calibration of our models against recent user survey data, and we </w:t>
      </w:r>
      <w:r>
        <w:rPr>
          <w:rFonts w:ascii="Times New Roman" w:eastAsia="宋体" w:hAnsi="Times New Roman"/>
          <w:i/>
          <w:iCs/>
          <w:color w:val="000000"/>
          <w:sz w:val="16"/>
          <w:szCs w:val="16"/>
        </w:rPr>
        <w:t>estimate such update contributed an aggregate of approximately 70 million MAP to our reported worldwide MAP in March 2021. In the third quarter of 2022, we updated our Family metrics calculations to maintain calibration of our models against recent user su</w:t>
      </w:r>
      <w:r>
        <w:rPr>
          <w:rFonts w:ascii="Times New Roman" w:eastAsia="宋体" w:hAnsi="Times New Roman"/>
          <w:i/>
          <w:iCs/>
          <w:color w:val="000000"/>
          <w:sz w:val="16"/>
          <w:szCs w:val="16"/>
        </w:rPr>
        <w:t>rvey data, and we estimate such update contributed an aggregate of approximately 40 million MAP to our reported worldwide MAP in September 2022.</w:t>
      </w:r>
    </w:p>
    <w:p w14:paraId="5CD8E5D0" w14:textId="77777777" w:rsidR="00BA49F5" w:rsidRDefault="00BA49F5">
      <w:pPr>
        <w:jc w:val="both"/>
      </w:pPr>
    </w:p>
    <w:p w14:paraId="5CD8E5D1" w14:textId="77777777" w:rsidR="00BA49F5" w:rsidRDefault="007E5E49">
      <w:pPr>
        <w:ind w:firstLine="540"/>
        <w:jc w:val="both"/>
      </w:pPr>
      <w:r>
        <w:rPr>
          <w:rFonts w:ascii="Times New Roman" w:eastAsia="宋体" w:hAnsi="Times New Roman"/>
          <w:color w:val="000000"/>
          <w:sz w:val="20"/>
          <w:szCs w:val="20"/>
        </w:rPr>
        <w:t xml:space="preserve">As of December 31, 2022, we had 3.74 billion MAP, an increase of 4% from 3.59 billion as of December 31, 2021. </w:t>
      </w:r>
    </w:p>
    <w:p w14:paraId="5CD8E5D2" w14:textId="77777777" w:rsidR="00BA49F5" w:rsidRDefault="007E5E49">
      <w:pPr>
        <w:jc w:val="center"/>
      </w:pPr>
      <w:r>
        <w:rPr>
          <w:rFonts w:ascii="Times New Roman" w:eastAsia="宋体" w:hAnsi="Times New Roman"/>
          <w:color w:val="000000"/>
          <w:sz w:val="20"/>
          <w:szCs w:val="20"/>
        </w:rPr>
        <w:t>59</w:t>
      </w:r>
    </w:p>
    <w:p w14:paraId="5CD8E5D3" w14:textId="77777777" w:rsidR="00BA49F5" w:rsidRDefault="007E5E49">
      <w:r>
        <w:pict w14:anchorId="5CD90D0C">
          <v:rect id="_x0000_i1083" style="width:415.3pt;height:1.5pt" o:hralign="center" o:hrstd="t" o:hr="t" fillcolor="#a0a0a0" stroked="f"/>
        </w:pict>
      </w:r>
    </w:p>
    <w:p w14:paraId="5CD8E5D4" w14:textId="77777777" w:rsidR="00BA49F5" w:rsidRDefault="00BA49F5"/>
    <w:p w14:paraId="5CD8E5D5" w14:textId="77777777" w:rsidR="00BA49F5" w:rsidRDefault="00BA49F5"/>
    <w:p w14:paraId="5CD8E5D6" w14:textId="77777777" w:rsidR="00BA49F5" w:rsidRDefault="007E5E49">
      <w:hyperlink r:id="rId198" w:anchor="i6df229dad1864210ab76200083e26819_7" w:history="1">
        <w:r>
          <w:rPr>
            <w:rStyle w:val="a5"/>
            <w:rFonts w:ascii="Times New Roman" w:eastAsia="宋体" w:hAnsi="Times New Roman"/>
            <w:sz w:val="20"/>
            <w:szCs w:val="20"/>
          </w:rPr>
          <w:t>T</w:t>
        </w:r>
      </w:hyperlink>
      <w:hyperlink r:id="rId199" w:anchor="i6df229dad1864210ab76200083e26819_7" w:history="1">
        <w:r>
          <w:rPr>
            <w:rStyle w:val="a5"/>
            <w:rFonts w:ascii="Times New Roman" w:eastAsia="宋体" w:hAnsi="Times New Roman"/>
            <w:sz w:val="20"/>
            <w:szCs w:val="20"/>
          </w:rPr>
          <w:t>able of Contents</w:t>
        </w:r>
      </w:hyperlink>
    </w:p>
    <w:p w14:paraId="5CD8E5D7" w14:textId="77777777" w:rsidR="00BA49F5" w:rsidRDefault="007E5E49">
      <w:pPr>
        <w:ind w:hanging="360"/>
        <w:jc w:val="both"/>
      </w:pPr>
      <w:r>
        <w:rPr>
          <w:rFonts w:ascii="Times New Roman" w:eastAsia="宋体" w:hAnsi="Times New Roman"/>
          <w:b/>
          <w:bCs/>
          <w:i/>
          <w:iCs/>
          <w:color w:val="000000"/>
          <w:sz w:val="20"/>
          <w:szCs w:val="20"/>
        </w:rPr>
        <w:t>•Average Revenue Per Person (ARPP).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We define ARPP as our total reven</w:t>
      </w:r>
      <w:r>
        <w:rPr>
          <w:rFonts w:ascii="Times New Roman" w:eastAsia="宋体" w:hAnsi="Times New Roman"/>
          <w:color w:val="000000"/>
          <w:sz w:val="20"/>
          <w:szCs w:val="20"/>
        </w:rPr>
        <w:t>ue during a given quarter, divided by the average of the number of MAP at the beginning and end of the quarter. While ARPP includes all sources of revenue, the number of MAP used in this calculation only includes users of our Family products as described i</w:t>
      </w:r>
      <w:r>
        <w:rPr>
          <w:rFonts w:ascii="Times New Roman" w:eastAsia="宋体" w:hAnsi="Times New Roman"/>
          <w:color w:val="000000"/>
          <w:sz w:val="20"/>
          <w:szCs w:val="20"/>
        </w:rPr>
        <w:t xml:space="preserve">n the definition of MAP above. We estimate that the share of revenue from users who are not also MAP was not material. </w:t>
      </w:r>
    </w:p>
    <w:p w14:paraId="5CD8E5D8" w14:textId="77777777" w:rsidR="00BA49F5" w:rsidRDefault="00BA49F5">
      <w:pPr>
        <w:jc w:val="center"/>
      </w:pPr>
    </w:p>
    <w:p w14:paraId="5CD8E5D9"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Viewer_files/meta-20221231_g5.jpg" \* ME</w:instrText>
      </w:r>
      <w:r>
        <w:rPr>
          <w:rFonts w:ascii="宋体" w:eastAsia="宋体" w:hAnsi="宋体" w:cs="宋体"/>
        </w:rPr>
        <w:instrText xml:space="preserv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0D" wp14:editId="5CD90D0E">
            <wp:extent cx="304800" cy="304800"/>
            <wp:effectExtent l="0" t="0" r="0" b="0"/>
            <wp:docPr id="51" name="图片 9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7"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825" w:type="dxa"/>
        <w:jc w:val="center"/>
        <w:tblCellMar>
          <w:top w:w="15" w:type="dxa"/>
          <w:left w:w="15" w:type="dxa"/>
          <w:bottom w:w="15" w:type="dxa"/>
          <w:right w:w="15" w:type="dxa"/>
        </w:tblCellMar>
        <w:tblLook w:val="04A0" w:firstRow="1" w:lastRow="0" w:firstColumn="1" w:lastColumn="0" w:noHBand="0" w:noVBand="1"/>
      </w:tblPr>
      <w:tblGrid>
        <w:gridCol w:w="37"/>
        <w:gridCol w:w="634"/>
        <w:gridCol w:w="36"/>
        <w:gridCol w:w="36"/>
        <w:gridCol w:w="590"/>
        <w:gridCol w:w="36"/>
        <w:gridCol w:w="36"/>
        <w:gridCol w:w="590"/>
        <w:gridCol w:w="36"/>
        <w:gridCol w:w="36"/>
        <w:gridCol w:w="590"/>
        <w:gridCol w:w="36"/>
        <w:gridCol w:w="36"/>
        <w:gridCol w:w="590"/>
        <w:gridCol w:w="36"/>
        <w:gridCol w:w="36"/>
        <w:gridCol w:w="590"/>
        <w:gridCol w:w="36"/>
        <w:gridCol w:w="36"/>
        <w:gridCol w:w="630"/>
        <w:gridCol w:w="36"/>
        <w:gridCol w:w="36"/>
        <w:gridCol w:w="630"/>
        <w:gridCol w:w="36"/>
        <w:gridCol w:w="36"/>
        <w:gridCol w:w="630"/>
        <w:gridCol w:w="36"/>
        <w:gridCol w:w="36"/>
        <w:gridCol w:w="630"/>
        <w:gridCol w:w="36"/>
      </w:tblGrid>
      <w:tr w:rsidR="00BA49F5" w14:paraId="5CD8E5F8" w14:textId="77777777">
        <w:trPr>
          <w:jc w:val="center"/>
        </w:trPr>
        <w:tc>
          <w:tcPr>
            <w:tcW w:w="20" w:type="dxa"/>
            <w:shd w:val="clear" w:color="auto" w:fill="auto"/>
            <w:vAlign w:val="bottom"/>
          </w:tcPr>
          <w:p w14:paraId="5CD8E5DA" w14:textId="77777777" w:rsidR="00BA49F5" w:rsidRDefault="00BA49F5">
            <w:pPr>
              <w:rPr>
                <w:rFonts w:ascii="宋体"/>
              </w:rPr>
            </w:pPr>
          </w:p>
        </w:tc>
        <w:tc>
          <w:tcPr>
            <w:tcW w:w="665" w:type="dxa"/>
            <w:shd w:val="clear" w:color="auto" w:fill="auto"/>
            <w:vAlign w:val="bottom"/>
          </w:tcPr>
          <w:p w14:paraId="5CD8E5DB" w14:textId="77777777" w:rsidR="00BA49F5" w:rsidRDefault="00BA49F5">
            <w:pPr>
              <w:rPr>
                <w:rFonts w:ascii="宋体"/>
              </w:rPr>
            </w:pPr>
          </w:p>
        </w:tc>
        <w:tc>
          <w:tcPr>
            <w:tcW w:w="20" w:type="dxa"/>
            <w:shd w:val="clear" w:color="auto" w:fill="auto"/>
            <w:vAlign w:val="bottom"/>
          </w:tcPr>
          <w:p w14:paraId="5CD8E5DC" w14:textId="77777777" w:rsidR="00BA49F5" w:rsidRDefault="00BA49F5">
            <w:pPr>
              <w:rPr>
                <w:rFonts w:ascii="宋体"/>
              </w:rPr>
            </w:pPr>
          </w:p>
        </w:tc>
        <w:tc>
          <w:tcPr>
            <w:tcW w:w="20" w:type="dxa"/>
            <w:shd w:val="clear" w:color="auto" w:fill="auto"/>
            <w:vAlign w:val="bottom"/>
          </w:tcPr>
          <w:p w14:paraId="5CD8E5DD" w14:textId="77777777" w:rsidR="00BA49F5" w:rsidRDefault="00BA49F5">
            <w:pPr>
              <w:rPr>
                <w:rFonts w:ascii="宋体"/>
              </w:rPr>
            </w:pPr>
          </w:p>
        </w:tc>
        <w:tc>
          <w:tcPr>
            <w:tcW w:w="620" w:type="dxa"/>
            <w:shd w:val="clear" w:color="auto" w:fill="auto"/>
            <w:vAlign w:val="bottom"/>
          </w:tcPr>
          <w:p w14:paraId="5CD8E5DE" w14:textId="77777777" w:rsidR="00BA49F5" w:rsidRDefault="00BA49F5">
            <w:pPr>
              <w:rPr>
                <w:rFonts w:ascii="宋体"/>
              </w:rPr>
            </w:pPr>
          </w:p>
        </w:tc>
        <w:tc>
          <w:tcPr>
            <w:tcW w:w="20" w:type="dxa"/>
            <w:shd w:val="clear" w:color="auto" w:fill="auto"/>
            <w:vAlign w:val="bottom"/>
          </w:tcPr>
          <w:p w14:paraId="5CD8E5DF" w14:textId="77777777" w:rsidR="00BA49F5" w:rsidRDefault="00BA49F5">
            <w:pPr>
              <w:rPr>
                <w:rFonts w:ascii="宋体"/>
              </w:rPr>
            </w:pPr>
          </w:p>
        </w:tc>
        <w:tc>
          <w:tcPr>
            <w:tcW w:w="20" w:type="dxa"/>
            <w:shd w:val="clear" w:color="auto" w:fill="auto"/>
            <w:vAlign w:val="bottom"/>
          </w:tcPr>
          <w:p w14:paraId="5CD8E5E0" w14:textId="77777777" w:rsidR="00BA49F5" w:rsidRDefault="00BA49F5">
            <w:pPr>
              <w:rPr>
                <w:rFonts w:ascii="宋体"/>
              </w:rPr>
            </w:pPr>
          </w:p>
        </w:tc>
        <w:tc>
          <w:tcPr>
            <w:tcW w:w="620" w:type="dxa"/>
            <w:shd w:val="clear" w:color="auto" w:fill="auto"/>
            <w:vAlign w:val="bottom"/>
          </w:tcPr>
          <w:p w14:paraId="5CD8E5E1" w14:textId="77777777" w:rsidR="00BA49F5" w:rsidRDefault="00BA49F5">
            <w:pPr>
              <w:rPr>
                <w:rFonts w:ascii="宋体"/>
              </w:rPr>
            </w:pPr>
          </w:p>
        </w:tc>
        <w:tc>
          <w:tcPr>
            <w:tcW w:w="20" w:type="dxa"/>
            <w:shd w:val="clear" w:color="auto" w:fill="auto"/>
            <w:vAlign w:val="bottom"/>
          </w:tcPr>
          <w:p w14:paraId="5CD8E5E2" w14:textId="77777777" w:rsidR="00BA49F5" w:rsidRDefault="00BA49F5">
            <w:pPr>
              <w:rPr>
                <w:rFonts w:ascii="宋体"/>
              </w:rPr>
            </w:pPr>
          </w:p>
        </w:tc>
        <w:tc>
          <w:tcPr>
            <w:tcW w:w="20" w:type="dxa"/>
            <w:shd w:val="clear" w:color="auto" w:fill="auto"/>
            <w:vAlign w:val="bottom"/>
          </w:tcPr>
          <w:p w14:paraId="5CD8E5E3" w14:textId="77777777" w:rsidR="00BA49F5" w:rsidRDefault="00BA49F5">
            <w:pPr>
              <w:rPr>
                <w:rFonts w:ascii="宋体"/>
              </w:rPr>
            </w:pPr>
          </w:p>
        </w:tc>
        <w:tc>
          <w:tcPr>
            <w:tcW w:w="620" w:type="dxa"/>
            <w:shd w:val="clear" w:color="auto" w:fill="auto"/>
            <w:vAlign w:val="bottom"/>
          </w:tcPr>
          <w:p w14:paraId="5CD8E5E4" w14:textId="77777777" w:rsidR="00BA49F5" w:rsidRDefault="00BA49F5">
            <w:pPr>
              <w:rPr>
                <w:rFonts w:ascii="宋体"/>
              </w:rPr>
            </w:pPr>
          </w:p>
        </w:tc>
        <w:tc>
          <w:tcPr>
            <w:tcW w:w="20" w:type="dxa"/>
            <w:shd w:val="clear" w:color="auto" w:fill="auto"/>
            <w:vAlign w:val="bottom"/>
          </w:tcPr>
          <w:p w14:paraId="5CD8E5E5" w14:textId="77777777" w:rsidR="00BA49F5" w:rsidRDefault="00BA49F5">
            <w:pPr>
              <w:rPr>
                <w:rFonts w:ascii="宋体"/>
              </w:rPr>
            </w:pPr>
          </w:p>
        </w:tc>
        <w:tc>
          <w:tcPr>
            <w:tcW w:w="20" w:type="dxa"/>
            <w:shd w:val="clear" w:color="auto" w:fill="auto"/>
            <w:vAlign w:val="bottom"/>
          </w:tcPr>
          <w:p w14:paraId="5CD8E5E6" w14:textId="77777777" w:rsidR="00BA49F5" w:rsidRDefault="00BA49F5">
            <w:pPr>
              <w:rPr>
                <w:rFonts w:ascii="宋体"/>
              </w:rPr>
            </w:pPr>
          </w:p>
        </w:tc>
        <w:tc>
          <w:tcPr>
            <w:tcW w:w="620" w:type="dxa"/>
            <w:shd w:val="clear" w:color="auto" w:fill="auto"/>
            <w:vAlign w:val="bottom"/>
          </w:tcPr>
          <w:p w14:paraId="5CD8E5E7" w14:textId="77777777" w:rsidR="00BA49F5" w:rsidRDefault="00BA49F5">
            <w:pPr>
              <w:rPr>
                <w:rFonts w:ascii="宋体"/>
              </w:rPr>
            </w:pPr>
          </w:p>
        </w:tc>
        <w:tc>
          <w:tcPr>
            <w:tcW w:w="20" w:type="dxa"/>
            <w:shd w:val="clear" w:color="auto" w:fill="auto"/>
            <w:vAlign w:val="bottom"/>
          </w:tcPr>
          <w:p w14:paraId="5CD8E5E8" w14:textId="77777777" w:rsidR="00BA49F5" w:rsidRDefault="00BA49F5">
            <w:pPr>
              <w:rPr>
                <w:rFonts w:ascii="宋体"/>
              </w:rPr>
            </w:pPr>
          </w:p>
        </w:tc>
        <w:tc>
          <w:tcPr>
            <w:tcW w:w="20" w:type="dxa"/>
            <w:shd w:val="clear" w:color="auto" w:fill="auto"/>
            <w:vAlign w:val="bottom"/>
          </w:tcPr>
          <w:p w14:paraId="5CD8E5E9" w14:textId="77777777" w:rsidR="00BA49F5" w:rsidRDefault="00BA49F5">
            <w:pPr>
              <w:rPr>
                <w:rFonts w:ascii="宋体"/>
              </w:rPr>
            </w:pPr>
          </w:p>
        </w:tc>
        <w:tc>
          <w:tcPr>
            <w:tcW w:w="620" w:type="dxa"/>
            <w:shd w:val="clear" w:color="auto" w:fill="auto"/>
            <w:vAlign w:val="bottom"/>
          </w:tcPr>
          <w:p w14:paraId="5CD8E5EA" w14:textId="77777777" w:rsidR="00BA49F5" w:rsidRDefault="00BA49F5">
            <w:pPr>
              <w:rPr>
                <w:rFonts w:ascii="宋体"/>
              </w:rPr>
            </w:pPr>
          </w:p>
        </w:tc>
        <w:tc>
          <w:tcPr>
            <w:tcW w:w="20" w:type="dxa"/>
            <w:shd w:val="clear" w:color="auto" w:fill="auto"/>
            <w:vAlign w:val="bottom"/>
          </w:tcPr>
          <w:p w14:paraId="5CD8E5EB" w14:textId="77777777" w:rsidR="00BA49F5" w:rsidRDefault="00BA49F5">
            <w:pPr>
              <w:rPr>
                <w:rFonts w:ascii="宋体"/>
              </w:rPr>
            </w:pPr>
          </w:p>
        </w:tc>
        <w:tc>
          <w:tcPr>
            <w:tcW w:w="20" w:type="dxa"/>
            <w:shd w:val="clear" w:color="auto" w:fill="auto"/>
            <w:vAlign w:val="bottom"/>
          </w:tcPr>
          <w:p w14:paraId="5CD8E5EC" w14:textId="77777777" w:rsidR="00BA49F5" w:rsidRDefault="00BA49F5">
            <w:pPr>
              <w:rPr>
                <w:rFonts w:ascii="宋体"/>
              </w:rPr>
            </w:pPr>
          </w:p>
        </w:tc>
        <w:tc>
          <w:tcPr>
            <w:tcW w:w="665" w:type="dxa"/>
            <w:shd w:val="clear" w:color="auto" w:fill="auto"/>
            <w:vAlign w:val="bottom"/>
          </w:tcPr>
          <w:p w14:paraId="5CD8E5ED" w14:textId="77777777" w:rsidR="00BA49F5" w:rsidRDefault="00BA49F5">
            <w:pPr>
              <w:rPr>
                <w:rFonts w:ascii="宋体"/>
              </w:rPr>
            </w:pPr>
          </w:p>
        </w:tc>
        <w:tc>
          <w:tcPr>
            <w:tcW w:w="20" w:type="dxa"/>
            <w:shd w:val="clear" w:color="auto" w:fill="auto"/>
            <w:vAlign w:val="bottom"/>
          </w:tcPr>
          <w:p w14:paraId="5CD8E5EE" w14:textId="77777777" w:rsidR="00BA49F5" w:rsidRDefault="00BA49F5">
            <w:pPr>
              <w:rPr>
                <w:rFonts w:ascii="宋体"/>
              </w:rPr>
            </w:pPr>
          </w:p>
        </w:tc>
        <w:tc>
          <w:tcPr>
            <w:tcW w:w="20" w:type="dxa"/>
            <w:shd w:val="clear" w:color="auto" w:fill="auto"/>
            <w:vAlign w:val="bottom"/>
          </w:tcPr>
          <w:p w14:paraId="5CD8E5EF" w14:textId="77777777" w:rsidR="00BA49F5" w:rsidRDefault="00BA49F5">
            <w:pPr>
              <w:rPr>
                <w:rFonts w:ascii="宋体"/>
              </w:rPr>
            </w:pPr>
          </w:p>
        </w:tc>
        <w:tc>
          <w:tcPr>
            <w:tcW w:w="665" w:type="dxa"/>
            <w:shd w:val="clear" w:color="auto" w:fill="auto"/>
            <w:vAlign w:val="bottom"/>
          </w:tcPr>
          <w:p w14:paraId="5CD8E5F0" w14:textId="77777777" w:rsidR="00BA49F5" w:rsidRDefault="00BA49F5">
            <w:pPr>
              <w:rPr>
                <w:rFonts w:ascii="宋体"/>
              </w:rPr>
            </w:pPr>
          </w:p>
        </w:tc>
        <w:tc>
          <w:tcPr>
            <w:tcW w:w="20" w:type="dxa"/>
            <w:shd w:val="clear" w:color="auto" w:fill="auto"/>
            <w:vAlign w:val="bottom"/>
          </w:tcPr>
          <w:p w14:paraId="5CD8E5F1" w14:textId="77777777" w:rsidR="00BA49F5" w:rsidRDefault="00BA49F5">
            <w:pPr>
              <w:rPr>
                <w:rFonts w:ascii="宋体"/>
              </w:rPr>
            </w:pPr>
          </w:p>
        </w:tc>
        <w:tc>
          <w:tcPr>
            <w:tcW w:w="20" w:type="dxa"/>
            <w:shd w:val="clear" w:color="auto" w:fill="auto"/>
            <w:vAlign w:val="bottom"/>
          </w:tcPr>
          <w:p w14:paraId="5CD8E5F2" w14:textId="77777777" w:rsidR="00BA49F5" w:rsidRDefault="00BA49F5">
            <w:pPr>
              <w:rPr>
                <w:rFonts w:ascii="宋体"/>
              </w:rPr>
            </w:pPr>
          </w:p>
        </w:tc>
        <w:tc>
          <w:tcPr>
            <w:tcW w:w="665" w:type="dxa"/>
            <w:shd w:val="clear" w:color="auto" w:fill="auto"/>
            <w:vAlign w:val="bottom"/>
          </w:tcPr>
          <w:p w14:paraId="5CD8E5F3" w14:textId="77777777" w:rsidR="00BA49F5" w:rsidRDefault="00BA49F5">
            <w:pPr>
              <w:rPr>
                <w:rFonts w:ascii="宋体"/>
              </w:rPr>
            </w:pPr>
          </w:p>
        </w:tc>
        <w:tc>
          <w:tcPr>
            <w:tcW w:w="20" w:type="dxa"/>
            <w:shd w:val="clear" w:color="auto" w:fill="auto"/>
            <w:vAlign w:val="bottom"/>
          </w:tcPr>
          <w:p w14:paraId="5CD8E5F4" w14:textId="77777777" w:rsidR="00BA49F5" w:rsidRDefault="00BA49F5">
            <w:pPr>
              <w:rPr>
                <w:rFonts w:ascii="宋体"/>
              </w:rPr>
            </w:pPr>
          </w:p>
        </w:tc>
        <w:tc>
          <w:tcPr>
            <w:tcW w:w="20" w:type="dxa"/>
            <w:shd w:val="clear" w:color="auto" w:fill="auto"/>
            <w:vAlign w:val="bottom"/>
          </w:tcPr>
          <w:p w14:paraId="5CD8E5F5" w14:textId="77777777" w:rsidR="00BA49F5" w:rsidRDefault="00BA49F5">
            <w:pPr>
              <w:rPr>
                <w:rFonts w:ascii="宋体"/>
              </w:rPr>
            </w:pPr>
          </w:p>
        </w:tc>
        <w:tc>
          <w:tcPr>
            <w:tcW w:w="665" w:type="dxa"/>
            <w:shd w:val="clear" w:color="auto" w:fill="auto"/>
            <w:vAlign w:val="bottom"/>
          </w:tcPr>
          <w:p w14:paraId="5CD8E5F6" w14:textId="77777777" w:rsidR="00BA49F5" w:rsidRDefault="00BA49F5">
            <w:pPr>
              <w:rPr>
                <w:rFonts w:ascii="宋体"/>
              </w:rPr>
            </w:pPr>
          </w:p>
        </w:tc>
        <w:tc>
          <w:tcPr>
            <w:tcW w:w="20" w:type="dxa"/>
            <w:shd w:val="clear" w:color="auto" w:fill="auto"/>
            <w:vAlign w:val="bottom"/>
          </w:tcPr>
          <w:p w14:paraId="5CD8E5F7" w14:textId="77777777" w:rsidR="00BA49F5" w:rsidRDefault="00BA49F5">
            <w:pPr>
              <w:rPr>
                <w:rFonts w:ascii="宋体"/>
              </w:rPr>
            </w:pPr>
          </w:p>
        </w:tc>
      </w:tr>
      <w:tr w:rsidR="00BA49F5" w14:paraId="5CD8E603" w14:textId="77777777">
        <w:trPr>
          <w:trHeight w:val="300"/>
          <w:jc w:val="center"/>
        </w:trPr>
        <w:tc>
          <w:tcPr>
            <w:tcW w:w="0" w:type="auto"/>
            <w:gridSpan w:val="3"/>
            <w:shd w:val="clear" w:color="auto" w:fill="auto"/>
            <w:tcMar>
              <w:top w:w="40" w:type="dxa"/>
              <w:left w:w="20" w:type="dxa"/>
              <w:bottom w:w="40" w:type="dxa"/>
              <w:right w:w="20" w:type="dxa"/>
            </w:tcMar>
            <w:vAlign w:val="center"/>
          </w:tcPr>
          <w:p w14:paraId="5CD8E5F9" w14:textId="77777777" w:rsidR="00BA49F5" w:rsidRDefault="007E5E49">
            <w:pPr>
              <w:jc w:val="right"/>
              <w:textAlignment w:val="center"/>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vAlign w:val="center"/>
          </w:tcPr>
          <w:p w14:paraId="5CD8E5FA" w14:textId="77777777" w:rsidR="00BA49F5" w:rsidRDefault="007E5E49">
            <w:pPr>
              <w:jc w:val="center"/>
              <w:textAlignment w:val="center"/>
            </w:pPr>
            <w:r>
              <w:rPr>
                <w:rFonts w:ascii="sans-serif" w:eastAsia="宋体" w:hAnsi="sans-serif" w:cs="sans-serif"/>
                <w:color w:val="000000"/>
                <w:sz w:val="16"/>
                <w:szCs w:val="16"/>
              </w:rPr>
              <w:t>$8.62</w:t>
            </w:r>
          </w:p>
        </w:tc>
        <w:tc>
          <w:tcPr>
            <w:tcW w:w="0" w:type="auto"/>
            <w:gridSpan w:val="3"/>
            <w:shd w:val="clear" w:color="auto" w:fill="auto"/>
            <w:tcMar>
              <w:top w:w="40" w:type="dxa"/>
              <w:left w:w="20" w:type="dxa"/>
              <w:bottom w:w="40" w:type="dxa"/>
              <w:right w:w="20" w:type="dxa"/>
            </w:tcMar>
            <w:vAlign w:val="center"/>
          </w:tcPr>
          <w:p w14:paraId="5CD8E5FB" w14:textId="77777777" w:rsidR="00BA49F5" w:rsidRDefault="007E5E49">
            <w:pPr>
              <w:jc w:val="center"/>
              <w:textAlignment w:val="center"/>
            </w:pPr>
            <w:r>
              <w:rPr>
                <w:rFonts w:ascii="sans-serif" w:eastAsia="宋体" w:hAnsi="sans-serif" w:cs="sans-serif"/>
                <w:color w:val="000000"/>
                <w:sz w:val="16"/>
                <w:szCs w:val="16"/>
              </w:rPr>
              <w:t>$7.75</w:t>
            </w:r>
          </w:p>
        </w:tc>
        <w:tc>
          <w:tcPr>
            <w:tcW w:w="0" w:type="auto"/>
            <w:gridSpan w:val="3"/>
            <w:shd w:val="clear" w:color="auto" w:fill="auto"/>
            <w:tcMar>
              <w:top w:w="40" w:type="dxa"/>
              <w:left w:w="20" w:type="dxa"/>
              <w:bottom w:w="40" w:type="dxa"/>
              <w:right w:w="20" w:type="dxa"/>
            </w:tcMar>
            <w:vAlign w:val="center"/>
          </w:tcPr>
          <w:p w14:paraId="5CD8E5FC" w14:textId="77777777" w:rsidR="00BA49F5" w:rsidRDefault="007E5E49">
            <w:pPr>
              <w:jc w:val="center"/>
              <w:textAlignment w:val="center"/>
            </w:pPr>
            <w:r>
              <w:rPr>
                <w:rFonts w:ascii="sans-serif" w:eastAsia="宋体" w:hAnsi="sans-serif" w:cs="sans-serif"/>
                <w:color w:val="000000"/>
                <w:sz w:val="16"/>
                <w:szCs w:val="16"/>
              </w:rPr>
              <w:t>$8.36</w:t>
            </w:r>
          </w:p>
        </w:tc>
        <w:tc>
          <w:tcPr>
            <w:tcW w:w="0" w:type="auto"/>
            <w:gridSpan w:val="3"/>
            <w:shd w:val="clear" w:color="auto" w:fill="auto"/>
            <w:tcMar>
              <w:top w:w="40" w:type="dxa"/>
              <w:left w:w="20" w:type="dxa"/>
              <w:bottom w:w="40" w:type="dxa"/>
              <w:right w:w="20" w:type="dxa"/>
            </w:tcMar>
            <w:vAlign w:val="center"/>
          </w:tcPr>
          <w:p w14:paraId="5CD8E5FD" w14:textId="77777777" w:rsidR="00BA49F5" w:rsidRDefault="007E5E49">
            <w:pPr>
              <w:jc w:val="center"/>
              <w:textAlignment w:val="center"/>
            </w:pPr>
            <w:r>
              <w:rPr>
                <w:rFonts w:ascii="sans-serif" w:eastAsia="宋体" w:hAnsi="sans-serif" w:cs="sans-serif"/>
                <w:color w:val="000000"/>
                <w:sz w:val="16"/>
                <w:szCs w:val="16"/>
              </w:rPr>
              <w:t>$8.18</w:t>
            </w:r>
          </w:p>
        </w:tc>
        <w:tc>
          <w:tcPr>
            <w:tcW w:w="0" w:type="auto"/>
            <w:gridSpan w:val="3"/>
            <w:shd w:val="clear" w:color="auto" w:fill="auto"/>
            <w:tcMar>
              <w:top w:w="40" w:type="dxa"/>
              <w:left w:w="20" w:type="dxa"/>
              <w:bottom w:w="40" w:type="dxa"/>
              <w:right w:w="20" w:type="dxa"/>
            </w:tcMar>
            <w:vAlign w:val="center"/>
          </w:tcPr>
          <w:p w14:paraId="5CD8E5FE" w14:textId="77777777" w:rsidR="00BA49F5" w:rsidRDefault="007E5E49">
            <w:pPr>
              <w:jc w:val="center"/>
              <w:textAlignment w:val="center"/>
            </w:pPr>
            <w:r>
              <w:rPr>
                <w:rFonts w:ascii="sans-serif" w:eastAsia="宋体" w:hAnsi="sans-serif" w:cs="sans-serif"/>
                <w:color w:val="000000"/>
                <w:sz w:val="16"/>
                <w:szCs w:val="16"/>
              </w:rPr>
              <w:t>$9.39</w:t>
            </w:r>
          </w:p>
        </w:tc>
        <w:tc>
          <w:tcPr>
            <w:tcW w:w="0" w:type="auto"/>
            <w:gridSpan w:val="3"/>
            <w:shd w:val="clear" w:color="auto" w:fill="auto"/>
            <w:tcMar>
              <w:top w:w="40" w:type="dxa"/>
              <w:left w:w="20" w:type="dxa"/>
              <w:bottom w:w="40" w:type="dxa"/>
              <w:right w:w="20" w:type="dxa"/>
            </w:tcMar>
            <w:vAlign w:val="center"/>
          </w:tcPr>
          <w:p w14:paraId="5CD8E5FF" w14:textId="77777777" w:rsidR="00BA49F5" w:rsidRDefault="007E5E49">
            <w:pPr>
              <w:jc w:val="center"/>
              <w:textAlignment w:val="center"/>
            </w:pPr>
            <w:r>
              <w:rPr>
                <w:rFonts w:ascii="sans-serif" w:eastAsia="宋体" w:hAnsi="sans-serif" w:cs="sans-serif"/>
                <w:color w:val="000000"/>
                <w:sz w:val="16"/>
                <w:szCs w:val="16"/>
              </w:rPr>
              <w:t>$7.72</w:t>
            </w:r>
          </w:p>
        </w:tc>
        <w:tc>
          <w:tcPr>
            <w:tcW w:w="0" w:type="auto"/>
            <w:gridSpan w:val="3"/>
            <w:shd w:val="clear" w:color="auto" w:fill="auto"/>
            <w:tcMar>
              <w:top w:w="40" w:type="dxa"/>
              <w:left w:w="20" w:type="dxa"/>
              <w:bottom w:w="40" w:type="dxa"/>
              <w:right w:w="20" w:type="dxa"/>
            </w:tcMar>
            <w:vAlign w:val="center"/>
          </w:tcPr>
          <w:p w14:paraId="5CD8E600" w14:textId="77777777" w:rsidR="00BA49F5" w:rsidRDefault="007E5E49">
            <w:pPr>
              <w:jc w:val="center"/>
              <w:textAlignment w:val="center"/>
            </w:pPr>
            <w:r>
              <w:rPr>
                <w:rFonts w:ascii="sans-serif" w:eastAsia="宋体" w:hAnsi="sans-serif" w:cs="sans-serif"/>
                <w:color w:val="000000"/>
                <w:sz w:val="16"/>
                <w:szCs w:val="16"/>
              </w:rPr>
              <w:t>$7.91</w:t>
            </w:r>
          </w:p>
        </w:tc>
        <w:tc>
          <w:tcPr>
            <w:tcW w:w="0" w:type="auto"/>
            <w:gridSpan w:val="3"/>
            <w:shd w:val="clear" w:color="auto" w:fill="auto"/>
            <w:tcMar>
              <w:top w:w="40" w:type="dxa"/>
              <w:left w:w="20" w:type="dxa"/>
              <w:bottom w:w="40" w:type="dxa"/>
              <w:right w:w="20" w:type="dxa"/>
            </w:tcMar>
            <w:vAlign w:val="center"/>
          </w:tcPr>
          <w:p w14:paraId="5CD8E601" w14:textId="77777777" w:rsidR="00BA49F5" w:rsidRDefault="007E5E49">
            <w:pPr>
              <w:jc w:val="center"/>
              <w:textAlignment w:val="center"/>
            </w:pPr>
            <w:r>
              <w:rPr>
                <w:rFonts w:ascii="sans-serif" w:eastAsia="宋体" w:hAnsi="sans-serif" w:cs="sans-serif"/>
                <w:color w:val="000000"/>
                <w:sz w:val="16"/>
                <w:szCs w:val="16"/>
              </w:rPr>
              <w:t>$7.53</w:t>
            </w:r>
          </w:p>
        </w:tc>
        <w:tc>
          <w:tcPr>
            <w:tcW w:w="0" w:type="auto"/>
            <w:gridSpan w:val="3"/>
            <w:shd w:val="clear" w:color="auto" w:fill="auto"/>
            <w:tcMar>
              <w:top w:w="40" w:type="dxa"/>
              <w:left w:w="20" w:type="dxa"/>
              <w:bottom w:w="40" w:type="dxa"/>
              <w:right w:w="20" w:type="dxa"/>
            </w:tcMar>
            <w:vAlign w:val="center"/>
          </w:tcPr>
          <w:p w14:paraId="5CD8E602" w14:textId="77777777" w:rsidR="00BA49F5" w:rsidRDefault="007E5E49">
            <w:pPr>
              <w:jc w:val="center"/>
              <w:textAlignment w:val="center"/>
            </w:pPr>
            <w:r>
              <w:rPr>
                <w:rFonts w:ascii="sans-serif" w:eastAsia="宋体" w:hAnsi="sans-serif" w:cs="sans-serif"/>
                <w:color w:val="000000"/>
                <w:sz w:val="16"/>
                <w:szCs w:val="16"/>
              </w:rPr>
              <w:t>$8.63</w:t>
            </w:r>
          </w:p>
        </w:tc>
      </w:tr>
    </w:tbl>
    <w:p w14:paraId="5CD8E604" w14:textId="77777777" w:rsidR="00BA49F5" w:rsidRDefault="007E5E49">
      <w:pPr>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0F" wp14:editId="5CD90D10">
            <wp:extent cx="304800" cy="304800"/>
            <wp:effectExtent l="0" t="0" r="0" b="0"/>
            <wp:docPr id="52" name="图片 9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8"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605" w14:textId="77777777" w:rsidR="00BA49F5" w:rsidRDefault="00BA49F5">
      <w:pPr>
        <w:ind w:firstLine="540"/>
        <w:jc w:val="center"/>
      </w:pPr>
    </w:p>
    <w:p w14:paraId="5CD8E606" w14:textId="77777777" w:rsidR="00BA49F5" w:rsidRDefault="007E5E49">
      <w:pPr>
        <w:jc w:val="both"/>
      </w:pPr>
      <w:r>
        <w:rPr>
          <w:rFonts w:ascii="Times New Roman" w:eastAsia="宋体" w:hAnsi="Times New Roman"/>
          <w:i/>
          <w:iCs/>
          <w:color w:val="000000"/>
          <w:sz w:val="16"/>
          <w:szCs w:val="16"/>
        </w:rPr>
        <w:t>Note: Non-advertising revenue includes RL revenue generated from the delivery of consumer hardware pr</w:t>
      </w:r>
      <w:r>
        <w:rPr>
          <w:rFonts w:ascii="Times New Roman" w:eastAsia="宋体" w:hAnsi="Times New Roman"/>
          <w:i/>
          <w:iCs/>
          <w:color w:val="000000"/>
          <w:sz w:val="16"/>
          <w:szCs w:val="16"/>
        </w:rPr>
        <w:t>oducts and FoA Other revenue, which consists of net fees we receive from developers using our Payments infrastructure and revenue from various other sources.</w:t>
      </w:r>
    </w:p>
    <w:p w14:paraId="5CD8E607" w14:textId="77777777" w:rsidR="00BA49F5" w:rsidRDefault="00BA49F5">
      <w:pPr>
        <w:ind w:firstLine="540"/>
        <w:jc w:val="both"/>
      </w:pPr>
    </w:p>
    <w:p w14:paraId="5CD8E608" w14:textId="77777777" w:rsidR="00BA49F5" w:rsidRDefault="007E5E49">
      <w:pPr>
        <w:ind w:firstLine="540"/>
        <w:jc w:val="both"/>
      </w:pPr>
      <w:r>
        <w:rPr>
          <w:rFonts w:ascii="Times New Roman" w:eastAsia="宋体" w:hAnsi="Times New Roman"/>
          <w:color w:val="000000"/>
          <w:sz w:val="20"/>
          <w:szCs w:val="20"/>
        </w:rPr>
        <w:t>Our annual worldwide ARPP in 2022, which represents the sum of quarterly ARPP during such period,</w:t>
      </w:r>
      <w:r>
        <w:rPr>
          <w:rFonts w:ascii="Times New Roman" w:eastAsia="宋体" w:hAnsi="Times New Roman"/>
          <w:color w:val="000000"/>
          <w:sz w:val="20"/>
          <w:szCs w:val="20"/>
        </w:rPr>
        <w:t xml:space="preserve"> was $31.79, a decrease of 6% from 2021.</w:t>
      </w:r>
    </w:p>
    <w:p w14:paraId="5CD8E609" w14:textId="77777777" w:rsidR="00BA49F5" w:rsidRDefault="00BA49F5">
      <w:pPr>
        <w:ind w:firstLine="540"/>
        <w:jc w:val="both"/>
      </w:pPr>
    </w:p>
    <w:p w14:paraId="5CD8E60A" w14:textId="77777777" w:rsidR="00BA49F5" w:rsidRDefault="00BA49F5">
      <w:pPr>
        <w:jc w:val="both"/>
      </w:pPr>
    </w:p>
    <w:p w14:paraId="5CD8E60B" w14:textId="77777777" w:rsidR="00BA49F5" w:rsidRDefault="007E5E49">
      <w:pPr>
        <w:jc w:val="center"/>
      </w:pPr>
      <w:r>
        <w:rPr>
          <w:rFonts w:ascii="Times New Roman" w:eastAsia="宋体" w:hAnsi="Times New Roman"/>
          <w:color w:val="000000"/>
          <w:sz w:val="20"/>
          <w:szCs w:val="20"/>
        </w:rPr>
        <w:t>60</w:t>
      </w:r>
    </w:p>
    <w:p w14:paraId="5CD8E60C" w14:textId="77777777" w:rsidR="00BA49F5" w:rsidRDefault="007E5E49">
      <w:r>
        <w:pict w14:anchorId="5CD90D11">
          <v:rect id="_x0000_i1084" style="width:415.3pt;height:1.5pt" o:hralign="center" o:hrstd="t" o:hr="t" fillcolor="#a0a0a0" stroked="f"/>
        </w:pict>
      </w:r>
    </w:p>
    <w:p w14:paraId="5CD8E60D" w14:textId="77777777" w:rsidR="00BA49F5" w:rsidRDefault="00BA49F5"/>
    <w:p w14:paraId="5CD8E60E" w14:textId="77777777" w:rsidR="00BA49F5" w:rsidRDefault="00BA49F5"/>
    <w:p w14:paraId="5CD8E60F" w14:textId="77777777" w:rsidR="00BA49F5" w:rsidRDefault="007E5E49">
      <w:hyperlink r:id="rId200" w:anchor="i6df229dad1864210ab76200083e26819_7" w:history="1">
        <w:r>
          <w:rPr>
            <w:rStyle w:val="a5"/>
            <w:rFonts w:ascii="Times New Roman" w:eastAsia="宋体" w:hAnsi="Times New Roman"/>
            <w:sz w:val="20"/>
            <w:szCs w:val="20"/>
          </w:rPr>
          <w:t>T</w:t>
        </w:r>
      </w:hyperlink>
      <w:hyperlink r:id="rId201" w:anchor="i6df229dad1864210ab76200083e26819_7" w:history="1">
        <w:r>
          <w:rPr>
            <w:rStyle w:val="a5"/>
            <w:rFonts w:ascii="Times New Roman" w:eastAsia="宋体" w:hAnsi="Times New Roman"/>
            <w:sz w:val="20"/>
            <w:szCs w:val="20"/>
          </w:rPr>
          <w:t>able of Contents</w:t>
        </w:r>
      </w:hyperlink>
    </w:p>
    <w:p w14:paraId="5CD8E610" w14:textId="77777777" w:rsidR="00BA49F5" w:rsidRDefault="007E5E49">
      <w:pPr>
        <w:jc w:val="both"/>
      </w:pPr>
      <w:r>
        <w:rPr>
          <w:rFonts w:ascii="Times New Roman" w:eastAsia="宋体" w:hAnsi="Times New Roman"/>
          <w:b/>
          <w:bCs/>
          <w:color w:val="000000"/>
          <w:sz w:val="20"/>
          <w:szCs w:val="20"/>
        </w:rPr>
        <w:t>Trends in Our Facebook User Metrics</w:t>
      </w:r>
    </w:p>
    <w:p w14:paraId="5CD8E611" w14:textId="77777777" w:rsidR="00BA49F5" w:rsidRDefault="00BA49F5">
      <w:pPr>
        <w:ind w:firstLine="540"/>
        <w:jc w:val="both"/>
      </w:pPr>
    </w:p>
    <w:p w14:paraId="5CD8E612" w14:textId="77777777" w:rsidR="00BA49F5" w:rsidRDefault="007E5E49">
      <w:pPr>
        <w:ind w:firstLine="540"/>
        <w:jc w:val="both"/>
      </w:pPr>
      <w:r>
        <w:rPr>
          <w:rFonts w:ascii="Times New Roman" w:eastAsia="宋体" w:hAnsi="Times New Roman"/>
          <w:color w:val="000000"/>
          <w:sz w:val="20"/>
          <w:szCs w:val="20"/>
        </w:rPr>
        <w:t>The numbers for our key Facebook metrics, our DAU</w:t>
      </w:r>
      <w:r>
        <w:rPr>
          <w:rFonts w:ascii="Times New Roman" w:eastAsia="宋体" w:hAnsi="Times New Roman"/>
          <w:color w:val="000000"/>
          <w:sz w:val="20"/>
          <w:szCs w:val="20"/>
        </w:rPr>
        <w:t>s, MAUs, and average revenue per user (ARPU), do not include users on Instagram, WhatsApp, or our other products, unless they would otherwise qualify as DAUs or MAUs, respectively, based on their other activities on Facebook.</w:t>
      </w:r>
    </w:p>
    <w:p w14:paraId="5CD8E613" w14:textId="77777777" w:rsidR="00BA49F5" w:rsidRDefault="00BA49F5">
      <w:pPr>
        <w:ind w:firstLine="540"/>
        <w:jc w:val="both"/>
      </w:pPr>
    </w:p>
    <w:p w14:paraId="5CD8E614" w14:textId="77777777" w:rsidR="00BA49F5" w:rsidRDefault="007E5E49">
      <w:pPr>
        <w:ind w:firstLine="540"/>
        <w:jc w:val="both"/>
      </w:pPr>
      <w:r>
        <w:rPr>
          <w:rFonts w:ascii="Times New Roman" w:eastAsia="宋体" w:hAnsi="Times New Roman"/>
          <w:color w:val="000000"/>
          <w:sz w:val="20"/>
          <w:szCs w:val="20"/>
        </w:rPr>
        <w:t>Trends in the number of users</w:t>
      </w:r>
      <w:r>
        <w:rPr>
          <w:rFonts w:ascii="Times New Roman" w:eastAsia="宋体" w:hAnsi="Times New Roman"/>
          <w:color w:val="000000"/>
          <w:sz w:val="20"/>
          <w:szCs w:val="20"/>
        </w:rPr>
        <w:t xml:space="preserve"> affect our revenue and financial results by influencing the number of ads we are able to show, the value of our ads to marketers, as well as our expenses and capital expenditures. Substantially all of our daily and monthly active users (as defined below) </w:t>
      </w:r>
      <w:r>
        <w:rPr>
          <w:rFonts w:ascii="Times New Roman" w:eastAsia="宋体" w:hAnsi="Times New Roman"/>
          <w:color w:val="000000"/>
          <w:sz w:val="20"/>
          <w:szCs w:val="20"/>
        </w:rPr>
        <w:t xml:space="preserve">access Facebook on mobile devices. </w:t>
      </w:r>
    </w:p>
    <w:p w14:paraId="5CD8E615" w14:textId="77777777" w:rsidR="00BA49F5" w:rsidRDefault="007E5E49">
      <w:pPr>
        <w:spacing w:before="180"/>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xml:space="preserve"> We define a daily active user as a registered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Facebook user who visited Facebook through our website or a mobile device, or used our Messenger application (and is also a register</w:t>
      </w:r>
      <w:r>
        <w:rPr>
          <w:rFonts w:ascii="Times New Roman" w:eastAsia="宋体" w:hAnsi="Times New Roman"/>
          <w:color w:val="000000"/>
          <w:sz w:val="20"/>
          <w:szCs w:val="20"/>
        </w:rPr>
        <w:t>ed Facebook user), on a given day. We view DAUs, and DAUs as a percentage of MAUs, as measures of user engagement on Facebook.</w:t>
      </w:r>
    </w:p>
    <w:p w14:paraId="5CD8E616" w14:textId="77777777" w:rsidR="00BA49F5" w:rsidRDefault="00BA49F5">
      <w:pPr>
        <w:jc w:val="both"/>
      </w:pPr>
    </w:p>
    <w:p w14:paraId="5CD8E617"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Viewer_files/meta-20221231_g7.jpg</w:instrText>
      </w:r>
      <w:r>
        <w:rPr>
          <w:rFonts w:ascii="宋体" w:eastAsia="宋体" w:hAnsi="宋体" w:cs="宋体"/>
        </w:rPr>
        <w:instrText xml:space="preserve">"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2" wp14:editId="5CD90D13">
            <wp:extent cx="304800" cy="304800"/>
            <wp:effectExtent l="0" t="0" r="0" b="0"/>
            <wp:docPr id="28" name="图片 10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0"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95" w:type="dxa"/>
        <w:jc w:val="center"/>
        <w:tblCellMar>
          <w:top w:w="15" w:type="dxa"/>
          <w:left w:w="15" w:type="dxa"/>
          <w:bottom w:w="15" w:type="dxa"/>
          <w:right w:w="15" w:type="dxa"/>
        </w:tblCellMar>
        <w:tblLook w:val="04A0" w:firstRow="1" w:lastRow="0" w:firstColumn="1" w:lastColumn="0" w:noHBand="0" w:noVBand="1"/>
      </w:tblPr>
      <w:tblGrid>
        <w:gridCol w:w="37"/>
        <w:gridCol w:w="767"/>
        <w:gridCol w:w="36"/>
        <w:gridCol w:w="36"/>
        <w:gridCol w:w="418"/>
        <w:gridCol w:w="36"/>
        <w:gridCol w:w="36"/>
        <w:gridCol w:w="418"/>
        <w:gridCol w:w="36"/>
        <w:gridCol w:w="36"/>
        <w:gridCol w:w="418"/>
        <w:gridCol w:w="36"/>
        <w:gridCol w:w="36"/>
        <w:gridCol w:w="418"/>
        <w:gridCol w:w="36"/>
        <w:gridCol w:w="36"/>
        <w:gridCol w:w="367"/>
        <w:gridCol w:w="36"/>
        <w:gridCol w:w="36"/>
        <w:gridCol w:w="367"/>
        <w:gridCol w:w="36"/>
        <w:gridCol w:w="36"/>
        <w:gridCol w:w="367"/>
        <w:gridCol w:w="36"/>
        <w:gridCol w:w="36"/>
        <w:gridCol w:w="367"/>
        <w:gridCol w:w="36"/>
        <w:gridCol w:w="36"/>
        <w:gridCol w:w="367"/>
        <w:gridCol w:w="36"/>
      </w:tblGrid>
      <w:tr w:rsidR="00BA49F5" w14:paraId="5CD8E636" w14:textId="77777777">
        <w:trPr>
          <w:jc w:val="center"/>
        </w:trPr>
        <w:tc>
          <w:tcPr>
            <w:tcW w:w="20" w:type="dxa"/>
            <w:shd w:val="clear" w:color="auto" w:fill="auto"/>
            <w:vAlign w:val="bottom"/>
          </w:tcPr>
          <w:p w14:paraId="5CD8E618" w14:textId="77777777" w:rsidR="00BA49F5" w:rsidRDefault="00BA49F5">
            <w:pPr>
              <w:rPr>
                <w:rFonts w:ascii="宋体"/>
              </w:rPr>
            </w:pPr>
          </w:p>
        </w:tc>
        <w:tc>
          <w:tcPr>
            <w:tcW w:w="800" w:type="dxa"/>
            <w:shd w:val="clear" w:color="auto" w:fill="auto"/>
            <w:vAlign w:val="bottom"/>
          </w:tcPr>
          <w:p w14:paraId="5CD8E619" w14:textId="77777777" w:rsidR="00BA49F5" w:rsidRDefault="00BA49F5">
            <w:pPr>
              <w:rPr>
                <w:rFonts w:ascii="宋体"/>
              </w:rPr>
            </w:pPr>
          </w:p>
        </w:tc>
        <w:tc>
          <w:tcPr>
            <w:tcW w:w="20" w:type="dxa"/>
            <w:shd w:val="clear" w:color="auto" w:fill="auto"/>
            <w:vAlign w:val="bottom"/>
          </w:tcPr>
          <w:p w14:paraId="5CD8E61A" w14:textId="77777777" w:rsidR="00BA49F5" w:rsidRDefault="00BA49F5">
            <w:pPr>
              <w:rPr>
                <w:rFonts w:ascii="宋体"/>
              </w:rPr>
            </w:pPr>
          </w:p>
        </w:tc>
        <w:tc>
          <w:tcPr>
            <w:tcW w:w="20" w:type="dxa"/>
            <w:shd w:val="clear" w:color="auto" w:fill="auto"/>
            <w:vAlign w:val="bottom"/>
          </w:tcPr>
          <w:p w14:paraId="5CD8E61B" w14:textId="77777777" w:rsidR="00BA49F5" w:rsidRDefault="00BA49F5">
            <w:pPr>
              <w:rPr>
                <w:rFonts w:ascii="宋体"/>
              </w:rPr>
            </w:pPr>
          </w:p>
        </w:tc>
        <w:tc>
          <w:tcPr>
            <w:tcW w:w="455" w:type="dxa"/>
            <w:shd w:val="clear" w:color="auto" w:fill="auto"/>
            <w:vAlign w:val="bottom"/>
          </w:tcPr>
          <w:p w14:paraId="5CD8E61C" w14:textId="77777777" w:rsidR="00BA49F5" w:rsidRDefault="00BA49F5">
            <w:pPr>
              <w:rPr>
                <w:rFonts w:ascii="宋体"/>
              </w:rPr>
            </w:pPr>
          </w:p>
        </w:tc>
        <w:tc>
          <w:tcPr>
            <w:tcW w:w="20" w:type="dxa"/>
            <w:shd w:val="clear" w:color="auto" w:fill="auto"/>
            <w:vAlign w:val="bottom"/>
          </w:tcPr>
          <w:p w14:paraId="5CD8E61D" w14:textId="77777777" w:rsidR="00BA49F5" w:rsidRDefault="00BA49F5">
            <w:pPr>
              <w:rPr>
                <w:rFonts w:ascii="宋体"/>
              </w:rPr>
            </w:pPr>
          </w:p>
        </w:tc>
        <w:tc>
          <w:tcPr>
            <w:tcW w:w="20" w:type="dxa"/>
            <w:shd w:val="clear" w:color="auto" w:fill="auto"/>
            <w:vAlign w:val="bottom"/>
          </w:tcPr>
          <w:p w14:paraId="5CD8E61E" w14:textId="77777777" w:rsidR="00BA49F5" w:rsidRDefault="00BA49F5">
            <w:pPr>
              <w:rPr>
                <w:rFonts w:ascii="宋体"/>
              </w:rPr>
            </w:pPr>
          </w:p>
        </w:tc>
        <w:tc>
          <w:tcPr>
            <w:tcW w:w="455" w:type="dxa"/>
            <w:shd w:val="clear" w:color="auto" w:fill="auto"/>
            <w:vAlign w:val="bottom"/>
          </w:tcPr>
          <w:p w14:paraId="5CD8E61F" w14:textId="77777777" w:rsidR="00BA49F5" w:rsidRDefault="00BA49F5">
            <w:pPr>
              <w:rPr>
                <w:rFonts w:ascii="宋体"/>
              </w:rPr>
            </w:pPr>
          </w:p>
        </w:tc>
        <w:tc>
          <w:tcPr>
            <w:tcW w:w="20" w:type="dxa"/>
            <w:shd w:val="clear" w:color="auto" w:fill="auto"/>
            <w:vAlign w:val="bottom"/>
          </w:tcPr>
          <w:p w14:paraId="5CD8E620" w14:textId="77777777" w:rsidR="00BA49F5" w:rsidRDefault="00BA49F5">
            <w:pPr>
              <w:rPr>
                <w:rFonts w:ascii="宋体"/>
              </w:rPr>
            </w:pPr>
          </w:p>
        </w:tc>
        <w:tc>
          <w:tcPr>
            <w:tcW w:w="20" w:type="dxa"/>
            <w:shd w:val="clear" w:color="auto" w:fill="auto"/>
            <w:vAlign w:val="bottom"/>
          </w:tcPr>
          <w:p w14:paraId="5CD8E621" w14:textId="77777777" w:rsidR="00BA49F5" w:rsidRDefault="00BA49F5">
            <w:pPr>
              <w:rPr>
                <w:rFonts w:ascii="宋体"/>
              </w:rPr>
            </w:pPr>
          </w:p>
        </w:tc>
        <w:tc>
          <w:tcPr>
            <w:tcW w:w="455" w:type="dxa"/>
            <w:shd w:val="clear" w:color="auto" w:fill="auto"/>
            <w:vAlign w:val="bottom"/>
          </w:tcPr>
          <w:p w14:paraId="5CD8E622" w14:textId="77777777" w:rsidR="00BA49F5" w:rsidRDefault="00BA49F5">
            <w:pPr>
              <w:rPr>
                <w:rFonts w:ascii="宋体"/>
              </w:rPr>
            </w:pPr>
          </w:p>
        </w:tc>
        <w:tc>
          <w:tcPr>
            <w:tcW w:w="20" w:type="dxa"/>
            <w:shd w:val="clear" w:color="auto" w:fill="auto"/>
            <w:vAlign w:val="bottom"/>
          </w:tcPr>
          <w:p w14:paraId="5CD8E623" w14:textId="77777777" w:rsidR="00BA49F5" w:rsidRDefault="00BA49F5">
            <w:pPr>
              <w:rPr>
                <w:rFonts w:ascii="宋体"/>
              </w:rPr>
            </w:pPr>
          </w:p>
        </w:tc>
        <w:tc>
          <w:tcPr>
            <w:tcW w:w="20" w:type="dxa"/>
            <w:shd w:val="clear" w:color="auto" w:fill="auto"/>
            <w:vAlign w:val="bottom"/>
          </w:tcPr>
          <w:p w14:paraId="5CD8E624" w14:textId="77777777" w:rsidR="00BA49F5" w:rsidRDefault="00BA49F5">
            <w:pPr>
              <w:rPr>
                <w:rFonts w:ascii="宋体"/>
              </w:rPr>
            </w:pPr>
          </w:p>
        </w:tc>
        <w:tc>
          <w:tcPr>
            <w:tcW w:w="455" w:type="dxa"/>
            <w:shd w:val="clear" w:color="auto" w:fill="auto"/>
            <w:vAlign w:val="bottom"/>
          </w:tcPr>
          <w:p w14:paraId="5CD8E625" w14:textId="77777777" w:rsidR="00BA49F5" w:rsidRDefault="00BA49F5">
            <w:pPr>
              <w:rPr>
                <w:rFonts w:ascii="宋体"/>
              </w:rPr>
            </w:pPr>
          </w:p>
        </w:tc>
        <w:tc>
          <w:tcPr>
            <w:tcW w:w="20" w:type="dxa"/>
            <w:shd w:val="clear" w:color="auto" w:fill="auto"/>
            <w:vAlign w:val="bottom"/>
          </w:tcPr>
          <w:p w14:paraId="5CD8E626" w14:textId="77777777" w:rsidR="00BA49F5" w:rsidRDefault="00BA49F5">
            <w:pPr>
              <w:rPr>
                <w:rFonts w:ascii="宋体"/>
              </w:rPr>
            </w:pPr>
          </w:p>
        </w:tc>
        <w:tc>
          <w:tcPr>
            <w:tcW w:w="20" w:type="dxa"/>
            <w:shd w:val="clear" w:color="auto" w:fill="auto"/>
            <w:vAlign w:val="bottom"/>
          </w:tcPr>
          <w:p w14:paraId="5CD8E627" w14:textId="77777777" w:rsidR="00BA49F5" w:rsidRDefault="00BA49F5">
            <w:pPr>
              <w:rPr>
                <w:rFonts w:ascii="宋体"/>
              </w:rPr>
            </w:pPr>
          </w:p>
        </w:tc>
        <w:tc>
          <w:tcPr>
            <w:tcW w:w="395" w:type="dxa"/>
            <w:shd w:val="clear" w:color="auto" w:fill="auto"/>
            <w:vAlign w:val="bottom"/>
          </w:tcPr>
          <w:p w14:paraId="5CD8E628" w14:textId="77777777" w:rsidR="00BA49F5" w:rsidRDefault="00BA49F5">
            <w:pPr>
              <w:rPr>
                <w:rFonts w:ascii="宋体"/>
              </w:rPr>
            </w:pPr>
          </w:p>
        </w:tc>
        <w:tc>
          <w:tcPr>
            <w:tcW w:w="20" w:type="dxa"/>
            <w:shd w:val="clear" w:color="auto" w:fill="auto"/>
            <w:vAlign w:val="bottom"/>
          </w:tcPr>
          <w:p w14:paraId="5CD8E629" w14:textId="77777777" w:rsidR="00BA49F5" w:rsidRDefault="00BA49F5">
            <w:pPr>
              <w:rPr>
                <w:rFonts w:ascii="宋体"/>
              </w:rPr>
            </w:pPr>
          </w:p>
        </w:tc>
        <w:tc>
          <w:tcPr>
            <w:tcW w:w="20" w:type="dxa"/>
            <w:shd w:val="clear" w:color="auto" w:fill="auto"/>
            <w:vAlign w:val="bottom"/>
          </w:tcPr>
          <w:p w14:paraId="5CD8E62A" w14:textId="77777777" w:rsidR="00BA49F5" w:rsidRDefault="00BA49F5">
            <w:pPr>
              <w:rPr>
                <w:rFonts w:ascii="宋体"/>
              </w:rPr>
            </w:pPr>
          </w:p>
        </w:tc>
        <w:tc>
          <w:tcPr>
            <w:tcW w:w="395" w:type="dxa"/>
            <w:shd w:val="clear" w:color="auto" w:fill="auto"/>
            <w:vAlign w:val="bottom"/>
          </w:tcPr>
          <w:p w14:paraId="5CD8E62B" w14:textId="77777777" w:rsidR="00BA49F5" w:rsidRDefault="00BA49F5">
            <w:pPr>
              <w:rPr>
                <w:rFonts w:ascii="宋体"/>
              </w:rPr>
            </w:pPr>
          </w:p>
        </w:tc>
        <w:tc>
          <w:tcPr>
            <w:tcW w:w="20" w:type="dxa"/>
            <w:shd w:val="clear" w:color="auto" w:fill="auto"/>
            <w:vAlign w:val="bottom"/>
          </w:tcPr>
          <w:p w14:paraId="5CD8E62C" w14:textId="77777777" w:rsidR="00BA49F5" w:rsidRDefault="00BA49F5">
            <w:pPr>
              <w:rPr>
                <w:rFonts w:ascii="宋体"/>
              </w:rPr>
            </w:pPr>
          </w:p>
        </w:tc>
        <w:tc>
          <w:tcPr>
            <w:tcW w:w="20" w:type="dxa"/>
            <w:shd w:val="clear" w:color="auto" w:fill="auto"/>
            <w:vAlign w:val="bottom"/>
          </w:tcPr>
          <w:p w14:paraId="5CD8E62D" w14:textId="77777777" w:rsidR="00BA49F5" w:rsidRDefault="00BA49F5">
            <w:pPr>
              <w:rPr>
                <w:rFonts w:ascii="宋体"/>
              </w:rPr>
            </w:pPr>
          </w:p>
        </w:tc>
        <w:tc>
          <w:tcPr>
            <w:tcW w:w="395" w:type="dxa"/>
            <w:shd w:val="clear" w:color="auto" w:fill="auto"/>
            <w:vAlign w:val="bottom"/>
          </w:tcPr>
          <w:p w14:paraId="5CD8E62E" w14:textId="77777777" w:rsidR="00BA49F5" w:rsidRDefault="00BA49F5">
            <w:pPr>
              <w:rPr>
                <w:rFonts w:ascii="宋体"/>
              </w:rPr>
            </w:pPr>
          </w:p>
        </w:tc>
        <w:tc>
          <w:tcPr>
            <w:tcW w:w="20" w:type="dxa"/>
            <w:shd w:val="clear" w:color="auto" w:fill="auto"/>
            <w:vAlign w:val="bottom"/>
          </w:tcPr>
          <w:p w14:paraId="5CD8E62F" w14:textId="77777777" w:rsidR="00BA49F5" w:rsidRDefault="00BA49F5">
            <w:pPr>
              <w:rPr>
                <w:rFonts w:ascii="宋体"/>
              </w:rPr>
            </w:pPr>
          </w:p>
        </w:tc>
        <w:tc>
          <w:tcPr>
            <w:tcW w:w="20" w:type="dxa"/>
            <w:shd w:val="clear" w:color="auto" w:fill="auto"/>
            <w:vAlign w:val="bottom"/>
          </w:tcPr>
          <w:p w14:paraId="5CD8E630" w14:textId="77777777" w:rsidR="00BA49F5" w:rsidRDefault="00BA49F5">
            <w:pPr>
              <w:rPr>
                <w:rFonts w:ascii="宋体"/>
              </w:rPr>
            </w:pPr>
          </w:p>
        </w:tc>
        <w:tc>
          <w:tcPr>
            <w:tcW w:w="395" w:type="dxa"/>
            <w:shd w:val="clear" w:color="auto" w:fill="auto"/>
            <w:vAlign w:val="bottom"/>
          </w:tcPr>
          <w:p w14:paraId="5CD8E631" w14:textId="77777777" w:rsidR="00BA49F5" w:rsidRDefault="00BA49F5">
            <w:pPr>
              <w:rPr>
                <w:rFonts w:ascii="宋体"/>
              </w:rPr>
            </w:pPr>
          </w:p>
        </w:tc>
        <w:tc>
          <w:tcPr>
            <w:tcW w:w="20" w:type="dxa"/>
            <w:shd w:val="clear" w:color="auto" w:fill="auto"/>
            <w:vAlign w:val="bottom"/>
          </w:tcPr>
          <w:p w14:paraId="5CD8E632" w14:textId="77777777" w:rsidR="00BA49F5" w:rsidRDefault="00BA49F5">
            <w:pPr>
              <w:rPr>
                <w:rFonts w:ascii="宋体"/>
              </w:rPr>
            </w:pPr>
          </w:p>
        </w:tc>
        <w:tc>
          <w:tcPr>
            <w:tcW w:w="20" w:type="dxa"/>
            <w:shd w:val="clear" w:color="auto" w:fill="auto"/>
            <w:vAlign w:val="bottom"/>
          </w:tcPr>
          <w:p w14:paraId="5CD8E633" w14:textId="77777777" w:rsidR="00BA49F5" w:rsidRDefault="00BA49F5">
            <w:pPr>
              <w:rPr>
                <w:rFonts w:ascii="宋体"/>
              </w:rPr>
            </w:pPr>
          </w:p>
        </w:tc>
        <w:tc>
          <w:tcPr>
            <w:tcW w:w="395" w:type="dxa"/>
            <w:shd w:val="clear" w:color="auto" w:fill="auto"/>
            <w:vAlign w:val="bottom"/>
          </w:tcPr>
          <w:p w14:paraId="5CD8E634" w14:textId="77777777" w:rsidR="00BA49F5" w:rsidRDefault="00BA49F5">
            <w:pPr>
              <w:rPr>
                <w:rFonts w:ascii="宋体"/>
              </w:rPr>
            </w:pPr>
          </w:p>
        </w:tc>
        <w:tc>
          <w:tcPr>
            <w:tcW w:w="20" w:type="dxa"/>
            <w:shd w:val="clear" w:color="auto" w:fill="auto"/>
            <w:vAlign w:val="bottom"/>
          </w:tcPr>
          <w:p w14:paraId="5CD8E635" w14:textId="77777777" w:rsidR="00BA49F5" w:rsidRDefault="00BA49F5">
            <w:pPr>
              <w:rPr>
                <w:rFonts w:ascii="宋体"/>
              </w:rPr>
            </w:pPr>
          </w:p>
        </w:tc>
      </w:tr>
      <w:tr w:rsidR="00BA49F5" w14:paraId="5CD8E641" w14:textId="77777777">
        <w:trPr>
          <w:trHeight w:val="220"/>
          <w:jc w:val="center"/>
        </w:trPr>
        <w:tc>
          <w:tcPr>
            <w:tcW w:w="0" w:type="auto"/>
            <w:gridSpan w:val="3"/>
            <w:shd w:val="clear" w:color="auto" w:fill="auto"/>
            <w:tcMar>
              <w:top w:w="40" w:type="dxa"/>
              <w:left w:w="20" w:type="dxa"/>
              <w:bottom w:w="40" w:type="dxa"/>
              <w:right w:w="20" w:type="dxa"/>
            </w:tcMar>
          </w:tcPr>
          <w:p w14:paraId="5CD8E637" w14:textId="77777777" w:rsidR="00BA49F5" w:rsidRDefault="007E5E49">
            <w:pPr>
              <w:jc w:val="right"/>
              <w:textAlignment w:val="top"/>
            </w:pPr>
            <w:r>
              <w:rPr>
                <w:rFonts w:ascii="sans-serif" w:eastAsia="宋体" w:hAnsi="sans-serif" w:cs="sans-serif"/>
                <w:color w:val="000000"/>
                <w:sz w:val="13"/>
                <w:szCs w:val="13"/>
              </w:rPr>
              <w:t>DAU/MAU:</w:t>
            </w:r>
          </w:p>
        </w:tc>
        <w:tc>
          <w:tcPr>
            <w:tcW w:w="0" w:type="auto"/>
            <w:gridSpan w:val="3"/>
            <w:shd w:val="clear" w:color="auto" w:fill="auto"/>
            <w:tcMar>
              <w:top w:w="40" w:type="dxa"/>
              <w:left w:w="20" w:type="dxa"/>
              <w:bottom w:w="40" w:type="dxa"/>
              <w:right w:w="20" w:type="dxa"/>
            </w:tcMar>
          </w:tcPr>
          <w:p w14:paraId="5CD8E638"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39"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3A"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3B"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3C"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3D" w14:textId="77777777" w:rsidR="00BA49F5" w:rsidRDefault="007E5E49">
            <w:pPr>
              <w:textAlignment w:val="top"/>
            </w:pPr>
            <w:r>
              <w:rPr>
                <w:rFonts w:ascii="sans-serif" w:eastAsia="宋体" w:hAnsi="sans-serif" w:cs="sans-serif"/>
                <w:color w:val="000000"/>
                <w:sz w:val="13"/>
                <w:szCs w:val="13"/>
              </w:rPr>
              <w:t>67%</w:t>
            </w:r>
          </w:p>
        </w:tc>
        <w:tc>
          <w:tcPr>
            <w:tcW w:w="0" w:type="auto"/>
            <w:gridSpan w:val="3"/>
            <w:shd w:val="clear" w:color="auto" w:fill="auto"/>
            <w:tcMar>
              <w:top w:w="40" w:type="dxa"/>
              <w:left w:w="20" w:type="dxa"/>
              <w:bottom w:w="40" w:type="dxa"/>
              <w:right w:w="20" w:type="dxa"/>
            </w:tcMar>
          </w:tcPr>
          <w:p w14:paraId="5CD8E63E" w14:textId="77777777" w:rsidR="00BA49F5" w:rsidRDefault="007E5E49">
            <w:pPr>
              <w:textAlignment w:val="top"/>
            </w:pPr>
            <w:r>
              <w:rPr>
                <w:rFonts w:ascii="sans-serif" w:eastAsia="宋体" w:hAnsi="sans-serif" w:cs="sans-serif"/>
                <w:color w:val="000000"/>
                <w:sz w:val="13"/>
                <w:szCs w:val="13"/>
              </w:rPr>
              <w:t>67%</w:t>
            </w:r>
          </w:p>
        </w:tc>
        <w:tc>
          <w:tcPr>
            <w:tcW w:w="0" w:type="auto"/>
            <w:gridSpan w:val="3"/>
            <w:shd w:val="clear" w:color="auto" w:fill="auto"/>
            <w:tcMar>
              <w:top w:w="40" w:type="dxa"/>
              <w:left w:w="20" w:type="dxa"/>
              <w:bottom w:w="40" w:type="dxa"/>
              <w:right w:w="20" w:type="dxa"/>
            </w:tcMar>
          </w:tcPr>
          <w:p w14:paraId="5CD8E63F" w14:textId="77777777" w:rsidR="00BA49F5" w:rsidRDefault="007E5E49">
            <w:pPr>
              <w:textAlignment w:val="top"/>
            </w:pPr>
            <w:r>
              <w:rPr>
                <w:rFonts w:ascii="sans-serif" w:eastAsia="宋体" w:hAnsi="sans-serif" w:cs="sans-serif"/>
                <w:color w:val="000000"/>
                <w:sz w:val="13"/>
                <w:szCs w:val="13"/>
              </w:rPr>
              <w:t>67%</w:t>
            </w:r>
          </w:p>
        </w:tc>
        <w:tc>
          <w:tcPr>
            <w:tcW w:w="0" w:type="auto"/>
            <w:gridSpan w:val="3"/>
            <w:shd w:val="clear" w:color="auto" w:fill="auto"/>
            <w:tcMar>
              <w:top w:w="40" w:type="dxa"/>
              <w:left w:w="20" w:type="dxa"/>
              <w:bottom w:w="40" w:type="dxa"/>
              <w:right w:w="20" w:type="dxa"/>
            </w:tcMar>
          </w:tcPr>
          <w:p w14:paraId="5CD8E640" w14:textId="77777777" w:rsidR="00BA49F5" w:rsidRDefault="007E5E49">
            <w:pPr>
              <w:textAlignment w:val="top"/>
            </w:pPr>
            <w:r>
              <w:rPr>
                <w:rFonts w:ascii="sans-serif" w:eastAsia="宋体" w:hAnsi="sans-serif" w:cs="sans-serif"/>
                <w:color w:val="000000"/>
                <w:sz w:val="13"/>
                <w:szCs w:val="13"/>
              </w:rPr>
              <w:t>67%</w:t>
            </w:r>
          </w:p>
        </w:tc>
      </w:tr>
    </w:tbl>
    <w:p w14:paraId="5CD8E642"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4" wp14:editId="5CD90D15">
            <wp:extent cx="304800" cy="304800"/>
            <wp:effectExtent l="0" t="0" r="0" b="0"/>
            <wp:docPr id="31" name="图片 10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1"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Viewer_f</w:instrText>
      </w:r>
      <w:r>
        <w:rPr>
          <w:rFonts w:ascii="宋体" w:eastAsia="宋体" w:hAnsi="宋体" w:cs="宋体"/>
        </w:rPr>
        <w:instrText xml:space="preserve">iles/meta-20221231_g9.jpg"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6" wp14:editId="5CD90D17">
            <wp:extent cx="304800" cy="304800"/>
            <wp:effectExtent l="0" t="0" r="0" b="0"/>
            <wp:docPr id="50" name="图片 10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2"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150" w:type="dxa"/>
        <w:jc w:val="center"/>
        <w:tblCellMar>
          <w:top w:w="15" w:type="dxa"/>
          <w:left w:w="15" w:type="dxa"/>
          <w:bottom w:w="15" w:type="dxa"/>
          <w:right w:w="15" w:type="dxa"/>
        </w:tblCellMar>
        <w:tblLook w:val="04A0" w:firstRow="1" w:lastRow="0" w:firstColumn="1" w:lastColumn="0" w:noHBand="0" w:noVBand="1"/>
      </w:tblPr>
      <w:tblGrid>
        <w:gridCol w:w="37"/>
        <w:gridCol w:w="723"/>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722"/>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gridCol w:w="36"/>
        <w:gridCol w:w="348"/>
        <w:gridCol w:w="36"/>
      </w:tblGrid>
      <w:tr w:rsidR="00BA49F5" w14:paraId="5CD8E67F" w14:textId="77777777">
        <w:trPr>
          <w:jc w:val="center"/>
        </w:trPr>
        <w:tc>
          <w:tcPr>
            <w:tcW w:w="20" w:type="dxa"/>
            <w:shd w:val="clear" w:color="auto" w:fill="auto"/>
            <w:vAlign w:val="bottom"/>
          </w:tcPr>
          <w:p w14:paraId="5CD8E643" w14:textId="77777777" w:rsidR="00BA49F5" w:rsidRDefault="00BA49F5">
            <w:pPr>
              <w:rPr>
                <w:rFonts w:ascii="宋体"/>
              </w:rPr>
            </w:pPr>
          </w:p>
        </w:tc>
        <w:tc>
          <w:tcPr>
            <w:tcW w:w="755" w:type="dxa"/>
            <w:shd w:val="clear" w:color="auto" w:fill="auto"/>
            <w:vAlign w:val="bottom"/>
          </w:tcPr>
          <w:p w14:paraId="5CD8E644" w14:textId="77777777" w:rsidR="00BA49F5" w:rsidRDefault="00BA49F5">
            <w:pPr>
              <w:rPr>
                <w:rFonts w:ascii="宋体"/>
              </w:rPr>
            </w:pPr>
          </w:p>
        </w:tc>
        <w:tc>
          <w:tcPr>
            <w:tcW w:w="20" w:type="dxa"/>
            <w:shd w:val="clear" w:color="auto" w:fill="auto"/>
            <w:vAlign w:val="bottom"/>
          </w:tcPr>
          <w:p w14:paraId="5CD8E645" w14:textId="77777777" w:rsidR="00BA49F5" w:rsidRDefault="00BA49F5">
            <w:pPr>
              <w:rPr>
                <w:rFonts w:ascii="宋体"/>
              </w:rPr>
            </w:pPr>
          </w:p>
        </w:tc>
        <w:tc>
          <w:tcPr>
            <w:tcW w:w="20" w:type="dxa"/>
            <w:shd w:val="clear" w:color="auto" w:fill="auto"/>
            <w:vAlign w:val="bottom"/>
          </w:tcPr>
          <w:p w14:paraId="5CD8E646" w14:textId="77777777" w:rsidR="00BA49F5" w:rsidRDefault="00BA49F5">
            <w:pPr>
              <w:rPr>
                <w:rFonts w:ascii="宋体"/>
              </w:rPr>
            </w:pPr>
          </w:p>
        </w:tc>
        <w:tc>
          <w:tcPr>
            <w:tcW w:w="380" w:type="dxa"/>
            <w:shd w:val="clear" w:color="auto" w:fill="auto"/>
            <w:vAlign w:val="bottom"/>
          </w:tcPr>
          <w:p w14:paraId="5CD8E647" w14:textId="77777777" w:rsidR="00BA49F5" w:rsidRDefault="00BA49F5">
            <w:pPr>
              <w:rPr>
                <w:rFonts w:ascii="宋体"/>
              </w:rPr>
            </w:pPr>
          </w:p>
        </w:tc>
        <w:tc>
          <w:tcPr>
            <w:tcW w:w="20" w:type="dxa"/>
            <w:shd w:val="clear" w:color="auto" w:fill="auto"/>
            <w:vAlign w:val="bottom"/>
          </w:tcPr>
          <w:p w14:paraId="5CD8E648" w14:textId="77777777" w:rsidR="00BA49F5" w:rsidRDefault="00BA49F5">
            <w:pPr>
              <w:rPr>
                <w:rFonts w:ascii="宋体"/>
              </w:rPr>
            </w:pPr>
          </w:p>
        </w:tc>
        <w:tc>
          <w:tcPr>
            <w:tcW w:w="20" w:type="dxa"/>
            <w:shd w:val="clear" w:color="auto" w:fill="auto"/>
            <w:vAlign w:val="bottom"/>
          </w:tcPr>
          <w:p w14:paraId="5CD8E649" w14:textId="77777777" w:rsidR="00BA49F5" w:rsidRDefault="00BA49F5">
            <w:pPr>
              <w:rPr>
                <w:rFonts w:ascii="宋体"/>
              </w:rPr>
            </w:pPr>
          </w:p>
        </w:tc>
        <w:tc>
          <w:tcPr>
            <w:tcW w:w="380" w:type="dxa"/>
            <w:shd w:val="clear" w:color="auto" w:fill="auto"/>
            <w:vAlign w:val="bottom"/>
          </w:tcPr>
          <w:p w14:paraId="5CD8E64A" w14:textId="77777777" w:rsidR="00BA49F5" w:rsidRDefault="00BA49F5">
            <w:pPr>
              <w:rPr>
                <w:rFonts w:ascii="宋体"/>
              </w:rPr>
            </w:pPr>
          </w:p>
        </w:tc>
        <w:tc>
          <w:tcPr>
            <w:tcW w:w="20" w:type="dxa"/>
            <w:shd w:val="clear" w:color="auto" w:fill="auto"/>
            <w:vAlign w:val="bottom"/>
          </w:tcPr>
          <w:p w14:paraId="5CD8E64B" w14:textId="77777777" w:rsidR="00BA49F5" w:rsidRDefault="00BA49F5">
            <w:pPr>
              <w:rPr>
                <w:rFonts w:ascii="宋体"/>
              </w:rPr>
            </w:pPr>
          </w:p>
        </w:tc>
        <w:tc>
          <w:tcPr>
            <w:tcW w:w="20" w:type="dxa"/>
            <w:shd w:val="clear" w:color="auto" w:fill="auto"/>
            <w:vAlign w:val="bottom"/>
          </w:tcPr>
          <w:p w14:paraId="5CD8E64C" w14:textId="77777777" w:rsidR="00BA49F5" w:rsidRDefault="00BA49F5">
            <w:pPr>
              <w:rPr>
                <w:rFonts w:ascii="宋体"/>
              </w:rPr>
            </w:pPr>
          </w:p>
        </w:tc>
        <w:tc>
          <w:tcPr>
            <w:tcW w:w="380" w:type="dxa"/>
            <w:shd w:val="clear" w:color="auto" w:fill="auto"/>
            <w:vAlign w:val="bottom"/>
          </w:tcPr>
          <w:p w14:paraId="5CD8E64D" w14:textId="77777777" w:rsidR="00BA49F5" w:rsidRDefault="00BA49F5">
            <w:pPr>
              <w:rPr>
                <w:rFonts w:ascii="宋体"/>
              </w:rPr>
            </w:pPr>
          </w:p>
        </w:tc>
        <w:tc>
          <w:tcPr>
            <w:tcW w:w="20" w:type="dxa"/>
            <w:shd w:val="clear" w:color="auto" w:fill="auto"/>
            <w:vAlign w:val="bottom"/>
          </w:tcPr>
          <w:p w14:paraId="5CD8E64E" w14:textId="77777777" w:rsidR="00BA49F5" w:rsidRDefault="00BA49F5">
            <w:pPr>
              <w:rPr>
                <w:rFonts w:ascii="宋体"/>
              </w:rPr>
            </w:pPr>
          </w:p>
        </w:tc>
        <w:tc>
          <w:tcPr>
            <w:tcW w:w="20" w:type="dxa"/>
            <w:shd w:val="clear" w:color="auto" w:fill="auto"/>
            <w:vAlign w:val="bottom"/>
          </w:tcPr>
          <w:p w14:paraId="5CD8E64F" w14:textId="77777777" w:rsidR="00BA49F5" w:rsidRDefault="00BA49F5">
            <w:pPr>
              <w:rPr>
                <w:rFonts w:ascii="宋体"/>
              </w:rPr>
            </w:pPr>
          </w:p>
        </w:tc>
        <w:tc>
          <w:tcPr>
            <w:tcW w:w="380" w:type="dxa"/>
            <w:shd w:val="clear" w:color="auto" w:fill="auto"/>
            <w:vAlign w:val="bottom"/>
          </w:tcPr>
          <w:p w14:paraId="5CD8E650" w14:textId="77777777" w:rsidR="00BA49F5" w:rsidRDefault="00BA49F5">
            <w:pPr>
              <w:rPr>
                <w:rFonts w:ascii="宋体"/>
              </w:rPr>
            </w:pPr>
          </w:p>
        </w:tc>
        <w:tc>
          <w:tcPr>
            <w:tcW w:w="20" w:type="dxa"/>
            <w:shd w:val="clear" w:color="auto" w:fill="auto"/>
            <w:vAlign w:val="bottom"/>
          </w:tcPr>
          <w:p w14:paraId="5CD8E651" w14:textId="77777777" w:rsidR="00BA49F5" w:rsidRDefault="00BA49F5">
            <w:pPr>
              <w:rPr>
                <w:rFonts w:ascii="宋体"/>
              </w:rPr>
            </w:pPr>
          </w:p>
        </w:tc>
        <w:tc>
          <w:tcPr>
            <w:tcW w:w="20" w:type="dxa"/>
            <w:shd w:val="clear" w:color="auto" w:fill="auto"/>
            <w:vAlign w:val="bottom"/>
          </w:tcPr>
          <w:p w14:paraId="5CD8E652" w14:textId="77777777" w:rsidR="00BA49F5" w:rsidRDefault="00BA49F5">
            <w:pPr>
              <w:rPr>
                <w:rFonts w:ascii="宋体"/>
              </w:rPr>
            </w:pPr>
          </w:p>
        </w:tc>
        <w:tc>
          <w:tcPr>
            <w:tcW w:w="380" w:type="dxa"/>
            <w:shd w:val="clear" w:color="auto" w:fill="auto"/>
            <w:vAlign w:val="bottom"/>
          </w:tcPr>
          <w:p w14:paraId="5CD8E653" w14:textId="77777777" w:rsidR="00BA49F5" w:rsidRDefault="00BA49F5">
            <w:pPr>
              <w:rPr>
                <w:rFonts w:ascii="宋体"/>
              </w:rPr>
            </w:pPr>
          </w:p>
        </w:tc>
        <w:tc>
          <w:tcPr>
            <w:tcW w:w="20" w:type="dxa"/>
            <w:shd w:val="clear" w:color="auto" w:fill="auto"/>
            <w:vAlign w:val="bottom"/>
          </w:tcPr>
          <w:p w14:paraId="5CD8E654" w14:textId="77777777" w:rsidR="00BA49F5" w:rsidRDefault="00BA49F5">
            <w:pPr>
              <w:rPr>
                <w:rFonts w:ascii="宋体"/>
              </w:rPr>
            </w:pPr>
          </w:p>
        </w:tc>
        <w:tc>
          <w:tcPr>
            <w:tcW w:w="20" w:type="dxa"/>
            <w:shd w:val="clear" w:color="auto" w:fill="auto"/>
            <w:vAlign w:val="bottom"/>
          </w:tcPr>
          <w:p w14:paraId="5CD8E655" w14:textId="77777777" w:rsidR="00BA49F5" w:rsidRDefault="00BA49F5">
            <w:pPr>
              <w:rPr>
                <w:rFonts w:ascii="宋体"/>
              </w:rPr>
            </w:pPr>
          </w:p>
        </w:tc>
        <w:tc>
          <w:tcPr>
            <w:tcW w:w="380" w:type="dxa"/>
            <w:shd w:val="clear" w:color="auto" w:fill="auto"/>
            <w:vAlign w:val="bottom"/>
          </w:tcPr>
          <w:p w14:paraId="5CD8E656" w14:textId="77777777" w:rsidR="00BA49F5" w:rsidRDefault="00BA49F5">
            <w:pPr>
              <w:rPr>
                <w:rFonts w:ascii="宋体"/>
              </w:rPr>
            </w:pPr>
          </w:p>
        </w:tc>
        <w:tc>
          <w:tcPr>
            <w:tcW w:w="20" w:type="dxa"/>
            <w:shd w:val="clear" w:color="auto" w:fill="auto"/>
            <w:vAlign w:val="bottom"/>
          </w:tcPr>
          <w:p w14:paraId="5CD8E657" w14:textId="77777777" w:rsidR="00BA49F5" w:rsidRDefault="00BA49F5">
            <w:pPr>
              <w:rPr>
                <w:rFonts w:ascii="宋体"/>
              </w:rPr>
            </w:pPr>
          </w:p>
        </w:tc>
        <w:tc>
          <w:tcPr>
            <w:tcW w:w="20" w:type="dxa"/>
            <w:shd w:val="clear" w:color="auto" w:fill="auto"/>
            <w:vAlign w:val="bottom"/>
          </w:tcPr>
          <w:p w14:paraId="5CD8E658" w14:textId="77777777" w:rsidR="00BA49F5" w:rsidRDefault="00BA49F5">
            <w:pPr>
              <w:rPr>
                <w:rFonts w:ascii="宋体"/>
              </w:rPr>
            </w:pPr>
          </w:p>
        </w:tc>
        <w:tc>
          <w:tcPr>
            <w:tcW w:w="380" w:type="dxa"/>
            <w:shd w:val="clear" w:color="auto" w:fill="auto"/>
            <w:vAlign w:val="bottom"/>
          </w:tcPr>
          <w:p w14:paraId="5CD8E659" w14:textId="77777777" w:rsidR="00BA49F5" w:rsidRDefault="00BA49F5">
            <w:pPr>
              <w:rPr>
                <w:rFonts w:ascii="宋体"/>
              </w:rPr>
            </w:pPr>
          </w:p>
        </w:tc>
        <w:tc>
          <w:tcPr>
            <w:tcW w:w="20" w:type="dxa"/>
            <w:shd w:val="clear" w:color="auto" w:fill="auto"/>
            <w:vAlign w:val="bottom"/>
          </w:tcPr>
          <w:p w14:paraId="5CD8E65A" w14:textId="77777777" w:rsidR="00BA49F5" w:rsidRDefault="00BA49F5">
            <w:pPr>
              <w:rPr>
                <w:rFonts w:ascii="宋体"/>
              </w:rPr>
            </w:pPr>
          </w:p>
        </w:tc>
        <w:tc>
          <w:tcPr>
            <w:tcW w:w="20" w:type="dxa"/>
            <w:shd w:val="clear" w:color="auto" w:fill="auto"/>
            <w:vAlign w:val="bottom"/>
          </w:tcPr>
          <w:p w14:paraId="5CD8E65B" w14:textId="77777777" w:rsidR="00BA49F5" w:rsidRDefault="00BA49F5">
            <w:pPr>
              <w:rPr>
                <w:rFonts w:ascii="宋体"/>
              </w:rPr>
            </w:pPr>
          </w:p>
        </w:tc>
        <w:tc>
          <w:tcPr>
            <w:tcW w:w="380" w:type="dxa"/>
            <w:shd w:val="clear" w:color="auto" w:fill="auto"/>
            <w:vAlign w:val="bottom"/>
          </w:tcPr>
          <w:p w14:paraId="5CD8E65C" w14:textId="77777777" w:rsidR="00BA49F5" w:rsidRDefault="00BA49F5">
            <w:pPr>
              <w:rPr>
                <w:rFonts w:ascii="宋体"/>
              </w:rPr>
            </w:pPr>
          </w:p>
        </w:tc>
        <w:tc>
          <w:tcPr>
            <w:tcW w:w="20" w:type="dxa"/>
            <w:shd w:val="clear" w:color="auto" w:fill="auto"/>
            <w:vAlign w:val="bottom"/>
          </w:tcPr>
          <w:p w14:paraId="5CD8E65D" w14:textId="77777777" w:rsidR="00BA49F5" w:rsidRDefault="00BA49F5">
            <w:pPr>
              <w:rPr>
                <w:rFonts w:ascii="宋体"/>
              </w:rPr>
            </w:pPr>
          </w:p>
        </w:tc>
        <w:tc>
          <w:tcPr>
            <w:tcW w:w="20" w:type="dxa"/>
            <w:shd w:val="clear" w:color="auto" w:fill="auto"/>
            <w:vAlign w:val="bottom"/>
          </w:tcPr>
          <w:p w14:paraId="5CD8E65E" w14:textId="77777777" w:rsidR="00BA49F5" w:rsidRDefault="00BA49F5">
            <w:pPr>
              <w:rPr>
                <w:rFonts w:ascii="宋体"/>
              </w:rPr>
            </w:pPr>
          </w:p>
        </w:tc>
        <w:tc>
          <w:tcPr>
            <w:tcW w:w="380" w:type="dxa"/>
            <w:shd w:val="clear" w:color="auto" w:fill="auto"/>
            <w:vAlign w:val="bottom"/>
          </w:tcPr>
          <w:p w14:paraId="5CD8E65F" w14:textId="77777777" w:rsidR="00BA49F5" w:rsidRDefault="00BA49F5">
            <w:pPr>
              <w:rPr>
                <w:rFonts w:ascii="宋体"/>
              </w:rPr>
            </w:pPr>
          </w:p>
        </w:tc>
        <w:tc>
          <w:tcPr>
            <w:tcW w:w="20" w:type="dxa"/>
            <w:shd w:val="clear" w:color="auto" w:fill="auto"/>
            <w:vAlign w:val="bottom"/>
          </w:tcPr>
          <w:p w14:paraId="5CD8E660" w14:textId="77777777" w:rsidR="00BA49F5" w:rsidRDefault="00BA49F5">
            <w:pPr>
              <w:rPr>
                <w:rFonts w:ascii="宋体"/>
              </w:rPr>
            </w:pPr>
          </w:p>
        </w:tc>
        <w:tc>
          <w:tcPr>
            <w:tcW w:w="20" w:type="dxa"/>
            <w:shd w:val="clear" w:color="auto" w:fill="auto"/>
            <w:vAlign w:val="bottom"/>
          </w:tcPr>
          <w:p w14:paraId="5CD8E661" w14:textId="77777777" w:rsidR="00BA49F5" w:rsidRDefault="00BA49F5">
            <w:pPr>
              <w:rPr>
                <w:rFonts w:ascii="宋体"/>
              </w:rPr>
            </w:pPr>
          </w:p>
        </w:tc>
        <w:tc>
          <w:tcPr>
            <w:tcW w:w="755" w:type="dxa"/>
            <w:shd w:val="clear" w:color="auto" w:fill="auto"/>
            <w:vAlign w:val="bottom"/>
          </w:tcPr>
          <w:p w14:paraId="5CD8E662" w14:textId="77777777" w:rsidR="00BA49F5" w:rsidRDefault="00BA49F5">
            <w:pPr>
              <w:rPr>
                <w:rFonts w:ascii="宋体"/>
              </w:rPr>
            </w:pPr>
          </w:p>
        </w:tc>
        <w:tc>
          <w:tcPr>
            <w:tcW w:w="20" w:type="dxa"/>
            <w:shd w:val="clear" w:color="auto" w:fill="auto"/>
            <w:vAlign w:val="bottom"/>
          </w:tcPr>
          <w:p w14:paraId="5CD8E663" w14:textId="77777777" w:rsidR="00BA49F5" w:rsidRDefault="00BA49F5">
            <w:pPr>
              <w:rPr>
                <w:rFonts w:ascii="宋体"/>
              </w:rPr>
            </w:pPr>
          </w:p>
        </w:tc>
        <w:tc>
          <w:tcPr>
            <w:tcW w:w="20" w:type="dxa"/>
            <w:shd w:val="clear" w:color="auto" w:fill="auto"/>
            <w:vAlign w:val="bottom"/>
          </w:tcPr>
          <w:p w14:paraId="5CD8E664" w14:textId="77777777" w:rsidR="00BA49F5" w:rsidRDefault="00BA49F5">
            <w:pPr>
              <w:rPr>
                <w:rFonts w:ascii="宋体"/>
              </w:rPr>
            </w:pPr>
          </w:p>
        </w:tc>
        <w:tc>
          <w:tcPr>
            <w:tcW w:w="380" w:type="dxa"/>
            <w:shd w:val="clear" w:color="auto" w:fill="auto"/>
            <w:vAlign w:val="bottom"/>
          </w:tcPr>
          <w:p w14:paraId="5CD8E665" w14:textId="77777777" w:rsidR="00BA49F5" w:rsidRDefault="00BA49F5">
            <w:pPr>
              <w:rPr>
                <w:rFonts w:ascii="宋体"/>
              </w:rPr>
            </w:pPr>
          </w:p>
        </w:tc>
        <w:tc>
          <w:tcPr>
            <w:tcW w:w="20" w:type="dxa"/>
            <w:shd w:val="clear" w:color="auto" w:fill="auto"/>
            <w:vAlign w:val="bottom"/>
          </w:tcPr>
          <w:p w14:paraId="5CD8E666" w14:textId="77777777" w:rsidR="00BA49F5" w:rsidRDefault="00BA49F5">
            <w:pPr>
              <w:rPr>
                <w:rFonts w:ascii="宋体"/>
              </w:rPr>
            </w:pPr>
          </w:p>
        </w:tc>
        <w:tc>
          <w:tcPr>
            <w:tcW w:w="20" w:type="dxa"/>
            <w:shd w:val="clear" w:color="auto" w:fill="auto"/>
            <w:vAlign w:val="bottom"/>
          </w:tcPr>
          <w:p w14:paraId="5CD8E667" w14:textId="77777777" w:rsidR="00BA49F5" w:rsidRDefault="00BA49F5">
            <w:pPr>
              <w:rPr>
                <w:rFonts w:ascii="宋体"/>
              </w:rPr>
            </w:pPr>
          </w:p>
        </w:tc>
        <w:tc>
          <w:tcPr>
            <w:tcW w:w="380" w:type="dxa"/>
            <w:shd w:val="clear" w:color="auto" w:fill="auto"/>
            <w:vAlign w:val="bottom"/>
          </w:tcPr>
          <w:p w14:paraId="5CD8E668" w14:textId="77777777" w:rsidR="00BA49F5" w:rsidRDefault="00BA49F5">
            <w:pPr>
              <w:rPr>
                <w:rFonts w:ascii="宋体"/>
              </w:rPr>
            </w:pPr>
          </w:p>
        </w:tc>
        <w:tc>
          <w:tcPr>
            <w:tcW w:w="20" w:type="dxa"/>
            <w:shd w:val="clear" w:color="auto" w:fill="auto"/>
            <w:vAlign w:val="bottom"/>
          </w:tcPr>
          <w:p w14:paraId="5CD8E669" w14:textId="77777777" w:rsidR="00BA49F5" w:rsidRDefault="00BA49F5">
            <w:pPr>
              <w:rPr>
                <w:rFonts w:ascii="宋体"/>
              </w:rPr>
            </w:pPr>
          </w:p>
        </w:tc>
        <w:tc>
          <w:tcPr>
            <w:tcW w:w="20" w:type="dxa"/>
            <w:shd w:val="clear" w:color="auto" w:fill="auto"/>
            <w:vAlign w:val="bottom"/>
          </w:tcPr>
          <w:p w14:paraId="5CD8E66A" w14:textId="77777777" w:rsidR="00BA49F5" w:rsidRDefault="00BA49F5">
            <w:pPr>
              <w:rPr>
                <w:rFonts w:ascii="宋体"/>
              </w:rPr>
            </w:pPr>
          </w:p>
        </w:tc>
        <w:tc>
          <w:tcPr>
            <w:tcW w:w="380" w:type="dxa"/>
            <w:shd w:val="clear" w:color="auto" w:fill="auto"/>
            <w:vAlign w:val="bottom"/>
          </w:tcPr>
          <w:p w14:paraId="5CD8E66B" w14:textId="77777777" w:rsidR="00BA49F5" w:rsidRDefault="00BA49F5">
            <w:pPr>
              <w:rPr>
                <w:rFonts w:ascii="宋体"/>
              </w:rPr>
            </w:pPr>
          </w:p>
        </w:tc>
        <w:tc>
          <w:tcPr>
            <w:tcW w:w="20" w:type="dxa"/>
            <w:shd w:val="clear" w:color="auto" w:fill="auto"/>
            <w:vAlign w:val="bottom"/>
          </w:tcPr>
          <w:p w14:paraId="5CD8E66C" w14:textId="77777777" w:rsidR="00BA49F5" w:rsidRDefault="00BA49F5">
            <w:pPr>
              <w:rPr>
                <w:rFonts w:ascii="宋体"/>
              </w:rPr>
            </w:pPr>
          </w:p>
        </w:tc>
        <w:tc>
          <w:tcPr>
            <w:tcW w:w="20" w:type="dxa"/>
            <w:shd w:val="clear" w:color="auto" w:fill="auto"/>
            <w:vAlign w:val="bottom"/>
          </w:tcPr>
          <w:p w14:paraId="5CD8E66D" w14:textId="77777777" w:rsidR="00BA49F5" w:rsidRDefault="00BA49F5">
            <w:pPr>
              <w:rPr>
                <w:rFonts w:ascii="宋体"/>
              </w:rPr>
            </w:pPr>
          </w:p>
        </w:tc>
        <w:tc>
          <w:tcPr>
            <w:tcW w:w="380" w:type="dxa"/>
            <w:shd w:val="clear" w:color="auto" w:fill="auto"/>
            <w:vAlign w:val="bottom"/>
          </w:tcPr>
          <w:p w14:paraId="5CD8E66E" w14:textId="77777777" w:rsidR="00BA49F5" w:rsidRDefault="00BA49F5">
            <w:pPr>
              <w:rPr>
                <w:rFonts w:ascii="宋体"/>
              </w:rPr>
            </w:pPr>
          </w:p>
        </w:tc>
        <w:tc>
          <w:tcPr>
            <w:tcW w:w="20" w:type="dxa"/>
            <w:shd w:val="clear" w:color="auto" w:fill="auto"/>
            <w:vAlign w:val="bottom"/>
          </w:tcPr>
          <w:p w14:paraId="5CD8E66F" w14:textId="77777777" w:rsidR="00BA49F5" w:rsidRDefault="00BA49F5">
            <w:pPr>
              <w:rPr>
                <w:rFonts w:ascii="宋体"/>
              </w:rPr>
            </w:pPr>
          </w:p>
        </w:tc>
        <w:tc>
          <w:tcPr>
            <w:tcW w:w="20" w:type="dxa"/>
            <w:shd w:val="clear" w:color="auto" w:fill="auto"/>
            <w:vAlign w:val="bottom"/>
          </w:tcPr>
          <w:p w14:paraId="5CD8E670" w14:textId="77777777" w:rsidR="00BA49F5" w:rsidRDefault="00BA49F5">
            <w:pPr>
              <w:rPr>
                <w:rFonts w:ascii="宋体"/>
              </w:rPr>
            </w:pPr>
          </w:p>
        </w:tc>
        <w:tc>
          <w:tcPr>
            <w:tcW w:w="380" w:type="dxa"/>
            <w:shd w:val="clear" w:color="auto" w:fill="auto"/>
            <w:vAlign w:val="bottom"/>
          </w:tcPr>
          <w:p w14:paraId="5CD8E671" w14:textId="77777777" w:rsidR="00BA49F5" w:rsidRDefault="00BA49F5">
            <w:pPr>
              <w:rPr>
                <w:rFonts w:ascii="宋体"/>
              </w:rPr>
            </w:pPr>
          </w:p>
        </w:tc>
        <w:tc>
          <w:tcPr>
            <w:tcW w:w="20" w:type="dxa"/>
            <w:shd w:val="clear" w:color="auto" w:fill="auto"/>
            <w:vAlign w:val="bottom"/>
          </w:tcPr>
          <w:p w14:paraId="5CD8E672" w14:textId="77777777" w:rsidR="00BA49F5" w:rsidRDefault="00BA49F5">
            <w:pPr>
              <w:rPr>
                <w:rFonts w:ascii="宋体"/>
              </w:rPr>
            </w:pPr>
          </w:p>
        </w:tc>
        <w:tc>
          <w:tcPr>
            <w:tcW w:w="20" w:type="dxa"/>
            <w:shd w:val="clear" w:color="auto" w:fill="auto"/>
            <w:vAlign w:val="bottom"/>
          </w:tcPr>
          <w:p w14:paraId="5CD8E673" w14:textId="77777777" w:rsidR="00BA49F5" w:rsidRDefault="00BA49F5">
            <w:pPr>
              <w:rPr>
                <w:rFonts w:ascii="宋体"/>
              </w:rPr>
            </w:pPr>
          </w:p>
        </w:tc>
        <w:tc>
          <w:tcPr>
            <w:tcW w:w="380" w:type="dxa"/>
            <w:shd w:val="clear" w:color="auto" w:fill="auto"/>
            <w:vAlign w:val="bottom"/>
          </w:tcPr>
          <w:p w14:paraId="5CD8E674" w14:textId="77777777" w:rsidR="00BA49F5" w:rsidRDefault="00BA49F5">
            <w:pPr>
              <w:rPr>
                <w:rFonts w:ascii="宋体"/>
              </w:rPr>
            </w:pPr>
          </w:p>
        </w:tc>
        <w:tc>
          <w:tcPr>
            <w:tcW w:w="20" w:type="dxa"/>
            <w:shd w:val="clear" w:color="auto" w:fill="auto"/>
            <w:vAlign w:val="bottom"/>
          </w:tcPr>
          <w:p w14:paraId="5CD8E675" w14:textId="77777777" w:rsidR="00BA49F5" w:rsidRDefault="00BA49F5">
            <w:pPr>
              <w:rPr>
                <w:rFonts w:ascii="宋体"/>
              </w:rPr>
            </w:pPr>
          </w:p>
        </w:tc>
        <w:tc>
          <w:tcPr>
            <w:tcW w:w="20" w:type="dxa"/>
            <w:shd w:val="clear" w:color="auto" w:fill="auto"/>
            <w:vAlign w:val="bottom"/>
          </w:tcPr>
          <w:p w14:paraId="5CD8E676" w14:textId="77777777" w:rsidR="00BA49F5" w:rsidRDefault="00BA49F5">
            <w:pPr>
              <w:rPr>
                <w:rFonts w:ascii="宋体"/>
              </w:rPr>
            </w:pPr>
          </w:p>
        </w:tc>
        <w:tc>
          <w:tcPr>
            <w:tcW w:w="380" w:type="dxa"/>
            <w:shd w:val="clear" w:color="auto" w:fill="auto"/>
            <w:vAlign w:val="bottom"/>
          </w:tcPr>
          <w:p w14:paraId="5CD8E677" w14:textId="77777777" w:rsidR="00BA49F5" w:rsidRDefault="00BA49F5">
            <w:pPr>
              <w:rPr>
                <w:rFonts w:ascii="宋体"/>
              </w:rPr>
            </w:pPr>
          </w:p>
        </w:tc>
        <w:tc>
          <w:tcPr>
            <w:tcW w:w="20" w:type="dxa"/>
            <w:shd w:val="clear" w:color="auto" w:fill="auto"/>
            <w:vAlign w:val="bottom"/>
          </w:tcPr>
          <w:p w14:paraId="5CD8E678" w14:textId="77777777" w:rsidR="00BA49F5" w:rsidRDefault="00BA49F5">
            <w:pPr>
              <w:rPr>
                <w:rFonts w:ascii="宋体"/>
              </w:rPr>
            </w:pPr>
          </w:p>
        </w:tc>
        <w:tc>
          <w:tcPr>
            <w:tcW w:w="20" w:type="dxa"/>
            <w:shd w:val="clear" w:color="auto" w:fill="auto"/>
            <w:vAlign w:val="bottom"/>
          </w:tcPr>
          <w:p w14:paraId="5CD8E679" w14:textId="77777777" w:rsidR="00BA49F5" w:rsidRDefault="00BA49F5">
            <w:pPr>
              <w:rPr>
                <w:rFonts w:ascii="宋体"/>
              </w:rPr>
            </w:pPr>
          </w:p>
        </w:tc>
        <w:tc>
          <w:tcPr>
            <w:tcW w:w="380" w:type="dxa"/>
            <w:shd w:val="clear" w:color="auto" w:fill="auto"/>
            <w:vAlign w:val="bottom"/>
          </w:tcPr>
          <w:p w14:paraId="5CD8E67A" w14:textId="77777777" w:rsidR="00BA49F5" w:rsidRDefault="00BA49F5">
            <w:pPr>
              <w:rPr>
                <w:rFonts w:ascii="宋体"/>
              </w:rPr>
            </w:pPr>
          </w:p>
        </w:tc>
        <w:tc>
          <w:tcPr>
            <w:tcW w:w="20" w:type="dxa"/>
            <w:shd w:val="clear" w:color="auto" w:fill="auto"/>
            <w:vAlign w:val="bottom"/>
          </w:tcPr>
          <w:p w14:paraId="5CD8E67B" w14:textId="77777777" w:rsidR="00BA49F5" w:rsidRDefault="00BA49F5">
            <w:pPr>
              <w:rPr>
                <w:rFonts w:ascii="宋体"/>
              </w:rPr>
            </w:pPr>
          </w:p>
        </w:tc>
        <w:tc>
          <w:tcPr>
            <w:tcW w:w="20" w:type="dxa"/>
            <w:shd w:val="clear" w:color="auto" w:fill="auto"/>
            <w:vAlign w:val="bottom"/>
          </w:tcPr>
          <w:p w14:paraId="5CD8E67C" w14:textId="77777777" w:rsidR="00BA49F5" w:rsidRDefault="00BA49F5">
            <w:pPr>
              <w:rPr>
                <w:rFonts w:ascii="宋体"/>
              </w:rPr>
            </w:pPr>
          </w:p>
        </w:tc>
        <w:tc>
          <w:tcPr>
            <w:tcW w:w="380" w:type="dxa"/>
            <w:shd w:val="clear" w:color="auto" w:fill="auto"/>
            <w:vAlign w:val="bottom"/>
          </w:tcPr>
          <w:p w14:paraId="5CD8E67D" w14:textId="77777777" w:rsidR="00BA49F5" w:rsidRDefault="00BA49F5">
            <w:pPr>
              <w:rPr>
                <w:rFonts w:ascii="宋体"/>
              </w:rPr>
            </w:pPr>
          </w:p>
        </w:tc>
        <w:tc>
          <w:tcPr>
            <w:tcW w:w="20" w:type="dxa"/>
            <w:shd w:val="clear" w:color="auto" w:fill="auto"/>
            <w:vAlign w:val="bottom"/>
          </w:tcPr>
          <w:p w14:paraId="5CD8E67E" w14:textId="77777777" w:rsidR="00BA49F5" w:rsidRDefault="00BA49F5">
            <w:pPr>
              <w:rPr>
                <w:rFonts w:ascii="宋体"/>
              </w:rPr>
            </w:pPr>
          </w:p>
        </w:tc>
      </w:tr>
      <w:tr w:rsidR="00BA49F5" w14:paraId="5CD8E694" w14:textId="77777777">
        <w:trPr>
          <w:trHeight w:val="220"/>
          <w:jc w:val="center"/>
        </w:trPr>
        <w:tc>
          <w:tcPr>
            <w:tcW w:w="0" w:type="auto"/>
            <w:gridSpan w:val="3"/>
            <w:shd w:val="clear" w:color="auto" w:fill="auto"/>
            <w:tcMar>
              <w:top w:w="40" w:type="dxa"/>
              <w:left w:w="20" w:type="dxa"/>
              <w:bottom w:w="40" w:type="dxa"/>
              <w:right w:w="20" w:type="dxa"/>
            </w:tcMar>
          </w:tcPr>
          <w:p w14:paraId="5CD8E680" w14:textId="77777777" w:rsidR="00BA49F5" w:rsidRDefault="007E5E49">
            <w:pPr>
              <w:jc w:val="right"/>
              <w:textAlignment w:val="top"/>
            </w:pPr>
            <w:r>
              <w:rPr>
                <w:rFonts w:ascii="sans-serif" w:eastAsia="宋体" w:hAnsi="sans-serif" w:cs="sans-serif"/>
                <w:color w:val="000000"/>
                <w:sz w:val="13"/>
                <w:szCs w:val="13"/>
              </w:rPr>
              <w:t>DAU/MAU:</w:t>
            </w:r>
          </w:p>
        </w:tc>
        <w:tc>
          <w:tcPr>
            <w:tcW w:w="0" w:type="auto"/>
            <w:gridSpan w:val="3"/>
            <w:shd w:val="clear" w:color="auto" w:fill="auto"/>
            <w:tcMar>
              <w:top w:w="40" w:type="dxa"/>
              <w:left w:w="20" w:type="dxa"/>
              <w:bottom w:w="40" w:type="dxa"/>
              <w:right w:w="20" w:type="dxa"/>
            </w:tcMar>
          </w:tcPr>
          <w:p w14:paraId="5CD8E681" w14:textId="77777777" w:rsidR="00BA49F5" w:rsidRDefault="007E5E49">
            <w:pPr>
              <w:textAlignment w:val="top"/>
            </w:pPr>
            <w:r>
              <w:rPr>
                <w:rFonts w:ascii="sans-serif" w:eastAsia="宋体" w:hAnsi="sans-serif" w:cs="sans-serif"/>
                <w:color w:val="000000"/>
                <w:sz w:val="13"/>
                <w:szCs w:val="13"/>
              </w:rPr>
              <w:t>76%</w:t>
            </w:r>
          </w:p>
        </w:tc>
        <w:tc>
          <w:tcPr>
            <w:tcW w:w="0" w:type="auto"/>
            <w:gridSpan w:val="3"/>
            <w:shd w:val="clear" w:color="auto" w:fill="auto"/>
            <w:tcMar>
              <w:top w:w="40" w:type="dxa"/>
              <w:left w:w="20" w:type="dxa"/>
              <w:bottom w:w="40" w:type="dxa"/>
              <w:right w:w="20" w:type="dxa"/>
            </w:tcMar>
          </w:tcPr>
          <w:p w14:paraId="5CD8E682"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3"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4"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5" w14:textId="77777777" w:rsidR="00BA49F5" w:rsidRDefault="007E5E49">
            <w:pPr>
              <w:textAlignment w:val="top"/>
            </w:pPr>
            <w:r>
              <w:rPr>
                <w:rFonts w:ascii="sans-serif" w:eastAsia="宋体" w:hAnsi="sans-serif" w:cs="sans-serif"/>
                <w:color w:val="000000"/>
                <w:sz w:val="13"/>
                <w:szCs w:val="13"/>
              </w:rPr>
              <w:t>74%</w:t>
            </w:r>
          </w:p>
        </w:tc>
        <w:tc>
          <w:tcPr>
            <w:tcW w:w="0" w:type="auto"/>
            <w:gridSpan w:val="3"/>
            <w:shd w:val="clear" w:color="auto" w:fill="auto"/>
            <w:tcMar>
              <w:top w:w="40" w:type="dxa"/>
              <w:left w:w="20" w:type="dxa"/>
              <w:bottom w:w="40" w:type="dxa"/>
              <w:right w:w="20" w:type="dxa"/>
            </w:tcMar>
          </w:tcPr>
          <w:p w14:paraId="5CD8E686"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7"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8" w14:textId="77777777" w:rsidR="00BA49F5" w:rsidRDefault="007E5E49">
            <w:pPr>
              <w:textAlignment w:val="top"/>
            </w:pPr>
            <w:r>
              <w:rPr>
                <w:rFonts w:ascii="sans-serif" w:eastAsia="宋体" w:hAnsi="sans-serif" w:cs="sans-serif"/>
                <w:color w:val="000000"/>
                <w:sz w:val="13"/>
                <w:szCs w:val="13"/>
              </w:rPr>
              <w:t>74%</w:t>
            </w:r>
          </w:p>
        </w:tc>
        <w:tc>
          <w:tcPr>
            <w:tcW w:w="0" w:type="auto"/>
            <w:gridSpan w:val="3"/>
            <w:shd w:val="clear" w:color="auto" w:fill="auto"/>
            <w:tcMar>
              <w:top w:w="40" w:type="dxa"/>
              <w:left w:w="20" w:type="dxa"/>
              <w:bottom w:w="40" w:type="dxa"/>
              <w:right w:w="20" w:type="dxa"/>
            </w:tcMar>
          </w:tcPr>
          <w:p w14:paraId="5CD8E689" w14:textId="77777777" w:rsidR="00BA49F5" w:rsidRDefault="007E5E49">
            <w:pPr>
              <w:textAlignment w:val="top"/>
            </w:pPr>
            <w:r>
              <w:rPr>
                <w:rFonts w:ascii="sans-serif" w:eastAsia="宋体" w:hAnsi="sans-serif" w:cs="sans-serif"/>
                <w:color w:val="000000"/>
                <w:sz w:val="13"/>
                <w:szCs w:val="13"/>
              </w:rPr>
              <w:t>75%</w:t>
            </w:r>
          </w:p>
        </w:tc>
        <w:tc>
          <w:tcPr>
            <w:tcW w:w="0" w:type="auto"/>
            <w:gridSpan w:val="3"/>
            <w:shd w:val="clear" w:color="auto" w:fill="auto"/>
            <w:tcMar>
              <w:top w:w="40" w:type="dxa"/>
              <w:left w:w="20" w:type="dxa"/>
              <w:bottom w:w="40" w:type="dxa"/>
              <w:right w:w="20" w:type="dxa"/>
            </w:tcMar>
          </w:tcPr>
          <w:p w14:paraId="5CD8E68A" w14:textId="77777777" w:rsidR="00BA49F5" w:rsidRDefault="007E5E49">
            <w:pPr>
              <w:jc w:val="right"/>
              <w:textAlignment w:val="top"/>
            </w:pPr>
            <w:r>
              <w:rPr>
                <w:rFonts w:ascii="sans-serif" w:eastAsia="宋体" w:hAnsi="sans-serif" w:cs="sans-serif"/>
                <w:color w:val="000000"/>
                <w:sz w:val="13"/>
                <w:szCs w:val="13"/>
              </w:rPr>
              <w:t>DAU/MAU:</w:t>
            </w:r>
          </w:p>
        </w:tc>
        <w:tc>
          <w:tcPr>
            <w:tcW w:w="0" w:type="auto"/>
            <w:gridSpan w:val="3"/>
            <w:shd w:val="clear" w:color="auto" w:fill="auto"/>
            <w:tcMar>
              <w:top w:w="40" w:type="dxa"/>
              <w:left w:w="20" w:type="dxa"/>
              <w:bottom w:w="40" w:type="dxa"/>
              <w:right w:w="20" w:type="dxa"/>
            </w:tcMar>
          </w:tcPr>
          <w:p w14:paraId="5CD8E68B" w14:textId="77777777" w:rsidR="00BA49F5" w:rsidRDefault="007E5E49">
            <w:pPr>
              <w:textAlignment w:val="top"/>
            </w:pPr>
            <w:r>
              <w:rPr>
                <w:rFonts w:ascii="sans-serif" w:eastAsia="宋体" w:hAnsi="sans-serif" w:cs="sans-serif"/>
                <w:color w:val="000000"/>
                <w:sz w:val="13"/>
                <w:szCs w:val="13"/>
              </w:rPr>
              <w:t>74%</w:t>
            </w:r>
          </w:p>
        </w:tc>
        <w:tc>
          <w:tcPr>
            <w:tcW w:w="0" w:type="auto"/>
            <w:gridSpan w:val="3"/>
            <w:shd w:val="clear" w:color="auto" w:fill="auto"/>
            <w:tcMar>
              <w:top w:w="40" w:type="dxa"/>
              <w:left w:w="20" w:type="dxa"/>
              <w:bottom w:w="40" w:type="dxa"/>
              <w:right w:w="20" w:type="dxa"/>
            </w:tcMar>
          </w:tcPr>
          <w:p w14:paraId="5CD8E68C" w14:textId="77777777" w:rsidR="00BA49F5" w:rsidRDefault="007E5E49">
            <w:pPr>
              <w:textAlignment w:val="top"/>
            </w:pPr>
            <w:r>
              <w:rPr>
                <w:rFonts w:ascii="sans-serif" w:eastAsia="宋体" w:hAnsi="sans-serif" w:cs="sans-serif"/>
                <w:color w:val="000000"/>
                <w:sz w:val="13"/>
                <w:szCs w:val="13"/>
              </w:rPr>
              <w:t>73%</w:t>
            </w:r>
          </w:p>
        </w:tc>
        <w:tc>
          <w:tcPr>
            <w:tcW w:w="0" w:type="auto"/>
            <w:gridSpan w:val="3"/>
            <w:shd w:val="clear" w:color="auto" w:fill="auto"/>
            <w:tcMar>
              <w:top w:w="40" w:type="dxa"/>
              <w:left w:w="20" w:type="dxa"/>
              <w:bottom w:w="40" w:type="dxa"/>
              <w:right w:w="20" w:type="dxa"/>
            </w:tcMar>
          </w:tcPr>
          <w:p w14:paraId="5CD8E68D" w14:textId="77777777" w:rsidR="00BA49F5" w:rsidRDefault="007E5E49">
            <w:pPr>
              <w:textAlignment w:val="top"/>
            </w:pPr>
            <w:r>
              <w:rPr>
                <w:rFonts w:ascii="sans-serif" w:eastAsia="宋体" w:hAnsi="sans-serif" w:cs="sans-serif"/>
                <w:color w:val="000000"/>
                <w:sz w:val="13"/>
                <w:szCs w:val="13"/>
              </w:rPr>
              <w:t>73%</w:t>
            </w:r>
          </w:p>
        </w:tc>
        <w:tc>
          <w:tcPr>
            <w:tcW w:w="0" w:type="auto"/>
            <w:gridSpan w:val="3"/>
            <w:shd w:val="clear" w:color="auto" w:fill="auto"/>
            <w:tcMar>
              <w:top w:w="40" w:type="dxa"/>
              <w:left w:w="20" w:type="dxa"/>
              <w:bottom w:w="40" w:type="dxa"/>
              <w:right w:w="20" w:type="dxa"/>
            </w:tcMar>
          </w:tcPr>
          <w:p w14:paraId="5CD8E68E" w14:textId="77777777" w:rsidR="00BA49F5" w:rsidRDefault="007E5E49">
            <w:pPr>
              <w:textAlignment w:val="top"/>
            </w:pPr>
            <w:r>
              <w:rPr>
                <w:rFonts w:ascii="sans-serif" w:eastAsia="宋体" w:hAnsi="sans-serif" w:cs="sans-serif"/>
                <w:color w:val="000000"/>
                <w:sz w:val="13"/>
                <w:szCs w:val="13"/>
              </w:rPr>
              <w:t>73%</w:t>
            </w:r>
          </w:p>
        </w:tc>
        <w:tc>
          <w:tcPr>
            <w:tcW w:w="0" w:type="auto"/>
            <w:gridSpan w:val="3"/>
            <w:shd w:val="clear" w:color="auto" w:fill="auto"/>
            <w:tcMar>
              <w:top w:w="40" w:type="dxa"/>
              <w:left w:w="20" w:type="dxa"/>
              <w:bottom w:w="40" w:type="dxa"/>
              <w:right w:w="20" w:type="dxa"/>
            </w:tcMar>
          </w:tcPr>
          <w:p w14:paraId="5CD8E68F" w14:textId="77777777" w:rsidR="00BA49F5" w:rsidRDefault="007E5E49">
            <w:pPr>
              <w:textAlignment w:val="top"/>
            </w:pPr>
            <w:r>
              <w:rPr>
                <w:rFonts w:ascii="sans-serif" w:eastAsia="宋体" w:hAnsi="sans-serif" w:cs="sans-serif"/>
                <w:color w:val="000000"/>
                <w:sz w:val="13"/>
                <w:szCs w:val="13"/>
              </w:rPr>
              <w:t>72%</w:t>
            </w:r>
          </w:p>
        </w:tc>
        <w:tc>
          <w:tcPr>
            <w:tcW w:w="0" w:type="auto"/>
            <w:gridSpan w:val="3"/>
            <w:shd w:val="clear" w:color="auto" w:fill="auto"/>
            <w:tcMar>
              <w:top w:w="40" w:type="dxa"/>
              <w:left w:w="20" w:type="dxa"/>
              <w:bottom w:w="40" w:type="dxa"/>
              <w:right w:w="20" w:type="dxa"/>
            </w:tcMar>
          </w:tcPr>
          <w:p w14:paraId="5CD8E690" w14:textId="77777777" w:rsidR="00BA49F5" w:rsidRDefault="007E5E49">
            <w:pPr>
              <w:textAlignment w:val="top"/>
            </w:pPr>
            <w:r>
              <w:rPr>
                <w:rFonts w:ascii="sans-serif" w:eastAsia="宋体" w:hAnsi="sans-serif" w:cs="sans-serif"/>
                <w:color w:val="000000"/>
                <w:sz w:val="13"/>
                <w:szCs w:val="13"/>
              </w:rPr>
              <w:t>73%</w:t>
            </w:r>
          </w:p>
        </w:tc>
        <w:tc>
          <w:tcPr>
            <w:tcW w:w="0" w:type="auto"/>
            <w:gridSpan w:val="3"/>
            <w:shd w:val="clear" w:color="auto" w:fill="auto"/>
            <w:tcMar>
              <w:top w:w="40" w:type="dxa"/>
              <w:left w:w="20" w:type="dxa"/>
              <w:bottom w:w="40" w:type="dxa"/>
              <w:right w:w="20" w:type="dxa"/>
            </w:tcMar>
          </w:tcPr>
          <w:p w14:paraId="5CD8E691" w14:textId="77777777" w:rsidR="00BA49F5" w:rsidRDefault="007E5E49">
            <w:pPr>
              <w:jc w:val="center"/>
              <w:textAlignment w:val="top"/>
            </w:pPr>
            <w:r>
              <w:rPr>
                <w:rFonts w:ascii="sans-serif" w:eastAsia="宋体" w:hAnsi="sans-serif" w:cs="sans-serif"/>
                <w:color w:val="000000"/>
                <w:sz w:val="13"/>
                <w:szCs w:val="13"/>
              </w:rPr>
              <w:t>74%</w:t>
            </w:r>
          </w:p>
        </w:tc>
        <w:tc>
          <w:tcPr>
            <w:tcW w:w="0" w:type="auto"/>
            <w:gridSpan w:val="3"/>
            <w:shd w:val="clear" w:color="auto" w:fill="auto"/>
            <w:tcMar>
              <w:top w:w="40" w:type="dxa"/>
              <w:left w:w="20" w:type="dxa"/>
              <w:bottom w:w="40" w:type="dxa"/>
              <w:right w:w="20" w:type="dxa"/>
            </w:tcMar>
          </w:tcPr>
          <w:p w14:paraId="5CD8E692" w14:textId="77777777" w:rsidR="00BA49F5" w:rsidRDefault="007E5E49">
            <w:pPr>
              <w:jc w:val="center"/>
              <w:textAlignment w:val="top"/>
            </w:pPr>
            <w:r>
              <w:rPr>
                <w:rFonts w:ascii="sans-serif" w:eastAsia="宋体" w:hAnsi="sans-serif" w:cs="sans-serif"/>
                <w:color w:val="000000"/>
                <w:sz w:val="13"/>
                <w:szCs w:val="13"/>
              </w:rPr>
              <w:t>74%</w:t>
            </w:r>
          </w:p>
        </w:tc>
        <w:tc>
          <w:tcPr>
            <w:tcW w:w="0" w:type="auto"/>
            <w:gridSpan w:val="3"/>
            <w:shd w:val="clear" w:color="auto" w:fill="auto"/>
            <w:tcMar>
              <w:top w:w="40" w:type="dxa"/>
              <w:left w:w="20" w:type="dxa"/>
              <w:bottom w:w="40" w:type="dxa"/>
              <w:right w:w="20" w:type="dxa"/>
            </w:tcMar>
          </w:tcPr>
          <w:p w14:paraId="5CD8E693" w14:textId="77777777" w:rsidR="00BA49F5" w:rsidRDefault="007E5E49">
            <w:pPr>
              <w:jc w:val="center"/>
              <w:textAlignment w:val="top"/>
            </w:pPr>
            <w:r>
              <w:rPr>
                <w:rFonts w:ascii="sans-serif" w:eastAsia="宋体" w:hAnsi="sans-serif" w:cs="sans-serif"/>
                <w:color w:val="000000"/>
                <w:sz w:val="13"/>
                <w:szCs w:val="13"/>
              </w:rPr>
              <w:t>75%</w:t>
            </w:r>
          </w:p>
        </w:tc>
      </w:tr>
    </w:tbl>
    <w:p w14:paraId="5CD8E695"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8" wp14:editId="5CD90D19">
            <wp:extent cx="304800" cy="304800"/>
            <wp:effectExtent l="0" t="0" r="0" b="0"/>
            <wp:docPr id="47" name="图片 10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3"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A" wp14:editId="5CD90D1B">
            <wp:extent cx="304800" cy="304800"/>
            <wp:effectExtent l="0" t="0" r="0" b="0"/>
            <wp:docPr id="42" name="图片 10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4"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8970" w:type="dxa"/>
        <w:jc w:val="center"/>
        <w:tblCellMar>
          <w:top w:w="15" w:type="dxa"/>
          <w:left w:w="15" w:type="dxa"/>
          <w:bottom w:w="15" w:type="dxa"/>
          <w:right w:w="15" w:type="dxa"/>
        </w:tblCellMar>
        <w:tblLook w:val="04A0" w:firstRow="1" w:lastRow="0" w:firstColumn="1" w:lastColumn="0" w:noHBand="0" w:noVBand="1"/>
      </w:tblPr>
      <w:tblGrid>
        <w:gridCol w:w="37"/>
        <w:gridCol w:w="648"/>
        <w:gridCol w:w="37"/>
        <w:gridCol w:w="37"/>
        <w:gridCol w:w="347"/>
        <w:gridCol w:w="37"/>
        <w:gridCol w:w="37"/>
        <w:gridCol w:w="347"/>
        <w:gridCol w:w="36"/>
        <w:gridCol w:w="36"/>
        <w:gridCol w:w="346"/>
        <w:gridCol w:w="36"/>
        <w:gridCol w:w="36"/>
        <w:gridCol w:w="346"/>
        <w:gridCol w:w="36"/>
        <w:gridCol w:w="36"/>
        <w:gridCol w:w="346"/>
        <w:gridCol w:w="36"/>
        <w:gridCol w:w="36"/>
        <w:gridCol w:w="346"/>
        <w:gridCol w:w="36"/>
        <w:gridCol w:w="36"/>
        <w:gridCol w:w="346"/>
        <w:gridCol w:w="36"/>
        <w:gridCol w:w="36"/>
        <w:gridCol w:w="346"/>
        <w:gridCol w:w="36"/>
        <w:gridCol w:w="36"/>
        <w:gridCol w:w="346"/>
        <w:gridCol w:w="36"/>
        <w:gridCol w:w="36"/>
        <w:gridCol w:w="647"/>
        <w:gridCol w:w="36"/>
        <w:gridCol w:w="36"/>
        <w:gridCol w:w="346"/>
        <w:gridCol w:w="36"/>
        <w:gridCol w:w="36"/>
        <w:gridCol w:w="346"/>
        <w:gridCol w:w="36"/>
        <w:gridCol w:w="36"/>
        <w:gridCol w:w="346"/>
        <w:gridCol w:w="36"/>
        <w:gridCol w:w="36"/>
        <w:gridCol w:w="346"/>
        <w:gridCol w:w="36"/>
        <w:gridCol w:w="36"/>
        <w:gridCol w:w="346"/>
        <w:gridCol w:w="36"/>
        <w:gridCol w:w="36"/>
        <w:gridCol w:w="346"/>
        <w:gridCol w:w="36"/>
        <w:gridCol w:w="36"/>
        <w:gridCol w:w="346"/>
        <w:gridCol w:w="36"/>
        <w:gridCol w:w="36"/>
        <w:gridCol w:w="346"/>
        <w:gridCol w:w="36"/>
        <w:gridCol w:w="36"/>
        <w:gridCol w:w="346"/>
        <w:gridCol w:w="36"/>
      </w:tblGrid>
      <w:tr w:rsidR="00BA49F5" w14:paraId="5CD8E6D2" w14:textId="77777777">
        <w:trPr>
          <w:jc w:val="center"/>
        </w:trPr>
        <w:tc>
          <w:tcPr>
            <w:tcW w:w="20" w:type="dxa"/>
            <w:shd w:val="clear" w:color="auto" w:fill="auto"/>
            <w:vAlign w:val="bottom"/>
          </w:tcPr>
          <w:p w14:paraId="5CD8E696" w14:textId="77777777" w:rsidR="00BA49F5" w:rsidRDefault="00BA49F5">
            <w:pPr>
              <w:rPr>
                <w:rFonts w:ascii="宋体"/>
              </w:rPr>
            </w:pPr>
          </w:p>
        </w:tc>
        <w:tc>
          <w:tcPr>
            <w:tcW w:w="665" w:type="dxa"/>
            <w:shd w:val="clear" w:color="auto" w:fill="auto"/>
            <w:vAlign w:val="bottom"/>
          </w:tcPr>
          <w:p w14:paraId="5CD8E697" w14:textId="77777777" w:rsidR="00BA49F5" w:rsidRDefault="00BA49F5">
            <w:pPr>
              <w:rPr>
                <w:rFonts w:ascii="宋体"/>
              </w:rPr>
            </w:pPr>
          </w:p>
        </w:tc>
        <w:tc>
          <w:tcPr>
            <w:tcW w:w="20" w:type="dxa"/>
            <w:shd w:val="clear" w:color="auto" w:fill="auto"/>
            <w:vAlign w:val="bottom"/>
          </w:tcPr>
          <w:p w14:paraId="5CD8E698" w14:textId="77777777" w:rsidR="00BA49F5" w:rsidRDefault="00BA49F5">
            <w:pPr>
              <w:rPr>
                <w:rFonts w:ascii="宋体"/>
              </w:rPr>
            </w:pPr>
          </w:p>
        </w:tc>
        <w:tc>
          <w:tcPr>
            <w:tcW w:w="20" w:type="dxa"/>
            <w:shd w:val="clear" w:color="auto" w:fill="auto"/>
            <w:vAlign w:val="bottom"/>
          </w:tcPr>
          <w:p w14:paraId="5CD8E699" w14:textId="77777777" w:rsidR="00BA49F5" w:rsidRDefault="00BA49F5">
            <w:pPr>
              <w:rPr>
                <w:rFonts w:ascii="宋体"/>
              </w:rPr>
            </w:pPr>
          </w:p>
        </w:tc>
        <w:tc>
          <w:tcPr>
            <w:tcW w:w="380" w:type="dxa"/>
            <w:shd w:val="clear" w:color="auto" w:fill="auto"/>
            <w:vAlign w:val="bottom"/>
          </w:tcPr>
          <w:p w14:paraId="5CD8E69A" w14:textId="77777777" w:rsidR="00BA49F5" w:rsidRDefault="00BA49F5">
            <w:pPr>
              <w:rPr>
                <w:rFonts w:ascii="宋体"/>
              </w:rPr>
            </w:pPr>
          </w:p>
        </w:tc>
        <w:tc>
          <w:tcPr>
            <w:tcW w:w="20" w:type="dxa"/>
            <w:shd w:val="clear" w:color="auto" w:fill="auto"/>
            <w:vAlign w:val="bottom"/>
          </w:tcPr>
          <w:p w14:paraId="5CD8E69B" w14:textId="77777777" w:rsidR="00BA49F5" w:rsidRDefault="00BA49F5">
            <w:pPr>
              <w:rPr>
                <w:rFonts w:ascii="宋体"/>
              </w:rPr>
            </w:pPr>
          </w:p>
        </w:tc>
        <w:tc>
          <w:tcPr>
            <w:tcW w:w="20" w:type="dxa"/>
            <w:shd w:val="clear" w:color="auto" w:fill="auto"/>
            <w:vAlign w:val="bottom"/>
          </w:tcPr>
          <w:p w14:paraId="5CD8E69C" w14:textId="77777777" w:rsidR="00BA49F5" w:rsidRDefault="00BA49F5">
            <w:pPr>
              <w:rPr>
                <w:rFonts w:ascii="宋体"/>
              </w:rPr>
            </w:pPr>
          </w:p>
        </w:tc>
        <w:tc>
          <w:tcPr>
            <w:tcW w:w="380" w:type="dxa"/>
            <w:shd w:val="clear" w:color="auto" w:fill="auto"/>
            <w:vAlign w:val="bottom"/>
          </w:tcPr>
          <w:p w14:paraId="5CD8E69D" w14:textId="77777777" w:rsidR="00BA49F5" w:rsidRDefault="00BA49F5">
            <w:pPr>
              <w:rPr>
                <w:rFonts w:ascii="宋体"/>
              </w:rPr>
            </w:pPr>
          </w:p>
        </w:tc>
        <w:tc>
          <w:tcPr>
            <w:tcW w:w="20" w:type="dxa"/>
            <w:shd w:val="clear" w:color="auto" w:fill="auto"/>
            <w:vAlign w:val="bottom"/>
          </w:tcPr>
          <w:p w14:paraId="5CD8E69E" w14:textId="77777777" w:rsidR="00BA49F5" w:rsidRDefault="00BA49F5">
            <w:pPr>
              <w:rPr>
                <w:rFonts w:ascii="宋体"/>
              </w:rPr>
            </w:pPr>
          </w:p>
        </w:tc>
        <w:tc>
          <w:tcPr>
            <w:tcW w:w="20" w:type="dxa"/>
            <w:shd w:val="clear" w:color="auto" w:fill="auto"/>
            <w:vAlign w:val="bottom"/>
          </w:tcPr>
          <w:p w14:paraId="5CD8E69F" w14:textId="77777777" w:rsidR="00BA49F5" w:rsidRDefault="00BA49F5">
            <w:pPr>
              <w:rPr>
                <w:rFonts w:ascii="宋体"/>
              </w:rPr>
            </w:pPr>
          </w:p>
        </w:tc>
        <w:tc>
          <w:tcPr>
            <w:tcW w:w="380" w:type="dxa"/>
            <w:shd w:val="clear" w:color="auto" w:fill="auto"/>
            <w:vAlign w:val="bottom"/>
          </w:tcPr>
          <w:p w14:paraId="5CD8E6A0" w14:textId="77777777" w:rsidR="00BA49F5" w:rsidRDefault="00BA49F5">
            <w:pPr>
              <w:rPr>
                <w:rFonts w:ascii="宋体"/>
              </w:rPr>
            </w:pPr>
          </w:p>
        </w:tc>
        <w:tc>
          <w:tcPr>
            <w:tcW w:w="20" w:type="dxa"/>
            <w:shd w:val="clear" w:color="auto" w:fill="auto"/>
            <w:vAlign w:val="bottom"/>
          </w:tcPr>
          <w:p w14:paraId="5CD8E6A1" w14:textId="77777777" w:rsidR="00BA49F5" w:rsidRDefault="00BA49F5">
            <w:pPr>
              <w:rPr>
                <w:rFonts w:ascii="宋体"/>
              </w:rPr>
            </w:pPr>
          </w:p>
        </w:tc>
        <w:tc>
          <w:tcPr>
            <w:tcW w:w="20" w:type="dxa"/>
            <w:shd w:val="clear" w:color="auto" w:fill="auto"/>
            <w:vAlign w:val="bottom"/>
          </w:tcPr>
          <w:p w14:paraId="5CD8E6A2" w14:textId="77777777" w:rsidR="00BA49F5" w:rsidRDefault="00BA49F5">
            <w:pPr>
              <w:rPr>
                <w:rFonts w:ascii="宋体"/>
              </w:rPr>
            </w:pPr>
          </w:p>
        </w:tc>
        <w:tc>
          <w:tcPr>
            <w:tcW w:w="380" w:type="dxa"/>
            <w:shd w:val="clear" w:color="auto" w:fill="auto"/>
            <w:vAlign w:val="bottom"/>
          </w:tcPr>
          <w:p w14:paraId="5CD8E6A3" w14:textId="77777777" w:rsidR="00BA49F5" w:rsidRDefault="00BA49F5">
            <w:pPr>
              <w:rPr>
                <w:rFonts w:ascii="宋体"/>
              </w:rPr>
            </w:pPr>
          </w:p>
        </w:tc>
        <w:tc>
          <w:tcPr>
            <w:tcW w:w="20" w:type="dxa"/>
            <w:shd w:val="clear" w:color="auto" w:fill="auto"/>
            <w:vAlign w:val="bottom"/>
          </w:tcPr>
          <w:p w14:paraId="5CD8E6A4" w14:textId="77777777" w:rsidR="00BA49F5" w:rsidRDefault="00BA49F5">
            <w:pPr>
              <w:rPr>
                <w:rFonts w:ascii="宋体"/>
              </w:rPr>
            </w:pPr>
          </w:p>
        </w:tc>
        <w:tc>
          <w:tcPr>
            <w:tcW w:w="20" w:type="dxa"/>
            <w:shd w:val="clear" w:color="auto" w:fill="auto"/>
            <w:vAlign w:val="bottom"/>
          </w:tcPr>
          <w:p w14:paraId="5CD8E6A5" w14:textId="77777777" w:rsidR="00BA49F5" w:rsidRDefault="00BA49F5">
            <w:pPr>
              <w:rPr>
                <w:rFonts w:ascii="宋体"/>
              </w:rPr>
            </w:pPr>
          </w:p>
        </w:tc>
        <w:tc>
          <w:tcPr>
            <w:tcW w:w="380" w:type="dxa"/>
            <w:shd w:val="clear" w:color="auto" w:fill="auto"/>
            <w:vAlign w:val="bottom"/>
          </w:tcPr>
          <w:p w14:paraId="5CD8E6A6" w14:textId="77777777" w:rsidR="00BA49F5" w:rsidRDefault="00BA49F5">
            <w:pPr>
              <w:rPr>
                <w:rFonts w:ascii="宋体"/>
              </w:rPr>
            </w:pPr>
          </w:p>
        </w:tc>
        <w:tc>
          <w:tcPr>
            <w:tcW w:w="20" w:type="dxa"/>
            <w:shd w:val="clear" w:color="auto" w:fill="auto"/>
            <w:vAlign w:val="bottom"/>
          </w:tcPr>
          <w:p w14:paraId="5CD8E6A7" w14:textId="77777777" w:rsidR="00BA49F5" w:rsidRDefault="00BA49F5">
            <w:pPr>
              <w:rPr>
                <w:rFonts w:ascii="宋体"/>
              </w:rPr>
            </w:pPr>
          </w:p>
        </w:tc>
        <w:tc>
          <w:tcPr>
            <w:tcW w:w="20" w:type="dxa"/>
            <w:shd w:val="clear" w:color="auto" w:fill="auto"/>
            <w:vAlign w:val="bottom"/>
          </w:tcPr>
          <w:p w14:paraId="5CD8E6A8" w14:textId="77777777" w:rsidR="00BA49F5" w:rsidRDefault="00BA49F5">
            <w:pPr>
              <w:rPr>
                <w:rFonts w:ascii="宋体"/>
              </w:rPr>
            </w:pPr>
          </w:p>
        </w:tc>
        <w:tc>
          <w:tcPr>
            <w:tcW w:w="380" w:type="dxa"/>
            <w:shd w:val="clear" w:color="auto" w:fill="auto"/>
            <w:vAlign w:val="bottom"/>
          </w:tcPr>
          <w:p w14:paraId="5CD8E6A9" w14:textId="77777777" w:rsidR="00BA49F5" w:rsidRDefault="00BA49F5">
            <w:pPr>
              <w:rPr>
                <w:rFonts w:ascii="宋体"/>
              </w:rPr>
            </w:pPr>
          </w:p>
        </w:tc>
        <w:tc>
          <w:tcPr>
            <w:tcW w:w="20" w:type="dxa"/>
            <w:shd w:val="clear" w:color="auto" w:fill="auto"/>
            <w:vAlign w:val="bottom"/>
          </w:tcPr>
          <w:p w14:paraId="5CD8E6AA" w14:textId="77777777" w:rsidR="00BA49F5" w:rsidRDefault="00BA49F5">
            <w:pPr>
              <w:rPr>
                <w:rFonts w:ascii="宋体"/>
              </w:rPr>
            </w:pPr>
          </w:p>
        </w:tc>
        <w:tc>
          <w:tcPr>
            <w:tcW w:w="20" w:type="dxa"/>
            <w:shd w:val="clear" w:color="auto" w:fill="auto"/>
            <w:vAlign w:val="bottom"/>
          </w:tcPr>
          <w:p w14:paraId="5CD8E6AB" w14:textId="77777777" w:rsidR="00BA49F5" w:rsidRDefault="00BA49F5">
            <w:pPr>
              <w:rPr>
                <w:rFonts w:ascii="宋体"/>
              </w:rPr>
            </w:pPr>
          </w:p>
        </w:tc>
        <w:tc>
          <w:tcPr>
            <w:tcW w:w="380" w:type="dxa"/>
            <w:shd w:val="clear" w:color="auto" w:fill="auto"/>
            <w:vAlign w:val="bottom"/>
          </w:tcPr>
          <w:p w14:paraId="5CD8E6AC" w14:textId="77777777" w:rsidR="00BA49F5" w:rsidRDefault="00BA49F5">
            <w:pPr>
              <w:rPr>
                <w:rFonts w:ascii="宋体"/>
              </w:rPr>
            </w:pPr>
          </w:p>
        </w:tc>
        <w:tc>
          <w:tcPr>
            <w:tcW w:w="20" w:type="dxa"/>
            <w:shd w:val="clear" w:color="auto" w:fill="auto"/>
            <w:vAlign w:val="bottom"/>
          </w:tcPr>
          <w:p w14:paraId="5CD8E6AD" w14:textId="77777777" w:rsidR="00BA49F5" w:rsidRDefault="00BA49F5">
            <w:pPr>
              <w:rPr>
                <w:rFonts w:ascii="宋体"/>
              </w:rPr>
            </w:pPr>
          </w:p>
        </w:tc>
        <w:tc>
          <w:tcPr>
            <w:tcW w:w="20" w:type="dxa"/>
            <w:shd w:val="clear" w:color="auto" w:fill="auto"/>
            <w:vAlign w:val="bottom"/>
          </w:tcPr>
          <w:p w14:paraId="5CD8E6AE" w14:textId="77777777" w:rsidR="00BA49F5" w:rsidRDefault="00BA49F5">
            <w:pPr>
              <w:rPr>
                <w:rFonts w:ascii="宋体"/>
              </w:rPr>
            </w:pPr>
          </w:p>
        </w:tc>
        <w:tc>
          <w:tcPr>
            <w:tcW w:w="380" w:type="dxa"/>
            <w:shd w:val="clear" w:color="auto" w:fill="auto"/>
            <w:vAlign w:val="bottom"/>
          </w:tcPr>
          <w:p w14:paraId="5CD8E6AF" w14:textId="77777777" w:rsidR="00BA49F5" w:rsidRDefault="00BA49F5">
            <w:pPr>
              <w:rPr>
                <w:rFonts w:ascii="宋体"/>
              </w:rPr>
            </w:pPr>
          </w:p>
        </w:tc>
        <w:tc>
          <w:tcPr>
            <w:tcW w:w="20" w:type="dxa"/>
            <w:shd w:val="clear" w:color="auto" w:fill="auto"/>
            <w:vAlign w:val="bottom"/>
          </w:tcPr>
          <w:p w14:paraId="5CD8E6B0" w14:textId="77777777" w:rsidR="00BA49F5" w:rsidRDefault="00BA49F5">
            <w:pPr>
              <w:rPr>
                <w:rFonts w:ascii="宋体"/>
              </w:rPr>
            </w:pPr>
          </w:p>
        </w:tc>
        <w:tc>
          <w:tcPr>
            <w:tcW w:w="20" w:type="dxa"/>
            <w:shd w:val="clear" w:color="auto" w:fill="auto"/>
            <w:vAlign w:val="bottom"/>
          </w:tcPr>
          <w:p w14:paraId="5CD8E6B1" w14:textId="77777777" w:rsidR="00BA49F5" w:rsidRDefault="00BA49F5">
            <w:pPr>
              <w:rPr>
                <w:rFonts w:ascii="宋体"/>
              </w:rPr>
            </w:pPr>
          </w:p>
        </w:tc>
        <w:tc>
          <w:tcPr>
            <w:tcW w:w="380" w:type="dxa"/>
            <w:shd w:val="clear" w:color="auto" w:fill="auto"/>
            <w:vAlign w:val="bottom"/>
          </w:tcPr>
          <w:p w14:paraId="5CD8E6B2" w14:textId="77777777" w:rsidR="00BA49F5" w:rsidRDefault="00BA49F5">
            <w:pPr>
              <w:rPr>
                <w:rFonts w:ascii="宋体"/>
              </w:rPr>
            </w:pPr>
          </w:p>
        </w:tc>
        <w:tc>
          <w:tcPr>
            <w:tcW w:w="20" w:type="dxa"/>
            <w:shd w:val="clear" w:color="auto" w:fill="auto"/>
            <w:vAlign w:val="bottom"/>
          </w:tcPr>
          <w:p w14:paraId="5CD8E6B3" w14:textId="77777777" w:rsidR="00BA49F5" w:rsidRDefault="00BA49F5">
            <w:pPr>
              <w:rPr>
                <w:rFonts w:ascii="宋体"/>
              </w:rPr>
            </w:pPr>
          </w:p>
        </w:tc>
        <w:tc>
          <w:tcPr>
            <w:tcW w:w="20" w:type="dxa"/>
            <w:shd w:val="clear" w:color="auto" w:fill="auto"/>
            <w:vAlign w:val="bottom"/>
          </w:tcPr>
          <w:p w14:paraId="5CD8E6B4" w14:textId="77777777" w:rsidR="00BA49F5" w:rsidRDefault="00BA49F5">
            <w:pPr>
              <w:rPr>
                <w:rFonts w:ascii="宋体"/>
              </w:rPr>
            </w:pPr>
          </w:p>
        </w:tc>
        <w:tc>
          <w:tcPr>
            <w:tcW w:w="665" w:type="dxa"/>
            <w:shd w:val="clear" w:color="auto" w:fill="auto"/>
            <w:vAlign w:val="bottom"/>
          </w:tcPr>
          <w:p w14:paraId="5CD8E6B5" w14:textId="77777777" w:rsidR="00BA49F5" w:rsidRDefault="00BA49F5">
            <w:pPr>
              <w:rPr>
                <w:rFonts w:ascii="宋体"/>
              </w:rPr>
            </w:pPr>
          </w:p>
        </w:tc>
        <w:tc>
          <w:tcPr>
            <w:tcW w:w="20" w:type="dxa"/>
            <w:shd w:val="clear" w:color="auto" w:fill="auto"/>
            <w:vAlign w:val="bottom"/>
          </w:tcPr>
          <w:p w14:paraId="5CD8E6B6" w14:textId="77777777" w:rsidR="00BA49F5" w:rsidRDefault="00BA49F5">
            <w:pPr>
              <w:rPr>
                <w:rFonts w:ascii="宋体"/>
              </w:rPr>
            </w:pPr>
          </w:p>
        </w:tc>
        <w:tc>
          <w:tcPr>
            <w:tcW w:w="20" w:type="dxa"/>
            <w:shd w:val="clear" w:color="auto" w:fill="auto"/>
            <w:vAlign w:val="bottom"/>
          </w:tcPr>
          <w:p w14:paraId="5CD8E6B7" w14:textId="77777777" w:rsidR="00BA49F5" w:rsidRDefault="00BA49F5">
            <w:pPr>
              <w:rPr>
                <w:rFonts w:ascii="宋体"/>
              </w:rPr>
            </w:pPr>
          </w:p>
        </w:tc>
        <w:tc>
          <w:tcPr>
            <w:tcW w:w="380" w:type="dxa"/>
            <w:shd w:val="clear" w:color="auto" w:fill="auto"/>
            <w:vAlign w:val="bottom"/>
          </w:tcPr>
          <w:p w14:paraId="5CD8E6B8" w14:textId="77777777" w:rsidR="00BA49F5" w:rsidRDefault="00BA49F5">
            <w:pPr>
              <w:rPr>
                <w:rFonts w:ascii="宋体"/>
              </w:rPr>
            </w:pPr>
          </w:p>
        </w:tc>
        <w:tc>
          <w:tcPr>
            <w:tcW w:w="20" w:type="dxa"/>
            <w:shd w:val="clear" w:color="auto" w:fill="auto"/>
            <w:vAlign w:val="bottom"/>
          </w:tcPr>
          <w:p w14:paraId="5CD8E6B9" w14:textId="77777777" w:rsidR="00BA49F5" w:rsidRDefault="00BA49F5">
            <w:pPr>
              <w:rPr>
                <w:rFonts w:ascii="宋体"/>
              </w:rPr>
            </w:pPr>
          </w:p>
        </w:tc>
        <w:tc>
          <w:tcPr>
            <w:tcW w:w="20" w:type="dxa"/>
            <w:shd w:val="clear" w:color="auto" w:fill="auto"/>
            <w:vAlign w:val="bottom"/>
          </w:tcPr>
          <w:p w14:paraId="5CD8E6BA" w14:textId="77777777" w:rsidR="00BA49F5" w:rsidRDefault="00BA49F5">
            <w:pPr>
              <w:rPr>
                <w:rFonts w:ascii="宋体"/>
              </w:rPr>
            </w:pPr>
          </w:p>
        </w:tc>
        <w:tc>
          <w:tcPr>
            <w:tcW w:w="380" w:type="dxa"/>
            <w:shd w:val="clear" w:color="auto" w:fill="auto"/>
            <w:vAlign w:val="bottom"/>
          </w:tcPr>
          <w:p w14:paraId="5CD8E6BB" w14:textId="77777777" w:rsidR="00BA49F5" w:rsidRDefault="00BA49F5">
            <w:pPr>
              <w:rPr>
                <w:rFonts w:ascii="宋体"/>
              </w:rPr>
            </w:pPr>
          </w:p>
        </w:tc>
        <w:tc>
          <w:tcPr>
            <w:tcW w:w="20" w:type="dxa"/>
            <w:shd w:val="clear" w:color="auto" w:fill="auto"/>
            <w:vAlign w:val="bottom"/>
          </w:tcPr>
          <w:p w14:paraId="5CD8E6BC" w14:textId="77777777" w:rsidR="00BA49F5" w:rsidRDefault="00BA49F5">
            <w:pPr>
              <w:rPr>
                <w:rFonts w:ascii="宋体"/>
              </w:rPr>
            </w:pPr>
          </w:p>
        </w:tc>
        <w:tc>
          <w:tcPr>
            <w:tcW w:w="20" w:type="dxa"/>
            <w:shd w:val="clear" w:color="auto" w:fill="auto"/>
            <w:vAlign w:val="bottom"/>
          </w:tcPr>
          <w:p w14:paraId="5CD8E6BD" w14:textId="77777777" w:rsidR="00BA49F5" w:rsidRDefault="00BA49F5">
            <w:pPr>
              <w:rPr>
                <w:rFonts w:ascii="宋体"/>
              </w:rPr>
            </w:pPr>
          </w:p>
        </w:tc>
        <w:tc>
          <w:tcPr>
            <w:tcW w:w="380" w:type="dxa"/>
            <w:shd w:val="clear" w:color="auto" w:fill="auto"/>
            <w:vAlign w:val="bottom"/>
          </w:tcPr>
          <w:p w14:paraId="5CD8E6BE" w14:textId="77777777" w:rsidR="00BA49F5" w:rsidRDefault="00BA49F5">
            <w:pPr>
              <w:rPr>
                <w:rFonts w:ascii="宋体"/>
              </w:rPr>
            </w:pPr>
          </w:p>
        </w:tc>
        <w:tc>
          <w:tcPr>
            <w:tcW w:w="20" w:type="dxa"/>
            <w:shd w:val="clear" w:color="auto" w:fill="auto"/>
            <w:vAlign w:val="bottom"/>
          </w:tcPr>
          <w:p w14:paraId="5CD8E6BF" w14:textId="77777777" w:rsidR="00BA49F5" w:rsidRDefault="00BA49F5">
            <w:pPr>
              <w:rPr>
                <w:rFonts w:ascii="宋体"/>
              </w:rPr>
            </w:pPr>
          </w:p>
        </w:tc>
        <w:tc>
          <w:tcPr>
            <w:tcW w:w="20" w:type="dxa"/>
            <w:shd w:val="clear" w:color="auto" w:fill="auto"/>
            <w:vAlign w:val="bottom"/>
          </w:tcPr>
          <w:p w14:paraId="5CD8E6C0" w14:textId="77777777" w:rsidR="00BA49F5" w:rsidRDefault="00BA49F5">
            <w:pPr>
              <w:rPr>
                <w:rFonts w:ascii="宋体"/>
              </w:rPr>
            </w:pPr>
          </w:p>
        </w:tc>
        <w:tc>
          <w:tcPr>
            <w:tcW w:w="380" w:type="dxa"/>
            <w:shd w:val="clear" w:color="auto" w:fill="auto"/>
            <w:vAlign w:val="bottom"/>
          </w:tcPr>
          <w:p w14:paraId="5CD8E6C1" w14:textId="77777777" w:rsidR="00BA49F5" w:rsidRDefault="00BA49F5">
            <w:pPr>
              <w:rPr>
                <w:rFonts w:ascii="宋体"/>
              </w:rPr>
            </w:pPr>
          </w:p>
        </w:tc>
        <w:tc>
          <w:tcPr>
            <w:tcW w:w="20" w:type="dxa"/>
            <w:shd w:val="clear" w:color="auto" w:fill="auto"/>
            <w:vAlign w:val="bottom"/>
          </w:tcPr>
          <w:p w14:paraId="5CD8E6C2" w14:textId="77777777" w:rsidR="00BA49F5" w:rsidRDefault="00BA49F5">
            <w:pPr>
              <w:rPr>
                <w:rFonts w:ascii="宋体"/>
              </w:rPr>
            </w:pPr>
          </w:p>
        </w:tc>
        <w:tc>
          <w:tcPr>
            <w:tcW w:w="20" w:type="dxa"/>
            <w:shd w:val="clear" w:color="auto" w:fill="auto"/>
            <w:vAlign w:val="bottom"/>
          </w:tcPr>
          <w:p w14:paraId="5CD8E6C3" w14:textId="77777777" w:rsidR="00BA49F5" w:rsidRDefault="00BA49F5">
            <w:pPr>
              <w:rPr>
                <w:rFonts w:ascii="宋体"/>
              </w:rPr>
            </w:pPr>
          </w:p>
        </w:tc>
        <w:tc>
          <w:tcPr>
            <w:tcW w:w="380" w:type="dxa"/>
            <w:shd w:val="clear" w:color="auto" w:fill="auto"/>
            <w:vAlign w:val="bottom"/>
          </w:tcPr>
          <w:p w14:paraId="5CD8E6C4" w14:textId="77777777" w:rsidR="00BA49F5" w:rsidRDefault="00BA49F5">
            <w:pPr>
              <w:rPr>
                <w:rFonts w:ascii="宋体"/>
              </w:rPr>
            </w:pPr>
          </w:p>
        </w:tc>
        <w:tc>
          <w:tcPr>
            <w:tcW w:w="20" w:type="dxa"/>
            <w:shd w:val="clear" w:color="auto" w:fill="auto"/>
            <w:vAlign w:val="bottom"/>
          </w:tcPr>
          <w:p w14:paraId="5CD8E6C5" w14:textId="77777777" w:rsidR="00BA49F5" w:rsidRDefault="00BA49F5">
            <w:pPr>
              <w:rPr>
                <w:rFonts w:ascii="宋体"/>
              </w:rPr>
            </w:pPr>
          </w:p>
        </w:tc>
        <w:tc>
          <w:tcPr>
            <w:tcW w:w="20" w:type="dxa"/>
            <w:shd w:val="clear" w:color="auto" w:fill="auto"/>
            <w:vAlign w:val="bottom"/>
          </w:tcPr>
          <w:p w14:paraId="5CD8E6C6" w14:textId="77777777" w:rsidR="00BA49F5" w:rsidRDefault="00BA49F5">
            <w:pPr>
              <w:rPr>
                <w:rFonts w:ascii="宋体"/>
              </w:rPr>
            </w:pPr>
          </w:p>
        </w:tc>
        <w:tc>
          <w:tcPr>
            <w:tcW w:w="380" w:type="dxa"/>
            <w:shd w:val="clear" w:color="auto" w:fill="auto"/>
            <w:vAlign w:val="bottom"/>
          </w:tcPr>
          <w:p w14:paraId="5CD8E6C7" w14:textId="77777777" w:rsidR="00BA49F5" w:rsidRDefault="00BA49F5">
            <w:pPr>
              <w:rPr>
                <w:rFonts w:ascii="宋体"/>
              </w:rPr>
            </w:pPr>
          </w:p>
        </w:tc>
        <w:tc>
          <w:tcPr>
            <w:tcW w:w="20" w:type="dxa"/>
            <w:shd w:val="clear" w:color="auto" w:fill="auto"/>
            <w:vAlign w:val="bottom"/>
          </w:tcPr>
          <w:p w14:paraId="5CD8E6C8" w14:textId="77777777" w:rsidR="00BA49F5" w:rsidRDefault="00BA49F5">
            <w:pPr>
              <w:rPr>
                <w:rFonts w:ascii="宋体"/>
              </w:rPr>
            </w:pPr>
          </w:p>
        </w:tc>
        <w:tc>
          <w:tcPr>
            <w:tcW w:w="20" w:type="dxa"/>
            <w:shd w:val="clear" w:color="auto" w:fill="auto"/>
            <w:vAlign w:val="bottom"/>
          </w:tcPr>
          <w:p w14:paraId="5CD8E6C9" w14:textId="77777777" w:rsidR="00BA49F5" w:rsidRDefault="00BA49F5">
            <w:pPr>
              <w:rPr>
                <w:rFonts w:ascii="宋体"/>
              </w:rPr>
            </w:pPr>
          </w:p>
        </w:tc>
        <w:tc>
          <w:tcPr>
            <w:tcW w:w="380" w:type="dxa"/>
            <w:shd w:val="clear" w:color="auto" w:fill="auto"/>
            <w:vAlign w:val="bottom"/>
          </w:tcPr>
          <w:p w14:paraId="5CD8E6CA" w14:textId="77777777" w:rsidR="00BA49F5" w:rsidRDefault="00BA49F5">
            <w:pPr>
              <w:rPr>
                <w:rFonts w:ascii="宋体"/>
              </w:rPr>
            </w:pPr>
          </w:p>
        </w:tc>
        <w:tc>
          <w:tcPr>
            <w:tcW w:w="20" w:type="dxa"/>
            <w:shd w:val="clear" w:color="auto" w:fill="auto"/>
            <w:vAlign w:val="bottom"/>
          </w:tcPr>
          <w:p w14:paraId="5CD8E6CB" w14:textId="77777777" w:rsidR="00BA49F5" w:rsidRDefault="00BA49F5">
            <w:pPr>
              <w:rPr>
                <w:rFonts w:ascii="宋体"/>
              </w:rPr>
            </w:pPr>
          </w:p>
        </w:tc>
        <w:tc>
          <w:tcPr>
            <w:tcW w:w="20" w:type="dxa"/>
            <w:shd w:val="clear" w:color="auto" w:fill="auto"/>
            <w:vAlign w:val="bottom"/>
          </w:tcPr>
          <w:p w14:paraId="5CD8E6CC" w14:textId="77777777" w:rsidR="00BA49F5" w:rsidRDefault="00BA49F5">
            <w:pPr>
              <w:rPr>
                <w:rFonts w:ascii="宋体"/>
              </w:rPr>
            </w:pPr>
          </w:p>
        </w:tc>
        <w:tc>
          <w:tcPr>
            <w:tcW w:w="380" w:type="dxa"/>
            <w:shd w:val="clear" w:color="auto" w:fill="auto"/>
            <w:vAlign w:val="bottom"/>
          </w:tcPr>
          <w:p w14:paraId="5CD8E6CD" w14:textId="77777777" w:rsidR="00BA49F5" w:rsidRDefault="00BA49F5">
            <w:pPr>
              <w:rPr>
                <w:rFonts w:ascii="宋体"/>
              </w:rPr>
            </w:pPr>
          </w:p>
        </w:tc>
        <w:tc>
          <w:tcPr>
            <w:tcW w:w="20" w:type="dxa"/>
            <w:shd w:val="clear" w:color="auto" w:fill="auto"/>
            <w:vAlign w:val="bottom"/>
          </w:tcPr>
          <w:p w14:paraId="5CD8E6CE" w14:textId="77777777" w:rsidR="00BA49F5" w:rsidRDefault="00BA49F5">
            <w:pPr>
              <w:rPr>
                <w:rFonts w:ascii="宋体"/>
              </w:rPr>
            </w:pPr>
          </w:p>
        </w:tc>
        <w:tc>
          <w:tcPr>
            <w:tcW w:w="20" w:type="dxa"/>
            <w:shd w:val="clear" w:color="auto" w:fill="auto"/>
            <w:vAlign w:val="bottom"/>
          </w:tcPr>
          <w:p w14:paraId="5CD8E6CF" w14:textId="77777777" w:rsidR="00BA49F5" w:rsidRDefault="00BA49F5">
            <w:pPr>
              <w:rPr>
                <w:rFonts w:ascii="宋体"/>
              </w:rPr>
            </w:pPr>
          </w:p>
        </w:tc>
        <w:tc>
          <w:tcPr>
            <w:tcW w:w="380" w:type="dxa"/>
            <w:shd w:val="clear" w:color="auto" w:fill="auto"/>
            <w:vAlign w:val="bottom"/>
          </w:tcPr>
          <w:p w14:paraId="5CD8E6D0" w14:textId="77777777" w:rsidR="00BA49F5" w:rsidRDefault="00BA49F5">
            <w:pPr>
              <w:rPr>
                <w:rFonts w:ascii="宋体"/>
              </w:rPr>
            </w:pPr>
          </w:p>
        </w:tc>
        <w:tc>
          <w:tcPr>
            <w:tcW w:w="20" w:type="dxa"/>
            <w:shd w:val="clear" w:color="auto" w:fill="auto"/>
            <w:vAlign w:val="bottom"/>
          </w:tcPr>
          <w:p w14:paraId="5CD8E6D1" w14:textId="77777777" w:rsidR="00BA49F5" w:rsidRDefault="00BA49F5">
            <w:pPr>
              <w:rPr>
                <w:rFonts w:ascii="宋体"/>
              </w:rPr>
            </w:pPr>
          </w:p>
        </w:tc>
      </w:tr>
      <w:tr w:rsidR="00BA49F5" w14:paraId="5CD8E6E7" w14:textId="77777777">
        <w:trPr>
          <w:trHeight w:val="220"/>
          <w:jc w:val="center"/>
        </w:trPr>
        <w:tc>
          <w:tcPr>
            <w:tcW w:w="0" w:type="auto"/>
            <w:gridSpan w:val="3"/>
            <w:shd w:val="clear" w:color="auto" w:fill="auto"/>
            <w:tcMar>
              <w:top w:w="40" w:type="dxa"/>
              <w:left w:w="20" w:type="dxa"/>
              <w:bottom w:w="40" w:type="dxa"/>
              <w:right w:w="20" w:type="dxa"/>
            </w:tcMar>
          </w:tcPr>
          <w:p w14:paraId="5CD8E6D3" w14:textId="77777777" w:rsidR="00BA49F5" w:rsidRDefault="007E5E49">
            <w:pPr>
              <w:jc w:val="right"/>
              <w:textAlignment w:val="top"/>
            </w:pPr>
            <w:r>
              <w:rPr>
                <w:rFonts w:ascii="sans-serif" w:eastAsia="宋体" w:hAnsi="sans-serif" w:cs="sans-serif"/>
                <w:color w:val="000000"/>
                <w:sz w:val="13"/>
                <w:szCs w:val="13"/>
              </w:rPr>
              <w:t>DAU/MAU:</w:t>
            </w:r>
          </w:p>
        </w:tc>
        <w:tc>
          <w:tcPr>
            <w:tcW w:w="0" w:type="auto"/>
            <w:gridSpan w:val="3"/>
            <w:shd w:val="clear" w:color="auto" w:fill="auto"/>
            <w:tcMar>
              <w:top w:w="40" w:type="dxa"/>
              <w:left w:w="20" w:type="dxa"/>
              <w:bottom w:w="40" w:type="dxa"/>
              <w:right w:w="20" w:type="dxa"/>
            </w:tcMar>
          </w:tcPr>
          <w:p w14:paraId="5CD8E6D4" w14:textId="77777777" w:rsidR="00BA49F5" w:rsidRDefault="007E5E49">
            <w:pPr>
              <w:textAlignment w:val="top"/>
            </w:pPr>
            <w:r>
              <w:rPr>
                <w:rFonts w:ascii="sans-serif" w:eastAsia="宋体" w:hAnsi="sans-serif" w:cs="sans-serif"/>
                <w:color w:val="000000"/>
                <w:sz w:val="13"/>
                <w:szCs w:val="13"/>
              </w:rPr>
              <w:t>62%</w:t>
            </w:r>
          </w:p>
        </w:tc>
        <w:tc>
          <w:tcPr>
            <w:tcW w:w="0" w:type="auto"/>
            <w:gridSpan w:val="3"/>
            <w:shd w:val="clear" w:color="auto" w:fill="auto"/>
            <w:tcMar>
              <w:top w:w="40" w:type="dxa"/>
              <w:left w:w="20" w:type="dxa"/>
              <w:bottom w:w="40" w:type="dxa"/>
              <w:right w:w="20" w:type="dxa"/>
            </w:tcMar>
          </w:tcPr>
          <w:p w14:paraId="5CD8E6D5" w14:textId="77777777" w:rsidR="00BA49F5" w:rsidRDefault="007E5E49">
            <w:pPr>
              <w:textAlignment w:val="top"/>
            </w:pPr>
            <w:r>
              <w:rPr>
                <w:rFonts w:ascii="sans-serif" w:eastAsia="宋体" w:hAnsi="sans-serif" w:cs="sans-serif"/>
                <w:color w:val="000000"/>
                <w:sz w:val="13"/>
                <w:szCs w:val="13"/>
              </w:rPr>
              <w:t>62%</w:t>
            </w:r>
          </w:p>
        </w:tc>
        <w:tc>
          <w:tcPr>
            <w:tcW w:w="0" w:type="auto"/>
            <w:gridSpan w:val="3"/>
            <w:shd w:val="clear" w:color="auto" w:fill="auto"/>
            <w:tcMar>
              <w:top w:w="40" w:type="dxa"/>
              <w:left w:w="20" w:type="dxa"/>
              <w:bottom w:w="40" w:type="dxa"/>
              <w:right w:w="20" w:type="dxa"/>
            </w:tcMar>
          </w:tcPr>
          <w:p w14:paraId="5CD8E6D6" w14:textId="77777777" w:rsidR="00BA49F5" w:rsidRDefault="007E5E49">
            <w:pPr>
              <w:textAlignment w:val="top"/>
            </w:pPr>
            <w:r>
              <w:rPr>
                <w:rFonts w:ascii="sans-serif" w:eastAsia="宋体" w:hAnsi="sans-serif" w:cs="sans-serif"/>
                <w:color w:val="000000"/>
                <w:sz w:val="13"/>
                <w:szCs w:val="13"/>
              </w:rPr>
              <w:t>62%</w:t>
            </w:r>
          </w:p>
        </w:tc>
        <w:tc>
          <w:tcPr>
            <w:tcW w:w="0" w:type="auto"/>
            <w:gridSpan w:val="3"/>
            <w:shd w:val="clear" w:color="auto" w:fill="auto"/>
            <w:tcMar>
              <w:top w:w="40" w:type="dxa"/>
              <w:left w:w="20" w:type="dxa"/>
              <w:bottom w:w="40" w:type="dxa"/>
              <w:right w:w="20" w:type="dxa"/>
            </w:tcMar>
          </w:tcPr>
          <w:p w14:paraId="5CD8E6D7" w14:textId="77777777" w:rsidR="00BA49F5" w:rsidRDefault="007E5E49">
            <w:pPr>
              <w:textAlignment w:val="top"/>
            </w:pPr>
            <w:r>
              <w:rPr>
                <w:rFonts w:ascii="sans-serif" w:eastAsia="宋体" w:hAnsi="sans-serif" w:cs="sans-serif"/>
                <w:color w:val="000000"/>
                <w:sz w:val="13"/>
                <w:szCs w:val="13"/>
              </w:rPr>
              <w:t>63%</w:t>
            </w:r>
          </w:p>
        </w:tc>
        <w:tc>
          <w:tcPr>
            <w:tcW w:w="0" w:type="auto"/>
            <w:gridSpan w:val="3"/>
            <w:shd w:val="clear" w:color="auto" w:fill="auto"/>
            <w:tcMar>
              <w:top w:w="40" w:type="dxa"/>
              <w:left w:w="20" w:type="dxa"/>
              <w:bottom w:w="40" w:type="dxa"/>
              <w:right w:w="20" w:type="dxa"/>
            </w:tcMar>
          </w:tcPr>
          <w:p w14:paraId="5CD8E6D8" w14:textId="77777777" w:rsidR="00BA49F5" w:rsidRDefault="007E5E49">
            <w:pPr>
              <w:textAlignment w:val="top"/>
            </w:pPr>
            <w:r>
              <w:rPr>
                <w:rFonts w:ascii="sans-serif" w:eastAsia="宋体" w:hAnsi="sans-serif" w:cs="sans-serif"/>
                <w:color w:val="000000"/>
                <w:sz w:val="13"/>
                <w:szCs w:val="13"/>
              </w:rPr>
              <w:t>63%</w:t>
            </w:r>
          </w:p>
        </w:tc>
        <w:tc>
          <w:tcPr>
            <w:tcW w:w="0" w:type="auto"/>
            <w:gridSpan w:val="3"/>
            <w:shd w:val="clear" w:color="auto" w:fill="auto"/>
            <w:tcMar>
              <w:top w:w="40" w:type="dxa"/>
              <w:left w:w="20" w:type="dxa"/>
              <w:bottom w:w="40" w:type="dxa"/>
              <w:right w:w="20" w:type="dxa"/>
            </w:tcMar>
          </w:tcPr>
          <w:p w14:paraId="5CD8E6D9" w14:textId="77777777" w:rsidR="00BA49F5" w:rsidRDefault="007E5E49">
            <w:pPr>
              <w:textAlignment w:val="top"/>
            </w:pPr>
            <w:r>
              <w:rPr>
                <w:rFonts w:ascii="sans-serif" w:eastAsia="宋体" w:hAnsi="sans-serif" w:cs="sans-serif"/>
                <w:color w:val="000000"/>
                <w:sz w:val="13"/>
                <w:szCs w:val="13"/>
              </w:rPr>
              <w:t>64%</w:t>
            </w:r>
          </w:p>
        </w:tc>
        <w:tc>
          <w:tcPr>
            <w:tcW w:w="0" w:type="auto"/>
            <w:gridSpan w:val="3"/>
            <w:shd w:val="clear" w:color="auto" w:fill="auto"/>
            <w:tcMar>
              <w:top w:w="40" w:type="dxa"/>
              <w:left w:w="20" w:type="dxa"/>
              <w:bottom w:w="40" w:type="dxa"/>
              <w:right w:w="20" w:type="dxa"/>
            </w:tcMar>
          </w:tcPr>
          <w:p w14:paraId="5CD8E6DA" w14:textId="77777777" w:rsidR="00BA49F5" w:rsidRDefault="007E5E49">
            <w:pPr>
              <w:textAlignment w:val="top"/>
            </w:pPr>
            <w:r>
              <w:rPr>
                <w:rFonts w:ascii="sans-serif" w:eastAsia="宋体" w:hAnsi="sans-serif" w:cs="sans-serif"/>
                <w:color w:val="000000"/>
                <w:sz w:val="13"/>
                <w:szCs w:val="13"/>
              </w:rPr>
              <w:t>64%</w:t>
            </w:r>
          </w:p>
        </w:tc>
        <w:tc>
          <w:tcPr>
            <w:tcW w:w="0" w:type="auto"/>
            <w:gridSpan w:val="3"/>
            <w:shd w:val="clear" w:color="auto" w:fill="auto"/>
            <w:tcMar>
              <w:top w:w="40" w:type="dxa"/>
              <w:left w:w="20" w:type="dxa"/>
              <w:bottom w:w="40" w:type="dxa"/>
              <w:right w:w="20" w:type="dxa"/>
            </w:tcMar>
          </w:tcPr>
          <w:p w14:paraId="5CD8E6DB" w14:textId="77777777" w:rsidR="00BA49F5" w:rsidRDefault="007E5E49">
            <w:pPr>
              <w:textAlignment w:val="top"/>
            </w:pPr>
            <w:r>
              <w:rPr>
                <w:rFonts w:ascii="sans-serif" w:eastAsia="宋体" w:hAnsi="sans-serif" w:cs="sans-serif"/>
                <w:color w:val="000000"/>
                <w:sz w:val="13"/>
                <w:szCs w:val="13"/>
              </w:rPr>
              <w:t>64%</w:t>
            </w:r>
          </w:p>
        </w:tc>
        <w:tc>
          <w:tcPr>
            <w:tcW w:w="0" w:type="auto"/>
            <w:gridSpan w:val="3"/>
            <w:shd w:val="clear" w:color="auto" w:fill="auto"/>
            <w:tcMar>
              <w:top w:w="40" w:type="dxa"/>
              <w:left w:w="20" w:type="dxa"/>
              <w:bottom w:w="40" w:type="dxa"/>
              <w:right w:w="20" w:type="dxa"/>
            </w:tcMar>
          </w:tcPr>
          <w:p w14:paraId="5CD8E6DC" w14:textId="77777777" w:rsidR="00BA49F5" w:rsidRDefault="007E5E49">
            <w:pPr>
              <w:textAlignment w:val="top"/>
            </w:pPr>
            <w:r>
              <w:rPr>
                <w:rFonts w:ascii="sans-serif" w:eastAsia="宋体" w:hAnsi="sans-serif" w:cs="sans-serif"/>
                <w:color w:val="000000"/>
                <w:sz w:val="13"/>
                <w:szCs w:val="13"/>
              </w:rPr>
              <w:t>65%</w:t>
            </w:r>
          </w:p>
        </w:tc>
        <w:tc>
          <w:tcPr>
            <w:tcW w:w="0" w:type="auto"/>
            <w:gridSpan w:val="3"/>
            <w:shd w:val="clear" w:color="auto" w:fill="auto"/>
            <w:tcMar>
              <w:top w:w="40" w:type="dxa"/>
              <w:left w:w="20" w:type="dxa"/>
              <w:bottom w:w="40" w:type="dxa"/>
              <w:right w:w="20" w:type="dxa"/>
            </w:tcMar>
          </w:tcPr>
          <w:p w14:paraId="5CD8E6DD" w14:textId="77777777" w:rsidR="00BA49F5" w:rsidRDefault="007E5E49">
            <w:pPr>
              <w:jc w:val="right"/>
              <w:textAlignment w:val="top"/>
            </w:pPr>
            <w:r>
              <w:rPr>
                <w:rFonts w:ascii="sans-serif" w:eastAsia="宋体" w:hAnsi="sans-serif" w:cs="sans-serif"/>
                <w:color w:val="000000"/>
                <w:sz w:val="13"/>
                <w:szCs w:val="13"/>
              </w:rPr>
              <w:t>DAU/MAU:</w:t>
            </w:r>
          </w:p>
        </w:tc>
        <w:tc>
          <w:tcPr>
            <w:tcW w:w="0" w:type="auto"/>
            <w:gridSpan w:val="3"/>
            <w:shd w:val="clear" w:color="auto" w:fill="auto"/>
            <w:tcMar>
              <w:top w:w="40" w:type="dxa"/>
              <w:left w:w="20" w:type="dxa"/>
              <w:bottom w:w="40" w:type="dxa"/>
              <w:right w:w="20" w:type="dxa"/>
            </w:tcMar>
          </w:tcPr>
          <w:p w14:paraId="5CD8E6DE" w14:textId="77777777" w:rsidR="00BA49F5" w:rsidRDefault="007E5E49">
            <w:pPr>
              <w:textAlignment w:val="top"/>
            </w:pPr>
            <w:r>
              <w:rPr>
                <w:rFonts w:ascii="sans-serif" w:eastAsia="宋体" w:hAnsi="sans-serif" w:cs="sans-serif"/>
                <w:color w:val="000000"/>
                <w:sz w:val="13"/>
                <w:szCs w:val="13"/>
              </w:rPr>
              <w:t>65%</w:t>
            </w:r>
          </w:p>
        </w:tc>
        <w:tc>
          <w:tcPr>
            <w:tcW w:w="0" w:type="auto"/>
            <w:gridSpan w:val="3"/>
            <w:shd w:val="clear" w:color="auto" w:fill="auto"/>
            <w:tcMar>
              <w:top w:w="40" w:type="dxa"/>
              <w:left w:w="20" w:type="dxa"/>
              <w:bottom w:w="40" w:type="dxa"/>
              <w:right w:w="20" w:type="dxa"/>
            </w:tcMar>
          </w:tcPr>
          <w:p w14:paraId="5CD8E6DF" w14:textId="77777777" w:rsidR="00BA49F5" w:rsidRDefault="007E5E49">
            <w:pPr>
              <w:textAlignment w:val="top"/>
            </w:pPr>
            <w:r>
              <w:rPr>
                <w:rFonts w:ascii="sans-serif" w:eastAsia="宋体" w:hAnsi="sans-serif" w:cs="sans-serif"/>
                <w:color w:val="000000"/>
                <w:sz w:val="13"/>
                <w:szCs w:val="13"/>
              </w:rPr>
              <w:t>65%</w:t>
            </w:r>
          </w:p>
        </w:tc>
        <w:tc>
          <w:tcPr>
            <w:tcW w:w="0" w:type="auto"/>
            <w:gridSpan w:val="3"/>
            <w:shd w:val="clear" w:color="auto" w:fill="auto"/>
            <w:tcMar>
              <w:top w:w="40" w:type="dxa"/>
              <w:left w:w="20" w:type="dxa"/>
              <w:bottom w:w="40" w:type="dxa"/>
              <w:right w:w="20" w:type="dxa"/>
            </w:tcMar>
          </w:tcPr>
          <w:p w14:paraId="5CD8E6E0" w14:textId="77777777" w:rsidR="00BA49F5" w:rsidRDefault="007E5E49">
            <w:pPr>
              <w:textAlignment w:val="top"/>
            </w:pPr>
            <w:r>
              <w:rPr>
                <w:rFonts w:ascii="sans-serif" w:eastAsia="宋体" w:hAnsi="sans-serif" w:cs="sans-serif"/>
                <w:color w:val="000000"/>
                <w:sz w:val="13"/>
                <w:szCs w:val="13"/>
              </w:rPr>
              <w:t>65%</w:t>
            </w:r>
          </w:p>
        </w:tc>
        <w:tc>
          <w:tcPr>
            <w:tcW w:w="0" w:type="auto"/>
            <w:gridSpan w:val="3"/>
            <w:shd w:val="clear" w:color="auto" w:fill="auto"/>
            <w:tcMar>
              <w:top w:w="40" w:type="dxa"/>
              <w:left w:w="20" w:type="dxa"/>
              <w:bottom w:w="40" w:type="dxa"/>
              <w:right w:w="20" w:type="dxa"/>
            </w:tcMar>
          </w:tcPr>
          <w:p w14:paraId="5CD8E6E1" w14:textId="77777777" w:rsidR="00BA49F5" w:rsidRDefault="007E5E49">
            <w:pP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E2" w14:textId="77777777" w:rsidR="00BA49F5" w:rsidRDefault="007E5E49">
            <w:pPr>
              <w:textAlignment w:val="top"/>
            </w:pPr>
            <w:r>
              <w:rPr>
                <w:rFonts w:ascii="sans-serif" w:eastAsia="宋体" w:hAnsi="sans-serif" w:cs="sans-serif"/>
                <w:color w:val="000000"/>
                <w:sz w:val="13"/>
                <w:szCs w:val="13"/>
              </w:rPr>
              <w:t>65%</w:t>
            </w:r>
          </w:p>
        </w:tc>
        <w:tc>
          <w:tcPr>
            <w:tcW w:w="0" w:type="auto"/>
            <w:gridSpan w:val="3"/>
            <w:shd w:val="clear" w:color="auto" w:fill="auto"/>
            <w:tcMar>
              <w:top w:w="40" w:type="dxa"/>
              <w:left w:w="20" w:type="dxa"/>
              <w:bottom w:w="40" w:type="dxa"/>
              <w:right w:w="20" w:type="dxa"/>
            </w:tcMar>
          </w:tcPr>
          <w:p w14:paraId="5CD8E6E3" w14:textId="77777777" w:rsidR="00BA49F5" w:rsidRDefault="007E5E49">
            <w:pPr>
              <w:jc w:val="cente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E4" w14:textId="77777777" w:rsidR="00BA49F5" w:rsidRDefault="007E5E49">
            <w:pPr>
              <w:jc w:val="cente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E5" w14:textId="77777777" w:rsidR="00BA49F5" w:rsidRDefault="007E5E49">
            <w:pPr>
              <w:jc w:val="center"/>
              <w:textAlignment w:val="top"/>
            </w:pPr>
            <w:r>
              <w:rPr>
                <w:rFonts w:ascii="sans-serif" w:eastAsia="宋体" w:hAnsi="sans-serif" w:cs="sans-serif"/>
                <w:color w:val="000000"/>
                <w:sz w:val="13"/>
                <w:szCs w:val="13"/>
              </w:rPr>
              <w:t>66%</w:t>
            </w:r>
          </w:p>
        </w:tc>
        <w:tc>
          <w:tcPr>
            <w:tcW w:w="0" w:type="auto"/>
            <w:gridSpan w:val="3"/>
            <w:shd w:val="clear" w:color="auto" w:fill="auto"/>
            <w:tcMar>
              <w:top w:w="40" w:type="dxa"/>
              <w:left w:w="20" w:type="dxa"/>
              <w:bottom w:w="40" w:type="dxa"/>
              <w:right w:w="20" w:type="dxa"/>
            </w:tcMar>
          </w:tcPr>
          <w:p w14:paraId="5CD8E6E6" w14:textId="77777777" w:rsidR="00BA49F5" w:rsidRDefault="007E5E49">
            <w:pPr>
              <w:jc w:val="center"/>
              <w:textAlignment w:val="top"/>
            </w:pPr>
            <w:r>
              <w:rPr>
                <w:rFonts w:ascii="sans-serif" w:eastAsia="宋体" w:hAnsi="sans-serif" w:cs="sans-serif"/>
                <w:color w:val="000000"/>
                <w:sz w:val="13"/>
                <w:szCs w:val="13"/>
              </w:rPr>
              <w:t>66%</w:t>
            </w:r>
          </w:p>
        </w:tc>
      </w:tr>
    </w:tbl>
    <w:p w14:paraId="5CD8E6E8" w14:textId="77777777" w:rsidR="00BA49F5" w:rsidRDefault="00BA49F5"/>
    <w:p w14:paraId="5CD8E6E9" w14:textId="77777777" w:rsidR="00BA49F5" w:rsidRDefault="007E5E49">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5CD8E6EA" w14:textId="77777777" w:rsidR="00BA49F5" w:rsidRDefault="007E5E49">
      <w:pPr>
        <w:jc w:val="center"/>
      </w:pPr>
      <w:r>
        <w:rPr>
          <w:rFonts w:ascii="Times New Roman" w:eastAsia="宋体" w:hAnsi="Times New Roman"/>
          <w:color w:val="000000"/>
          <w:sz w:val="20"/>
          <w:szCs w:val="20"/>
        </w:rPr>
        <w:t>61</w:t>
      </w:r>
    </w:p>
    <w:p w14:paraId="5CD8E6EB" w14:textId="77777777" w:rsidR="00BA49F5" w:rsidRDefault="007E5E49">
      <w:r>
        <w:pict w14:anchorId="5CD90D1C">
          <v:rect id="_x0000_i1085" style="width:415.3pt;height:1.5pt" o:hralign="center" o:hrstd="t" o:hr="t" fillcolor="#a0a0a0" stroked="f"/>
        </w:pict>
      </w:r>
    </w:p>
    <w:p w14:paraId="5CD8E6EC" w14:textId="77777777" w:rsidR="00BA49F5" w:rsidRDefault="00BA49F5"/>
    <w:p w14:paraId="5CD8E6ED" w14:textId="77777777" w:rsidR="00BA49F5" w:rsidRDefault="00BA49F5"/>
    <w:p w14:paraId="5CD8E6EE" w14:textId="77777777" w:rsidR="00BA49F5" w:rsidRDefault="007E5E49">
      <w:hyperlink r:id="rId202" w:anchor="i6df229dad1864210ab76200083e26819_7" w:history="1">
        <w:r>
          <w:rPr>
            <w:rStyle w:val="a5"/>
            <w:rFonts w:ascii="Times New Roman" w:eastAsia="宋体" w:hAnsi="Times New Roman"/>
            <w:sz w:val="20"/>
            <w:szCs w:val="20"/>
          </w:rPr>
          <w:t>T</w:t>
        </w:r>
      </w:hyperlink>
      <w:hyperlink r:id="rId203" w:anchor="i6df229dad1864210ab76200083e26819_7" w:history="1">
        <w:r>
          <w:rPr>
            <w:rStyle w:val="a5"/>
            <w:rFonts w:ascii="Times New Roman" w:eastAsia="宋体" w:hAnsi="Times New Roman"/>
            <w:sz w:val="20"/>
            <w:szCs w:val="20"/>
          </w:rPr>
          <w:t>able of Contents</w:t>
        </w:r>
      </w:hyperlink>
    </w:p>
    <w:p w14:paraId="5CD8E6EF" w14:textId="77777777" w:rsidR="00BA49F5" w:rsidRDefault="00BA49F5">
      <w:pPr>
        <w:ind w:firstLine="540"/>
        <w:jc w:val="both"/>
      </w:pPr>
    </w:p>
    <w:p w14:paraId="5CD8E6F0" w14:textId="77777777" w:rsidR="00BA49F5" w:rsidRDefault="007E5E49">
      <w:pPr>
        <w:ind w:firstLine="540"/>
        <w:jc w:val="both"/>
      </w:pPr>
      <w:r>
        <w:rPr>
          <w:rFonts w:ascii="Times New Roman" w:eastAsia="宋体" w:hAnsi="Times New Roman"/>
          <w:color w:val="000000"/>
          <w:sz w:val="20"/>
          <w:szCs w:val="20"/>
        </w:rPr>
        <w:t>Worldwide DAUs increased 4% to 2.00 billion on aver</w:t>
      </w:r>
      <w:r>
        <w:rPr>
          <w:rFonts w:ascii="Times New Roman" w:eastAsia="宋体" w:hAnsi="Times New Roman"/>
          <w:color w:val="000000"/>
          <w:sz w:val="20"/>
          <w:szCs w:val="20"/>
          <w:shd w:val="clear" w:color="auto" w:fill="FFFFFF"/>
        </w:rPr>
        <w:t>age during December 2022 from 1.93 billion during December 2021</w:t>
      </w:r>
      <w:r>
        <w:rPr>
          <w:rFonts w:ascii="Times New Roman" w:eastAsia="宋体" w:hAnsi="Times New Roman"/>
          <w:color w:val="000000"/>
          <w:sz w:val="20"/>
          <w:szCs w:val="20"/>
        </w:rPr>
        <w:t>. Users in India, the Philippines, and Bangladesh repr</w:t>
      </w:r>
      <w:r>
        <w:rPr>
          <w:rFonts w:ascii="Times New Roman" w:eastAsia="宋体" w:hAnsi="Times New Roman"/>
          <w:color w:val="000000"/>
          <w:sz w:val="20"/>
          <w:szCs w:val="20"/>
          <w:shd w:val="clear" w:color="auto" w:fill="FFFFFF"/>
        </w:rPr>
        <w:t xml:space="preserve">esented the top </w:t>
      </w:r>
      <w:r>
        <w:rPr>
          <w:rFonts w:ascii="Times New Roman" w:eastAsia="宋体" w:hAnsi="Times New Roman"/>
          <w:color w:val="000000"/>
          <w:sz w:val="20"/>
          <w:szCs w:val="20"/>
          <w:shd w:val="clear" w:color="auto" w:fill="FFFFFF"/>
        </w:rPr>
        <w:t>three sources of growth in DAUs during December 2022, relative to the same period in 2021.</w:t>
      </w:r>
    </w:p>
    <w:p w14:paraId="5CD8E6F1" w14:textId="77777777" w:rsidR="00BA49F5" w:rsidRDefault="00BA49F5">
      <w:pPr>
        <w:ind w:firstLine="540"/>
        <w:jc w:val="both"/>
      </w:pPr>
    </w:p>
    <w:p w14:paraId="5CD8E6F2" w14:textId="77777777" w:rsidR="00BA49F5" w:rsidRDefault="007E5E49">
      <w:pPr>
        <w:ind w:hanging="360"/>
        <w:jc w:val="both"/>
      </w:pPr>
      <w:r>
        <w:rPr>
          <w:rFonts w:ascii="Times New Roman" w:eastAsia="宋体" w:hAnsi="Times New Roman"/>
          <w:b/>
          <w:bCs/>
          <w:i/>
          <w:iCs/>
          <w:color w:val="000000"/>
          <w:sz w:val="20"/>
          <w:szCs w:val="20"/>
        </w:rPr>
        <w:t xml:space="preserve">•Monthly Active Users (MAUs). </w:t>
      </w:r>
      <w:r>
        <w:rPr>
          <w:rFonts w:ascii="Times New Roman" w:eastAsia="宋体" w:hAnsi="Times New Roman"/>
          <w:color w:val="000000"/>
          <w:sz w:val="20"/>
          <w:szCs w:val="20"/>
        </w:rPr>
        <w:t xml:space="preserve">We define a monthly active user as a registered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Facebook user who visited Facebook through our website or a mobile devic</w:t>
      </w:r>
      <w:r>
        <w:rPr>
          <w:rFonts w:ascii="Times New Roman" w:eastAsia="宋体" w:hAnsi="Times New Roman"/>
          <w:color w:val="000000"/>
          <w:sz w:val="20"/>
          <w:szCs w:val="20"/>
        </w:rPr>
        <w:t>e, or used our Messenger application (and is also a registered Facebook user), in the last 30 days as of the date of measurement. MAUs are a measure of the size of our global active user community on Facebook.</w:t>
      </w:r>
    </w:p>
    <w:p w14:paraId="5CD8E6F3" w14:textId="77777777" w:rsidR="00BA49F5" w:rsidRDefault="00BA49F5">
      <w:pPr>
        <w:jc w:val="both"/>
      </w:pPr>
    </w:p>
    <w:p w14:paraId="5CD8E6F4" w14:textId="77777777" w:rsidR="00BA49F5" w:rsidRDefault="007E5E49">
      <w:pPr>
        <w:spacing w:after="60"/>
        <w:jc w:val="center"/>
      </w:pPr>
      <w:r>
        <w:rPr>
          <w:rFonts w:ascii="宋体" w:eastAsia="宋体" w:hAnsi="宋体" w:cs="宋体"/>
        </w:rPr>
        <w:fldChar w:fldCharType="begin"/>
      </w:r>
      <w:r>
        <w:rPr>
          <w:rFonts w:ascii="宋体" w:eastAsia="宋体" w:hAnsi="宋体" w:cs="宋体"/>
        </w:rPr>
        <w:instrText>INCLUDEPICTURE \d "/Users/xuxinrun/Document/0</w:instrText>
      </w:r>
      <w:r>
        <w:rPr>
          <w:rFonts w:ascii="宋体" w:eastAsia="宋体" w:hAnsi="宋体" w:cs="宋体"/>
        </w:rPr>
        <w:instrText xml:space="preserve">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D" wp14:editId="5CD90D1E">
            <wp:extent cx="304800" cy="304800"/>
            <wp:effectExtent l="0" t="0" r="0" b="0"/>
            <wp:docPr id="38" name="图片 10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6"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6F5" w14:textId="77777777" w:rsidR="00BA49F5" w:rsidRDefault="007E5E49">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Viewer_files/meta-20221231_g13.jpg" \* MERGEFORMATI</w:instrText>
      </w:r>
      <w:r>
        <w:rPr>
          <w:rFonts w:ascii="宋体" w:eastAsia="宋体" w:hAnsi="宋体" w:cs="宋体"/>
        </w:rPr>
        <w:instrText xml:space="preserve">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1F" wp14:editId="5CD90D20">
            <wp:extent cx="304800" cy="304800"/>
            <wp:effectExtent l="0" t="0" r="0" b="0"/>
            <wp:docPr id="30" name="图片 10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7"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1" wp14:editId="5CD90D22">
            <wp:extent cx="304800" cy="304800"/>
            <wp:effectExtent l="0" t="0" r="0" b="0"/>
            <wp:docPr id="32" name="图片 10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8"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6F6"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_files/meta-20221231_g15.jpg"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3" wp14:editId="5CD90D24">
            <wp:extent cx="304800" cy="304800"/>
            <wp:effectExtent l="0" t="0" r="0" b="0"/>
            <wp:docPr id="43" name="图片 10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9"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5" wp14:editId="5CD90D26">
            <wp:extent cx="304800" cy="304800"/>
            <wp:effectExtent l="0" t="0" r="0" b="0"/>
            <wp:docPr id="46" name="图片 11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0"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6F7" w14:textId="77777777" w:rsidR="00BA49F5" w:rsidRDefault="00BA49F5">
      <w:pPr>
        <w:ind w:firstLine="720"/>
      </w:pPr>
    </w:p>
    <w:p w14:paraId="5CD8E6F8" w14:textId="77777777" w:rsidR="00BA49F5" w:rsidRDefault="007E5E49">
      <w:pPr>
        <w:ind w:firstLine="540"/>
      </w:pPr>
      <w:r>
        <w:rPr>
          <w:rFonts w:ascii="Times New Roman" w:eastAsia="宋体" w:hAnsi="Times New Roman"/>
          <w:color w:val="000000"/>
          <w:sz w:val="20"/>
          <w:szCs w:val="20"/>
        </w:rPr>
        <w:t>As of December 31, 2022, we had 2.96 billion MA</w:t>
      </w:r>
      <w:r>
        <w:rPr>
          <w:rFonts w:ascii="Times New Roman" w:eastAsia="宋体" w:hAnsi="Times New Roman"/>
          <w:color w:val="000000"/>
          <w:sz w:val="20"/>
          <w:szCs w:val="20"/>
        </w:rPr>
        <w:t>Us, an increase of 2% from December 31, 2021. Users in India, Nigeria, and Bangladesh represented the top three sources of growth in 2022, relative to the same period in 2021.</w:t>
      </w:r>
    </w:p>
    <w:p w14:paraId="5CD8E6F9" w14:textId="77777777" w:rsidR="00BA49F5" w:rsidRDefault="00BA49F5">
      <w:pPr>
        <w:ind w:firstLine="540"/>
        <w:jc w:val="both"/>
      </w:pPr>
    </w:p>
    <w:p w14:paraId="5CD8E6FA" w14:textId="77777777" w:rsidR="00BA49F5" w:rsidRDefault="00BA49F5">
      <w:pPr>
        <w:jc w:val="both"/>
      </w:pPr>
    </w:p>
    <w:p w14:paraId="5CD8E6FB" w14:textId="77777777" w:rsidR="00BA49F5" w:rsidRDefault="00BA49F5">
      <w:pPr>
        <w:jc w:val="both"/>
      </w:pPr>
    </w:p>
    <w:p w14:paraId="5CD8E6FC" w14:textId="77777777" w:rsidR="00BA49F5" w:rsidRDefault="00BA49F5">
      <w:pPr>
        <w:jc w:val="both"/>
      </w:pPr>
    </w:p>
    <w:p w14:paraId="5CD8E6FD" w14:textId="77777777" w:rsidR="00BA49F5" w:rsidRDefault="007E5E49">
      <w:pPr>
        <w:jc w:val="center"/>
      </w:pPr>
      <w:r>
        <w:rPr>
          <w:rFonts w:ascii="Times New Roman" w:eastAsia="宋体" w:hAnsi="Times New Roman"/>
          <w:color w:val="000000"/>
          <w:sz w:val="20"/>
          <w:szCs w:val="20"/>
        </w:rPr>
        <w:t>62</w:t>
      </w:r>
    </w:p>
    <w:p w14:paraId="5CD8E6FE" w14:textId="77777777" w:rsidR="00BA49F5" w:rsidRDefault="007E5E49">
      <w:r>
        <w:pict w14:anchorId="5CD90D27">
          <v:rect id="_x0000_i1086" style="width:415.3pt;height:1.5pt" o:hralign="center" o:hrstd="t" o:hr="t" fillcolor="#a0a0a0" stroked="f"/>
        </w:pict>
      </w:r>
    </w:p>
    <w:p w14:paraId="5CD8E6FF" w14:textId="77777777" w:rsidR="00BA49F5" w:rsidRDefault="00BA49F5"/>
    <w:p w14:paraId="5CD8E700" w14:textId="77777777" w:rsidR="00BA49F5" w:rsidRDefault="00BA49F5"/>
    <w:p w14:paraId="5CD8E701" w14:textId="77777777" w:rsidR="00BA49F5" w:rsidRDefault="007E5E49">
      <w:hyperlink r:id="rId204" w:anchor="i6df229dad1864210ab76200083e26819_7" w:history="1">
        <w:r>
          <w:rPr>
            <w:rStyle w:val="a5"/>
            <w:rFonts w:ascii="Times New Roman" w:eastAsia="宋体" w:hAnsi="Times New Roman"/>
            <w:sz w:val="20"/>
            <w:szCs w:val="20"/>
          </w:rPr>
          <w:t>T</w:t>
        </w:r>
      </w:hyperlink>
      <w:hyperlink r:id="rId205" w:anchor="i6df229dad1864210ab76200083e26819_7" w:history="1">
        <w:r>
          <w:rPr>
            <w:rStyle w:val="a5"/>
            <w:rFonts w:ascii="Times New Roman" w:eastAsia="宋体" w:hAnsi="Times New Roman"/>
            <w:sz w:val="20"/>
            <w:szCs w:val="20"/>
          </w:rPr>
          <w:t>able of Contents</w:t>
        </w:r>
      </w:hyperlink>
    </w:p>
    <w:p w14:paraId="5CD8E702" w14:textId="77777777" w:rsidR="00BA49F5" w:rsidRDefault="007E5E49">
      <w:pPr>
        <w:jc w:val="both"/>
      </w:pPr>
      <w:r>
        <w:rPr>
          <w:rFonts w:ascii="Times New Roman" w:eastAsia="宋体" w:hAnsi="Times New Roman"/>
          <w:b/>
          <w:bCs/>
          <w:color w:val="000000"/>
          <w:sz w:val="20"/>
          <w:szCs w:val="20"/>
          <w:shd w:val="clear" w:color="auto" w:fill="FFFFFF"/>
        </w:rPr>
        <w:t>T</w:t>
      </w:r>
      <w:r>
        <w:rPr>
          <w:rFonts w:ascii="Times New Roman" w:eastAsia="宋体" w:hAnsi="Times New Roman"/>
          <w:b/>
          <w:bCs/>
          <w:color w:val="000000"/>
          <w:sz w:val="20"/>
          <w:szCs w:val="20"/>
          <w:shd w:val="clear" w:color="auto" w:fill="FFFFFF"/>
        </w:rPr>
        <w:t>rends in Our Monetization by Facebook User Geography</w:t>
      </w:r>
    </w:p>
    <w:p w14:paraId="5CD8E703" w14:textId="77777777" w:rsidR="00BA49F5" w:rsidRDefault="00BA49F5">
      <w:pPr>
        <w:ind w:firstLine="540"/>
        <w:jc w:val="both"/>
      </w:pPr>
    </w:p>
    <w:p w14:paraId="5CD8E704" w14:textId="77777777" w:rsidR="00BA49F5" w:rsidRDefault="007E5E49">
      <w:pPr>
        <w:ind w:firstLine="540"/>
        <w:jc w:val="both"/>
      </w:pPr>
      <w:r>
        <w:rPr>
          <w:rFonts w:ascii="Times New Roman" w:eastAsia="宋体" w:hAnsi="Times New Roman"/>
          <w:color w:val="000000"/>
          <w:sz w:val="20"/>
          <w:szCs w:val="20"/>
        </w:rPr>
        <w:t>We calculate our revenue by user geography based on our estimate of the geography in which ad impressions are delivered, virtual and digital goods are purchased, or consumer hardware products are shippe</w:t>
      </w:r>
      <w:r>
        <w:rPr>
          <w:rFonts w:ascii="Times New Roman" w:eastAsia="宋体" w:hAnsi="Times New Roman"/>
          <w:color w:val="000000"/>
          <w:sz w:val="20"/>
          <w:szCs w:val="20"/>
        </w:rPr>
        <w:t>d. We define ARPU as our total revenue in a given geography during a given quarter, divided by the average of the number of MAUs in the geography at the beginning and end of the quarter. While ARPU includes all sources of revenue, the number of MAUs used i</w:t>
      </w:r>
      <w:r>
        <w:rPr>
          <w:rFonts w:ascii="Times New Roman" w:eastAsia="宋体" w:hAnsi="Times New Roman"/>
          <w:color w:val="000000"/>
          <w:sz w:val="20"/>
          <w:szCs w:val="20"/>
        </w:rPr>
        <w:t>n this calculation only includes users of Facebook and Messenger as described in the definition of MAU above. While the share of revenue from users who are not also Facebook or Messenger MAUs has grown over time, we estimate that revenue from users who are</w:t>
      </w:r>
      <w:r>
        <w:rPr>
          <w:rFonts w:ascii="Times New Roman" w:eastAsia="宋体" w:hAnsi="Times New Roman"/>
          <w:color w:val="000000"/>
          <w:sz w:val="20"/>
          <w:szCs w:val="20"/>
        </w:rPr>
        <w:t xml:space="preserve"> Facebook or Messenger MAUs represents the substantial majority of our total revenue. See "Average Revenue Per Person (ARPP)" above for our estimates of trends in our monetization of our Family products. The geography of our users affects our revenue and f</w:t>
      </w:r>
      <w:r>
        <w:rPr>
          <w:rFonts w:ascii="Times New Roman" w:eastAsia="宋体" w:hAnsi="Times New Roman"/>
          <w:color w:val="000000"/>
          <w:sz w:val="20"/>
          <w:szCs w:val="20"/>
        </w:rPr>
        <w:t>inancial results because we currently monetize users in different geographies at different average rates. Our revenue and ARPU in regions such as United States &amp; Canada and Europe are relatively higher primarily due to the size and maturity of those online</w:t>
      </w:r>
      <w:r>
        <w:rPr>
          <w:rFonts w:ascii="Times New Roman" w:eastAsia="宋体" w:hAnsi="Times New Roman"/>
          <w:color w:val="000000"/>
          <w:sz w:val="20"/>
          <w:szCs w:val="20"/>
        </w:rPr>
        <w:t xml:space="preserve"> and mobile advertising markets. For example, ARPU in 2022 in the United States &amp; Canada region was more than 11 times higher than in the Asia-Pacific region.</w:t>
      </w:r>
    </w:p>
    <w:p w14:paraId="5CD8E705" w14:textId="77777777" w:rsidR="00BA49F5" w:rsidRDefault="00BA49F5">
      <w:pPr>
        <w:ind w:firstLine="540"/>
        <w:jc w:val="both"/>
      </w:pPr>
    </w:p>
    <w:p w14:paraId="5CD8E706"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w:instrText>
      </w:r>
      <w:r>
        <w:rPr>
          <w:rFonts w:ascii="宋体" w:eastAsia="宋体" w:hAnsi="宋体" w:cs="宋体"/>
        </w:rPr>
        <w:instrText xml:space="preserve">iewer_files/meta-20221231_g17.jpg"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8" wp14:editId="5CD90D29">
            <wp:extent cx="304800" cy="304800"/>
            <wp:effectExtent l="0" t="0" r="0" b="0"/>
            <wp:docPr id="29" name="图片 11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2"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450"/>
        <w:gridCol w:w="36"/>
        <w:gridCol w:w="36"/>
        <w:gridCol w:w="464"/>
        <w:gridCol w:w="36"/>
        <w:gridCol w:w="36"/>
        <w:gridCol w:w="452"/>
        <w:gridCol w:w="36"/>
        <w:gridCol w:w="36"/>
        <w:gridCol w:w="464"/>
        <w:gridCol w:w="36"/>
        <w:gridCol w:w="36"/>
        <w:gridCol w:w="456"/>
        <w:gridCol w:w="36"/>
        <w:gridCol w:w="36"/>
        <w:gridCol w:w="456"/>
        <w:gridCol w:w="36"/>
        <w:gridCol w:w="36"/>
        <w:gridCol w:w="444"/>
        <w:gridCol w:w="36"/>
        <w:gridCol w:w="36"/>
        <w:gridCol w:w="444"/>
        <w:gridCol w:w="36"/>
        <w:gridCol w:w="36"/>
        <w:gridCol w:w="444"/>
        <w:gridCol w:w="36"/>
        <w:gridCol w:w="36"/>
        <w:gridCol w:w="456"/>
        <w:gridCol w:w="36"/>
      </w:tblGrid>
      <w:tr w:rsidR="00BA49F5" w14:paraId="5CD8E725" w14:textId="77777777">
        <w:trPr>
          <w:jc w:val="center"/>
        </w:trPr>
        <w:tc>
          <w:tcPr>
            <w:tcW w:w="20" w:type="dxa"/>
            <w:shd w:val="clear" w:color="auto" w:fill="auto"/>
            <w:vAlign w:val="bottom"/>
          </w:tcPr>
          <w:p w14:paraId="5CD8E707" w14:textId="77777777" w:rsidR="00BA49F5" w:rsidRDefault="00BA49F5">
            <w:pPr>
              <w:rPr>
                <w:rFonts w:ascii="宋体"/>
              </w:rPr>
            </w:pPr>
          </w:p>
        </w:tc>
        <w:tc>
          <w:tcPr>
            <w:tcW w:w="485" w:type="dxa"/>
            <w:shd w:val="clear" w:color="auto" w:fill="auto"/>
            <w:vAlign w:val="bottom"/>
          </w:tcPr>
          <w:p w14:paraId="5CD8E708" w14:textId="77777777" w:rsidR="00BA49F5" w:rsidRDefault="00BA49F5">
            <w:pPr>
              <w:rPr>
                <w:rFonts w:ascii="宋体"/>
              </w:rPr>
            </w:pPr>
          </w:p>
        </w:tc>
        <w:tc>
          <w:tcPr>
            <w:tcW w:w="20" w:type="dxa"/>
            <w:shd w:val="clear" w:color="auto" w:fill="auto"/>
            <w:vAlign w:val="bottom"/>
          </w:tcPr>
          <w:p w14:paraId="5CD8E709" w14:textId="77777777" w:rsidR="00BA49F5" w:rsidRDefault="00BA49F5">
            <w:pPr>
              <w:rPr>
                <w:rFonts w:ascii="宋体"/>
              </w:rPr>
            </w:pPr>
          </w:p>
        </w:tc>
        <w:tc>
          <w:tcPr>
            <w:tcW w:w="20" w:type="dxa"/>
            <w:shd w:val="clear" w:color="auto" w:fill="auto"/>
            <w:vAlign w:val="bottom"/>
          </w:tcPr>
          <w:p w14:paraId="5CD8E70A" w14:textId="77777777" w:rsidR="00BA49F5" w:rsidRDefault="00BA49F5">
            <w:pPr>
              <w:rPr>
                <w:rFonts w:ascii="宋体"/>
              </w:rPr>
            </w:pPr>
          </w:p>
        </w:tc>
        <w:tc>
          <w:tcPr>
            <w:tcW w:w="485" w:type="dxa"/>
            <w:shd w:val="clear" w:color="auto" w:fill="auto"/>
            <w:vAlign w:val="bottom"/>
          </w:tcPr>
          <w:p w14:paraId="5CD8E70B" w14:textId="77777777" w:rsidR="00BA49F5" w:rsidRDefault="00BA49F5">
            <w:pPr>
              <w:rPr>
                <w:rFonts w:ascii="宋体"/>
              </w:rPr>
            </w:pPr>
          </w:p>
        </w:tc>
        <w:tc>
          <w:tcPr>
            <w:tcW w:w="20" w:type="dxa"/>
            <w:shd w:val="clear" w:color="auto" w:fill="auto"/>
            <w:vAlign w:val="bottom"/>
          </w:tcPr>
          <w:p w14:paraId="5CD8E70C" w14:textId="77777777" w:rsidR="00BA49F5" w:rsidRDefault="00BA49F5">
            <w:pPr>
              <w:rPr>
                <w:rFonts w:ascii="宋体"/>
              </w:rPr>
            </w:pPr>
          </w:p>
        </w:tc>
        <w:tc>
          <w:tcPr>
            <w:tcW w:w="20" w:type="dxa"/>
            <w:shd w:val="clear" w:color="auto" w:fill="auto"/>
            <w:vAlign w:val="bottom"/>
          </w:tcPr>
          <w:p w14:paraId="5CD8E70D" w14:textId="77777777" w:rsidR="00BA49F5" w:rsidRDefault="00BA49F5">
            <w:pPr>
              <w:rPr>
                <w:rFonts w:ascii="宋体"/>
              </w:rPr>
            </w:pPr>
          </w:p>
        </w:tc>
        <w:tc>
          <w:tcPr>
            <w:tcW w:w="485" w:type="dxa"/>
            <w:shd w:val="clear" w:color="auto" w:fill="auto"/>
            <w:vAlign w:val="bottom"/>
          </w:tcPr>
          <w:p w14:paraId="5CD8E70E" w14:textId="77777777" w:rsidR="00BA49F5" w:rsidRDefault="00BA49F5">
            <w:pPr>
              <w:rPr>
                <w:rFonts w:ascii="宋体"/>
              </w:rPr>
            </w:pPr>
          </w:p>
        </w:tc>
        <w:tc>
          <w:tcPr>
            <w:tcW w:w="20" w:type="dxa"/>
            <w:shd w:val="clear" w:color="auto" w:fill="auto"/>
            <w:vAlign w:val="bottom"/>
          </w:tcPr>
          <w:p w14:paraId="5CD8E70F" w14:textId="77777777" w:rsidR="00BA49F5" w:rsidRDefault="00BA49F5">
            <w:pPr>
              <w:rPr>
                <w:rFonts w:ascii="宋体"/>
              </w:rPr>
            </w:pPr>
          </w:p>
        </w:tc>
        <w:tc>
          <w:tcPr>
            <w:tcW w:w="20" w:type="dxa"/>
            <w:shd w:val="clear" w:color="auto" w:fill="auto"/>
            <w:vAlign w:val="bottom"/>
          </w:tcPr>
          <w:p w14:paraId="5CD8E710" w14:textId="77777777" w:rsidR="00BA49F5" w:rsidRDefault="00BA49F5">
            <w:pPr>
              <w:rPr>
                <w:rFonts w:ascii="宋体"/>
              </w:rPr>
            </w:pPr>
          </w:p>
        </w:tc>
        <w:tc>
          <w:tcPr>
            <w:tcW w:w="485" w:type="dxa"/>
            <w:shd w:val="clear" w:color="auto" w:fill="auto"/>
            <w:vAlign w:val="bottom"/>
          </w:tcPr>
          <w:p w14:paraId="5CD8E711" w14:textId="77777777" w:rsidR="00BA49F5" w:rsidRDefault="00BA49F5">
            <w:pPr>
              <w:rPr>
                <w:rFonts w:ascii="宋体"/>
              </w:rPr>
            </w:pPr>
          </w:p>
        </w:tc>
        <w:tc>
          <w:tcPr>
            <w:tcW w:w="20" w:type="dxa"/>
            <w:shd w:val="clear" w:color="auto" w:fill="auto"/>
            <w:vAlign w:val="bottom"/>
          </w:tcPr>
          <w:p w14:paraId="5CD8E712" w14:textId="77777777" w:rsidR="00BA49F5" w:rsidRDefault="00BA49F5">
            <w:pPr>
              <w:rPr>
                <w:rFonts w:ascii="宋体"/>
              </w:rPr>
            </w:pPr>
          </w:p>
        </w:tc>
        <w:tc>
          <w:tcPr>
            <w:tcW w:w="20" w:type="dxa"/>
            <w:shd w:val="clear" w:color="auto" w:fill="auto"/>
            <w:vAlign w:val="bottom"/>
          </w:tcPr>
          <w:p w14:paraId="5CD8E713" w14:textId="77777777" w:rsidR="00BA49F5" w:rsidRDefault="00BA49F5">
            <w:pPr>
              <w:rPr>
                <w:rFonts w:ascii="宋体"/>
              </w:rPr>
            </w:pPr>
          </w:p>
        </w:tc>
        <w:tc>
          <w:tcPr>
            <w:tcW w:w="485" w:type="dxa"/>
            <w:shd w:val="clear" w:color="auto" w:fill="auto"/>
            <w:vAlign w:val="bottom"/>
          </w:tcPr>
          <w:p w14:paraId="5CD8E714" w14:textId="77777777" w:rsidR="00BA49F5" w:rsidRDefault="00BA49F5">
            <w:pPr>
              <w:rPr>
                <w:rFonts w:ascii="宋体"/>
              </w:rPr>
            </w:pPr>
          </w:p>
        </w:tc>
        <w:tc>
          <w:tcPr>
            <w:tcW w:w="20" w:type="dxa"/>
            <w:shd w:val="clear" w:color="auto" w:fill="auto"/>
            <w:vAlign w:val="bottom"/>
          </w:tcPr>
          <w:p w14:paraId="5CD8E715" w14:textId="77777777" w:rsidR="00BA49F5" w:rsidRDefault="00BA49F5">
            <w:pPr>
              <w:rPr>
                <w:rFonts w:ascii="宋体"/>
              </w:rPr>
            </w:pPr>
          </w:p>
        </w:tc>
        <w:tc>
          <w:tcPr>
            <w:tcW w:w="20" w:type="dxa"/>
            <w:shd w:val="clear" w:color="auto" w:fill="auto"/>
            <w:vAlign w:val="bottom"/>
          </w:tcPr>
          <w:p w14:paraId="5CD8E716" w14:textId="77777777" w:rsidR="00BA49F5" w:rsidRDefault="00BA49F5">
            <w:pPr>
              <w:rPr>
                <w:rFonts w:ascii="宋体"/>
              </w:rPr>
            </w:pPr>
          </w:p>
        </w:tc>
        <w:tc>
          <w:tcPr>
            <w:tcW w:w="485" w:type="dxa"/>
            <w:shd w:val="clear" w:color="auto" w:fill="auto"/>
            <w:vAlign w:val="bottom"/>
          </w:tcPr>
          <w:p w14:paraId="5CD8E717" w14:textId="77777777" w:rsidR="00BA49F5" w:rsidRDefault="00BA49F5">
            <w:pPr>
              <w:rPr>
                <w:rFonts w:ascii="宋体"/>
              </w:rPr>
            </w:pPr>
          </w:p>
        </w:tc>
        <w:tc>
          <w:tcPr>
            <w:tcW w:w="20" w:type="dxa"/>
            <w:shd w:val="clear" w:color="auto" w:fill="auto"/>
            <w:vAlign w:val="bottom"/>
          </w:tcPr>
          <w:p w14:paraId="5CD8E718" w14:textId="77777777" w:rsidR="00BA49F5" w:rsidRDefault="00BA49F5">
            <w:pPr>
              <w:rPr>
                <w:rFonts w:ascii="宋体"/>
              </w:rPr>
            </w:pPr>
          </w:p>
        </w:tc>
        <w:tc>
          <w:tcPr>
            <w:tcW w:w="20" w:type="dxa"/>
            <w:shd w:val="clear" w:color="auto" w:fill="auto"/>
            <w:vAlign w:val="bottom"/>
          </w:tcPr>
          <w:p w14:paraId="5CD8E719" w14:textId="77777777" w:rsidR="00BA49F5" w:rsidRDefault="00BA49F5">
            <w:pPr>
              <w:rPr>
                <w:rFonts w:ascii="宋体"/>
              </w:rPr>
            </w:pPr>
          </w:p>
        </w:tc>
        <w:tc>
          <w:tcPr>
            <w:tcW w:w="485" w:type="dxa"/>
            <w:shd w:val="clear" w:color="auto" w:fill="auto"/>
            <w:vAlign w:val="bottom"/>
          </w:tcPr>
          <w:p w14:paraId="5CD8E71A" w14:textId="77777777" w:rsidR="00BA49F5" w:rsidRDefault="00BA49F5">
            <w:pPr>
              <w:rPr>
                <w:rFonts w:ascii="宋体"/>
              </w:rPr>
            </w:pPr>
          </w:p>
        </w:tc>
        <w:tc>
          <w:tcPr>
            <w:tcW w:w="20" w:type="dxa"/>
            <w:shd w:val="clear" w:color="auto" w:fill="auto"/>
            <w:vAlign w:val="bottom"/>
          </w:tcPr>
          <w:p w14:paraId="5CD8E71B" w14:textId="77777777" w:rsidR="00BA49F5" w:rsidRDefault="00BA49F5">
            <w:pPr>
              <w:rPr>
                <w:rFonts w:ascii="宋体"/>
              </w:rPr>
            </w:pPr>
          </w:p>
        </w:tc>
        <w:tc>
          <w:tcPr>
            <w:tcW w:w="20" w:type="dxa"/>
            <w:shd w:val="clear" w:color="auto" w:fill="auto"/>
            <w:vAlign w:val="bottom"/>
          </w:tcPr>
          <w:p w14:paraId="5CD8E71C" w14:textId="77777777" w:rsidR="00BA49F5" w:rsidRDefault="00BA49F5">
            <w:pPr>
              <w:rPr>
                <w:rFonts w:ascii="宋体"/>
              </w:rPr>
            </w:pPr>
          </w:p>
        </w:tc>
        <w:tc>
          <w:tcPr>
            <w:tcW w:w="485" w:type="dxa"/>
            <w:shd w:val="clear" w:color="auto" w:fill="auto"/>
            <w:vAlign w:val="bottom"/>
          </w:tcPr>
          <w:p w14:paraId="5CD8E71D" w14:textId="77777777" w:rsidR="00BA49F5" w:rsidRDefault="00BA49F5">
            <w:pPr>
              <w:rPr>
                <w:rFonts w:ascii="宋体"/>
              </w:rPr>
            </w:pPr>
          </w:p>
        </w:tc>
        <w:tc>
          <w:tcPr>
            <w:tcW w:w="20" w:type="dxa"/>
            <w:shd w:val="clear" w:color="auto" w:fill="auto"/>
            <w:vAlign w:val="bottom"/>
          </w:tcPr>
          <w:p w14:paraId="5CD8E71E" w14:textId="77777777" w:rsidR="00BA49F5" w:rsidRDefault="00BA49F5">
            <w:pPr>
              <w:rPr>
                <w:rFonts w:ascii="宋体"/>
              </w:rPr>
            </w:pPr>
          </w:p>
        </w:tc>
        <w:tc>
          <w:tcPr>
            <w:tcW w:w="20" w:type="dxa"/>
            <w:shd w:val="clear" w:color="auto" w:fill="auto"/>
            <w:vAlign w:val="bottom"/>
          </w:tcPr>
          <w:p w14:paraId="5CD8E71F" w14:textId="77777777" w:rsidR="00BA49F5" w:rsidRDefault="00BA49F5">
            <w:pPr>
              <w:rPr>
                <w:rFonts w:ascii="宋体"/>
              </w:rPr>
            </w:pPr>
          </w:p>
        </w:tc>
        <w:tc>
          <w:tcPr>
            <w:tcW w:w="485" w:type="dxa"/>
            <w:shd w:val="clear" w:color="auto" w:fill="auto"/>
            <w:vAlign w:val="bottom"/>
          </w:tcPr>
          <w:p w14:paraId="5CD8E720" w14:textId="77777777" w:rsidR="00BA49F5" w:rsidRDefault="00BA49F5">
            <w:pPr>
              <w:rPr>
                <w:rFonts w:ascii="宋体"/>
              </w:rPr>
            </w:pPr>
          </w:p>
        </w:tc>
        <w:tc>
          <w:tcPr>
            <w:tcW w:w="20" w:type="dxa"/>
            <w:shd w:val="clear" w:color="auto" w:fill="auto"/>
            <w:vAlign w:val="bottom"/>
          </w:tcPr>
          <w:p w14:paraId="5CD8E721" w14:textId="77777777" w:rsidR="00BA49F5" w:rsidRDefault="00BA49F5">
            <w:pPr>
              <w:rPr>
                <w:rFonts w:ascii="宋体"/>
              </w:rPr>
            </w:pPr>
          </w:p>
        </w:tc>
        <w:tc>
          <w:tcPr>
            <w:tcW w:w="20" w:type="dxa"/>
            <w:shd w:val="clear" w:color="auto" w:fill="auto"/>
            <w:vAlign w:val="bottom"/>
          </w:tcPr>
          <w:p w14:paraId="5CD8E722" w14:textId="77777777" w:rsidR="00BA49F5" w:rsidRDefault="00BA49F5">
            <w:pPr>
              <w:rPr>
                <w:rFonts w:ascii="宋体"/>
              </w:rPr>
            </w:pPr>
          </w:p>
        </w:tc>
        <w:tc>
          <w:tcPr>
            <w:tcW w:w="485" w:type="dxa"/>
            <w:shd w:val="clear" w:color="auto" w:fill="auto"/>
            <w:vAlign w:val="bottom"/>
          </w:tcPr>
          <w:p w14:paraId="5CD8E723" w14:textId="77777777" w:rsidR="00BA49F5" w:rsidRDefault="00BA49F5">
            <w:pPr>
              <w:rPr>
                <w:rFonts w:ascii="宋体"/>
              </w:rPr>
            </w:pPr>
          </w:p>
        </w:tc>
        <w:tc>
          <w:tcPr>
            <w:tcW w:w="20" w:type="dxa"/>
            <w:shd w:val="clear" w:color="auto" w:fill="auto"/>
            <w:vAlign w:val="bottom"/>
          </w:tcPr>
          <w:p w14:paraId="5CD8E724" w14:textId="77777777" w:rsidR="00BA49F5" w:rsidRDefault="00BA49F5">
            <w:pPr>
              <w:rPr>
                <w:rFonts w:ascii="宋体"/>
              </w:rPr>
            </w:pPr>
          </w:p>
        </w:tc>
      </w:tr>
      <w:tr w:rsidR="00BA49F5" w14:paraId="5CD8E733" w14:textId="77777777">
        <w:trPr>
          <w:trHeight w:val="180"/>
          <w:jc w:val="center"/>
        </w:trPr>
        <w:tc>
          <w:tcPr>
            <w:tcW w:w="0" w:type="auto"/>
            <w:gridSpan w:val="3"/>
            <w:shd w:val="clear" w:color="auto" w:fill="auto"/>
            <w:tcMar>
              <w:top w:w="40" w:type="dxa"/>
              <w:left w:w="20" w:type="dxa"/>
              <w:bottom w:w="40" w:type="dxa"/>
              <w:right w:w="20" w:type="dxa"/>
            </w:tcMar>
          </w:tcPr>
          <w:p w14:paraId="5CD8E726" w14:textId="77777777" w:rsidR="00BA49F5" w:rsidRDefault="007E5E49">
            <w:pPr>
              <w:jc w:val="right"/>
              <w:textAlignment w:val="top"/>
            </w:pPr>
            <w:r>
              <w:rPr>
                <w:rFonts w:ascii="sans-serif" w:eastAsia="宋体" w:hAnsi="sans-serif" w:cs="sans-serif"/>
                <w:color w:val="000000"/>
                <w:sz w:val="13"/>
                <w:szCs w:val="13"/>
              </w:rPr>
              <w:t>ARPU:</w:t>
            </w:r>
          </w:p>
        </w:tc>
        <w:tc>
          <w:tcPr>
            <w:tcW w:w="0" w:type="auto"/>
            <w:gridSpan w:val="2"/>
            <w:shd w:val="clear" w:color="auto" w:fill="auto"/>
            <w:tcMar>
              <w:top w:w="40" w:type="dxa"/>
              <w:left w:w="20" w:type="dxa"/>
              <w:bottom w:w="40" w:type="dxa"/>
              <w:right w:w="0" w:type="dxa"/>
            </w:tcMar>
            <w:vAlign w:val="bottom"/>
          </w:tcPr>
          <w:p w14:paraId="5CD8E727" w14:textId="77777777" w:rsidR="00BA49F5" w:rsidRDefault="007E5E49">
            <w:pPr>
              <w:jc w:val="right"/>
              <w:textAlignment w:val="bottom"/>
            </w:pPr>
            <w:r>
              <w:rPr>
                <w:rFonts w:ascii="sans-serif" w:eastAsia="宋体" w:hAnsi="sans-serif" w:cs="sans-serif"/>
                <w:color w:val="000000"/>
                <w:sz w:val="13"/>
                <w:szCs w:val="13"/>
              </w:rPr>
              <w:t>$10.14 </w:t>
            </w:r>
          </w:p>
        </w:tc>
        <w:tc>
          <w:tcPr>
            <w:tcW w:w="0" w:type="auto"/>
            <w:shd w:val="clear" w:color="auto" w:fill="auto"/>
            <w:tcMar>
              <w:top w:w="40" w:type="dxa"/>
              <w:left w:w="0" w:type="dxa"/>
              <w:bottom w:w="40" w:type="dxa"/>
              <w:right w:w="20" w:type="dxa"/>
            </w:tcMar>
            <w:vAlign w:val="bottom"/>
          </w:tcPr>
          <w:p w14:paraId="5CD8E728" w14:textId="77777777" w:rsidR="00BA49F5" w:rsidRDefault="00BA49F5">
            <w:pPr>
              <w:rPr>
                <w:rFonts w:ascii="宋体"/>
              </w:rPr>
            </w:pPr>
          </w:p>
        </w:tc>
        <w:tc>
          <w:tcPr>
            <w:tcW w:w="0" w:type="auto"/>
            <w:gridSpan w:val="2"/>
            <w:shd w:val="clear" w:color="auto" w:fill="auto"/>
            <w:tcMar>
              <w:top w:w="40" w:type="dxa"/>
              <w:left w:w="20" w:type="dxa"/>
              <w:bottom w:w="40" w:type="dxa"/>
              <w:right w:w="0" w:type="dxa"/>
            </w:tcMar>
            <w:vAlign w:val="bottom"/>
          </w:tcPr>
          <w:p w14:paraId="5CD8E729" w14:textId="77777777" w:rsidR="00BA49F5" w:rsidRDefault="007E5E49">
            <w:pPr>
              <w:jc w:val="right"/>
              <w:textAlignment w:val="bottom"/>
            </w:pPr>
            <w:r>
              <w:rPr>
                <w:rFonts w:ascii="sans-serif" w:eastAsia="宋体" w:hAnsi="sans-serif" w:cs="sans-serif"/>
                <w:color w:val="000000"/>
                <w:sz w:val="13"/>
                <w:szCs w:val="13"/>
              </w:rPr>
              <w:t>$9.27 </w:t>
            </w:r>
          </w:p>
        </w:tc>
        <w:tc>
          <w:tcPr>
            <w:tcW w:w="0" w:type="auto"/>
            <w:shd w:val="clear" w:color="auto" w:fill="auto"/>
            <w:tcMar>
              <w:top w:w="40" w:type="dxa"/>
              <w:left w:w="0" w:type="dxa"/>
              <w:bottom w:w="40" w:type="dxa"/>
              <w:right w:w="20" w:type="dxa"/>
            </w:tcMar>
            <w:vAlign w:val="bottom"/>
          </w:tcPr>
          <w:p w14:paraId="5CD8E72A" w14:textId="77777777" w:rsidR="00BA49F5" w:rsidRDefault="00BA49F5">
            <w:pPr>
              <w:rPr>
                <w:rFonts w:ascii="宋体"/>
              </w:rPr>
            </w:pPr>
          </w:p>
        </w:tc>
        <w:tc>
          <w:tcPr>
            <w:tcW w:w="0" w:type="auto"/>
            <w:gridSpan w:val="2"/>
            <w:shd w:val="clear" w:color="auto" w:fill="auto"/>
            <w:tcMar>
              <w:top w:w="40" w:type="dxa"/>
              <w:left w:w="20" w:type="dxa"/>
              <w:bottom w:w="40" w:type="dxa"/>
              <w:right w:w="0" w:type="dxa"/>
            </w:tcMar>
            <w:vAlign w:val="bottom"/>
          </w:tcPr>
          <w:p w14:paraId="5CD8E72B" w14:textId="77777777" w:rsidR="00BA49F5" w:rsidRDefault="007E5E49">
            <w:pPr>
              <w:jc w:val="right"/>
              <w:textAlignment w:val="bottom"/>
            </w:pPr>
            <w:r>
              <w:rPr>
                <w:rFonts w:ascii="sans-serif" w:eastAsia="宋体" w:hAnsi="sans-serif" w:cs="sans-serif"/>
                <w:color w:val="000000"/>
                <w:sz w:val="13"/>
                <w:szCs w:val="13"/>
              </w:rPr>
              <w:t>$10.12 </w:t>
            </w:r>
          </w:p>
        </w:tc>
        <w:tc>
          <w:tcPr>
            <w:tcW w:w="0" w:type="auto"/>
            <w:shd w:val="clear" w:color="auto" w:fill="auto"/>
            <w:tcMar>
              <w:top w:w="40" w:type="dxa"/>
              <w:left w:w="0" w:type="dxa"/>
              <w:bottom w:w="40" w:type="dxa"/>
              <w:right w:w="20" w:type="dxa"/>
            </w:tcMar>
            <w:vAlign w:val="bottom"/>
          </w:tcPr>
          <w:p w14:paraId="5CD8E72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72D" w14:textId="77777777" w:rsidR="00BA49F5" w:rsidRDefault="007E5E49">
            <w:pPr>
              <w:textAlignment w:val="bottom"/>
            </w:pPr>
            <w:r>
              <w:rPr>
                <w:rFonts w:ascii="sans-serif" w:eastAsia="宋体" w:hAnsi="sans-serif" w:cs="sans-serif"/>
                <w:color w:val="000000"/>
                <w:sz w:val="13"/>
                <w:szCs w:val="13"/>
              </w:rPr>
              <w:t>$10.00</w:t>
            </w:r>
          </w:p>
        </w:tc>
        <w:tc>
          <w:tcPr>
            <w:tcW w:w="0" w:type="auto"/>
            <w:gridSpan w:val="3"/>
            <w:shd w:val="clear" w:color="auto" w:fill="auto"/>
            <w:tcMar>
              <w:top w:w="40" w:type="dxa"/>
              <w:left w:w="20" w:type="dxa"/>
              <w:bottom w:w="40" w:type="dxa"/>
              <w:right w:w="20" w:type="dxa"/>
            </w:tcMar>
            <w:vAlign w:val="bottom"/>
          </w:tcPr>
          <w:p w14:paraId="5CD8E72E" w14:textId="77777777" w:rsidR="00BA49F5" w:rsidRDefault="007E5E49">
            <w:pPr>
              <w:textAlignment w:val="bottom"/>
            </w:pPr>
            <w:r>
              <w:rPr>
                <w:rFonts w:ascii="sans-serif" w:eastAsia="宋体" w:hAnsi="sans-serif" w:cs="sans-serif"/>
                <w:color w:val="000000"/>
                <w:sz w:val="13"/>
                <w:szCs w:val="13"/>
              </w:rPr>
              <w:t>$11.57</w:t>
            </w:r>
          </w:p>
        </w:tc>
        <w:tc>
          <w:tcPr>
            <w:tcW w:w="0" w:type="auto"/>
            <w:gridSpan w:val="3"/>
            <w:shd w:val="clear" w:color="auto" w:fill="auto"/>
            <w:tcMar>
              <w:top w:w="40" w:type="dxa"/>
              <w:left w:w="20" w:type="dxa"/>
              <w:bottom w:w="40" w:type="dxa"/>
              <w:right w:w="20" w:type="dxa"/>
            </w:tcMar>
            <w:vAlign w:val="bottom"/>
          </w:tcPr>
          <w:p w14:paraId="5CD8E72F" w14:textId="77777777" w:rsidR="00BA49F5" w:rsidRDefault="007E5E49">
            <w:pPr>
              <w:textAlignment w:val="bottom"/>
            </w:pPr>
            <w:r>
              <w:rPr>
                <w:rFonts w:ascii="sans-serif" w:eastAsia="宋体" w:hAnsi="sans-serif" w:cs="sans-serif"/>
                <w:color w:val="000000"/>
                <w:sz w:val="13"/>
                <w:szCs w:val="13"/>
              </w:rPr>
              <w:t>$9.54</w:t>
            </w:r>
          </w:p>
        </w:tc>
        <w:tc>
          <w:tcPr>
            <w:tcW w:w="0" w:type="auto"/>
            <w:gridSpan w:val="3"/>
            <w:shd w:val="clear" w:color="auto" w:fill="auto"/>
            <w:tcMar>
              <w:top w:w="40" w:type="dxa"/>
              <w:left w:w="20" w:type="dxa"/>
              <w:bottom w:w="40" w:type="dxa"/>
              <w:right w:w="20" w:type="dxa"/>
            </w:tcMar>
            <w:vAlign w:val="bottom"/>
          </w:tcPr>
          <w:p w14:paraId="5CD8E730" w14:textId="77777777" w:rsidR="00BA49F5" w:rsidRDefault="007E5E49">
            <w:pPr>
              <w:textAlignment w:val="bottom"/>
            </w:pPr>
            <w:r>
              <w:rPr>
                <w:rFonts w:ascii="sans-serif" w:eastAsia="宋体" w:hAnsi="sans-serif" w:cs="sans-serif"/>
                <w:color w:val="000000"/>
                <w:sz w:val="13"/>
                <w:szCs w:val="13"/>
              </w:rPr>
              <w:t>$9.82</w:t>
            </w:r>
          </w:p>
        </w:tc>
        <w:tc>
          <w:tcPr>
            <w:tcW w:w="0" w:type="auto"/>
            <w:gridSpan w:val="3"/>
            <w:shd w:val="clear" w:color="auto" w:fill="auto"/>
            <w:tcMar>
              <w:top w:w="40" w:type="dxa"/>
              <w:left w:w="20" w:type="dxa"/>
              <w:bottom w:w="40" w:type="dxa"/>
              <w:right w:w="20" w:type="dxa"/>
            </w:tcMar>
            <w:vAlign w:val="bottom"/>
          </w:tcPr>
          <w:p w14:paraId="5CD8E731" w14:textId="77777777" w:rsidR="00BA49F5" w:rsidRDefault="007E5E49">
            <w:pPr>
              <w:textAlignment w:val="bottom"/>
            </w:pPr>
            <w:r>
              <w:rPr>
                <w:rFonts w:ascii="sans-serif" w:eastAsia="宋体" w:hAnsi="sans-serif" w:cs="sans-serif"/>
                <w:color w:val="000000"/>
                <w:sz w:val="13"/>
                <w:szCs w:val="13"/>
              </w:rPr>
              <w:t>$9.41</w:t>
            </w:r>
          </w:p>
        </w:tc>
        <w:tc>
          <w:tcPr>
            <w:tcW w:w="0" w:type="auto"/>
            <w:gridSpan w:val="3"/>
            <w:shd w:val="clear" w:color="auto" w:fill="auto"/>
            <w:tcMar>
              <w:top w:w="40" w:type="dxa"/>
              <w:left w:w="20" w:type="dxa"/>
              <w:bottom w:w="40" w:type="dxa"/>
              <w:right w:w="20" w:type="dxa"/>
            </w:tcMar>
            <w:vAlign w:val="bottom"/>
          </w:tcPr>
          <w:p w14:paraId="5CD8E732" w14:textId="77777777" w:rsidR="00BA49F5" w:rsidRDefault="007E5E49">
            <w:pPr>
              <w:textAlignment w:val="bottom"/>
            </w:pPr>
            <w:r>
              <w:rPr>
                <w:rFonts w:ascii="sans-serif" w:eastAsia="宋体" w:hAnsi="sans-serif" w:cs="sans-serif"/>
                <w:color w:val="000000"/>
                <w:sz w:val="13"/>
                <w:szCs w:val="13"/>
              </w:rPr>
              <w:t>$10.86</w:t>
            </w:r>
          </w:p>
        </w:tc>
      </w:tr>
    </w:tbl>
    <w:p w14:paraId="5CD8E734" w14:textId="77777777" w:rsidR="00BA49F5" w:rsidRDefault="007E5E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A" wp14:editId="5CD90D2B">
            <wp:extent cx="304800" cy="304800"/>
            <wp:effectExtent l="0" t="0" r="0" b="0"/>
            <wp:docPr id="41" name="图片 11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3"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w:instrText>
      </w:r>
      <w:r>
        <w:rPr>
          <w:rFonts w:ascii="宋体" w:eastAsia="宋体" w:hAnsi="宋体" w:cs="宋体"/>
        </w:rPr>
        <w:instrText xml:space="preserve">files/meta-20221231_g19.jpg"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C" wp14:editId="5CD90D2D">
            <wp:extent cx="304800" cy="304800"/>
            <wp:effectExtent l="0" t="0" r="0" b="0"/>
            <wp:docPr id="48" name="图片 11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4"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690" w:type="dxa"/>
        <w:jc w:val="center"/>
        <w:tblCellMar>
          <w:top w:w="15" w:type="dxa"/>
          <w:left w:w="15" w:type="dxa"/>
          <w:bottom w:w="15" w:type="dxa"/>
          <w:right w:w="15" w:type="dxa"/>
        </w:tblCellMar>
        <w:tblLook w:val="04A0" w:firstRow="1" w:lastRow="0" w:firstColumn="1" w:lastColumn="0" w:noHBand="0" w:noVBand="1"/>
      </w:tblPr>
      <w:tblGrid>
        <w:gridCol w:w="36"/>
        <w:gridCol w:w="392"/>
        <w:gridCol w:w="36"/>
        <w:gridCol w:w="86"/>
        <w:gridCol w:w="403"/>
        <w:gridCol w:w="36"/>
        <w:gridCol w:w="86"/>
        <w:gridCol w:w="403"/>
        <w:gridCol w:w="36"/>
        <w:gridCol w:w="86"/>
        <w:gridCol w:w="403"/>
        <w:gridCol w:w="36"/>
        <w:gridCol w:w="86"/>
        <w:gridCol w:w="403"/>
        <w:gridCol w:w="36"/>
        <w:gridCol w:w="86"/>
        <w:gridCol w:w="403"/>
        <w:gridCol w:w="36"/>
        <w:gridCol w:w="36"/>
        <w:gridCol w:w="405"/>
        <w:gridCol w:w="36"/>
        <w:gridCol w:w="36"/>
        <w:gridCol w:w="405"/>
        <w:gridCol w:w="36"/>
        <w:gridCol w:w="36"/>
        <w:gridCol w:w="405"/>
        <w:gridCol w:w="36"/>
        <w:gridCol w:w="36"/>
        <w:gridCol w:w="405"/>
        <w:gridCol w:w="36"/>
        <w:gridCol w:w="36"/>
        <w:gridCol w:w="62"/>
        <w:gridCol w:w="36"/>
        <w:gridCol w:w="36"/>
        <w:gridCol w:w="374"/>
        <w:gridCol w:w="36"/>
        <w:gridCol w:w="36"/>
        <w:gridCol w:w="396"/>
        <w:gridCol w:w="36"/>
        <w:gridCol w:w="36"/>
        <w:gridCol w:w="396"/>
        <w:gridCol w:w="36"/>
        <w:gridCol w:w="36"/>
        <w:gridCol w:w="396"/>
        <w:gridCol w:w="36"/>
        <w:gridCol w:w="36"/>
        <w:gridCol w:w="369"/>
        <w:gridCol w:w="36"/>
        <w:gridCol w:w="36"/>
        <w:gridCol w:w="360"/>
        <w:gridCol w:w="36"/>
        <w:gridCol w:w="36"/>
        <w:gridCol w:w="369"/>
        <w:gridCol w:w="36"/>
        <w:gridCol w:w="36"/>
        <w:gridCol w:w="369"/>
        <w:gridCol w:w="36"/>
        <w:gridCol w:w="36"/>
        <w:gridCol w:w="405"/>
        <w:gridCol w:w="36"/>
        <w:gridCol w:w="36"/>
        <w:gridCol w:w="405"/>
        <w:gridCol w:w="36"/>
      </w:tblGrid>
      <w:tr w:rsidR="00BA49F5" w14:paraId="5CD8E774" w14:textId="77777777">
        <w:trPr>
          <w:jc w:val="center"/>
        </w:trPr>
        <w:tc>
          <w:tcPr>
            <w:tcW w:w="20" w:type="dxa"/>
            <w:shd w:val="clear" w:color="auto" w:fill="auto"/>
            <w:vAlign w:val="bottom"/>
          </w:tcPr>
          <w:p w14:paraId="5CD8E735" w14:textId="77777777" w:rsidR="00BA49F5" w:rsidRDefault="00BA49F5">
            <w:pPr>
              <w:rPr>
                <w:rFonts w:ascii="宋体"/>
              </w:rPr>
            </w:pPr>
          </w:p>
        </w:tc>
        <w:tc>
          <w:tcPr>
            <w:tcW w:w="455" w:type="dxa"/>
            <w:shd w:val="clear" w:color="auto" w:fill="auto"/>
            <w:vAlign w:val="bottom"/>
          </w:tcPr>
          <w:p w14:paraId="5CD8E736" w14:textId="77777777" w:rsidR="00BA49F5" w:rsidRDefault="00BA49F5">
            <w:pPr>
              <w:rPr>
                <w:rFonts w:ascii="宋体"/>
              </w:rPr>
            </w:pPr>
          </w:p>
        </w:tc>
        <w:tc>
          <w:tcPr>
            <w:tcW w:w="20" w:type="dxa"/>
            <w:shd w:val="clear" w:color="auto" w:fill="auto"/>
            <w:vAlign w:val="bottom"/>
          </w:tcPr>
          <w:p w14:paraId="5CD8E737" w14:textId="77777777" w:rsidR="00BA49F5" w:rsidRDefault="00BA49F5">
            <w:pPr>
              <w:rPr>
                <w:rFonts w:ascii="宋体"/>
              </w:rPr>
            </w:pPr>
          </w:p>
        </w:tc>
        <w:tc>
          <w:tcPr>
            <w:tcW w:w="20" w:type="dxa"/>
            <w:shd w:val="clear" w:color="auto" w:fill="auto"/>
            <w:vAlign w:val="bottom"/>
          </w:tcPr>
          <w:p w14:paraId="5CD8E738" w14:textId="77777777" w:rsidR="00BA49F5" w:rsidRDefault="00BA49F5">
            <w:pPr>
              <w:rPr>
                <w:rFonts w:ascii="宋体"/>
              </w:rPr>
            </w:pPr>
          </w:p>
        </w:tc>
        <w:tc>
          <w:tcPr>
            <w:tcW w:w="455" w:type="dxa"/>
            <w:shd w:val="clear" w:color="auto" w:fill="auto"/>
            <w:vAlign w:val="bottom"/>
          </w:tcPr>
          <w:p w14:paraId="5CD8E739" w14:textId="77777777" w:rsidR="00BA49F5" w:rsidRDefault="00BA49F5">
            <w:pPr>
              <w:rPr>
                <w:rFonts w:ascii="宋体"/>
              </w:rPr>
            </w:pPr>
          </w:p>
        </w:tc>
        <w:tc>
          <w:tcPr>
            <w:tcW w:w="20" w:type="dxa"/>
            <w:shd w:val="clear" w:color="auto" w:fill="auto"/>
            <w:vAlign w:val="bottom"/>
          </w:tcPr>
          <w:p w14:paraId="5CD8E73A" w14:textId="77777777" w:rsidR="00BA49F5" w:rsidRDefault="00BA49F5">
            <w:pPr>
              <w:rPr>
                <w:rFonts w:ascii="宋体"/>
              </w:rPr>
            </w:pPr>
          </w:p>
        </w:tc>
        <w:tc>
          <w:tcPr>
            <w:tcW w:w="20" w:type="dxa"/>
            <w:shd w:val="clear" w:color="auto" w:fill="auto"/>
            <w:vAlign w:val="bottom"/>
          </w:tcPr>
          <w:p w14:paraId="5CD8E73B" w14:textId="77777777" w:rsidR="00BA49F5" w:rsidRDefault="00BA49F5">
            <w:pPr>
              <w:rPr>
                <w:rFonts w:ascii="宋体"/>
              </w:rPr>
            </w:pPr>
          </w:p>
        </w:tc>
        <w:tc>
          <w:tcPr>
            <w:tcW w:w="455" w:type="dxa"/>
            <w:shd w:val="clear" w:color="auto" w:fill="auto"/>
            <w:vAlign w:val="bottom"/>
          </w:tcPr>
          <w:p w14:paraId="5CD8E73C" w14:textId="77777777" w:rsidR="00BA49F5" w:rsidRDefault="00BA49F5">
            <w:pPr>
              <w:rPr>
                <w:rFonts w:ascii="宋体"/>
              </w:rPr>
            </w:pPr>
          </w:p>
        </w:tc>
        <w:tc>
          <w:tcPr>
            <w:tcW w:w="20" w:type="dxa"/>
            <w:shd w:val="clear" w:color="auto" w:fill="auto"/>
            <w:vAlign w:val="bottom"/>
          </w:tcPr>
          <w:p w14:paraId="5CD8E73D" w14:textId="77777777" w:rsidR="00BA49F5" w:rsidRDefault="00BA49F5">
            <w:pPr>
              <w:rPr>
                <w:rFonts w:ascii="宋体"/>
              </w:rPr>
            </w:pPr>
          </w:p>
        </w:tc>
        <w:tc>
          <w:tcPr>
            <w:tcW w:w="20" w:type="dxa"/>
            <w:shd w:val="clear" w:color="auto" w:fill="auto"/>
            <w:vAlign w:val="bottom"/>
          </w:tcPr>
          <w:p w14:paraId="5CD8E73E" w14:textId="77777777" w:rsidR="00BA49F5" w:rsidRDefault="00BA49F5">
            <w:pPr>
              <w:rPr>
                <w:rFonts w:ascii="宋体"/>
              </w:rPr>
            </w:pPr>
          </w:p>
        </w:tc>
        <w:tc>
          <w:tcPr>
            <w:tcW w:w="455" w:type="dxa"/>
            <w:shd w:val="clear" w:color="auto" w:fill="auto"/>
            <w:vAlign w:val="bottom"/>
          </w:tcPr>
          <w:p w14:paraId="5CD8E73F" w14:textId="77777777" w:rsidR="00BA49F5" w:rsidRDefault="00BA49F5">
            <w:pPr>
              <w:rPr>
                <w:rFonts w:ascii="宋体"/>
              </w:rPr>
            </w:pPr>
          </w:p>
        </w:tc>
        <w:tc>
          <w:tcPr>
            <w:tcW w:w="20" w:type="dxa"/>
            <w:shd w:val="clear" w:color="auto" w:fill="auto"/>
            <w:vAlign w:val="bottom"/>
          </w:tcPr>
          <w:p w14:paraId="5CD8E740" w14:textId="77777777" w:rsidR="00BA49F5" w:rsidRDefault="00BA49F5">
            <w:pPr>
              <w:rPr>
                <w:rFonts w:ascii="宋体"/>
              </w:rPr>
            </w:pPr>
          </w:p>
        </w:tc>
        <w:tc>
          <w:tcPr>
            <w:tcW w:w="20" w:type="dxa"/>
            <w:shd w:val="clear" w:color="auto" w:fill="auto"/>
            <w:vAlign w:val="bottom"/>
          </w:tcPr>
          <w:p w14:paraId="5CD8E741" w14:textId="77777777" w:rsidR="00BA49F5" w:rsidRDefault="00BA49F5">
            <w:pPr>
              <w:rPr>
                <w:rFonts w:ascii="宋体"/>
              </w:rPr>
            </w:pPr>
          </w:p>
        </w:tc>
        <w:tc>
          <w:tcPr>
            <w:tcW w:w="455" w:type="dxa"/>
            <w:shd w:val="clear" w:color="auto" w:fill="auto"/>
            <w:vAlign w:val="bottom"/>
          </w:tcPr>
          <w:p w14:paraId="5CD8E742" w14:textId="77777777" w:rsidR="00BA49F5" w:rsidRDefault="00BA49F5">
            <w:pPr>
              <w:rPr>
                <w:rFonts w:ascii="宋体"/>
              </w:rPr>
            </w:pPr>
          </w:p>
        </w:tc>
        <w:tc>
          <w:tcPr>
            <w:tcW w:w="20" w:type="dxa"/>
            <w:shd w:val="clear" w:color="auto" w:fill="auto"/>
            <w:vAlign w:val="bottom"/>
          </w:tcPr>
          <w:p w14:paraId="5CD8E743" w14:textId="77777777" w:rsidR="00BA49F5" w:rsidRDefault="00BA49F5">
            <w:pPr>
              <w:rPr>
                <w:rFonts w:ascii="宋体"/>
              </w:rPr>
            </w:pPr>
          </w:p>
        </w:tc>
        <w:tc>
          <w:tcPr>
            <w:tcW w:w="20" w:type="dxa"/>
            <w:shd w:val="clear" w:color="auto" w:fill="auto"/>
            <w:vAlign w:val="bottom"/>
          </w:tcPr>
          <w:p w14:paraId="5CD8E744" w14:textId="77777777" w:rsidR="00BA49F5" w:rsidRDefault="00BA49F5">
            <w:pPr>
              <w:rPr>
                <w:rFonts w:ascii="宋体"/>
              </w:rPr>
            </w:pPr>
          </w:p>
        </w:tc>
        <w:tc>
          <w:tcPr>
            <w:tcW w:w="455" w:type="dxa"/>
            <w:shd w:val="clear" w:color="auto" w:fill="auto"/>
            <w:vAlign w:val="bottom"/>
          </w:tcPr>
          <w:p w14:paraId="5CD8E745" w14:textId="77777777" w:rsidR="00BA49F5" w:rsidRDefault="00BA49F5">
            <w:pPr>
              <w:rPr>
                <w:rFonts w:ascii="宋体"/>
              </w:rPr>
            </w:pPr>
          </w:p>
        </w:tc>
        <w:tc>
          <w:tcPr>
            <w:tcW w:w="20" w:type="dxa"/>
            <w:shd w:val="clear" w:color="auto" w:fill="auto"/>
            <w:vAlign w:val="bottom"/>
          </w:tcPr>
          <w:p w14:paraId="5CD8E746" w14:textId="77777777" w:rsidR="00BA49F5" w:rsidRDefault="00BA49F5">
            <w:pPr>
              <w:rPr>
                <w:rFonts w:ascii="宋体"/>
              </w:rPr>
            </w:pPr>
          </w:p>
        </w:tc>
        <w:tc>
          <w:tcPr>
            <w:tcW w:w="20" w:type="dxa"/>
            <w:shd w:val="clear" w:color="auto" w:fill="auto"/>
            <w:vAlign w:val="bottom"/>
          </w:tcPr>
          <w:p w14:paraId="5CD8E747" w14:textId="77777777" w:rsidR="00BA49F5" w:rsidRDefault="00BA49F5">
            <w:pPr>
              <w:rPr>
                <w:rFonts w:ascii="宋体"/>
              </w:rPr>
            </w:pPr>
          </w:p>
        </w:tc>
        <w:tc>
          <w:tcPr>
            <w:tcW w:w="455" w:type="dxa"/>
            <w:shd w:val="clear" w:color="auto" w:fill="auto"/>
            <w:vAlign w:val="bottom"/>
          </w:tcPr>
          <w:p w14:paraId="5CD8E748" w14:textId="77777777" w:rsidR="00BA49F5" w:rsidRDefault="00BA49F5">
            <w:pPr>
              <w:rPr>
                <w:rFonts w:ascii="宋体"/>
              </w:rPr>
            </w:pPr>
          </w:p>
        </w:tc>
        <w:tc>
          <w:tcPr>
            <w:tcW w:w="20" w:type="dxa"/>
            <w:shd w:val="clear" w:color="auto" w:fill="auto"/>
            <w:vAlign w:val="bottom"/>
          </w:tcPr>
          <w:p w14:paraId="5CD8E749" w14:textId="77777777" w:rsidR="00BA49F5" w:rsidRDefault="00BA49F5">
            <w:pPr>
              <w:rPr>
                <w:rFonts w:ascii="宋体"/>
              </w:rPr>
            </w:pPr>
          </w:p>
        </w:tc>
        <w:tc>
          <w:tcPr>
            <w:tcW w:w="20" w:type="dxa"/>
            <w:shd w:val="clear" w:color="auto" w:fill="auto"/>
            <w:vAlign w:val="bottom"/>
          </w:tcPr>
          <w:p w14:paraId="5CD8E74A" w14:textId="77777777" w:rsidR="00BA49F5" w:rsidRDefault="00BA49F5">
            <w:pPr>
              <w:rPr>
                <w:rFonts w:ascii="宋体"/>
              </w:rPr>
            </w:pPr>
          </w:p>
        </w:tc>
        <w:tc>
          <w:tcPr>
            <w:tcW w:w="455" w:type="dxa"/>
            <w:shd w:val="clear" w:color="auto" w:fill="auto"/>
            <w:vAlign w:val="bottom"/>
          </w:tcPr>
          <w:p w14:paraId="5CD8E74B" w14:textId="77777777" w:rsidR="00BA49F5" w:rsidRDefault="00BA49F5">
            <w:pPr>
              <w:rPr>
                <w:rFonts w:ascii="宋体"/>
              </w:rPr>
            </w:pPr>
          </w:p>
        </w:tc>
        <w:tc>
          <w:tcPr>
            <w:tcW w:w="20" w:type="dxa"/>
            <w:shd w:val="clear" w:color="auto" w:fill="auto"/>
            <w:vAlign w:val="bottom"/>
          </w:tcPr>
          <w:p w14:paraId="5CD8E74C" w14:textId="77777777" w:rsidR="00BA49F5" w:rsidRDefault="00BA49F5">
            <w:pPr>
              <w:rPr>
                <w:rFonts w:ascii="宋体"/>
              </w:rPr>
            </w:pPr>
          </w:p>
        </w:tc>
        <w:tc>
          <w:tcPr>
            <w:tcW w:w="20" w:type="dxa"/>
            <w:shd w:val="clear" w:color="auto" w:fill="auto"/>
            <w:vAlign w:val="bottom"/>
          </w:tcPr>
          <w:p w14:paraId="5CD8E74D" w14:textId="77777777" w:rsidR="00BA49F5" w:rsidRDefault="00BA49F5">
            <w:pPr>
              <w:rPr>
                <w:rFonts w:ascii="宋体"/>
              </w:rPr>
            </w:pPr>
          </w:p>
        </w:tc>
        <w:tc>
          <w:tcPr>
            <w:tcW w:w="455" w:type="dxa"/>
            <w:shd w:val="clear" w:color="auto" w:fill="auto"/>
            <w:vAlign w:val="bottom"/>
          </w:tcPr>
          <w:p w14:paraId="5CD8E74E" w14:textId="77777777" w:rsidR="00BA49F5" w:rsidRDefault="00BA49F5">
            <w:pPr>
              <w:rPr>
                <w:rFonts w:ascii="宋体"/>
              </w:rPr>
            </w:pPr>
          </w:p>
        </w:tc>
        <w:tc>
          <w:tcPr>
            <w:tcW w:w="20" w:type="dxa"/>
            <w:shd w:val="clear" w:color="auto" w:fill="auto"/>
            <w:vAlign w:val="bottom"/>
          </w:tcPr>
          <w:p w14:paraId="5CD8E74F" w14:textId="77777777" w:rsidR="00BA49F5" w:rsidRDefault="00BA49F5">
            <w:pPr>
              <w:rPr>
                <w:rFonts w:ascii="宋体"/>
              </w:rPr>
            </w:pPr>
          </w:p>
        </w:tc>
        <w:tc>
          <w:tcPr>
            <w:tcW w:w="20" w:type="dxa"/>
            <w:shd w:val="clear" w:color="auto" w:fill="auto"/>
            <w:vAlign w:val="bottom"/>
          </w:tcPr>
          <w:p w14:paraId="5CD8E750" w14:textId="77777777" w:rsidR="00BA49F5" w:rsidRDefault="00BA49F5">
            <w:pPr>
              <w:rPr>
                <w:rFonts w:ascii="宋体"/>
              </w:rPr>
            </w:pPr>
          </w:p>
        </w:tc>
        <w:tc>
          <w:tcPr>
            <w:tcW w:w="455" w:type="dxa"/>
            <w:shd w:val="clear" w:color="auto" w:fill="auto"/>
            <w:vAlign w:val="bottom"/>
          </w:tcPr>
          <w:p w14:paraId="5CD8E751" w14:textId="77777777" w:rsidR="00BA49F5" w:rsidRDefault="00BA49F5">
            <w:pPr>
              <w:rPr>
                <w:rFonts w:ascii="宋体"/>
              </w:rPr>
            </w:pPr>
          </w:p>
        </w:tc>
        <w:tc>
          <w:tcPr>
            <w:tcW w:w="20" w:type="dxa"/>
            <w:shd w:val="clear" w:color="auto" w:fill="auto"/>
            <w:vAlign w:val="bottom"/>
          </w:tcPr>
          <w:p w14:paraId="5CD8E752" w14:textId="77777777" w:rsidR="00BA49F5" w:rsidRDefault="00BA49F5">
            <w:pPr>
              <w:rPr>
                <w:rFonts w:ascii="宋体"/>
              </w:rPr>
            </w:pPr>
          </w:p>
        </w:tc>
        <w:tc>
          <w:tcPr>
            <w:tcW w:w="20" w:type="dxa"/>
            <w:shd w:val="clear" w:color="auto" w:fill="auto"/>
            <w:vAlign w:val="bottom"/>
          </w:tcPr>
          <w:p w14:paraId="5CD8E753" w14:textId="77777777" w:rsidR="00BA49F5" w:rsidRDefault="00BA49F5">
            <w:pPr>
              <w:rPr>
                <w:rFonts w:ascii="宋体"/>
              </w:rPr>
            </w:pPr>
          </w:p>
        </w:tc>
        <w:tc>
          <w:tcPr>
            <w:tcW w:w="80" w:type="dxa"/>
            <w:shd w:val="clear" w:color="auto" w:fill="auto"/>
            <w:vAlign w:val="bottom"/>
          </w:tcPr>
          <w:p w14:paraId="5CD8E754" w14:textId="77777777" w:rsidR="00BA49F5" w:rsidRDefault="00BA49F5">
            <w:pPr>
              <w:rPr>
                <w:rFonts w:ascii="宋体"/>
              </w:rPr>
            </w:pPr>
          </w:p>
        </w:tc>
        <w:tc>
          <w:tcPr>
            <w:tcW w:w="20" w:type="dxa"/>
            <w:shd w:val="clear" w:color="auto" w:fill="auto"/>
            <w:vAlign w:val="bottom"/>
          </w:tcPr>
          <w:p w14:paraId="5CD8E755" w14:textId="77777777" w:rsidR="00BA49F5" w:rsidRDefault="00BA49F5">
            <w:pPr>
              <w:rPr>
                <w:rFonts w:ascii="宋体"/>
              </w:rPr>
            </w:pPr>
          </w:p>
        </w:tc>
        <w:tc>
          <w:tcPr>
            <w:tcW w:w="20" w:type="dxa"/>
            <w:shd w:val="clear" w:color="auto" w:fill="auto"/>
            <w:vAlign w:val="bottom"/>
          </w:tcPr>
          <w:p w14:paraId="5CD8E756" w14:textId="77777777" w:rsidR="00BA49F5" w:rsidRDefault="00BA49F5">
            <w:pPr>
              <w:rPr>
                <w:rFonts w:ascii="宋体"/>
              </w:rPr>
            </w:pPr>
          </w:p>
        </w:tc>
        <w:tc>
          <w:tcPr>
            <w:tcW w:w="425" w:type="dxa"/>
            <w:shd w:val="clear" w:color="auto" w:fill="auto"/>
            <w:vAlign w:val="bottom"/>
          </w:tcPr>
          <w:p w14:paraId="5CD8E757" w14:textId="77777777" w:rsidR="00BA49F5" w:rsidRDefault="00BA49F5">
            <w:pPr>
              <w:rPr>
                <w:rFonts w:ascii="宋体"/>
              </w:rPr>
            </w:pPr>
          </w:p>
        </w:tc>
        <w:tc>
          <w:tcPr>
            <w:tcW w:w="20" w:type="dxa"/>
            <w:shd w:val="clear" w:color="auto" w:fill="auto"/>
            <w:vAlign w:val="bottom"/>
          </w:tcPr>
          <w:p w14:paraId="5CD8E758" w14:textId="77777777" w:rsidR="00BA49F5" w:rsidRDefault="00BA49F5">
            <w:pPr>
              <w:rPr>
                <w:rFonts w:ascii="宋体"/>
              </w:rPr>
            </w:pPr>
          </w:p>
        </w:tc>
        <w:tc>
          <w:tcPr>
            <w:tcW w:w="20" w:type="dxa"/>
            <w:shd w:val="clear" w:color="auto" w:fill="auto"/>
            <w:vAlign w:val="bottom"/>
          </w:tcPr>
          <w:p w14:paraId="5CD8E759" w14:textId="77777777" w:rsidR="00BA49F5" w:rsidRDefault="00BA49F5">
            <w:pPr>
              <w:rPr>
                <w:rFonts w:ascii="宋体"/>
              </w:rPr>
            </w:pPr>
          </w:p>
        </w:tc>
        <w:tc>
          <w:tcPr>
            <w:tcW w:w="440" w:type="dxa"/>
            <w:shd w:val="clear" w:color="auto" w:fill="auto"/>
            <w:vAlign w:val="bottom"/>
          </w:tcPr>
          <w:p w14:paraId="5CD8E75A" w14:textId="77777777" w:rsidR="00BA49F5" w:rsidRDefault="00BA49F5">
            <w:pPr>
              <w:rPr>
                <w:rFonts w:ascii="宋体"/>
              </w:rPr>
            </w:pPr>
          </w:p>
        </w:tc>
        <w:tc>
          <w:tcPr>
            <w:tcW w:w="20" w:type="dxa"/>
            <w:shd w:val="clear" w:color="auto" w:fill="auto"/>
            <w:vAlign w:val="bottom"/>
          </w:tcPr>
          <w:p w14:paraId="5CD8E75B" w14:textId="77777777" w:rsidR="00BA49F5" w:rsidRDefault="00BA49F5">
            <w:pPr>
              <w:rPr>
                <w:rFonts w:ascii="宋体"/>
              </w:rPr>
            </w:pPr>
          </w:p>
        </w:tc>
        <w:tc>
          <w:tcPr>
            <w:tcW w:w="20" w:type="dxa"/>
            <w:shd w:val="clear" w:color="auto" w:fill="auto"/>
            <w:vAlign w:val="bottom"/>
          </w:tcPr>
          <w:p w14:paraId="5CD8E75C" w14:textId="77777777" w:rsidR="00BA49F5" w:rsidRDefault="00BA49F5">
            <w:pPr>
              <w:rPr>
                <w:rFonts w:ascii="宋体"/>
              </w:rPr>
            </w:pPr>
          </w:p>
        </w:tc>
        <w:tc>
          <w:tcPr>
            <w:tcW w:w="440" w:type="dxa"/>
            <w:shd w:val="clear" w:color="auto" w:fill="auto"/>
            <w:vAlign w:val="bottom"/>
          </w:tcPr>
          <w:p w14:paraId="5CD8E75D" w14:textId="77777777" w:rsidR="00BA49F5" w:rsidRDefault="00BA49F5">
            <w:pPr>
              <w:rPr>
                <w:rFonts w:ascii="宋体"/>
              </w:rPr>
            </w:pPr>
          </w:p>
        </w:tc>
        <w:tc>
          <w:tcPr>
            <w:tcW w:w="20" w:type="dxa"/>
            <w:shd w:val="clear" w:color="auto" w:fill="auto"/>
            <w:vAlign w:val="bottom"/>
          </w:tcPr>
          <w:p w14:paraId="5CD8E75E" w14:textId="77777777" w:rsidR="00BA49F5" w:rsidRDefault="00BA49F5">
            <w:pPr>
              <w:rPr>
                <w:rFonts w:ascii="宋体"/>
              </w:rPr>
            </w:pPr>
          </w:p>
        </w:tc>
        <w:tc>
          <w:tcPr>
            <w:tcW w:w="20" w:type="dxa"/>
            <w:shd w:val="clear" w:color="auto" w:fill="auto"/>
            <w:vAlign w:val="bottom"/>
          </w:tcPr>
          <w:p w14:paraId="5CD8E75F" w14:textId="77777777" w:rsidR="00BA49F5" w:rsidRDefault="00BA49F5">
            <w:pPr>
              <w:rPr>
                <w:rFonts w:ascii="宋体"/>
              </w:rPr>
            </w:pPr>
          </w:p>
        </w:tc>
        <w:tc>
          <w:tcPr>
            <w:tcW w:w="440" w:type="dxa"/>
            <w:shd w:val="clear" w:color="auto" w:fill="auto"/>
            <w:vAlign w:val="bottom"/>
          </w:tcPr>
          <w:p w14:paraId="5CD8E760" w14:textId="77777777" w:rsidR="00BA49F5" w:rsidRDefault="00BA49F5">
            <w:pPr>
              <w:rPr>
                <w:rFonts w:ascii="宋体"/>
              </w:rPr>
            </w:pPr>
          </w:p>
        </w:tc>
        <w:tc>
          <w:tcPr>
            <w:tcW w:w="20" w:type="dxa"/>
            <w:shd w:val="clear" w:color="auto" w:fill="auto"/>
            <w:vAlign w:val="bottom"/>
          </w:tcPr>
          <w:p w14:paraId="5CD8E761" w14:textId="77777777" w:rsidR="00BA49F5" w:rsidRDefault="00BA49F5">
            <w:pPr>
              <w:rPr>
                <w:rFonts w:ascii="宋体"/>
              </w:rPr>
            </w:pPr>
          </w:p>
        </w:tc>
        <w:tc>
          <w:tcPr>
            <w:tcW w:w="20" w:type="dxa"/>
            <w:shd w:val="clear" w:color="auto" w:fill="auto"/>
            <w:vAlign w:val="bottom"/>
          </w:tcPr>
          <w:p w14:paraId="5CD8E762" w14:textId="77777777" w:rsidR="00BA49F5" w:rsidRDefault="00BA49F5">
            <w:pPr>
              <w:rPr>
                <w:rFonts w:ascii="宋体"/>
              </w:rPr>
            </w:pPr>
          </w:p>
        </w:tc>
        <w:tc>
          <w:tcPr>
            <w:tcW w:w="395" w:type="dxa"/>
            <w:shd w:val="clear" w:color="auto" w:fill="auto"/>
            <w:vAlign w:val="bottom"/>
          </w:tcPr>
          <w:p w14:paraId="5CD8E763" w14:textId="77777777" w:rsidR="00BA49F5" w:rsidRDefault="00BA49F5">
            <w:pPr>
              <w:rPr>
                <w:rFonts w:ascii="宋体"/>
              </w:rPr>
            </w:pPr>
          </w:p>
        </w:tc>
        <w:tc>
          <w:tcPr>
            <w:tcW w:w="20" w:type="dxa"/>
            <w:shd w:val="clear" w:color="auto" w:fill="auto"/>
            <w:vAlign w:val="bottom"/>
          </w:tcPr>
          <w:p w14:paraId="5CD8E764" w14:textId="77777777" w:rsidR="00BA49F5" w:rsidRDefault="00BA49F5">
            <w:pPr>
              <w:rPr>
                <w:rFonts w:ascii="宋体"/>
              </w:rPr>
            </w:pPr>
          </w:p>
        </w:tc>
        <w:tc>
          <w:tcPr>
            <w:tcW w:w="20" w:type="dxa"/>
            <w:shd w:val="clear" w:color="auto" w:fill="auto"/>
            <w:vAlign w:val="bottom"/>
          </w:tcPr>
          <w:p w14:paraId="5CD8E765" w14:textId="77777777" w:rsidR="00BA49F5" w:rsidRDefault="00BA49F5">
            <w:pPr>
              <w:rPr>
                <w:rFonts w:ascii="宋体"/>
              </w:rPr>
            </w:pPr>
          </w:p>
        </w:tc>
        <w:tc>
          <w:tcPr>
            <w:tcW w:w="380" w:type="dxa"/>
            <w:shd w:val="clear" w:color="auto" w:fill="auto"/>
            <w:vAlign w:val="bottom"/>
          </w:tcPr>
          <w:p w14:paraId="5CD8E766" w14:textId="77777777" w:rsidR="00BA49F5" w:rsidRDefault="00BA49F5">
            <w:pPr>
              <w:rPr>
                <w:rFonts w:ascii="宋体"/>
              </w:rPr>
            </w:pPr>
          </w:p>
        </w:tc>
        <w:tc>
          <w:tcPr>
            <w:tcW w:w="20" w:type="dxa"/>
            <w:shd w:val="clear" w:color="auto" w:fill="auto"/>
            <w:vAlign w:val="bottom"/>
          </w:tcPr>
          <w:p w14:paraId="5CD8E767" w14:textId="77777777" w:rsidR="00BA49F5" w:rsidRDefault="00BA49F5">
            <w:pPr>
              <w:rPr>
                <w:rFonts w:ascii="宋体"/>
              </w:rPr>
            </w:pPr>
          </w:p>
        </w:tc>
        <w:tc>
          <w:tcPr>
            <w:tcW w:w="20" w:type="dxa"/>
            <w:shd w:val="clear" w:color="auto" w:fill="auto"/>
            <w:vAlign w:val="bottom"/>
          </w:tcPr>
          <w:p w14:paraId="5CD8E768" w14:textId="77777777" w:rsidR="00BA49F5" w:rsidRDefault="00BA49F5">
            <w:pPr>
              <w:rPr>
                <w:rFonts w:ascii="宋体"/>
              </w:rPr>
            </w:pPr>
          </w:p>
        </w:tc>
        <w:tc>
          <w:tcPr>
            <w:tcW w:w="395" w:type="dxa"/>
            <w:shd w:val="clear" w:color="auto" w:fill="auto"/>
            <w:vAlign w:val="bottom"/>
          </w:tcPr>
          <w:p w14:paraId="5CD8E769" w14:textId="77777777" w:rsidR="00BA49F5" w:rsidRDefault="00BA49F5">
            <w:pPr>
              <w:rPr>
                <w:rFonts w:ascii="宋体"/>
              </w:rPr>
            </w:pPr>
          </w:p>
        </w:tc>
        <w:tc>
          <w:tcPr>
            <w:tcW w:w="20" w:type="dxa"/>
            <w:shd w:val="clear" w:color="auto" w:fill="auto"/>
            <w:vAlign w:val="bottom"/>
          </w:tcPr>
          <w:p w14:paraId="5CD8E76A" w14:textId="77777777" w:rsidR="00BA49F5" w:rsidRDefault="00BA49F5">
            <w:pPr>
              <w:rPr>
                <w:rFonts w:ascii="宋体"/>
              </w:rPr>
            </w:pPr>
          </w:p>
        </w:tc>
        <w:tc>
          <w:tcPr>
            <w:tcW w:w="20" w:type="dxa"/>
            <w:shd w:val="clear" w:color="auto" w:fill="auto"/>
            <w:vAlign w:val="bottom"/>
          </w:tcPr>
          <w:p w14:paraId="5CD8E76B" w14:textId="77777777" w:rsidR="00BA49F5" w:rsidRDefault="00BA49F5">
            <w:pPr>
              <w:rPr>
                <w:rFonts w:ascii="宋体"/>
              </w:rPr>
            </w:pPr>
          </w:p>
        </w:tc>
        <w:tc>
          <w:tcPr>
            <w:tcW w:w="395" w:type="dxa"/>
            <w:shd w:val="clear" w:color="auto" w:fill="auto"/>
            <w:vAlign w:val="bottom"/>
          </w:tcPr>
          <w:p w14:paraId="5CD8E76C" w14:textId="77777777" w:rsidR="00BA49F5" w:rsidRDefault="00BA49F5">
            <w:pPr>
              <w:rPr>
                <w:rFonts w:ascii="宋体"/>
              </w:rPr>
            </w:pPr>
          </w:p>
        </w:tc>
        <w:tc>
          <w:tcPr>
            <w:tcW w:w="20" w:type="dxa"/>
            <w:shd w:val="clear" w:color="auto" w:fill="auto"/>
            <w:vAlign w:val="bottom"/>
          </w:tcPr>
          <w:p w14:paraId="5CD8E76D" w14:textId="77777777" w:rsidR="00BA49F5" w:rsidRDefault="00BA49F5">
            <w:pPr>
              <w:rPr>
                <w:rFonts w:ascii="宋体"/>
              </w:rPr>
            </w:pPr>
          </w:p>
        </w:tc>
        <w:tc>
          <w:tcPr>
            <w:tcW w:w="20" w:type="dxa"/>
            <w:shd w:val="clear" w:color="auto" w:fill="auto"/>
            <w:vAlign w:val="bottom"/>
          </w:tcPr>
          <w:p w14:paraId="5CD8E76E" w14:textId="77777777" w:rsidR="00BA49F5" w:rsidRDefault="00BA49F5">
            <w:pPr>
              <w:rPr>
                <w:rFonts w:ascii="宋体"/>
              </w:rPr>
            </w:pPr>
          </w:p>
        </w:tc>
        <w:tc>
          <w:tcPr>
            <w:tcW w:w="455" w:type="dxa"/>
            <w:shd w:val="clear" w:color="auto" w:fill="auto"/>
            <w:vAlign w:val="bottom"/>
          </w:tcPr>
          <w:p w14:paraId="5CD8E76F" w14:textId="77777777" w:rsidR="00BA49F5" w:rsidRDefault="00BA49F5">
            <w:pPr>
              <w:rPr>
                <w:rFonts w:ascii="宋体"/>
              </w:rPr>
            </w:pPr>
          </w:p>
        </w:tc>
        <w:tc>
          <w:tcPr>
            <w:tcW w:w="20" w:type="dxa"/>
            <w:shd w:val="clear" w:color="auto" w:fill="auto"/>
            <w:vAlign w:val="bottom"/>
          </w:tcPr>
          <w:p w14:paraId="5CD8E770" w14:textId="77777777" w:rsidR="00BA49F5" w:rsidRDefault="00BA49F5">
            <w:pPr>
              <w:rPr>
                <w:rFonts w:ascii="宋体"/>
              </w:rPr>
            </w:pPr>
          </w:p>
        </w:tc>
        <w:tc>
          <w:tcPr>
            <w:tcW w:w="20" w:type="dxa"/>
            <w:shd w:val="clear" w:color="auto" w:fill="auto"/>
            <w:vAlign w:val="bottom"/>
          </w:tcPr>
          <w:p w14:paraId="5CD8E771" w14:textId="77777777" w:rsidR="00BA49F5" w:rsidRDefault="00BA49F5">
            <w:pPr>
              <w:rPr>
                <w:rFonts w:ascii="宋体"/>
              </w:rPr>
            </w:pPr>
          </w:p>
        </w:tc>
        <w:tc>
          <w:tcPr>
            <w:tcW w:w="455" w:type="dxa"/>
            <w:shd w:val="clear" w:color="auto" w:fill="auto"/>
            <w:vAlign w:val="bottom"/>
          </w:tcPr>
          <w:p w14:paraId="5CD8E772" w14:textId="77777777" w:rsidR="00BA49F5" w:rsidRDefault="00BA49F5">
            <w:pPr>
              <w:rPr>
                <w:rFonts w:ascii="宋体"/>
              </w:rPr>
            </w:pPr>
          </w:p>
        </w:tc>
        <w:tc>
          <w:tcPr>
            <w:tcW w:w="20" w:type="dxa"/>
            <w:shd w:val="clear" w:color="auto" w:fill="auto"/>
            <w:vAlign w:val="bottom"/>
          </w:tcPr>
          <w:p w14:paraId="5CD8E773" w14:textId="77777777" w:rsidR="00BA49F5" w:rsidRDefault="00BA49F5">
            <w:pPr>
              <w:rPr>
                <w:rFonts w:ascii="宋体"/>
              </w:rPr>
            </w:pPr>
          </w:p>
        </w:tc>
      </w:tr>
      <w:tr w:rsidR="00BA49F5" w14:paraId="5CD8E794" w14:textId="77777777">
        <w:trPr>
          <w:trHeight w:val="180"/>
          <w:jc w:val="center"/>
        </w:trPr>
        <w:tc>
          <w:tcPr>
            <w:tcW w:w="0" w:type="auto"/>
            <w:gridSpan w:val="3"/>
            <w:shd w:val="clear" w:color="auto" w:fill="auto"/>
            <w:tcMar>
              <w:top w:w="40" w:type="dxa"/>
              <w:left w:w="20" w:type="dxa"/>
              <w:bottom w:w="40" w:type="dxa"/>
              <w:right w:w="20" w:type="dxa"/>
            </w:tcMar>
          </w:tcPr>
          <w:p w14:paraId="5CD8E775" w14:textId="77777777" w:rsidR="00BA49F5" w:rsidRDefault="007E5E49">
            <w:pPr>
              <w:jc w:val="right"/>
              <w:textAlignment w:val="top"/>
            </w:pPr>
            <w:r>
              <w:rPr>
                <w:rFonts w:ascii="sans-serif" w:eastAsia="宋体" w:hAnsi="sans-serif" w:cs="sans-serif"/>
                <w:color w:val="000000"/>
                <w:sz w:val="13"/>
                <w:szCs w:val="13"/>
              </w:rPr>
              <w:t>ARPU:</w:t>
            </w:r>
          </w:p>
        </w:tc>
        <w:tc>
          <w:tcPr>
            <w:tcW w:w="0" w:type="auto"/>
            <w:shd w:val="clear" w:color="auto" w:fill="FFFFFF"/>
            <w:tcMar>
              <w:top w:w="40" w:type="dxa"/>
              <w:left w:w="20" w:type="dxa"/>
              <w:bottom w:w="40" w:type="dxa"/>
              <w:right w:w="0" w:type="dxa"/>
            </w:tcMar>
            <w:vAlign w:val="bottom"/>
          </w:tcPr>
          <w:p w14:paraId="5CD8E776" w14:textId="77777777" w:rsidR="00BA49F5" w:rsidRDefault="007E5E49">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5CD8E777" w14:textId="77777777" w:rsidR="00BA49F5" w:rsidRDefault="007E5E49">
            <w:pPr>
              <w:jc w:val="right"/>
              <w:textAlignment w:val="bottom"/>
            </w:pPr>
            <w:r>
              <w:rPr>
                <w:rFonts w:ascii="sans-serif" w:eastAsia="宋体" w:hAnsi="sans-serif" w:cs="sans-serif"/>
                <w:color w:val="000000"/>
                <w:sz w:val="13"/>
                <w:szCs w:val="13"/>
              </w:rPr>
              <w:t>53.56 </w:t>
            </w:r>
          </w:p>
        </w:tc>
        <w:tc>
          <w:tcPr>
            <w:tcW w:w="0" w:type="auto"/>
            <w:shd w:val="clear" w:color="auto" w:fill="FFFFFF"/>
            <w:tcMar>
              <w:top w:w="40" w:type="dxa"/>
              <w:left w:w="0" w:type="dxa"/>
              <w:bottom w:w="40" w:type="dxa"/>
              <w:right w:w="20" w:type="dxa"/>
            </w:tcMar>
            <w:vAlign w:val="bottom"/>
          </w:tcPr>
          <w:p w14:paraId="5CD8E778" w14:textId="77777777" w:rsidR="00BA49F5" w:rsidRDefault="00BA49F5">
            <w:pPr>
              <w:jc w:val="right"/>
              <w:rPr>
                <w:rFonts w:ascii="宋体"/>
              </w:rPr>
            </w:pPr>
          </w:p>
        </w:tc>
        <w:tc>
          <w:tcPr>
            <w:tcW w:w="0" w:type="auto"/>
            <w:shd w:val="clear" w:color="auto" w:fill="FFFFFF"/>
            <w:tcMar>
              <w:top w:w="40" w:type="dxa"/>
              <w:left w:w="20" w:type="dxa"/>
              <w:bottom w:w="40" w:type="dxa"/>
              <w:right w:w="0" w:type="dxa"/>
            </w:tcMar>
            <w:vAlign w:val="bottom"/>
          </w:tcPr>
          <w:p w14:paraId="5CD8E779" w14:textId="77777777" w:rsidR="00BA49F5" w:rsidRDefault="007E5E49">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5CD8E77A" w14:textId="77777777" w:rsidR="00BA49F5" w:rsidRDefault="007E5E49">
            <w:pPr>
              <w:jc w:val="right"/>
              <w:textAlignment w:val="bottom"/>
            </w:pPr>
            <w:r>
              <w:rPr>
                <w:rFonts w:ascii="sans-serif" w:eastAsia="宋体" w:hAnsi="sans-serif" w:cs="sans-serif"/>
                <w:color w:val="000000"/>
                <w:sz w:val="13"/>
                <w:szCs w:val="13"/>
              </w:rPr>
              <w:t>48.03 </w:t>
            </w:r>
          </w:p>
        </w:tc>
        <w:tc>
          <w:tcPr>
            <w:tcW w:w="0" w:type="auto"/>
            <w:shd w:val="clear" w:color="auto" w:fill="FFFFFF"/>
            <w:tcMar>
              <w:top w:w="40" w:type="dxa"/>
              <w:left w:w="0" w:type="dxa"/>
              <w:bottom w:w="40" w:type="dxa"/>
              <w:right w:w="20" w:type="dxa"/>
            </w:tcMar>
            <w:vAlign w:val="bottom"/>
          </w:tcPr>
          <w:p w14:paraId="5CD8E77B" w14:textId="77777777" w:rsidR="00BA49F5" w:rsidRDefault="00BA49F5">
            <w:pPr>
              <w:jc w:val="right"/>
              <w:rPr>
                <w:rFonts w:ascii="宋体"/>
              </w:rPr>
            </w:pPr>
          </w:p>
        </w:tc>
        <w:tc>
          <w:tcPr>
            <w:tcW w:w="0" w:type="auto"/>
            <w:shd w:val="clear" w:color="auto" w:fill="FFFFFF"/>
            <w:tcMar>
              <w:top w:w="40" w:type="dxa"/>
              <w:left w:w="20" w:type="dxa"/>
              <w:bottom w:w="40" w:type="dxa"/>
              <w:right w:w="0" w:type="dxa"/>
            </w:tcMar>
            <w:vAlign w:val="bottom"/>
          </w:tcPr>
          <w:p w14:paraId="5CD8E77C" w14:textId="77777777" w:rsidR="00BA49F5" w:rsidRDefault="007E5E49">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5CD8E77D" w14:textId="77777777" w:rsidR="00BA49F5" w:rsidRDefault="007E5E49">
            <w:pPr>
              <w:jc w:val="right"/>
              <w:textAlignment w:val="bottom"/>
            </w:pPr>
            <w:r>
              <w:rPr>
                <w:rFonts w:ascii="sans-serif" w:eastAsia="宋体" w:hAnsi="sans-serif" w:cs="sans-serif"/>
                <w:color w:val="000000"/>
                <w:sz w:val="13"/>
                <w:szCs w:val="13"/>
              </w:rPr>
              <w:t>53.01 </w:t>
            </w:r>
          </w:p>
        </w:tc>
        <w:tc>
          <w:tcPr>
            <w:tcW w:w="0" w:type="auto"/>
            <w:shd w:val="clear" w:color="auto" w:fill="FFFFFF"/>
            <w:tcMar>
              <w:top w:w="40" w:type="dxa"/>
              <w:left w:w="0" w:type="dxa"/>
              <w:bottom w:w="40" w:type="dxa"/>
              <w:right w:w="20" w:type="dxa"/>
            </w:tcMar>
            <w:vAlign w:val="bottom"/>
          </w:tcPr>
          <w:p w14:paraId="5CD8E77E" w14:textId="77777777" w:rsidR="00BA49F5" w:rsidRDefault="00BA49F5">
            <w:pPr>
              <w:jc w:val="right"/>
              <w:rPr>
                <w:rFonts w:ascii="宋体"/>
              </w:rPr>
            </w:pPr>
          </w:p>
        </w:tc>
        <w:tc>
          <w:tcPr>
            <w:tcW w:w="0" w:type="auto"/>
            <w:shd w:val="clear" w:color="auto" w:fill="FFFFFF"/>
            <w:tcMar>
              <w:top w:w="40" w:type="dxa"/>
              <w:left w:w="20" w:type="dxa"/>
              <w:bottom w:w="40" w:type="dxa"/>
              <w:right w:w="0" w:type="dxa"/>
            </w:tcMar>
            <w:vAlign w:val="bottom"/>
          </w:tcPr>
          <w:p w14:paraId="5CD8E77F" w14:textId="77777777" w:rsidR="00BA49F5" w:rsidRDefault="007E5E49">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5CD8E780" w14:textId="77777777" w:rsidR="00BA49F5" w:rsidRDefault="007E5E49">
            <w:pPr>
              <w:jc w:val="right"/>
              <w:textAlignment w:val="bottom"/>
            </w:pPr>
            <w:r>
              <w:rPr>
                <w:rFonts w:ascii="sans-serif" w:eastAsia="宋体" w:hAnsi="sans-serif" w:cs="sans-serif"/>
                <w:color w:val="000000"/>
                <w:sz w:val="13"/>
                <w:szCs w:val="13"/>
              </w:rPr>
              <w:t>52.34 </w:t>
            </w:r>
          </w:p>
        </w:tc>
        <w:tc>
          <w:tcPr>
            <w:tcW w:w="0" w:type="auto"/>
            <w:shd w:val="clear" w:color="auto" w:fill="FFFFFF"/>
            <w:tcMar>
              <w:top w:w="40" w:type="dxa"/>
              <w:left w:w="0" w:type="dxa"/>
              <w:bottom w:w="40" w:type="dxa"/>
              <w:right w:w="20" w:type="dxa"/>
            </w:tcMar>
            <w:vAlign w:val="bottom"/>
          </w:tcPr>
          <w:p w14:paraId="5CD8E781" w14:textId="77777777" w:rsidR="00BA49F5" w:rsidRDefault="00BA49F5">
            <w:pPr>
              <w:jc w:val="right"/>
              <w:rPr>
                <w:rFonts w:ascii="宋体"/>
              </w:rPr>
            </w:pPr>
          </w:p>
        </w:tc>
        <w:tc>
          <w:tcPr>
            <w:tcW w:w="0" w:type="auto"/>
            <w:shd w:val="clear" w:color="auto" w:fill="FFFFFF"/>
            <w:tcMar>
              <w:top w:w="40" w:type="dxa"/>
              <w:left w:w="20" w:type="dxa"/>
              <w:bottom w:w="40" w:type="dxa"/>
              <w:right w:w="0" w:type="dxa"/>
            </w:tcMar>
            <w:vAlign w:val="bottom"/>
          </w:tcPr>
          <w:p w14:paraId="5CD8E782" w14:textId="77777777" w:rsidR="00BA49F5" w:rsidRDefault="007E5E49">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5CD8E783" w14:textId="77777777" w:rsidR="00BA49F5" w:rsidRDefault="007E5E49">
            <w:pPr>
              <w:jc w:val="right"/>
              <w:textAlignment w:val="bottom"/>
            </w:pPr>
            <w:r>
              <w:rPr>
                <w:rFonts w:ascii="sans-serif" w:eastAsia="宋体" w:hAnsi="sans-serif" w:cs="sans-serif"/>
                <w:color w:val="000000"/>
                <w:sz w:val="13"/>
                <w:szCs w:val="13"/>
              </w:rPr>
              <w:t>60.57 </w:t>
            </w:r>
          </w:p>
        </w:tc>
        <w:tc>
          <w:tcPr>
            <w:tcW w:w="0" w:type="auto"/>
            <w:shd w:val="clear" w:color="auto" w:fill="FFFFFF"/>
            <w:tcMar>
              <w:top w:w="40" w:type="dxa"/>
              <w:left w:w="0" w:type="dxa"/>
              <w:bottom w:w="40" w:type="dxa"/>
              <w:right w:w="20" w:type="dxa"/>
            </w:tcMar>
            <w:vAlign w:val="bottom"/>
          </w:tcPr>
          <w:p w14:paraId="5CD8E784" w14:textId="77777777" w:rsidR="00BA49F5" w:rsidRDefault="00BA49F5">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CD8E785" w14:textId="77777777" w:rsidR="00BA49F5" w:rsidRDefault="007E5E49">
            <w:pPr>
              <w:textAlignment w:val="bottom"/>
            </w:pPr>
            <w:r>
              <w:rPr>
                <w:rFonts w:ascii="sans-serif" w:eastAsia="宋体" w:hAnsi="sans-serif" w:cs="sans-serif"/>
                <w:color w:val="000000"/>
                <w:sz w:val="13"/>
                <w:szCs w:val="13"/>
              </w:rPr>
              <w:t>$48.29</w:t>
            </w:r>
          </w:p>
        </w:tc>
        <w:tc>
          <w:tcPr>
            <w:tcW w:w="0" w:type="auto"/>
            <w:gridSpan w:val="3"/>
            <w:shd w:val="clear" w:color="auto" w:fill="FFFFFF"/>
            <w:tcMar>
              <w:top w:w="40" w:type="dxa"/>
              <w:left w:w="20" w:type="dxa"/>
              <w:bottom w:w="40" w:type="dxa"/>
              <w:right w:w="20" w:type="dxa"/>
            </w:tcMar>
            <w:vAlign w:val="bottom"/>
          </w:tcPr>
          <w:p w14:paraId="5CD8E786" w14:textId="77777777" w:rsidR="00BA49F5" w:rsidRDefault="007E5E49">
            <w:pPr>
              <w:textAlignment w:val="bottom"/>
            </w:pPr>
            <w:r>
              <w:rPr>
                <w:rFonts w:ascii="sans-serif" w:eastAsia="宋体" w:hAnsi="sans-serif" w:cs="sans-serif"/>
                <w:color w:val="000000"/>
                <w:sz w:val="13"/>
                <w:szCs w:val="13"/>
              </w:rPr>
              <w:t>$50.25</w:t>
            </w:r>
          </w:p>
        </w:tc>
        <w:tc>
          <w:tcPr>
            <w:tcW w:w="0" w:type="auto"/>
            <w:gridSpan w:val="3"/>
            <w:shd w:val="clear" w:color="auto" w:fill="FFFFFF"/>
            <w:tcMar>
              <w:top w:w="40" w:type="dxa"/>
              <w:left w:w="20" w:type="dxa"/>
              <w:bottom w:w="40" w:type="dxa"/>
              <w:right w:w="20" w:type="dxa"/>
            </w:tcMar>
            <w:vAlign w:val="bottom"/>
          </w:tcPr>
          <w:p w14:paraId="5CD8E787" w14:textId="77777777" w:rsidR="00BA49F5" w:rsidRDefault="007E5E49">
            <w:pPr>
              <w:textAlignment w:val="bottom"/>
            </w:pPr>
            <w:r>
              <w:rPr>
                <w:rFonts w:ascii="sans-serif" w:eastAsia="宋体" w:hAnsi="sans-serif" w:cs="sans-serif"/>
                <w:color w:val="000000"/>
                <w:sz w:val="13"/>
                <w:szCs w:val="13"/>
              </w:rPr>
              <w:t>$49.13</w:t>
            </w:r>
          </w:p>
        </w:tc>
        <w:tc>
          <w:tcPr>
            <w:tcW w:w="0" w:type="auto"/>
            <w:gridSpan w:val="3"/>
            <w:shd w:val="clear" w:color="auto" w:fill="FFFFFF"/>
            <w:tcMar>
              <w:top w:w="40" w:type="dxa"/>
              <w:left w:w="20" w:type="dxa"/>
              <w:bottom w:w="40" w:type="dxa"/>
              <w:right w:w="20" w:type="dxa"/>
            </w:tcMar>
            <w:vAlign w:val="bottom"/>
          </w:tcPr>
          <w:p w14:paraId="5CD8E788" w14:textId="77777777" w:rsidR="00BA49F5" w:rsidRDefault="007E5E49">
            <w:pPr>
              <w:textAlignment w:val="bottom"/>
            </w:pPr>
            <w:r>
              <w:rPr>
                <w:rFonts w:ascii="sans-serif" w:eastAsia="宋体" w:hAnsi="sans-serif" w:cs="sans-serif"/>
                <w:color w:val="000000"/>
                <w:sz w:val="13"/>
                <w:szCs w:val="13"/>
              </w:rPr>
              <w:t>$58.77</w:t>
            </w:r>
          </w:p>
        </w:tc>
        <w:tc>
          <w:tcPr>
            <w:tcW w:w="0" w:type="auto"/>
            <w:gridSpan w:val="3"/>
            <w:shd w:val="clear" w:color="auto" w:fill="auto"/>
            <w:tcMar>
              <w:top w:w="0" w:type="dxa"/>
              <w:left w:w="20" w:type="dxa"/>
              <w:bottom w:w="0" w:type="dxa"/>
              <w:right w:w="20" w:type="dxa"/>
            </w:tcMar>
            <w:vAlign w:val="bottom"/>
          </w:tcPr>
          <w:p w14:paraId="5CD8E78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8E78A" w14:textId="77777777" w:rsidR="00BA49F5" w:rsidRDefault="007E5E49">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vAlign w:val="bottom"/>
          </w:tcPr>
          <w:p w14:paraId="5CD8E78B" w14:textId="77777777" w:rsidR="00BA49F5" w:rsidRDefault="007E5E49">
            <w:pPr>
              <w:textAlignment w:val="bottom"/>
            </w:pPr>
            <w:r>
              <w:rPr>
                <w:rFonts w:ascii="sans-serif" w:eastAsia="宋体" w:hAnsi="sans-serif" w:cs="sans-serif"/>
                <w:color w:val="000000"/>
                <w:sz w:val="13"/>
                <w:szCs w:val="13"/>
              </w:rPr>
              <w:t>$16.87</w:t>
            </w:r>
          </w:p>
        </w:tc>
        <w:tc>
          <w:tcPr>
            <w:tcW w:w="0" w:type="auto"/>
            <w:gridSpan w:val="3"/>
            <w:shd w:val="clear" w:color="auto" w:fill="auto"/>
            <w:tcMar>
              <w:top w:w="40" w:type="dxa"/>
              <w:left w:w="20" w:type="dxa"/>
              <w:bottom w:w="40" w:type="dxa"/>
              <w:right w:w="20" w:type="dxa"/>
            </w:tcMar>
            <w:vAlign w:val="bottom"/>
          </w:tcPr>
          <w:p w14:paraId="5CD8E78C" w14:textId="77777777" w:rsidR="00BA49F5" w:rsidRDefault="007E5E49">
            <w:pPr>
              <w:textAlignment w:val="bottom"/>
            </w:pPr>
            <w:r>
              <w:rPr>
                <w:rFonts w:ascii="sans-serif" w:eastAsia="宋体" w:hAnsi="sans-serif" w:cs="sans-serif"/>
                <w:color w:val="000000"/>
                <w:sz w:val="13"/>
                <w:szCs w:val="13"/>
              </w:rPr>
              <w:t>$15.49</w:t>
            </w:r>
          </w:p>
        </w:tc>
        <w:tc>
          <w:tcPr>
            <w:tcW w:w="0" w:type="auto"/>
            <w:gridSpan w:val="3"/>
            <w:shd w:val="clear" w:color="auto" w:fill="auto"/>
            <w:tcMar>
              <w:top w:w="40" w:type="dxa"/>
              <w:left w:w="20" w:type="dxa"/>
              <w:bottom w:w="40" w:type="dxa"/>
              <w:right w:w="20" w:type="dxa"/>
            </w:tcMar>
            <w:vAlign w:val="bottom"/>
          </w:tcPr>
          <w:p w14:paraId="5CD8E78D" w14:textId="77777777" w:rsidR="00BA49F5" w:rsidRDefault="007E5E49">
            <w:pPr>
              <w:textAlignment w:val="bottom"/>
            </w:pPr>
            <w:r>
              <w:rPr>
                <w:rFonts w:ascii="sans-serif" w:eastAsia="宋体" w:hAnsi="sans-serif" w:cs="sans-serif"/>
                <w:color w:val="000000"/>
                <w:sz w:val="13"/>
                <w:szCs w:val="13"/>
              </w:rPr>
              <w:t>$17.23</w:t>
            </w:r>
          </w:p>
        </w:tc>
        <w:tc>
          <w:tcPr>
            <w:tcW w:w="0" w:type="auto"/>
            <w:gridSpan w:val="3"/>
            <w:shd w:val="clear" w:color="auto" w:fill="auto"/>
            <w:tcMar>
              <w:top w:w="40" w:type="dxa"/>
              <w:left w:w="20" w:type="dxa"/>
              <w:bottom w:w="40" w:type="dxa"/>
              <w:right w:w="20" w:type="dxa"/>
            </w:tcMar>
            <w:vAlign w:val="bottom"/>
          </w:tcPr>
          <w:p w14:paraId="5CD8E78E" w14:textId="77777777" w:rsidR="00BA49F5" w:rsidRDefault="007E5E49">
            <w:pPr>
              <w:textAlignment w:val="bottom"/>
            </w:pPr>
            <w:r>
              <w:rPr>
                <w:rFonts w:ascii="sans-serif" w:eastAsia="宋体" w:hAnsi="sans-serif" w:cs="sans-serif"/>
                <w:color w:val="000000"/>
                <w:sz w:val="13"/>
                <w:szCs w:val="13"/>
              </w:rPr>
              <w:t>$16.50</w:t>
            </w:r>
          </w:p>
        </w:tc>
        <w:tc>
          <w:tcPr>
            <w:tcW w:w="0" w:type="auto"/>
            <w:gridSpan w:val="3"/>
            <w:shd w:val="clear" w:color="auto" w:fill="auto"/>
            <w:tcMar>
              <w:top w:w="40" w:type="dxa"/>
              <w:left w:w="20" w:type="dxa"/>
              <w:bottom w:w="40" w:type="dxa"/>
              <w:right w:w="20" w:type="dxa"/>
            </w:tcMar>
            <w:vAlign w:val="bottom"/>
          </w:tcPr>
          <w:p w14:paraId="5CD8E78F" w14:textId="77777777" w:rsidR="00BA49F5" w:rsidRDefault="007E5E49">
            <w:pPr>
              <w:textAlignment w:val="bottom"/>
            </w:pPr>
            <w:r>
              <w:rPr>
                <w:rFonts w:ascii="sans-serif" w:eastAsia="宋体" w:hAnsi="sans-serif" w:cs="sans-serif"/>
                <w:color w:val="000000"/>
                <w:sz w:val="13"/>
                <w:szCs w:val="13"/>
              </w:rPr>
              <w:t>$19.68</w:t>
            </w:r>
          </w:p>
        </w:tc>
        <w:tc>
          <w:tcPr>
            <w:tcW w:w="0" w:type="auto"/>
            <w:gridSpan w:val="3"/>
            <w:shd w:val="clear" w:color="auto" w:fill="auto"/>
            <w:tcMar>
              <w:top w:w="40" w:type="dxa"/>
              <w:left w:w="20" w:type="dxa"/>
              <w:bottom w:w="40" w:type="dxa"/>
              <w:right w:w="20" w:type="dxa"/>
            </w:tcMar>
            <w:vAlign w:val="bottom"/>
          </w:tcPr>
          <w:p w14:paraId="5CD8E790" w14:textId="77777777" w:rsidR="00BA49F5" w:rsidRDefault="007E5E49">
            <w:pPr>
              <w:textAlignment w:val="bottom"/>
            </w:pPr>
            <w:r>
              <w:rPr>
                <w:rFonts w:ascii="sans-serif" w:eastAsia="宋体" w:hAnsi="sans-serif" w:cs="sans-serif"/>
                <w:color w:val="000000"/>
                <w:sz w:val="13"/>
                <w:szCs w:val="13"/>
              </w:rPr>
              <w:t>$15.35</w:t>
            </w:r>
          </w:p>
        </w:tc>
        <w:tc>
          <w:tcPr>
            <w:tcW w:w="0" w:type="auto"/>
            <w:gridSpan w:val="3"/>
            <w:shd w:val="clear" w:color="auto" w:fill="auto"/>
            <w:tcMar>
              <w:top w:w="40" w:type="dxa"/>
              <w:left w:w="20" w:type="dxa"/>
              <w:bottom w:w="40" w:type="dxa"/>
              <w:right w:w="20" w:type="dxa"/>
            </w:tcMar>
            <w:vAlign w:val="bottom"/>
          </w:tcPr>
          <w:p w14:paraId="5CD8E791" w14:textId="77777777" w:rsidR="00BA49F5" w:rsidRDefault="007E5E49">
            <w:pPr>
              <w:jc w:val="center"/>
              <w:textAlignment w:val="bottom"/>
            </w:pPr>
            <w:r>
              <w:rPr>
                <w:rFonts w:ascii="sans-serif" w:eastAsia="宋体" w:hAnsi="sans-serif" w:cs="sans-serif"/>
                <w:color w:val="000000"/>
                <w:sz w:val="13"/>
                <w:szCs w:val="13"/>
              </w:rPr>
              <w:t>$15.64</w:t>
            </w:r>
          </w:p>
        </w:tc>
        <w:tc>
          <w:tcPr>
            <w:tcW w:w="0" w:type="auto"/>
            <w:gridSpan w:val="3"/>
            <w:shd w:val="clear" w:color="auto" w:fill="auto"/>
            <w:tcMar>
              <w:top w:w="40" w:type="dxa"/>
              <w:left w:w="20" w:type="dxa"/>
              <w:bottom w:w="40" w:type="dxa"/>
              <w:right w:w="20" w:type="dxa"/>
            </w:tcMar>
            <w:vAlign w:val="bottom"/>
          </w:tcPr>
          <w:p w14:paraId="5CD8E792" w14:textId="77777777" w:rsidR="00BA49F5" w:rsidRDefault="007E5E49">
            <w:pPr>
              <w:jc w:val="center"/>
              <w:textAlignment w:val="bottom"/>
            </w:pPr>
            <w:r>
              <w:rPr>
                <w:rFonts w:ascii="sans-serif" w:eastAsia="宋体" w:hAnsi="sans-serif" w:cs="sans-serif"/>
                <w:color w:val="000000"/>
                <w:sz w:val="13"/>
                <w:szCs w:val="13"/>
              </w:rPr>
              <w:t>$14.23</w:t>
            </w:r>
          </w:p>
        </w:tc>
        <w:tc>
          <w:tcPr>
            <w:tcW w:w="0" w:type="auto"/>
            <w:gridSpan w:val="3"/>
            <w:shd w:val="clear" w:color="auto" w:fill="auto"/>
            <w:tcMar>
              <w:top w:w="40" w:type="dxa"/>
              <w:left w:w="20" w:type="dxa"/>
              <w:bottom w:w="40" w:type="dxa"/>
              <w:right w:w="20" w:type="dxa"/>
            </w:tcMar>
            <w:vAlign w:val="bottom"/>
          </w:tcPr>
          <w:p w14:paraId="5CD8E793" w14:textId="77777777" w:rsidR="00BA49F5" w:rsidRDefault="007E5E49">
            <w:pPr>
              <w:jc w:val="center"/>
              <w:textAlignment w:val="bottom"/>
            </w:pPr>
            <w:r>
              <w:rPr>
                <w:rFonts w:ascii="sans-serif" w:eastAsia="宋体" w:hAnsi="sans-serif" w:cs="sans-serif"/>
                <w:color w:val="000000"/>
                <w:sz w:val="13"/>
                <w:szCs w:val="13"/>
              </w:rPr>
              <w:t>$17.29</w:t>
            </w:r>
          </w:p>
        </w:tc>
      </w:tr>
    </w:tbl>
    <w:p w14:paraId="5CD8E795" w14:textId="77777777" w:rsidR="00BA49F5" w:rsidRDefault="007E5E49">
      <w:pPr>
        <w:jc w:val="center"/>
      </w:pPr>
      <w:r>
        <w:rPr>
          <w:rFonts w:ascii="宋体" w:eastAsia="宋体" w:hAnsi="宋体" w:cs="宋体"/>
        </w:rPr>
        <w:fldChar w:fldCharType="begin"/>
      </w:r>
      <w:r>
        <w:rPr>
          <w:rFonts w:ascii="宋体" w:eastAsia="宋体" w:hAnsi="宋体" w:cs="宋体"/>
        </w:rPr>
        <w:instrText>INCLUDEP</w:instrText>
      </w:r>
      <w:r>
        <w:rPr>
          <w:rFonts w:ascii="宋体" w:eastAsia="宋体" w:hAnsi="宋体" w:cs="宋体"/>
        </w:rPr>
        <w:instrText xml:space="preserve">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2E" wp14:editId="5CD90D2F">
            <wp:extent cx="304800" cy="304800"/>
            <wp:effectExtent l="0" t="0" r="0" b="0"/>
            <wp:docPr id="34" name="图片 11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5"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Viewer_files/me</w:instrText>
      </w:r>
      <w:r>
        <w:rPr>
          <w:rFonts w:ascii="宋体" w:eastAsia="宋体" w:hAnsi="宋体" w:cs="宋体"/>
        </w:rPr>
        <w:instrText xml:space="preserve">ta-20221231_g21.jpg"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30" wp14:editId="5CD90D31">
            <wp:extent cx="304800" cy="304800"/>
            <wp:effectExtent l="0" t="0" r="0" b="0"/>
            <wp:docPr id="35" name="图片 11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6"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7"/>
        <w:gridCol w:w="429"/>
        <w:gridCol w:w="37"/>
        <w:gridCol w:w="37"/>
        <w:gridCol w:w="423"/>
        <w:gridCol w:w="37"/>
        <w:gridCol w:w="37"/>
        <w:gridCol w:w="423"/>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8"/>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tblGrid>
      <w:tr w:rsidR="00BA49F5" w14:paraId="5CD8E7D2" w14:textId="77777777">
        <w:trPr>
          <w:jc w:val="center"/>
        </w:trPr>
        <w:tc>
          <w:tcPr>
            <w:tcW w:w="20" w:type="dxa"/>
            <w:shd w:val="clear" w:color="auto" w:fill="auto"/>
            <w:vAlign w:val="bottom"/>
          </w:tcPr>
          <w:p w14:paraId="5CD8E796" w14:textId="77777777" w:rsidR="00BA49F5" w:rsidRDefault="00BA49F5">
            <w:pPr>
              <w:rPr>
                <w:rFonts w:ascii="宋体"/>
              </w:rPr>
            </w:pPr>
          </w:p>
        </w:tc>
        <w:tc>
          <w:tcPr>
            <w:tcW w:w="455" w:type="dxa"/>
            <w:shd w:val="clear" w:color="auto" w:fill="auto"/>
            <w:vAlign w:val="bottom"/>
          </w:tcPr>
          <w:p w14:paraId="5CD8E797" w14:textId="77777777" w:rsidR="00BA49F5" w:rsidRDefault="00BA49F5">
            <w:pPr>
              <w:rPr>
                <w:rFonts w:ascii="宋体"/>
              </w:rPr>
            </w:pPr>
          </w:p>
        </w:tc>
        <w:tc>
          <w:tcPr>
            <w:tcW w:w="20" w:type="dxa"/>
            <w:shd w:val="clear" w:color="auto" w:fill="auto"/>
            <w:vAlign w:val="bottom"/>
          </w:tcPr>
          <w:p w14:paraId="5CD8E798" w14:textId="77777777" w:rsidR="00BA49F5" w:rsidRDefault="00BA49F5">
            <w:pPr>
              <w:rPr>
                <w:rFonts w:ascii="宋体"/>
              </w:rPr>
            </w:pPr>
          </w:p>
        </w:tc>
        <w:tc>
          <w:tcPr>
            <w:tcW w:w="20" w:type="dxa"/>
            <w:shd w:val="clear" w:color="auto" w:fill="auto"/>
            <w:vAlign w:val="bottom"/>
          </w:tcPr>
          <w:p w14:paraId="5CD8E799" w14:textId="77777777" w:rsidR="00BA49F5" w:rsidRDefault="00BA49F5">
            <w:pPr>
              <w:rPr>
                <w:rFonts w:ascii="宋体"/>
              </w:rPr>
            </w:pPr>
          </w:p>
        </w:tc>
        <w:tc>
          <w:tcPr>
            <w:tcW w:w="455" w:type="dxa"/>
            <w:shd w:val="clear" w:color="auto" w:fill="auto"/>
            <w:vAlign w:val="bottom"/>
          </w:tcPr>
          <w:p w14:paraId="5CD8E79A" w14:textId="77777777" w:rsidR="00BA49F5" w:rsidRDefault="00BA49F5">
            <w:pPr>
              <w:rPr>
                <w:rFonts w:ascii="宋体"/>
              </w:rPr>
            </w:pPr>
          </w:p>
        </w:tc>
        <w:tc>
          <w:tcPr>
            <w:tcW w:w="20" w:type="dxa"/>
            <w:shd w:val="clear" w:color="auto" w:fill="auto"/>
            <w:vAlign w:val="bottom"/>
          </w:tcPr>
          <w:p w14:paraId="5CD8E79B" w14:textId="77777777" w:rsidR="00BA49F5" w:rsidRDefault="00BA49F5">
            <w:pPr>
              <w:rPr>
                <w:rFonts w:ascii="宋体"/>
              </w:rPr>
            </w:pPr>
          </w:p>
        </w:tc>
        <w:tc>
          <w:tcPr>
            <w:tcW w:w="20" w:type="dxa"/>
            <w:shd w:val="clear" w:color="auto" w:fill="auto"/>
            <w:vAlign w:val="bottom"/>
          </w:tcPr>
          <w:p w14:paraId="5CD8E79C" w14:textId="77777777" w:rsidR="00BA49F5" w:rsidRDefault="00BA49F5">
            <w:pPr>
              <w:rPr>
                <w:rFonts w:ascii="宋体"/>
              </w:rPr>
            </w:pPr>
          </w:p>
        </w:tc>
        <w:tc>
          <w:tcPr>
            <w:tcW w:w="455" w:type="dxa"/>
            <w:shd w:val="clear" w:color="auto" w:fill="auto"/>
            <w:vAlign w:val="bottom"/>
          </w:tcPr>
          <w:p w14:paraId="5CD8E79D" w14:textId="77777777" w:rsidR="00BA49F5" w:rsidRDefault="00BA49F5">
            <w:pPr>
              <w:rPr>
                <w:rFonts w:ascii="宋体"/>
              </w:rPr>
            </w:pPr>
          </w:p>
        </w:tc>
        <w:tc>
          <w:tcPr>
            <w:tcW w:w="20" w:type="dxa"/>
            <w:shd w:val="clear" w:color="auto" w:fill="auto"/>
            <w:vAlign w:val="bottom"/>
          </w:tcPr>
          <w:p w14:paraId="5CD8E79E" w14:textId="77777777" w:rsidR="00BA49F5" w:rsidRDefault="00BA49F5">
            <w:pPr>
              <w:rPr>
                <w:rFonts w:ascii="宋体"/>
              </w:rPr>
            </w:pPr>
          </w:p>
        </w:tc>
        <w:tc>
          <w:tcPr>
            <w:tcW w:w="20" w:type="dxa"/>
            <w:shd w:val="clear" w:color="auto" w:fill="auto"/>
            <w:vAlign w:val="bottom"/>
          </w:tcPr>
          <w:p w14:paraId="5CD8E79F" w14:textId="77777777" w:rsidR="00BA49F5" w:rsidRDefault="00BA49F5">
            <w:pPr>
              <w:rPr>
                <w:rFonts w:ascii="宋体"/>
              </w:rPr>
            </w:pPr>
          </w:p>
        </w:tc>
        <w:tc>
          <w:tcPr>
            <w:tcW w:w="455" w:type="dxa"/>
            <w:shd w:val="clear" w:color="auto" w:fill="auto"/>
            <w:vAlign w:val="bottom"/>
          </w:tcPr>
          <w:p w14:paraId="5CD8E7A0" w14:textId="77777777" w:rsidR="00BA49F5" w:rsidRDefault="00BA49F5">
            <w:pPr>
              <w:rPr>
                <w:rFonts w:ascii="宋体"/>
              </w:rPr>
            </w:pPr>
          </w:p>
        </w:tc>
        <w:tc>
          <w:tcPr>
            <w:tcW w:w="20" w:type="dxa"/>
            <w:shd w:val="clear" w:color="auto" w:fill="auto"/>
            <w:vAlign w:val="bottom"/>
          </w:tcPr>
          <w:p w14:paraId="5CD8E7A1" w14:textId="77777777" w:rsidR="00BA49F5" w:rsidRDefault="00BA49F5">
            <w:pPr>
              <w:rPr>
                <w:rFonts w:ascii="宋体"/>
              </w:rPr>
            </w:pPr>
          </w:p>
        </w:tc>
        <w:tc>
          <w:tcPr>
            <w:tcW w:w="20" w:type="dxa"/>
            <w:shd w:val="clear" w:color="auto" w:fill="auto"/>
            <w:vAlign w:val="bottom"/>
          </w:tcPr>
          <w:p w14:paraId="5CD8E7A2" w14:textId="77777777" w:rsidR="00BA49F5" w:rsidRDefault="00BA49F5">
            <w:pPr>
              <w:rPr>
                <w:rFonts w:ascii="宋体"/>
              </w:rPr>
            </w:pPr>
          </w:p>
        </w:tc>
        <w:tc>
          <w:tcPr>
            <w:tcW w:w="455" w:type="dxa"/>
            <w:shd w:val="clear" w:color="auto" w:fill="auto"/>
            <w:vAlign w:val="bottom"/>
          </w:tcPr>
          <w:p w14:paraId="5CD8E7A3" w14:textId="77777777" w:rsidR="00BA49F5" w:rsidRDefault="00BA49F5">
            <w:pPr>
              <w:rPr>
                <w:rFonts w:ascii="宋体"/>
              </w:rPr>
            </w:pPr>
          </w:p>
        </w:tc>
        <w:tc>
          <w:tcPr>
            <w:tcW w:w="20" w:type="dxa"/>
            <w:shd w:val="clear" w:color="auto" w:fill="auto"/>
            <w:vAlign w:val="bottom"/>
          </w:tcPr>
          <w:p w14:paraId="5CD8E7A4" w14:textId="77777777" w:rsidR="00BA49F5" w:rsidRDefault="00BA49F5">
            <w:pPr>
              <w:rPr>
                <w:rFonts w:ascii="宋体"/>
              </w:rPr>
            </w:pPr>
          </w:p>
        </w:tc>
        <w:tc>
          <w:tcPr>
            <w:tcW w:w="20" w:type="dxa"/>
            <w:shd w:val="clear" w:color="auto" w:fill="auto"/>
            <w:vAlign w:val="bottom"/>
          </w:tcPr>
          <w:p w14:paraId="5CD8E7A5" w14:textId="77777777" w:rsidR="00BA49F5" w:rsidRDefault="00BA49F5">
            <w:pPr>
              <w:rPr>
                <w:rFonts w:ascii="宋体"/>
              </w:rPr>
            </w:pPr>
          </w:p>
        </w:tc>
        <w:tc>
          <w:tcPr>
            <w:tcW w:w="455" w:type="dxa"/>
            <w:shd w:val="clear" w:color="auto" w:fill="auto"/>
            <w:vAlign w:val="bottom"/>
          </w:tcPr>
          <w:p w14:paraId="5CD8E7A6" w14:textId="77777777" w:rsidR="00BA49F5" w:rsidRDefault="00BA49F5">
            <w:pPr>
              <w:rPr>
                <w:rFonts w:ascii="宋体"/>
              </w:rPr>
            </w:pPr>
          </w:p>
        </w:tc>
        <w:tc>
          <w:tcPr>
            <w:tcW w:w="20" w:type="dxa"/>
            <w:shd w:val="clear" w:color="auto" w:fill="auto"/>
            <w:vAlign w:val="bottom"/>
          </w:tcPr>
          <w:p w14:paraId="5CD8E7A7" w14:textId="77777777" w:rsidR="00BA49F5" w:rsidRDefault="00BA49F5">
            <w:pPr>
              <w:rPr>
                <w:rFonts w:ascii="宋体"/>
              </w:rPr>
            </w:pPr>
          </w:p>
        </w:tc>
        <w:tc>
          <w:tcPr>
            <w:tcW w:w="20" w:type="dxa"/>
            <w:shd w:val="clear" w:color="auto" w:fill="auto"/>
            <w:vAlign w:val="bottom"/>
          </w:tcPr>
          <w:p w14:paraId="5CD8E7A8" w14:textId="77777777" w:rsidR="00BA49F5" w:rsidRDefault="00BA49F5">
            <w:pPr>
              <w:rPr>
                <w:rFonts w:ascii="宋体"/>
              </w:rPr>
            </w:pPr>
          </w:p>
        </w:tc>
        <w:tc>
          <w:tcPr>
            <w:tcW w:w="455" w:type="dxa"/>
            <w:shd w:val="clear" w:color="auto" w:fill="auto"/>
            <w:vAlign w:val="bottom"/>
          </w:tcPr>
          <w:p w14:paraId="5CD8E7A9" w14:textId="77777777" w:rsidR="00BA49F5" w:rsidRDefault="00BA49F5">
            <w:pPr>
              <w:rPr>
                <w:rFonts w:ascii="宋体"/>
              </w:rPr>
            </w:pPr>
          </w:p>
        </w:tc>
        <w:tc>
          <w:tcPr>
            <w:tcW w:w="20" w:type="dxa"/>
            <w:shd w:val="clear" w:color="auto" w:fill="auto"/>
            <w:vAlign w:val="bottom"/>
          </w:tcPr>
          <w:p w14:paraId="5CD8E7AA" w14:textId="77777777" w:rsidR="00BA49F5" w:rsidRDefault="00BA49F5">
            <w:pPr>
              <w:rPr>
                <w:rFonts w:ascii="宋体"/>
              </w:rPr>
            </w:pPr>
          </w:p>
        </w:tc>
        <w:tc>
          <w:tcPr>
            <w:tcW w:w="20" w:type="dxa"/>
            <w:shd w:val="clear" w:color="auto" w:fill="auto"/>
            <w:vAlign w:val="bottom"/>
          </w:tcPr>
          <w:p w14:paraId="5CD8E7AB" w14:textId="77777777" w:rsidR="00BA49F5" w:rsidRDefault="00BA49F5">
            <w:pPr>
              <w:rPr>
                <w:rFonts w:ascii="宋体"/>
              </w:rPr>
            </w:pPr>
          </w:p>
        </w:tc>
        <w:tc>
          <w:tcPr>
            <w:tcW w:w="455" w:type="dxa"/>
            <w:shd w:val="clear" w:color="auto" w:fill="auto"/>
            <w:vAlign w:val="bottom"/>
          </w:tcPr>
          <w:p w14:paraId="5CD8E7AC" w14:textId="77777777" w:rsidR="00BA49F5" w:rsidRDefault="00BA49F5">
            <w:pPr>
              <w:rPr>
                <w:rFonts w:ascii="宋体"/>
              </w:rPr>
            </w:pPr>
          </w:p>
        </w:tc>
        <w:tc>
          <w:tcPr>
            <w:tcW w:w="20" w:type="dxa"/>
            <w:shd w:val="clear" w:color="auto" w:fill="auto"/>
            <w:vAlign w:val="bottom"/>
          </w:tcPr>
          <w:p w14:paraId="5CD8E7AD" w14:textId="77777777" w:rsidR="00BA49F5" w:rsidRDefault="00BA49F5">
            <w:pPr>
              <w:rPr>
                <w:rFonts w:ascii="宋体"/>
              </w:rPr>
            </w:pPr>
          </w:p>
        </w:tc>
        <w:tc>
          <w:tcPr>
            <w:tcW w:w="20" w:type="dxa"/>
            <w:shd w:val="clear" w:color="auto" w:fill="auto"/>
            <w:vAlign w:val="bottom"/>
          </w:tcPr>
          <w:p w14:paraId="5CD8E7AE" w14:textId="77777777" w:rsidR="00BA49F5" w:rsidRDefault="00BA49F5">
            <w:pPr>
              <w:rPr>
                <w:rFonts w:ascii="宋体"/>
              </w:rPr>
            </w:pPr>
          </w:p>
        </w:tc>
        <w:tc>
          <w:tcPr>
            <w:tcW w:w="455" w:type="dxa"/>
            <w:shd w:val="clear" w:color="auto" w:fill="auto"/>
            <w:vAlign w:val="bottom"/>
          </w:tcPr>
          <w:p w14:paraId="5CD8E7AF" w14:textId="77777777" w:rsidR="00BA49F5" w:rsidRDefault="00BA49F5">
            <w:pPr>
              <w:rPr>
                <w:rFonts w:ascii="宋体"/>
              </w:rPr>
            </w:pPr>
          </w:p>
        </w:tc>
        <w:tc>
          <w:tcPr>
            <w:tcW w:w="20" w:type="dxa"/>
            <w:shd w:val="clear" w:color="auto" w:fill="auto"/>
            <w:vAlign w:val="bottom"/>
          </w:tcPr>
          <w:p w14:paraId="5CD8E7B0" w14:textId="77777777" w:rsidR="00BA49F5" w:rsidRDefault="00BA49F5">
            <w:pPr>
              <w:rPr>
                <w:rFonts w:ascii="宋体"/>
              </w:rPr>
            </w:pPr>
          </w:p>
        </w:tc>
        <w:tc>
          <w:tcPr>
            <w:tcW w:w="20" w:type="dxa"/>
            <w:shd w:val="clear" w:color="auto" w:fill="auto"/>
            <w:vAlign w:val="bottom"/>
          </w:tcPr>
          <w:p w14:paraId="5CD8E7B1" w14:textId="77777777" w:rsidR="00BA49F5" w:rsidRDefault="00BA49F5">
            <w:pPr>
              <w:rPr>
                <w:rFonts w:ascii="宋体"/>
              </w:rPr>
            </w:pPr>
          </w:p>
        </w:tc>
        <w:tc>
          <w:tcPr>
            <w:tcW w:w="455" w:type="dxa"/>
            <w:shd w:val="clear" w:color="auto" w:fill="auto"/>
            <w:vAlign w:val="bottom"/>
          </w:tcPr>
          <w:p w14:paraId="5CD8E7B2" w14:textId="77777777" w:rsidR="00BA49F5" w:rsidRDefault="00BA49F5">
            <w:pPr>
              <w:rPr>
                <w:rFonts w:ascii="宋体"/>
              </w:rPr>
            </w:pPr>
          </w:p>
        </w:tc>
        <w:tc>
          <w:tcPr>
            <w:tcW w:w="20" w:type="dxa"/>
            <w:shd w:val="clear" w:color="auto" w:fill="auto"/>
            <w:vAlign w:val="bottom"/>
          </w:tcPr>
          <w:p w14:paraId="5CD8E7B3" w14:textId="77777777" w:rsidR="00BA49F5" w:rsidRDefault="00BA49F5">
            <w:pPr>
              <w:rPr>
                <w:rFonts w:ascii="宋体"/>
              </w:rPr>
            </w:pPr>
          </w:p>
        </w:tc>
        <w:tc>
          <w:tcPr>
            <w:tcW w:w="20" w:type="dxa"/>
            <w:shd w:val="clear" w:color="auto" w:fill="auto"/>
            <w:vAlign w:val="bottom"/>
          </w:tcPr>
          <w:p w14:paraId="5CD8E7B4" w14:textId="77777777" w:rsidR="00BA49F5" w:rsidRDefault="00BA49F5">
            <w:pPr>
              <w:rPr>
                <w:rFonts w:ascii="宋体"/>
              </w:rPr>
            </w:pPr>
          </w:p>
        </w:tc>
        <w:tc>
          <w:tcPr>
            <w:tcW w:w="455" w:type="dxa"/>
            <w:shd w:val="clear" w:color="auto" w:fill="auto"/>
            <w:vAlign w:val="bottom"/>
          </w:tcPr>
          <w:p w14:paraId="5CD8E7B5" w14:textId="77777777" w:rsidR="00BA49F5" w:rsidRDefault="00BA49F5">
            <w:pPr>
              <w:rPr>
                <w:rFonts w:ascii="宋体"/>
              </w:rPr>
            </w:pPr>
          </w:p>
        </w:tc>
        <w:tc>
          <w:tcPr>
            <w:tcW w:w="20" w:type="dxa"/>
            <w:shd w:val="clear" w:color="auto" w:fill="auto"/>
            <w:vAlign w:val="bottom"/>
          </w:tcPr>
          <w:p w14:paraId="5CD8E7B6" w14:textId="77777777" w:rsidR="00BA49F5" w:rsidRDefault="00BA49F5">
            <w:pPr>
              <w:rPr>
                <w:rFonts w:ascii="宋体"/>
              </w:rPr>
            </w:pPr>
          </w:p>
        </w:tc>
        <w:tc>
          <w:tcPr>
            <w:tcW w:w="20" w:type="dxa"/>
            <w:shd w:val="clear" w:color="auto" w:fill="auto"/>
            <w:vAlign w:val="bottom"/>
          </w:tcPr>
          <w:p w14:paraId="5CD8E7B7" w14:textId="77777777" w:rsidR="00BA49F5" w:rsidRDefault="00BA49F5">
            <w:pPr>
              <w:rPr>
                <w:rFonts w:ascii="宋体"/>
              </w:rPr>
            </w:pPr>
          </w:p>
        </w:tc>
        <w:tc>
          <w:tcPr>
            <w:tcW w:w="455" w:type="dxa"/>
            <w:shd w:val="clear" w:color="auto" w:fill="auto"/>
            <w:vAlign w:val="bottom"/>
          </w:tcPr>
          <w:p w14:paraId="5CD8E7B8" w14:textId="77777777" w:rsidR="00BA49F5" w:rsidRDefault="00BA49F5">
            <w:pPr>
              <w:rPr>
                <w:rFonts w:ascii="宋体"/>
              </w:rPr>
            </w:pPr>
          </w:p>
        </w:tc>
        <w:tc>
          <w:tcPr>
            <w:tcW w:w="20" w:type="dxa"/>
            <w:shd w:val="clear" w:color="auto" w:fill="auto"/>
            <w:vAlign w:val="bottom"/>
          </w:tcPr>
          <w:p w14:paraId="5CD8E7B9" w14:textId="77777777" w:rsidR="00BA49F5" w:rsidRDefault="00BA49F5">
            <w:pPr>
              <w:rPr>
                <w:rFonts w:ascii="宋体"/>
              </w:rPr>
            </w:pPr>
          </w:p>
        </w:tc>
        <w:tc>
          <w:tcPr>
            <w:tcW w:w="20" w:type="dxa"/>
            <w:shd w:val="clear" w:color="auto" w:fill="auto"/>
            <w:vAlign w:val="bottom"/>
          </w:tcPr>
          <w:p w14:paraId="5CD8E7BA" w14:textId="77777777" w:rsidR="00BA49F5" w:rsidRDefault="00BA49F5">
            <w:pPr>
              <w:rPr>
                <w:rFonts w:ascii="宋体"/>
              </w:rPr>
            </w:pPr>
          </w:p>
        </w:tc>
        <w:tc>
          <w:tcPr>
            <w:tcW w:w="455" w:type="dxa"/>
            <w:shd w:val="clear" w:color="auto" w:fill="auto"/>
            <w:vAlign w:val="bottom"/>
          </w:tcPr>
          <w:p w14:paraId="5CD8E7BB" w14:textId="77777777" w:rsidR="00BA49F5" w:rsidRDefault="00BA49F5">
            <w:pPr>
              <w:rPr>
                <w:rFonts w:ascii="宋体"/>
              </w:rPr>
            </w:pPr>
          </w:p>
        </w:tc>
        <w:tc>
          <w:tcPr>
            <w:tcW w:w="20" w:type="dxa"/>
            <w:shd w:val="clear" w:color="auto" w:fill="auto"/>
            <w:vAlign w:val="bottom"/>
          </w:tcPr>
          <w:p w14:paraId="5CD8E7BC" w14:textId="77777777" w:rsidR="00BA49F5" w:rsidRDefault="00BA49F5">
            <w:pPr>
              <w:rPr>
                <w:rFonts w:ascii="宋体"/>
              </w:rPr>
            </w:pPr>
          </w:p>
        </w:tc>
        <w:tc>
          <w:tcPr>
            <w:tcW w:w="20" w:type="dxa"/>
            <w:shd w:val="clear" w:color="auto" w:fill="auto"/>
            <w:vAlign w:val="bottom"/>
          </w:tcPr>
          <w:p w14:paraId="5CD8E7BD" w14:textId="77777777" w:rsidR="00BA49F5" w:rsidRDefault="00BA49F5">
            <w:pPr>
              <w:rPr>
                <w:rFonts w:ascii="宋体"/>
              </w:rPr>
            </w:pPr>
          </w:p>
        </w:tc>
        <w:tc>
          <w:tcPr>
            <w:tcW w:w="455" w:type="dxa"/>
            <w:shd w:val="clear" w:color="auto" w:fill="auto"/>
            <w:vAlign w:val="bottom"/>
          </w:tcPr>
          <w:p w14:paraId="5CD8E7BE" w14:textId="77777777" w:rsidR="00BA49F5" w:rsidRDefault="00BA49F5">
            <w:pPr>
              <w:rPr>
                <w:rFonts w:ascii="宋体"/>
              </w:rPr>
            </w:pPr>
          </w:p>
        </w:tc>
        <w:tc>
          <w:tcPr>
            <w:tcW w:w="20" w:type="dxa"/>
            <w:shd w:val="clear" w:color="auto" w:fill="auto"/>
            <w:vAlign w:val="bottom"/>
          </w:tcPr>
          <w:p w14:paraId="5CD8E7BF" w14:textId="77777777" w:rsidR="00BA49F5" w:rsidRDefault="00BA49F5">
            <w:pPr>
              <w:rPr>
                <w:rFonts w:ascii="宋体"/>
              </w:rPr>
            </w:pPr>
          </w:p>
        </w:tc>
        <w:tc>
          <w:tcPr>
            <w:tcW w:w="20" w:type="dxa"/>
            <w:shd w:val="clear" w:color="auto" w:fill="auto"/>
            <w:vAlign w:val="bottom"/>
          </w:tcPr>
          <w:p w14:paraId="5CD8E7C0" w14:textId="77777777" w:rsidR="00BA49F5" w:rsidRDefault="00BA49F5">
            <w:pPr>
              <w:rPr>
                <w:rFonts w:ascii="宋体"/>
              </w:rPr>
            </w:pPr>
          </w:p>
        </w:tc>
        <w:tc>
          <w:tcPr>
            <w:tcW w:w="455" w:type="dxa"/>
            <w:shd w:val="clear" w:color="auto" w:fill="auto"/>
            <w:vAlign w:val="bottom"/>
          </w:tcPr>
          <w:p w14:paraId="5CD8E7C1" w14:textId="77777777" w:rsidR="00BA49F5" w:rsidRDefault="00BA49F5">
            <w:pPr>
              <w:rPr>
                <w:rFonts w:ascii="宋体"/>
              </w:rPr>
            </w:pPr>
          </w:p>
        </w:tc>
        <w:tc>
          <w:tcPr>
            <w:tcW w:w="20" w:type="dxa"/>
            <w:shd w:val="clear" w:color="auto" w:fill="auto"/>
            <w:vAlign w:val="bottom"/>
          </w:tcPr>
          <w:p w14:paraId="5CD8E7C2" w14:textId="77777777" w:rsidR="00BA49F5" w:rsidRDefault="00BA49F5">
            <w:pPr>
              <w:rPr>
                <w:rFonts w:ascii="宋体"/>
              </w:rPr>
            </w:pPr>
          </w:p>
        </w:tc>
        <w:tc>
          <w:tcPr>
            <w:tcW w:w="20" w:type="dxa"/>
            <w:shd w:val="clear" w:color="auto" w:fill="auto"/>
            <w:vAlign w:val="bottom"/>
          </w:tcPr>
          <w:p w14:paraId="5CD8E7C3" w14:textId="77777777" w:rsidR="00BA49F5" w:rsidRDefault="00BA49F5">
            <w:pPr>
              <w:rPr>
                <w:rFonts w:ascii="宋体"/>
              </w:rPr>
            </w:pPr>
          </w:p>
        </w:tc>
        <w:tc>
          <w:tcPr>
            <w:tcW w:w="455" w:type="dxa"/>
            <w:shd w:val="clear" w:color="auto" w:fill="auto"/>
            <w:vAlign w:val="bottom"/>
          </w:tcPr>
          <w:p w14:paraId="5CD8E7C4" w14:textId="77777777" w:rsidR="00BA49F5" w:rsidRDefault="00BA49F5">
            <w:pPr>
              <w:rPr>
                <w:rFonts w:ascii="宋体"/>
              </w:rPr>
            </w:pPr>
          </w:p>
        </w:tc>
        <w:tc>
          <w:tcPr>
            <w:tcW w:w="20" w:type="dxa"/>
            <w:shd w:val="clear" w:color="auto" w:fill="auto"/>
            <w:vAlign w:val="bottom"/>
          </w:tcPr>
          <w:p w14:paraId="5CD8E7C5" w14:textId="77777777" w:rsidR="00BA49F5" w:rsidRDefault="00BA49F5">
            <w:pPr>
              <w:rPr>
                <w:rFonts w:ascii="宋体"/>
              </w:rPr>
            </w:pPr>
          </w:p>
        </w:tc>
        <w:tc>
          <w:tcPr>
            <w:tcW w:w="20" w:type="dxa"/>
            <w:shd w:val="clear" w:color="auto" w:fill="auto"/>
            <w:vAlign w:val="bottom"/>
          </w:tcPr>
          <w:p w14:paraId="5CD8E7C6" w14:textId="77777777" w:rsidR="00BA49F5" w:rsidRDefault="00BA49F5">
            <w:pPr>
              <w:rPr>
                <w:rFonts w:ascii="宋体"/>
              </w:rPr>
            </w:pPr>
          </w:p>
        </w:tc>
        <w:tc>
          <w:tcPr>
            <w:tcW w:w="455" w:type="dxa"/>
            <w:shd w:val="clear" w:color="auto" w:fill="auto"/>
            <w:vAlign w:val="bottom"/>
          </w:tcPr>
          <w:p w14:paraId="5CD8E7C7" w14:textId="77777777" w:rsidR="00BA49F5" w:rsidRDefault="00BA49F5">
            <w:pPr>
              <w:rPr>
                <w:rFonts w:ascii="宋体"/>
              </w:rPr>
            </w:pPr>
          </w:p>
        </w:tc>
        <w:tc>
          <w:tcPr>
            <w:tcW w:w="20" w:type="dxa"/>
            <w:shd w:val="clear" w:color="auto" w:fill="auto"/>
            <w:vAlign w:val="bottom"/>
          </w:tcPr>
          <w:p w14:paraId="5CD8E7C8" w14:textId="77777777" w:rsidR="00BA49F5" w:rsidRDefault="00BA49F5">
            <w:pPr>
              <w:rPr>
                <w:rFonts w:ascii="宋体"/>
              </w:rPr>
            </w:pPr>
          </w:p>
        </w:tc>
        <w:tc>
          <w:tcPr>
            <w:tcW w:w="20" w:type="dxa"/>
            <w:shd w:val="clear" w:color="auto" w:fill="auto"/>
            <w:vAlign w:val="bottom"/>
          </w:tcPr>
          <w:p w14:paraId="5CD8E7C9" w14:textId="77777777" w:rsidR="00BA49F5" w:rsidRDefault="00BA49F5">
            <w:pPr>
              <w:rPr>
                <w:rFonts w:ascii="宋体"/>
              </w:rPr>
            </w:pPr>
          </w:p>
        </w:tc>
        <w:tc>
          <w:tcPr>
            <w:tcW w:w="455" w:type="dxa"/>
            <w:shd w:val="clear" w:color="auto" w:fill="auto"/>
            <w:vAlign w:val="bottom"/>
          </w:tcPr>
          <w:p w14:paraId="5CD8E7CA" w14:textId="77777777" w:rsidR="00BA49F5" w:rsidRDefault="00BA49F5">
            <w:pPr>
              <w:rPr>
                <w:rFonts w:ascii="宋体"/>
              </w:rPr>
            </w:pPr>
          </w:p>
        </w:tc>
        <w:tc>
          <w:tcPr>
            <w:tcW w:w="20" w:type="dxa"/>
            <w:shd w:val="clear" w:color="auto" w:fill="auto"/>
            <w:vAlign w:val="bottom"/>
          </w:tcPr>
          <w:p w14:paraId="5CD8E7CB" w14:textId="77777777" w:rsidR="00BA49F5" w:rsidRDefault="00BA49F5">
            <w:pPr>
              <w:rPr>
                <w:rFonts w:ascii="宋体"/>
              </w:rPr>
            </w:pPr>
          </w:p>
        </w:tc>
        <w:tc>
          <w:tcPr>
            <w:tcW w:w="20" w:type="dxa"/>
            <w:shd w:val="clear" w:color="auto" w:fill="auto"/>
            <w:vAlign w:val="bottom"/>
          </w:tcPr>
          <w:p w14:paraId="5CD8E7CC" w14:textId="77777777" w:rsidR="00BA49F5" w:rsidRDefault="00BA49F5">
            <w:pPr>
              <w:rPr>
                <w:rFonts w:ascii="宋体"/>
              </w:rPr>
            </w:pPr>
          </w:p>
        </w:tc>
        <w:tc>
          <w:tcPr>
            <w:tcW w:w="455" w:type="dxa"/>
            <w:shd w:val="clear" w:color="auto" w:fill="auto"/>
            <w:vAlign w:val="bottom"/>
          </w:tcPr>
          <w:p w14:paraId="5CD8E7CD" w14:textId="77777777" w:rsidR="00BA49F5" w:rsidRDefault="00BA49F5">
            <w:pPr>
              <w:rPr>
                <w:rFonts w:ascii="宋体"/>
              </w:rPr>
            </w:pPr>
          </w:p>
        </w:tc>
        <w:tc>
          <w:tcPr>
            <w:tcW w:w="20" w:type="dxa"/>
            <w:shd w:val="clear" w:color="auto" w:fill="auto"/>
            <w:vAlign w:val="bottom"/>
          </w:tcPr>
          <w:p w14:paraId="5CD8E7CE" w14:textId="77777777" w:rsidR="00BA49F5" w:rsidRDefault="00BA49F5">
            <w:pPr>
              <w:rPr>
                <w:rFonts w:ascii="宋体"/>
              </w:rPr>
            </w:pPr>
          </w:p>
        </w:tc>
        <w:tc>
          <w:tcPr>
            <w:tcW w:w="20" w:type="dxa"/>
            <w:shd w:val="clear" w:color="auto" w:fill="auto"/>
            <w:vAlign w:val="bottom"/>
          </w:tcPr>
          <w:p w14:paraId="5CD8E7CF" w14:textId="77777777" w:rsidR="00BA49F5" w:rsidRDefault="00BA49F5">
            <w:pPr>
              <w:rPr>
                <w:rFonts w:ascii="宋体"/>
              </w:rPr>
            </w:pPr>
          </w:p>
        </w:tc>
        <w:tc>
          <w:tcPr>
            <w:tcW w:w="455" w:type="dxa"/>
            <w:shd w:val="clear" w:color="auto" w:fill="auto"/>
            <w:vAlign w:val="bottom"/>
          </w:tcPr>
          <w:p w14:paraId="5CD8E7D0" w14:textId="77777777" w:rsidR="00BA49F5" w:rsidRDefault="00BA49F5">
            <w:pPr>
              <w:rPr>
                <w:rFonts w:ascii="宋体"/>
              </w:rPr>
            </w:pPr>
          </w:p>
        </w:tc>
        <w:tc>
          <w:tcPr>
            <w:tcW w:w="20" w:type="dxa"/>
            <w:shd w:val="clear" w:color="auto" w:fill="auto"/>
            <w:vAlign w:val="bottom"/>
          </w:tcPr>
          <w:p w14:paraId="5CD8E7D1" w14:textId="77777777" w:rsidR="00BA49F5" w:rsidRDefault="00BA49F5">
            <w:pPr>
              <w:rPr>
                <w:rFonts w:ascii="宋体"/>
              </w:rPr>
            </w:pPr>
          </w:p>
        </w:tc>
      </w:tr>
      <w:tr w:rsidR="00BA49F5" w14:paraId="5CD8E7E7" w14:textId="77777777">
        <w:trPr>
          <w:trHeight w:val="180"/>
          <w:jc w:val="center"/>
        </w:trPr>
        <w:tc>
          <w:tcPr>
            <w:tcW w:w="0" w:type="auto"/>
            <w:gridSpan w:val="3"/>
            <w:shd w:val="clear" w:color="auto" w:fill="auto"/>
            <w:tcMar>
              <w:top w:w="40" w:type="dxa"/>
              <w:left w:w="20" w:type="dxa"/>
              <w:bottom w:w="40" w:type="dxa"/>
              <w:right w:w="20" w:type="dxa"/>
            </w:tcMar>
          </w:tcPr>
          <w:p w14:paraId="5CD8E7D3" w14:textId="77777777" w:rsidR="00BA49F5" w:rsidRDefault="007E5E49">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tcPr>
          <w:p w14:paraId="5CD8E7D4" w14:textId="77777777" w:rsidR="00BA49F5" w:rsidRDefault="007E5E49">
            <w:pPr>
              <w:jc w:val="center"/>
              <w:textAlignment w:val="top"/>
            </w:pPr>
            <w:r>
              <w:rPr>
                <w:rFonts w:ascii="sans-serif" w:eastAsia="宋体" w:hAnsi="sans-serif" w:cs="sans-serif"/>
                <w:color w:val="000000"/>
                <w:sz w:val="13"/>
                <w:szCs w:val="13"/>
              </w:rPr>
              <w:t>$4.05</w:t>
            </w:r>
          </w:p>
        </w:tc>
        <w:tc>
          <w:tcPr>
            <w:tcW w:w="0" w:type="auto"/>
            <w:gridSpan w:val="3"/>
            <w:shd w:val="clear" w:color="auto" w:fill="auto"/>
            <w:tcMar>
              <w:top w:w="40" w:type="dxa"/>
              <w:left w:w="20" w:type="dxa"/>
              <w:bottom w:w="40" w:type="dxa"/>
              <w:right w:w="20" w:type="dxa"/>
            </w:tcMar>
          </w:tcPr>
          <w:p w14:paraId="5CD8E7D5" w14:textId="77777777" w:rsidR="00BA49F5" w:rsidRDefault="007E5E49">
            <w:pPr>
              <w:jc w:val="center"/>
              <w:textAlignment w:val="top"/>
            </w:pPr>
            <w:r>
              <w:rPr>
                <w:rFonts w:ascii="sans-serif" w:eastAsia="宋体" w:hAnsi="sans-serif" w:cs="sans-serif"/>
                <w:color w:val="000000"/>
                <w:sz w:val="13"/>
                <w:szCs w:val="13"/>
              </w:rPr>
              <w:t>$3.94</w:t>
            </w:r>
          </w:p>
        </w:tc>
        <w:tc>
          <w:tcPr>
            <w:tcW w:w="0" w:type="auto"/>
            <w:gridSpan w:val="3"/>
            <w:shd w:val="clear" w:color="auto" w:fill="auto"/>
            <w:tcMar>
              <w:top w:w="40" w:type="dxa"/>
              <w:left w:w="20" w:type="dxa"/>
              <w:bottom w:w="40" w:type="dxa"/>
              <w:right w:w="20" w:type="dxa"/>
            </w:tcMar>
          </w:tcPr>
          <w:p w14:paraId="5CD8E7D6" w14:textId="77777777" w:rsidR="00BA49F5" w:rsidRDefault="007E5E49">
            <w:pPr>
              <w:jc w:val="center"/>
              <w:textAlignment w:val="top"/>
            </w:pPr>
            <w:r>
              <w:rPr>
                <w:rFonts w:ascii="sans-serif" w:eastAsia="宋体" w:hAnsi="sans-serif" w:cs="sans-serif"/>
                <w:color w:val="000000"/>
                <w:sz w:val="13"/>
                <w:szCs w:val="13"/>
              </w:rPr>
              <w:t>$4.16</w:t>
            </w:r>
          </w:p>
        </w:tc>
        <w:tc>
          <w:tcPr>
            <w:tcW w:w="0" w:type="auto"/>
            <w:gridSpan w:val="3"/>
            <w:shd w:val="clear" w:color="auto" w:fill="auto"/>
            <w:tcMar>
              <w:top w:w="40" w:type="dxa"/>
              <w:left w:w="20" w:type="dxa"/>
              <w:bottom w:w="40" w:type="dxa"/>
              <w:right w:w="20" w:type="dxa"/>
            </w:tcMar>
          </w:tcPr>
          <w:p w14:paraId="5CD8E7D7" w14:textId="77777777" w:rsidR="00BA49F5" w:rsidRDefault="007E5E49">
            <w:pPr>
              <w:jc w:val="center"/>
              <w:textAlignment w:val="top"/>
            </w:pPr>
            <w:r>
              <w:rPr>
                <w:rFonts w:ascii="sans-serif" w:eastAsia="宋体" w:hAnsi="sans-serif" w:cs="sans-serif"/>
                <w:color w:val="000000"/>
                <w:sz w:val="13"/>
                <w:szCs w:val="13"/>
              </w:rPr>
              <w:t>$4.30</w:t>
            </w:r>
          </w:p>
        </w:tc>
        <w:tc>
          <w:tcPr>
            <w:tcW w:w="0" w:type="auto"/>
            <w:gridSpan w:val="3"/>
            <w:shd w:val="clear" w:color="auto" w:fill="auto"/>
            <w:tcMar>
              <w:top w:w="40" w:type="dxa"/>
              <w:left w:w="20" w:type="dxa"/>
              <w:bottom w:w="40" w:type="dxa"/>
              <w:right w:w="20" w:type="dxa"/>
            </w:tcMar>
          </w:tcPr>
          <w:p w14:paraId="5CD8E7D8" w14:textId="77777777" w:rsidR="00BA49F5" w:rsidRDefault="007E5E49">
            <w:pPr>
              <w:jc w:val="center"/>
              <w:textAlignment w:val="top"/>
            </w:pPr>
            <w:r>
              <w:rPr>
                <w:rFonts w:ascii="sans-serif" w:eastAsia="宋体" w:hAnsi="sans-serif" w:cs="sans-serif"/>
                <w:color w:val="000000"/>
                <w:sz w:val="13"/>
                <w:szCs w:val="13"/>
              </w:rPr>
              <w:t>$4.89</w:t>
            </w:r>
          </w:p>
        </w:tc>
        <w:tc>
          <w:tcPr>
            <w:tcW w:w="0" w:type="auto"/>
            <w:gridSpan w:val="3"/>
            <w:shd w:val="clear" w:color="auto" w:fill="auto"/>
            <w:tcMar>
              <w:top w:w="40" w:type="dxa"/>
              <w:left w:w="20" w:type="dxa"/>
              <w:bottom w:w="40" w:type="dxa"/>
              <w:right w:w="20" w:type="dxa"/>
            </w:tcMar>
          </w:tcPr>
          <w:p w14:paraId="5CD8E7D9" w14:textId="77777777" w:rsidR="00BA49F5" w:rsidRDefault="007E5E49">
            <w:pPr>
              <w:jc w:val="center"/>
              <w:textAlignment w:val="top"/>
            </w:pPr>
            <w:r>
              <w:rPr>
                <w:rFonts w:ascii="sans-serif" w:eastAsia="宋体" w:hAnsi="sans-serif" w:cs="sans-serif"/>
                <w:color w:val="000000"/>
                <w:sz w:val="13"/>
                <w:szCs w:val="13"/>
              </w:rPr>
              <w:t>$4.47</w:t>
            </w:r>
          </w:p>
        </w:tc>
        <w:tc>
          <w:tcPr>
            <w:tcW w:w="0" w:type="auto"/>
            <w:gridSpan w:val="3"/>
            <w:shd w:val="clear" w:color="auto" w:fill="auto"/>
            <w:tcMar>
              <w:top w:w="40" w:type="dxa"/>
              <w:left w:w="20" w:type="dxa"/>
              <w:bottom w:w="40" w:type="dxa"/>
              <w:right w:w="20" w:type="dxa"/>
            </w:tcMar>
          </w:tcPr>
          <w:p w14:paraId="5CD8E7DA" w14:textId="77777777" w:rsidR="00BA49F5" w:rsidRDefault="007E5E49">
            <w:pPr>
              <w:textAlignment w:val="top"/>
            </w:pPr>
            <w:r>
              <w:rPr>
                <w:rFonts w:ascii="sans-serif" w:eastAsia="宋体" w:hAnsi="sans-serif" w:cs="sans-serif"/>
                <w:color w:val="000000"/>
                <w:sz w:val="13"/>
                <w:szCs w:val="13"/>
              </w:rPr>
              <w:t>$4.54</w:t>
            </w:r>
          </w:p>
        </w:tc>
        <w:tc>
          <w:tcPr>
            <w:tcW w:w="0" w:type="auto"/>
            <w:gridSpan w:val="3"/>
            <w:shd w:val="clear" w:color="auto" w:fill="auto"/>
            <w:tcMar>
              <w:top w:w="40" w:type="dxa"/>
              <w:left w:w="20" w:type="dxa"/>
              <w:bottom w:w="40" w:type="dxa"/>
              <w:right w:w="20" w:type="dxa"/>
            </w:tcMar>
          </w:tcPr>
          <w:p w14:paraId="5CD8E7DB" w14:textId="77777777" w:rsidR="00BA49F5" w:rsidRDefault="007E5E49">
            <w:pPr>
              <w:textAlignment w:val="top"/>
            </w:pPr>
            <w:r>
              <w:rPr>
                <w:rFonts w:ascii="sans-serif" w:eastAsia="宋体" w:hAnsi="sans-serif" w:cs="sans-serif"/>
                <w:color w:val="000000"/>
                <w:sz w:val="13"/>
                <w:szCs w:val="13"/>
              </w:rPr>
              <w:t>$4.42</w:t>
            </w:r>
          </w:p>
        </w:tc>
        <w:tc>
          <w:tcPr>
            <w:tcW w:w="0" w:type="auto"/>
            <w:gridSpan w:val="3"/>
            <w:shd w:val="clear" w:color="auto" w:fill="auto"/>
            <w:tcMar>
              <w:top w:w="40" w:type="dxa"/>
              <w:left w:w="20" w:type="dxa"/>
              <w:bottom w:w="40" w:type="dxa"/>
              <w:right w:w="20" w:type="dxa"/>
            </w:tcMar>
          </w:tcPr>
          <w:p w14:paraId="5CD8E7DC" w14:textId="77777777" w:rsidR="00BA49F5" w:rsidRDefault="007E5E49">
            <w:pPr>
              <w:textAlignment w:val="top"/>
            </w:pPr>
            <w:r>
              <w:rPr>
                <w:rFonts w:ascii="sans-serif" w:eastAsia="宋体" w:hAnsi="sans-serif" w:cs="sans-serif"/>
                <w:color w:val="000000"/>
                <w:sz w:val="13"/>
                <w:szCs w:val="13"/>
              </w:rPr>
              <w:t>$4.61</w:t>
            </w:r>
          </w:p>
        </w:tc>
        <w:tc>
          <w:tcPr>
            <w:tcW w:w="0" w:type="auto"/>
            <w:gridSpan w:val="3"/>
            <w:shd w:val="clear" w:color="auto" w:fill="auto"/>
            <w:tcMar>
              <w:top w:w="40" w:type="dxa"/>
              <w:left w:w="20" w:type="dxa"/>
              <w:bottom w:w="40" w:type="dxa"/>
              <w:right w:w="20" w:type="dxa"/>
            </w:tcMar>
          </w:tcPr>
          <w:p w14:paraId="5CD8E7DD" w14:textId="77777777" w:rsidR="00BA49F5" w:rsidRDefault="007E5E49">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tcPr>
          <w:p w14:paraId="5CD8E7DE" w14:textId="77777777" w:rsidR="00BA49F5" w:rsidRDefault="007E5E49">
            <w:pPr>
              <w:jc w:val="center"/>
              <w:textAlignment w:val="top"/>
            </w:pPr>
            <w:r>
              <w:rPr>
                <w:rFonts w:ascii="sans-serif" w:eastAsia="宋体" w:hAnsi="sans-serif" w:cs="sans-serif"/>
                <w:color w:val="000000"/>
                <w:sz w:val="13"/>
                <w:szCs w:val="13"/>
              </w:rPr>
              <w:t>$2.77</w:t>
            </w:r>
          </w:p>
        </w:tc>
        <w:tc>
          <w:tcPr>
            <w:tcW w:w="0" w:type="auto"/>
            <w:gridSpan w:val="3"/>
            <w:shd w:val="clear" w:color="auto" w:fill="auto"/>
            <w:tcMar>
              <w:top w:w="40" w:type="dxa"/>
              <w:left w:w="20" w:type="dxa"/>
              <w:bottom w:w="40" w:type="dxa"/>
              <w:right w:w="20" w:type="dxa"/>
            </w:tcMar>
          </w:tcPr>
          <w:p w14:paraId="5CD8E7DF" w14:textId="77777777" w:rsidR="00BA49F5" w:rsidRDefault="007E5E49">
            <w:pPr>
              <w:jc w:val="center"/>
              <w:textAlignment w:val="top"/>
            </w:pPr>
            <w:r>
              <w:rPr>
                <w:rFonts w:ascii="sans-serif" w:eastAsia="宋体" w:hAnsi="sans-serif" w:cs="sans-serif"/>
                <w:color w:val="000000"/>
                <w:sz w:val="13"/>
                <w:szCs w:val="13"/>
              </w:rPr>
              <w:t>$2.64</w:t>
            </w:r>
          </w:p>
        </w:tc>
        <w:tc>
          <w:tcPr>
            <w:tcW w:w="0" w:type="auto"/>
            <w:gridSpan w:val="3"/>
            <w:shd w:val="clear" w:color="auto" w:fill="auto"/>
            <w:tcMar>
              <w:top w:w="40" w:type="dxa"/>
              <w:left w:w="20" w:type="dxa"/>
              <w:bottom w:w="40" w:type="dxa"/>
              <w:right w:w="20" w:type="dxa"/>
            </w:tcMar>
          </w:tcPr>
          <w:p w14:paraId="5CD8E7E0" w14:textId="77777777" w:rsidR="00BA49F5" w:rsidRDefault="007E5E49">
            <w:pPr>
              <w:jc w:val="center"/>
              <w:textAlignment w:val="top"/>
            </w:pPr>
            <w:r>
              <w:rPr>
                <w:rFonts w:ascii="sans-serif" w:eastAsia="宋体" w:hAnsi="sans-serif" w:cs="sans-serif"/>
                <w:color w:val="000000"/>
                <w:sz w:val="13"/>
                <w:szCs w:val="13"/>
              </w:rPr>
              <w:t>$3.05</w:t>
            </w:r>
          </w:p>
        </w:tc>
        <w:tc>
          <w:tcPr>
            <w:tcW w:w="0" w:type="auto"/>
            <w:gridSpan w:val="3"/>
            <w:shd w:val="clear" w:color="auto" w:fill="auto"/>
            <w:tcMar>
              <w:top w:w="40" w:type="dxa"/>
              <w:left w:w="20" w:type="dxa"/>
              <w:bottom w:w="40" w:type="dxa"/>
              <w:right w:w="20" w:type="dxa"/>
            </w:tcMar>
          </w:tcPr>
          <w:p w14:paraId="5CD8E7E1" w14:textId="77777777" w:rsidR="00BA49F5" w:rsidRDefault="007E5E49">
            <w:pPr>
              <w:jc w:val="center"/>
              <w:textAlignment w:val="top"/>
            </w:pPr>
            <w:r>
              <w:rPr>
                <w:rFonts w:ascii="sans-serif" w:eastAsia="宋体" w:hAnsi="sans-serif" w:cs="sans-serif"/>
                <w:color w:val="000000"/>
                <w:sz w:val="13"/>
                <w:szCs w:val="13"/>
              </w:rPr>
              <w:t>$3.14</w:t>
            </w:r>
          </w:p>
        </w:tc>
        <w:tc>
          <w:tcPr>
            <w:tcW w:w="0" w:type="auto"/>
            <w:gridSpan w:val="3"/>
            <w:shd w:val="clear" w:color="auto" w:fill="auto"/>
            <w:tcMar>
              <w:top w:w="40" w:type="dxa"/>
              <w:left w:w="20" w:type="dxa"/>
              <w:bottom w:w="40" w:type="dxa"/>
              <w:right w:w="20" w:type="dxa"/>
            </w:tcMar>
          </w:tcPr>
          <w:p w14:paraId="5CD8E7E2" w14:textId="77777777" w:rsidR="00BA49F5" w:rsidRDefault="007E5E49">
            <w:pPr>
              <w:textAlignment w:val="top"/>
            </w:pPr>
            <w:r>
              <w:rPr>
                <w:rFonts w:ascii="sans-serif" w:eastAsia="宋体" w:hAnsi="sans-serif" w:cs="sans-serif"/>
                <w:color w:val="000000"/>
                <w:sz w:val="13"/>
                <w:szCs w:val="13"/>
              </w:rPr>
              <w:t>$3.43</w:t>
            </w:r>
          </w:p>
        </w:tc>
        <w:tc>
          <w:tcPr>
            <w:tcW w:w="0" w:type="auto"/>
            <w:gridSpan w:val="3"/>
            <w:shd w:val="clear" w:color="auto" w:fill="auto"/>
            <w:tcMar>
              <w:top w:w="40" w:type="dxa"/>
              <w:left w:w="20" w:type="dxa"/>
              <w:bottom w:w="40" w:type="dxa"/>
              <w:right w:w="20" w:type="dxa"/>
            </w:tcMar>
          </w:tcPr>
          <w:p w14:paraId="5CD8E7E3" w14:textId="77777777" w:rsidR="00BA49F5" w:rsidRDefault="007E5E49">
            <w:pPr>
              <w:textAlignment w:val="top"/>
            </w:pPr>
            <w:r>
              <w:rPr>
                <w:rFonts w:ascii="sans-serif" w:eastAsia="宋体" w:hAnsi="sans-serif" w:cs="sans-serif"/>
                <w:color w:val="000000"/>
                <w:sz w:val="13"/>
                <w:szCs w:val="13"/>
              </w:rPr>
              <w:t>$3.14</w:t>
            </w:r>
          </w:p>
        </w:tc>
        <w:tc>
          <w:tcPr>
            <w:tcW w:w="0" w:type="auto"/>
            <w:gridSpan w:val="3"/>
            <w:shd w:val="clear" w:color="auto" w:fill="auto"/>
            <w:tcMar>
              <w:top w:w="40" w:type="dxa"/>
              <w:left w:w="20" w:type="dxa"/>
              <w:bottom w:w="40" w:type="dxa"/>
              <w:right w:w="20" w:type="dxa"/>
            </w:tcMar>
          </w:tcPr>
          <w:p w14:paraId="5CD8E7E4" w14:textId="77777777" w:rsidR="00BA49F5" w:rsidRDefault="007E5E49">
            <w:pPr>
              <w:textAlignment w:val="top"/>
            </w:pPr>
            <w:r>
              <w:rPr>
                <w:rFonts w:ascii="sans-serif" w:eastAsia="宋体" w:hAnsi="sans-serif" w:cs="sans-serif"/>
                <w:color w:val="000000"/>
                <w:sz w:val="13"/>
                <w:szCs w:val="13"/>
              </w:rPr>
              <w:t>$3.35</w:t>
            </w:r>
          </w:p>
        </w:tc>
        <w:tc>
          <w:tcPr>
            <w:tcW w:w="0" w:type="auto"/>
            <w:gridSpan w:val="3"/>
            <w:shd w:val="clear" w:color="auto" w:fill="auto"/>
            <w:tcMar>
              <w:top w:w="40" w:type="dxa"/>
              <w:left w:w="20" w:type="dxa"/>
              <w:bottom w:w="40" w:type="dxa"/>
              <w:right w:w="20" w:type="dxa"/>
            </w:tcMar>
          </w:tcPr>
          <w:p w14:paraId="5CD8E7E5" w14:textId="77777777" w:rsidR="00BA49F5" w:rsidRDefault="007E5E49">
            <w:pPr>
              <w:textAlignment w:val="top"/>
            </w:pPr>
            <w:r>
              <w:rPr>
                <w:rFonts w:ascii="sans-serif" w:eastAsia="宋体" w:hAnsi="sans-serif" w:cs="sans-serif"/>
                <w:color w:val="000000"/>
                <w:sz w:val="13"/>
                <w:szCs w:val="13"/>
              </w:rPr>
              <w:t>$3.21</w:t>
            </w:r>
          </w:p>
        </w:tc>
        <w:tc>
          <w:tcPr>
            <w:tcW w:w="0" w:type="auto"/>
            <w:gridSpan w:val="3"/>
            <w:shd w:val="clear" w:color="auto" w:fill="auto"/>
            <w:tcMar>
              <w:top w:w="40" w:type="dxa"/>
              <w:left w:w="20" w:type="dxa"/>
              <w:bottom w:w="40" w:type="dxa"/>
              <w:right w:w="20" w:type="dxa"/>
            </w:tcMar>
          </w:tcPr>
          <w:p w14:paraId="5CD8E7E6" w14:textId="77777777" w:rsidR="00BA49F5" w:rsidRDefault="007E5E49">
            <w:pPr>
              <w:textAlignment w:val="top"/>
            </w:pPr>
            <w:r>
              <w:rPr>
                <w:rFonts w:ascii="sans-serif" w:eastAsia="宋体" w:hAnsi="sans-serif" w:cs="sans-serif"/>
                <w:color w:val="000000"/>
                <w:sz w:val="13"/>
                <w:szCs w:val="13"/>
              </w:rPr>
              <w:t>$3.52</w:t>
            </w:r>
          </w:p>
        </w:tc>
      </w:tr>
    </w:tbl>
    <w:p w14:paraId="5CD8E7E8" w14:textId="77777777" w:rsidR="00BA49F5" w:rsidRDefault="007E5E49">
      <w:pPr>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Viewer_files/meta-20221231_g6.jpg"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D90D32" wp14:editId="5CD90D33">
            <wp:extent cx="304800" cy="304800"/>
            <wp:effectExtent l="0" t="0" r="0" b="0"/>
            <wp:docPr id="27" name="图片 11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7"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D8E7E9" w14:textId="77777777" w:rsidR="00BA49F5" w:rsidRDefault="007E5E49">
      <w:pPr>
        <w:jc w:val="both"/>
      </w:pPr>
      <w:r>
        <w:rPr>
          <w:rFonts w:ascii="Times New Roman" w:eastAsia="宋体" w:hAnsi="Times New Roman"/>
          <w:i/>
          <w:iCs/>
          <w:color w:val="000000"/>
          <w:sz w:val="16"/>
          <w:szCs w:val="16"/>
        </w:rPr>
        <w:t>Note: Non-advertising revenue includes RL revenue generated from the delivery of consumer hardware pro</w:t>
      </w:r>
      <w:r>
        <w:rPr>
          <w:rFonts w:ascii="Times New Roman" w:eastAsia="宋体" w:hAnsi="Times New Roman"/>
          <w:i/>
          <w:iCs/>
          <w:color w:val="000000"/>
          <w:sz w:val="16"/>
          <w:szCs w:val="16"/>
        </w:rPr>
        <w:t>ducts and FoA Other revenue, which consists of net fees we receive from developers using our Payments infrastructure and revenue from various other sources.</w:t>
      </w:r>
    </w:p>
    <w:p w14:paraId="5CD8E7EA" w14:textId="77777777" w:rsidR="00BA49F5" w:rsidRDefault="007E5E49">
      <w:pPr>
        <w:jc w:val="center"/>
      </w:pPr>
      <w:r>
        <w:rPr>
          <w:rFonts w:ascii="Times New Roman" w:eastAsia="宋体" w:hAnsi="Times New Roman"/>
          <w:color w:val="000000"/>
          <w:sz w:val="20"/>
          <w:szCs w:val="20"/>
        </w:rPr>
        <w:t>63</w:t>
      </w:r>
    </w:p>
    <w:p w14:paraId="5CD8E7EB" w14:textId="77777777" w:rsidR="00BA49F5" w:rsidRDefault="007E5E49">
      <w:r>
        <w:pict w14:anchorId="5CD90D34">
          <v:rect id="_x0000_i1087" style="width:415.3pt;height:1.5pt" o:hralign="center" o:hrstd="t" o:hr="t" fillcolor="#a0a0a0" stroked="f"/>
        </w:pict>
      </w:r>
    </w:p>
    <w:p w14:paraId="5CD8E7EC" w14:textId="77777777" w:rsidR="00BA49F5" w:rsidRDefault="00BA49F5"/>
    <w:p w14:paraId="5CD8E7ED" w14:textId="77777777" w:rsidR="00BA49F5" w:rsidRDefault="00BA49F5"/>
    <w:p w14:paraId="5CD8E7EE" w14:textId="77777777" w:rsidR="00BA49F5" w:rsidRDefault="007E5E49">
      <w:hyperlink r:id="rId206" w:anchor="i6df229dad1864210ab76200083e26819_7" w:history="1">
        <w:r>
          <w:rPr>
            <w:rStyle w:val="a5"/>
            <w:rFonts w:ascii="Times New Roman" w:eastAsia="宋体" w:hAnsi="Times New Roman"/>
            <w:sz w:val="20"/>
            <w:szCs w:val="20"/>
          </w:rPr>
          <w:t>T</w:t>
        </w:r>
      </w:hyperlink>
      <w:hyperlink r:id="rId207" w:anchor="i6df229dad1864210ab76200083e26819_7" w:history="1">
        <w:r>
          <w:rPr>
            <w:rStyle w:val="a5"/>
            <w:rFonts w:ascii="Times New Roman" w:eastAsia="宋体" w:hAnsi="Times New Roman"/>
            <w:sz w:val="20"/>
            <w:szCs w:val="20"/>
          </w:rPr>
          <w:t>able of Contents</w:t>
        </w:r>
      </w:hyperlink>
    </w:p>
    <w:p w14:paraId="5CD8E7EF" w14:textId="77777777" w:rsidR="00BA49F5" w:rsidRDefault="007E5E49">
      <w:pPr>
        <w:jc w:val="both"/>
      </w:pPr>
      <w:r>
        <w:rPr>
          <w:rFonts w:ascii="Times New Roman" w:eastAsia="宋体" w:hAnsi="Times New Roman"/>
          <w:i/>
          <w:iCs/>
          <w:color w:val="000000"/>
          <w:sz w:val="16"/>
          <w:szCs w:val="16"/>
        </w:rPr>
        <w:t>Our revenue by user geography in the charts above is geographically apportioned based on our estimation of the geographic location of our users when they perform a revenue-generating activ</w:t>
      </w:r>
      <w:r>
        <w:rPr>
          <w:rFonts w:ascii="Times New Roman" w:eastAsia="宋体" w:hAnsi="Times New Roman"/>
          <w:i/>
          <w:iCs/>
          <w:color w:val="000000"/>
          <w:sz w:val="16"/>
          <w:szCs w:val="16"/>
        </w:rPr>
        <w:t>ity. This allocation differs from our revenue disaggregated by geography disclosure in Note 2 — Revenue in our consolidated financial statements included in Part II, Item 8, "Financial Statements and Supplemental Data" where revenue is geographically appor</w:t>
      </w:r>
      <w:r>
        <w:rPr>
          <w:rFonts w:ascii="Times New Roman" w:eastAsia="宋体" w:hAnsi="Times New Roman"/>
          <w:i/>
          <w:iCs/>
          <w:color w:val="000000"/>
          <w:sz w:val="16"/>
          <w:szCs w:val="16"/>
        </w:rPr>
        <w:t xml:space="preserve">tioned based on the addresses of our customers. </w:t>
      </w:r>
    </w:p>
    <w:p w14:paraId="5CD8E7F0" w14:textId="77777777" w:rsidR="00BA49F5" w:rsidRDefault="00BA49F5">
      <w:pPr>
        <w:ind w:firstLine="540"/>
        <w:jc w:val="both"/>
      </w:pPr>
    </w:p>
    <w:p w14:paraId="5CD8E7F1" w14:textId="77777777" w:rsidR="00BA49F5" w:rsidRDefault="007E5E49">
      <w:pPr>
        <w:ind w:firstLine="540"/>
        <w:jc w:val="both"/>
      </w:pPr>
      <w:r>
        <w:rPr>
          <w:rFonts w:ascii="Times New Roman" w:eastAsia="宋体" w:hAnsi="Times New Roman"/>
          <w:color w:val="000000"/>
          <w:sz w:val="20"/>
          <w:szCs w:val="20"/>
        </w:rPr>
        <w:t>Our annual worldwide ARPU in 2022, which represents the sum of quarterly ARPU during such period, was $39.63, a decrease of 3% from 2021. For 2022, ARPU decreased by 9% in Europe and 4% in United States &amp; C</w:t>
      </w:r>
      <w:r>
        <w:rPr>
          <w:rFonts w:ascii="Times New Roman" w:eastAsia="宋体" w:hAnsi="Times New Roman"/>
          <w:color w:val="000000"/>
          <w:sz w:val="20"/>
          <w:szCs w:val="20"/>
        </w:rPr>
        <w:t>anada, and increased by 4% in Asia-Pacific and 8% in Rest of World. In addition, user growth was mostly in geographies with relatively lower ARPU, such as Asia</w:t>
      </w:r>
      <w:r>
        <w:rPr>
          <w:rFonts w:ascii="Times New Roman" w:eastAsia="宋体" w:hAnsi="Times New Roman"/>
          <w:color w:val="000000"/>
          <w:sz w:val="20"/>
          <w:szCs w:val="20"/>
        </w:rPr>
        <w:noBreakHyphen/>
        <w:t>Pacific and Rest of World. We expect that user growth in the future will be primarily concentrat</w:t>
      </w:r>
      <w:r>
        <w:rPr>
          <w:rFonts w:ascii="Times New Roman" w:eastAsia="宋体" w:hAnsi="Times New Roman"/>
          <w:color w:val="000000"/>
          <w:sz w:val="20"/>
          <w:szCs w:val="20"/>
        </w:rPr>
        <w:t>ed in those regions where ARPU is relatively lower, such that worldwide ARPU may decrease at a higher rate, or increase at a slower rate, relative to ARPU in any geographic region in a particular period, or potentially decrease even if ARPU increases in ea</w:t>
      </w:r>
      <w:r>
        <w:rPr>
          <w:rFonts w:ascii="Times New Roman" w:eastAsia="宋体" w:hAnsi="Times New Roman"/>
          <w:color w:val="000000"/>
          <w:sz w:val="20"/>
          <w:szCs w:val="20"/>
        </w:rPr>
        <w:t>ch geographic region.</w:t>
      </w:r>
    </w:p>
    <w:p w14:paraId="5CD8E7F2" w14:textId="77777777" w:rsidR="00BA49F5" w:rsidRDefault="00BA49F5"/>
    <w:p w14:paraId="5CD8E7F3" w14:textId="77777777" w:rsidR="00BA49F5" w:rsidRDefault="00BA49F5">
      <w:pPr>
        <w:jc w:val="both"/>
      </w:pPr>
    </w:p>
    <w:p w14:paraId="5CD8E7F4" w14:textId="77777777" w:rsidR="00BA49F5" w:rsidRDefault="007E5E49">
      <w:pPr>
        <w:jc w:val="center"/>
      </w:pPr>
      <w:r>
        <w:rPr>
          <w:rFonts w:ascii="Times New Roman" w:eastAsia="宋体" w:hAnsi="Times New Roman"/>
          <w:color w:val="000000"/>
          <w:sz w:val="20"/>
          <w:szCs w:val="20"/>
        </w:rPr>
        <w:t>64</w:t>
      </w:r>
    </w:p>
    <w:p w14:paraId="5CD8E7F5" w14:textId="77777777" w:rsidR="00BA49F5" w:rsidRDefault="007E5E49">
      <w:r>
        <w:pict w14:anchorId="5CD90D35">
          <v:rect id="_x0000_i1088" style="width:415.3pt;height:1.5pt" o:hralign="center" o:hrstd="t" o:hr="t" fillcolor="#a0a0a0" stroked="f"/>
        </w:pict>
      </w:r>
    </w:p>
    <w:p w14:paraId="5CD8E7F6" w14:textId="77777777" w:rsidR="00BA49F5" w:rsidRDefault="00BA49F5"/>
    <w:p w14:paraId="5CD8E7F7" w14:textId="77777777" w:rsidR="00BA49F5" w:rsidRDefault="00BA49F5"/>
    <w:p w14:paraId="5CD8E7F8" w14:textId="77777777" w:rsidR="00BA49F5" w:rsidRDefault="007E5E49">
      <w:hyperlink r:id="rId208" w:anchor="i6df229dad1864210ab76200083e26819_7" w:history="1">
        <w:r>
          <w:rPr>
            <w:rStyle w:val="a5"/>
            <w:rFonts w:ascii="Times New Roman" w:eastAsia="宋体" w:hAnsi="Times New Roman"/>
            <w:sz w:val="20"/>
            <w:szCs w:val="20"/>
          </w:rPr>
          <w:t>T</w:t>
        </w:r>
      </w:hyperlink>
      <w:hyperlink r:id="rId209" w:anchor="i6df229dad1864210ab76200083e26819_7" w:history="1">
        <w:r>
          <w:rPr>
            <w:rStyle w:val="a5"/>
            <w:rFonts w:ascii="Times New Roman" w:eastAsia="宋体" w:hAnsi="Times New Roman"/>
            <w:sz w:val="20"/>
            <w:szCs w:val="20"/>
          </w:rPr>
          <w:t>able of Contents</w:t>
        </w:r>
      </w:hyperlink>
    </w:p>
    <w:p w14:paraId="5CD8E7F9" w14:textId="77777777" w:rsidR="00BA49F5" w:rsidRDefault="007E5E49">
      <w:pPr>
        <w:jc w:val="both"/>
      </w:pPr>
      <w:r>
        <w:rPr>
          <w:rFonts w:ascii="Times New Roman" w:eastAsia="宋体" w:hAnsi="Times New Roman"/>
          <w:b/>
          <w:bCs/>
          <w:color w:val="000000"/>
          <w:sz w:val="20"/>
          <w:szCs w:val="20"/>
        </w:rPr>
        <w:t>Critical Accounting Policies and Estimates</w:t>
      </w:r>
    </w:p>
    <w:p w14:paraId="5CD8E7FA" w14:textId="77777777" w:rsidR="00BA49F5" w:rsidRDefault="00BA49F5">
      <w:pPr>
        <w:jc w:val="both"/>
      </w:pPr>
    </w:p>
    <w:p w14:paraId="5CD8E7FB" w14:textId="77777777" w:rsidR="00BA49F5" w:rsidRDefault="007E5E49">
      <w:pPr>
        <w:ind w:firstLine="540"/>
        <w:jc w:val="both"/>
      </w:pPr>
      <w:r>
        <w:rPr>
          <w:rFonts w:ascii="Times New Roman" w:eastAsia="宋体" w:hAnsi="Times New Roman"/>
          <w:color w:val="000000"/>
          <w:sz w:val="20"/>
          <w:szCs w:val="20"/>
        </w:rPr>
        <w:t>Our consolidated financial statements are prepared in accordance with U.S. GAAP. The preparation of these consoli</w:t>
      </w:r>
      <w:r>
        <w:rPr>
          <w:rFonts w:ascii="Times New Roman" w:eastAsia="宋体" w:hAnsi="Times New Roman"/>
          <w:color w:val="000000"/>
          <w:sz w:val="20"/>
          <w:szCs w:val="20"/>
        </w:rPr>
        <w:t xml:space="preserve">dated financial statements requires us to make estimates and assumptions that affect the reported amounts of assets, liabilities, revenue, costs and expenses, and related disclosures. On an ongoing basis, we evaluate our estimates and assumptions based on </w:t>
      </w:r>
      <w:r>
        <w:rPr>
          <w:rFonts w:ascii="Times New Roman" w:eastAsia="宋体" w:hAnsi="Times New Roman"/>
          <w:color w:val="000000"/>
          <w:sz w:val="20"/>
          <w:szCs w:val="20"/>
        </w:rPr>
        <w:t>historical experience and on various other assumptions that we believe are reasonable under the circumstances. Our actual results could differ from these estimates under different assumptions or conditions.</w:t>
      </w:r>
    </w:p>
    <w:p w14:paraId="5CD8E7FC" w14:textId="77777777" w:rsidR="00BA49F5" w:rsidRDefault="00BA49F5">
      <w:pPr>
        <w:ind w:firstLine="540"/>
        <w:jc w:val="both"/>
      </w:pPr>
    </w:p>
    <w:p w14:paraId="5CD8E7FD" w14:textId="77777777" w:rsidR="00BA49F5" w:rsidRDefault="007E5E49">
      <w:pPr>
        <w:ind w:firstLine="540"/>
        <w:jc w:val="both"/>
      </w:pPr>
      <w:r>
        <w:rPr>
          <w:rFonts w:ascii="Times New Roman" w:eastAsia="宋体" w:hAnsi="Times New Roman"/>
          <w:color w:val="000000"/>
          <w:sz w:val="20"/>
          <w:szCs w:val="20"/>
        </w:rPr>
        <w:t>An accounting policy is deemed to be critical if</w:t>
      </w:r>
      <w:r>
        <w:rPr>
          <w:rFonts w:ascii="Times New Roman" w:eastAsia="宋体" w:hAnsi="Times New Roman"/>
          <w:color w:val="000000"/>
          <w:sz w:val="20"/>
          <w:szCs w:val="20"/>
        </w:rPr>
        <w:t xml:space="preserve"> the nature of the estimates or assumptions is material due to the levels of subjectivity and judgment necessary to account for highly uncertain matters or the susceptibility of such matters to change, and the impact of the estimates and assumptions on our</w:t>
      </w:r>
      <w:r>
        <w:rPr>
          <w:rFonts w:ascii="Times New Roman" w:eastAsia="宋体" w:hAnsi="Times New Roman"/>
          <w:color w:val="000000"/>
          <w:sz w:val="20"/>
          <w:szCs w:val="20"/>
        </w:rPr>
        <w:t xml:space="preserve"> consolidated financial statements is material. We believe that the assumptions and estimates associated with gross vs. net in revenue recognition, valuation of non-marketable equity securities, income taxes, loss contingencies, and valuation of long-lived</w:t>
      </w:r>
      <w:r>
        <w:rPr>
          <w:rFonts w:ascii="Times New Roman" w:eastAsia="宋体" w:hAnsi="Times New Roman"/>
          <w:color w:val="000000"/>
          <w:sz w:val="20"/>
          <w:szCs w:val="20"/>
        </w:rPr>
        <w:t xml:space="preserve"> assets including goodwill, intangible assets, and property and equipment, and their associated estimated useful lives, when applicable, have the greatest potential impact on our consolidated financial statements. Therefore, we consider these to be our cri</w:t>
      </w:r>
      <w:r>
        <w:rPr>
          <w:rFonts w:ascii="Times New Roman" w:eastAsia="宋体" w:hAnsi="Times New Roman"/>
          <w:color w:val="000000"/>
          <w:sz w:val="20"/>
          <w:szCs w:val="20"/>
        </w:rPr>
        <w:t>tical accounting policies and estimates. For further information on all of our significant accounting policies, see Note 1 — Summary of Significant Accounting Policies in the accompanying notes to consolidated financial statements included in Part II, Item</w:t>
      </w:r>
      <w:r>
        <w:rPr>
          <w:rFonts w:ascii="Times New Roman" w:eastAsia="宋体" w:hAnsi="Times New Roman"/>
          <w:color w:val="000000"/>
          <w:sz w:val="20"/>
          <w:szCs w:val="20"/>
        </w:rPr>
        <w:t> 8, "Financial Statements and Supplementary Data" of this Annual Report on Form 10-K.</w:t>
      </w:r>
    </w:p>
    <w:p w14:paraId="5CD8E7FE" w14:textId="77777777" w:rsidR="00BA49F5" w:rsidRDefault="00BA49F5">
      <w:pPr>
        <w:ind w:firstLine="540"/>
        <w:jc w:val="both"/>
      </w:pPr>
    </w:p>
    <w:p w14:paraId="5CD8E7FF" w14:textId="77777777" w:rsidR="00BA49F5" w:rsidRDefault="007E5E49">
      <w:pPr>
        <w:jc w:val="both"/>
      </w:pPr>
      <w:r>
        <w:rPr>
          <w:rFonts w:ascii="Times New Roman" w:eastAsia="宋体" w:hAnsi="Times New Roman"/>
          <w:b/>
          <w:bCs/>
          <w:i/>
          <w:iCs/>
          <w:color w:val="000000"/>
          <w:sz w:val="20"/>
          <w:szCs w:val="20"/>
        </w:rPr>
        <w:t>Gross vs. Net in Revenue Recognition</w:t>
      </w:r>
    </w:p>
    <w:p w14:paraId="5CD8E800" w14:textId="77777777" w:rsidR="00BA49F5" w:rsidRDefault="00BA49F5">
      <w:pPr>
        <w:jc w:val="both"/>
      </w:pPr>
    </w:p>
    <w:p w14:paraId="5CD8E801" w14:textId="77777777" w:rsidR="00BA49F5" w:rsidRDefault="007E5E49">
      <w:pPr>
        <w:ind w:firstLine="540"/>
        <w:jc w:val="both"/>
      </w:pPr>
      <w:r>
        <w:rPr>
          <w:rFonts w:ascii="Times New Roman" w:eastAsia="宋体" w:hAnsi="Times New Roman"/>
          <w:color w:val="000000"/>
          <w:sz w:val="20"/>
          <w:szCs w:val="20"/>
        </w:rPr>
        <w:t>For revenue generated from arrangements that involve third parties, there is significant judgment in evaluating whether we are the principal, and report revenue on a gross basis, or the agent, and report revenue on a net basis. In this assessment, we consi</w:t>
      </w:r>
      <w:r>
        <w:rPr>
          <w:rFonts w:ascii="Times New Roman" w:eastAsia="宋体" w:hAnsi="Times New Roman"/>
          <w:color w:val="000000"/>
          <w:sz w:val="20"/>
          <w:szCs w:val="20"/>
        </w:rPr>
        <w:t>der if we obtain control of the specified goods or services before they are transferred to the customer, as well as other indicators such as the party primarily responsible for fulfillment, inventory risk, and discretion in establishing price. The assessme</w:t>
      </w:r>
      <w:r>
        <w:rPr>
          <w:rFonts w:ascii="Times New Roman" w:eastAsia="宋体" w:hAnsi="Times New Roman"/>
          <w:color w:val="000000"/>
          <w:sz w:val="20"/>
          <w:szCs w:val="20"/>
        </w:rPr>
        <w:t xml:space="preserve">nt of whether we are considered the principal or the agent in a transaction could impact our revenue and cost of revenue recognized on the consolidated statements of income. </w:t>
      </w:r>
    </w:p>
    <w:p w14:paraId="5CD8E802" w14:textId="77777777" w:rsidR="00BA49F5" w:rsidRDefault="00BA49F5">
      <w:pPr>
        <w:ind w:firstLine="540"/>
        <w:jc w:val="both"/>
      </w:pPr>
    </w:p>
    <w:p w14:paraId="5CD8E803" w14:textId="77777777" w:rsidR="00BA49F5" w:rsidRDefault="007E5E49">
      <w:pPr>
        <w:jc w:val="both"/>
      </w:pPr>
      <w:r>
        <w:rPr>
          <w:rFonts w:ascii="Times New Roman" w:eastAsia="宋体" w:hAnsi="Times New Roman"/>
          <w:b/>
          <w:bCs/>
          <w:i/>
          <w:iCs/>
          <w:color w:val="000000"/>
          <w:sz w:val="20"/>
          <w:szCs w:val="20"/>
        </w:rPr>
        <w:t>Valuation of Non-marketable Equity Securities</w:t>
      </w:r>
    </w:p>
    <w:p w14:paraId="5CD8E804" w14:textId="77777777" w:rsidR="00BA49F5" w:rsidRDefault="00BA49F5">
      <w:pPr>
        <w:jc w:val="both"/>
      </w:pPr>
    </w:p>
    <w:p w14:paraId="5CD8E805" w14:textId="77777777" w:rsidR="00BA49F5" w:rsidRDefault="007E5E49">
      <w:pPr>
        <w:ind w:firstLine="540"/>
        <w:jc w:val="both"/>
      </w:pPr>
      <w:r>
        <w:rPr>
          <w:rFonts w:ascii="Times New Roman" w:eastAsia="宋体" w:hAnsi="Times New Roman"/>
          <w:color w:val="000000"/>
          <w:sz w:val="20"/>
          <w:szCs w:val="20"/>
        </w:rPr>
        <w:t>For our non-marketable equity sec</w:t>
      </w:r>
      <w:r>
        <w:rPr>
          <w:rFonts w:ascii="Times New Roman" w:eastAsia="宋体" w:hAnsi="Times New Roman"/>
          <w:color w:val="000000"/>
          <w:sz w:val="20"/>
          <w:szCs w:val="20"/>
        </w:rPr>
        <w:t>urities without readily determinable fair values accounted for using the measurement alternative, determining whether a non-marketable equity security issued by the same issuer is similar to the non-marketable equity security we hold may require judgment i</w:t>
      </w:r>
      <w:r>
        <w:rPr>
          <w:rFonts w:ascii="Times New Roman" w:eastAsia="宋体" w:hAnsi="Times New Roman"/>
          <w:color w:val="000000"/>
          <w:sz w:val="20"/>
          <w:szCs w:val="20"/>
        </w:rPr>
        <w:t>n (a) assessment of differences in rights and obligations associated with the instruments such as voting rights, distribution rights and preferences, and conversion features, and (b) adjustments to the observable price for differences such as, but not limi</w:t>
      </w:r>
      <w:r>
        <w:rPr>
          <w:rFonts w:ascii="Times New Roman" w:eastAsia="宋体" w:hAnsi="Times New Roman"/>
          <w:color w:val="000000"/>
          <w:sz w:val="20"/>
          <w:szCs w:val="20"/>
        </w:rPr>
        <w:t>ted to, rights and obligations, control premium, liquidity, or principal or most advantageous markets. In addition, the identification of observable transactions will depend on the timely reporting of these transactions from our investee companies, which m</w:t>
      </w:r>
      <w:r>
        <w:rPr>
          <w:rFonts w:ascii="Times New Roman" w:eastAsia="宋体" w:hAnsi="Times New Roman"/>
          <w:color w:val="000000"/>
          <w:sz w:val="20"/>
          <w:szCs w:val="20"/>
        </w:rPr>
        <w:t>ay occur in a period subsequent to when the transactions take place. Therefore, our fair value adjustment for these observable transactions may occur in a period subsequent to when the transaction actually occurred. For non-marketable equity securities, we</w:t>
      </w:r>
      <w:r>
        <w:rPr>
          <w:rFonts w:ascii="Times New Roman" w:eastAsia="宋体" w:hAnsi="Times New Roman"/>
          <w:color w:val="000000"/>
          <w:sz w:val="20"/>
          <w:szCs w:val="20"/>
        </w:rPr>
        <w:t xml:space="preserve"> perform a qualitative assessment at each reporting date to determine whether there are triggering events for impairment. The qualitative assessment considers factors such as, but not limited to, the investee's financial condition and business outlook; ind</w:t>
      </w:r>
      <w:r>
        <w:rPr>
          <w:rFonts w:ascii="Times New Roman" w:eastAsia="宋体" w:hAnsi="Times New Roman"/>
          <w:color w:val="000000"/>
          <w:sz w:val="20"/>
          <w:szCs w:val="20"/>
        </w:rPr>
        <w:t>ustry and sector performance; regulatory, economic or technological environment; operational and financing cash flows; and other relevant events and factors affecting the investee. When indicators of impairment exist, we estimate the fair value of our non-</w:t>
      </w:r>
      <w:r>
        <w:rPr>
          <w:rFonts w:ascii="Times New Roman" w:eastAsia="宋体" w:hAnsi="Times New Roman"/>
          <w:color w:val="000000"/>
          <w:sz w:val="20"/>
          <w:szCs w:val="20"/>
        </w:rPr>
        <w:t>marketable equity securities using the market approach and/or the income approach and recognize impairment loss in the consolidated statements of income if the estimated fair value is less than the carrying value. Estimating fair value requires judgment an</w:t>
      </w:r>
      <w:r>
        <w:rPr>
          <w:rFonts w:ascii="Times New Roman" w:eastAsia="宋体" w:hAnsi="Times New Roman"/>
          <w:color w:val="000000"/>
          <w:sz w:val="20"/>
          <w:szCs w:val="20"/>
        </w:rPr>
        <w:t>d use of estimates such as discount rates, forecast cash flows, holding period, and market data of comparable companies, among others.</w:t>
      </w:r>
    </w:p>
    <w:p w14:paraId="5CD8E806" w14:textId="77777777" w:rsidR="00BA49F5" w:rsidRDefault="00BA49F5">
      <w:pPr>
        <w:ind w:firstLine="540"/>
        <w:jc w:val="both"/>
      </w:pPr>
    </w:p>
    <w:p w14:paraId="5CD8E807" w14:textId="77777777" w:rsidR="00BA49F5" w:rsidRDefault="007E5E49">
      <w:pPr>
        <w:jc w:val="both"/>
      </w:pPr>
      <w:r>
        <w:rPr>
          <w:rFonts w:ascii="Times New Roman" w:eastAsia="宋体" w:hAnsi="Times New Roman"/>
          <w:b/>
          <w:bCs/>
          <w:i/>
          <w:iCs/>
          <w:color w:val="000000"/>
          <w:sz w:val="20"/>
          <w:szCs w:val="20"/>
        </w:rPr>
        <w:t>Income Taxes</w:t>
      </w:r>
    </w:p>
    <w:p w14:paraId="5CD8E808" w14:textId="77777777" w:rsidR="00BA49F5" w:rsidRDefault="00BA49F5">
      <w:pPr>
        <w:ind w:firstLine="540"/>
        <w:jc w:val="both"/>
      </w:pPr>
    </w:p>
    <w:p w14:paraId="5CD8E809" w14:textId="77777777" w:rsidR="00BA49F5" w:rsidRDefault="007E5E49">
      <w:pPr>
        <w:ind w:firstLine="540"/>
        <w:jc w:val="both"/>
      </w:pPr>
      <w:r>
        <w:rPr>
          <w:rFonts w:ascii="Times New Roman" w:eastAsia="宋体" w:hAnsi="Times New Roman"/>
          <w:color w:val="000000"/>
          <w:sz w:val="20"/>
          <w:szCs w:val="20"/>
        </w:rPr>
        <w:t>We are subject to income taxes in the United States and numerous foreign jurisdictions. Significant judgment is required in determining our provision for income taxes and income tax assets and liabilities, including evaluating uncertainties in the applicat</w:t>
      </w:r>
      <w:r>
        <w:rPr>
          <w:rFonts w:ascii="Times New Roman" w:eastAsia="宋体" w:hAnsi="Times New Roman"/>
          <w:color w:val="000000"/>
          <w:sz w:val="20"/>
          <w:szCs w:val="20"/>
        </w:rPr>
        <w:t xml:space="preserve">ion of accounting principles and complex tax laws. </w:t>
      </w:r>
    </w:p>
    <w:p w14:paraId="5CD8E80A" w14:textId="77777777" w:rsidR="00BA49F5" w:rsidRDefault="00BA49F5">
      <w:pPr>
        <w:ind w:firstLine="540"/>
        <w:jc w:val="both"/>
      </w:pPr>
    </w:p>
    <w:p w14:paraId="5CD8E80B" w14:textId="77777777" w:rsidR="00BA49F5" w:rsidRDefault="007E5E49">
      <w:pPr>
        <w:ind w:firstLine="540"/>
        <w:jc w:val="both"/>
      </w:pPr>
      <w:r>
        <w:rPr>
          <w:rFonts w:ascii="Times New Roman" w:eastAsia="宋体" w:hAnsi="Times New Roman"/>
          <w:color w:val="000000"/>
          <w:sz w:val="20"/>
          <w:szCs w:val="20"/>
        </w:rPr>
        <w:t>We recognize tax benefits from uncertain tax positions only if we believe that it is more likely than not that the tax position will be sustained on examination by the taxing authorities based on the tec</w:t>
      </w:r>
      <w:r>
        <w:rPr>
          <w:rFonts w:ascii="Times New Roman" w:eastAsia="宋体" w:hAnsi="Times New Roman"/>
          <w:color w:val="000000"/>
          <w:sz w:val="20"/>
          <w:szCs w:val="20"/>
        </w:rPr>
        <w:t xml:space="preserve">hnical merits of the position. These uncertain tax positions include our estimates for transfer pricing that have been developed based upon analyses of appropriate </w:t>
      </w:r>
    </w:p>
    <w:p w14:paraId="5CD8E80C" w14:textId="77777777" w:rsidR="00BA49F5" w:rsidRDefault="007E5E49">
      <w:pPr>
        <w:jc w:val="center"/>
      </w:pPr>
      <w:r>
        <w:rPr>
          <w:rFonts w:ascii="Times New Roman" w:eastAsia="宋体" w:hAnsi="Times New Roman"/>
          <w:color w:val="000000"/>
          <w:sz w:val="20"/>
          <w:szCs w:val="20"/>
        </w:rPr>
        <w:t>65</w:t>
      </w:r>
    </w:p>
    <w:p w14:paraId="5CD8E80D" w14:textId="77777777" w:rsidR="00BA49F5" w:rsidRDefault="007E5E49">
      <w:r>
        <w:pict w14:anchorId="5CD90D36">
          <v:rect id="_x0000_i1089" style="width:415.3pt;height:1.5pt" o:hralign="center" o:hrstd="t" o:hr="t" fillcolor="#a0a0a0" stroked="f"/>
        </w:pict>
      </w:r>
    </w:p>
    <w:p w14:paraId="5CD8E80E" w14:textId="77777777" w:rsidR="00BA49F5" w:rsidRDefault="00BA49F5"/>
    <w:p w14:paraId="5CD8E80F" w14:textId="77777777" w:rsidR="00BA49F5" w:rsidRDefault="00BA49F5"/>
    <w:p w14:paraId="5CD8E810" w14:textId="77777777" w:rsidR="00BA49F5" w:rsidRDefault="007E5E49">
      <w:hyperlink r:id="rId210" w:anchor="i6df229dad1864210ab76200083e26819_7" w:history="1">
        <w:r>
          <w:rPr>
            <w:rStyle w:val="a5"/>
            <w:rFonts w:ascii="Times New Roman" w:eastAsia="宋体" w:hAnsi="Times New Roman"/>
            <w:sz w:val="20"/>
            <w:szCs w:val="20"/>
          </w:rPr>
          <w:t>T</w:t>
        </w:r>
      </w:hyperlink>
      <w:hyperlink r:id="rId211" w:anchor="i6df229dad1864210ab76200083e26819_7" w:history="1">
        <w:r>
          <w:rPr>
            <w:rStyle w:val="a5"/>
            <w:rFonts w:ascii="Times New Roman" w:eastAsia="宋体" w:hAnsi="Times New Roman"/>
            <w:sz w:val="20"/>
            <w:szCs w:val="20"/>
          </w:rPr>
          <w:t>able of Contents</w:t>
        </w:r>
      </w:hyperlink>
    </w:p>
    <w:p w14:paraId="5CD8E811" w14:textId="77777777" w:rsidR="00BA49F5" w:rsidRDefault="007E5E49">
      <w:pPr>
        <w:jc w:val="both"/>
      </w:pPr>
      <w:r>
        <w:rPr>
          <w:rFonts w:ascii="Times New Roman" w:eastAsia="宋体" w:hAnsi="Times New Roman"/>
          <w:color w:val="000000"/>
          <w:sz w:val="20"/>
          <w:szCs w:val="20"/>
        </w:rPr>
        <w:t>arms-length pric</w:t>
      </w:r>
      <w:r>
        <w:rPr>
          <w:rFonts w:ascii="Times New Roman" w:eastAsia="宋体" w:hAnsi="Times New Roman"/>
          <w:color w:val="000000"/>
          <w:sz w:val="20"/>
          <w:szCs w:val="20"/>
        </w:rPr>
        <w:t xml:space="preserve">es. Similarly, our estimates related to uncertain tax positions concerning research and development tax credits are based on an assessment of whether our available documentation corroborating the nature of our activities supporting the tax credits will be </w:t>
      </w:r>
      <w:r>
        <w:rPr>
          <w:rFonts w:ascii="Times New Roman" w:eastAsia="宋体" w:hAnsi="Times New Roman"/>
          <w:color w:val="000000"/>
          <w:sz w:val="20"/>
          <w:szCs w:val="20"/>
        </w:rPr>
        <w:t>sufficient. Although we believe that we have adequately reserved for our uncertain tax positions (including net interest and penalties), we can provide no assurance that the final tax outcome of these matters will not be materially different. We make adjus</w:t>
      </w:r>
      <w:r>
        <w:rPr>
          <w:rFonts w:ascii="Times New Roman" w:eastAsia="宋体" w:hAnsi="Times New Roman"/>
          <w:color w:val="000000"/>
          <w:sz w:val="20"/>
          <w:szCs w:val="20"/>
        </w:rPr>
        <w:t xml:space="preserve">tments to these reserves in accordance with the income tax accounting guidance when facts and circumstances change, such as the closing of a tax audit or the refinement of an estimate. To the extent that the final tax outcome of these matters is different </w:t>
      </w:r>
      <w:r>
        <w:rPr>
          <w:rFonts w:ascii="Times New Roman" w:eastAsia="宋体" w:hAnsi="Times New Roman"/>
          <w:color w:val="000000"/>
          <w:sz w:val="20"/>
          <w:szCs w:val="20"/>
        </w:rPr>
        <w:t>from the amounts recorded, such differences will affect the provision for income taxes in the period in which such determination is made, and could have a material impact on our financial condition and operating results.</w:t>
      </w:r>
    </w:p>
    <w:p w14:paraId="5CD8E812" w14:textId="77777777" w:rsidR="00BA49F5" w:rsidRDefault="00BA49F5">
      <w:pPr>
        <w:jc w:val="both"/>
      </w:pPr>
    </w:p>
    <w:p w14:paraId="5CD8E813" w14:textId="77777777" w:rsidR="00BA49F5" w:rsidRDefault="007E5E49">
      <w:pPr>
        <w:jc w:val="both"/>
      </w:pPr>
      <w:r>
        <w:rPr>
          <w:rFonts w:ascii="Times New Roman" w:eastAsia="宋体" w:hAnsi="Times New Roman"/>
          <w:b/>
          <w:bCs/>
          <w:i/>
          <w:iCs/>
          <w:color w:val="000000"/>
          <w:sz w:val="20"/>
          <w:szCs w:val="20"/>
        </w:rPr>
        <w:t>Loss Contingencies</w:t>
      </w:r>
    </w:p>
    <w:p w14:paraId="5CD8E814" w14:textId="77777777" w:rsidR="00BA49F5" w:rsidRDefault="00BA49F5">
      <w:pPr>
        <w:ind w:firstLine="540"/>
        <w:jc w:val="both"/>
      </w:pPr>
    </w:p>
    <w:p w14:paraId="5CD8E815" w14:textId="77777777" w:rsidR="00BA49F5" w:rsidRDefault="007E5E49">
      <w:pPr>
        <w:ind w:firstLine="540"/>
        <w:jc w:val="both"/>
      </w:pPr>
      <w:r>
        <w:rPr>
          <w:rFonts w:ascii="Times New Roman" w:eastAsia="宋体" w:hAnsi="Times New Roman"/>
          <w:color w:val="000000"/>
          <w:sz w:val="20"/>
          <w:szCs w:val="20"/>
        </w:rPr>
        <w:t>We are involve</w:t>
      </w:r>
      <w:r>
        <w:rPr>
          <w:rFonts w:ascii="Times New Roman" w:eastAsia="宋体" w:hAnsi="Times New Roman"/>
          <w:color w:val="000000"/>
          <w:sz w:val="20"/>
          <w:szCs w:val="20"/>
        </w:rPr>
        <w:t>d in legal proceedings, claims, and regulatory, tax or government inquiries and investigations that arise in the ordinary course of business. Certain of these matters include speculative claims for substantial or indeterminate amounts of damages. Additiona</w:t>
      </w:r>
      <w:r>
        <w:rPr>
          <w:rFonts w:ascii="Times New Roman" w:eastAsia="宋体" w:hAnsi="Times New Roman"/>
          <w:color w:val="000000"/>
          <w:sz w:val="20"/>
          <w:szCs w:val="20"/>
        </w:rPr>
        <w:t>lly, we are required to comply with various legal and regulatory obligations around the world, and we regularly become subject to new laws and regulations in the jurisdictions in which we operate. The requirements for complying with these obligations may b</w:t>
      </w:r>
      <w:r>
        <w:rPr>
          <w:rFonts w:ascii="Times New Roman" w:eastAsia="宋体" w:hAnsi="Times New Roman"/>
          <w:color w:val="000000"/>
          <w:sz w:val="20"/>
          <w:szCs w:val="20"/>
        </w:rPr>
        <w:t>e uncertain and subject to interpretation and enforcement by regulatory and other authorities, and any failure to comply with such obligations could eventually lead to asserted legal or regulatory action. With respect to these matters, asserted and unasser</w:t>
      </w:r>
      <w:r>
        <w:rPr>
          <w:rFonts w:ascii="Times New Roman" w:eastAsia="宋体" w:hAnsi="Times New Roman"/>
          <w:color w:val="000000"/>
          <w:sz w:val="20"/>
          <w:szCs w:val="20"/>
        </w:rPr>
        <w:t>ted, we evaluate the associated developments on a regular basis and accrue a liability when we believe that it is both probable that a loss has been incurred and the amount can be reasonably estimated. If we determine there is a reasonable possibility that</w:t>
      </w:r>
      <w:r>
        <w:rPr>
          <w:rFonts w:ascii="Times New Roman" w:eastAsia="宋体" w:hAnsi="Times New Roman"/>
          <w:color w:val="000000"/>
          <w:sz w:val="20"/>
          <w:szCs w:val="20"/>
        </w:rPr>
        <w:t xml:space="preserve"> we may incur a loss and the loss or range of loss can be reasonably estimated, we disclose the possible loss in the accompanying notes to the consolidated financial statements to the extent material.</w:t>
      </w:r>
    </w:p>
    <w:p w14:paraId="5CD8E816" w14:textId="77777777" w:rsidR="00BA49F5" w:rsidRDefault="00BA49F5">
      <w:pPr>
        <w:ind w:firstLine="540"/>
        <w:jc w:val="both"/>
      </w:pPr>
    </w:p>
    <w:p w14:paraId="5CD8E817" w14:textId="77777777" w:rsidR="00BA49F5" w:rsidRDefault="007E5E49">
      <w:pPr>
        <w:ind w:firstLine="540"/>
        <w:jc w:val="both"/>
      </w:pPr>
      <w:r>
        <w:rPr>
          <w:rFonts w:ascii="Times New Roman" w:eastAsia="宋体" w:hAnsi="Times New Roman"/>
          <w:color w:val="000000"/>
          <w:sz w:val="20"/>
          <w:szCs w:val="20"/>
        </w:rPr>
        <w:t>We review the developments in our contingencies that c</w:t>
      </w:r>
      <w:r>
        <w:rPr>
          <w:rFonts w:ascii="Times New Roman" w:eastAsia="宋体" w:hAnsi="Times New Roman"/>
          <w:color w:val="000000"/>
          <w:sz w:val="20"/>
          <w:szCs w:val="20"/>
        </w:rPr>
        <w:t>ould affect the amount of the provisions that have been previously recorded, and the matters and related reasonably possible losses disclosed. We make adjustments to our provisions and changes to our disclosures accordingly to reflect the merits of our def</w:t>
      </w:r>
      <w:r>
        <w:rPr>
          <w:rFonts w:ascii="Times New Roman" w:eastAsia="宋体" w:hAnsi="Times New Roman"/>
          <w:color w:val="000000"/>
          <w:sz w:val="20"/>
          <w:szCs w:val="20"/>
        </w:rPr>
        <w:t>enses and the impact of negotiations, settlements, regulatory proceedings, rulings, advice of legal counsel, and updated information. Significant judgment is required to determine the probability of loss and the estimated amount of loss, including when and</w:t>
      </w:r>
      <w:r>
        <w:rPr>
          <w:rFonts w:ascii="Times New Roman" w:eastAsia="宋体" w:hAnsi="Times New Roman"/>
          <w:color w:val="000000"/>
          <w:sz w:val="20"/>
          <w:szCs w:val="20"/>
        </w:rPr>
        <w:t xml:space="preserve"> if the probability and estimate has changed for asserted and unasserted matters. Certain factors, in particular, have resulted in significant changes to these estimates and judgments in prior quarters based on updated information available. For example, i</w:t>
      </w:r>
      <w:r>
        <w:rPr>
          <w:rFonts w:ascii="Times New Roman" w:eastAsia="宋体" w:hAnsi="Times New Roman"/>
          <w:color w:val="000000"/>
          <w:sz w:val="20"/>
          <w:szCs w:val="20"/>
        </w:rPr>
        <w:t>n certain jurisdictions where we operate, fines and penalties may be the result of new laws and preliminary interpretations regarding the basis of assessing damages, which may make it difficult to estimate what such fines and penalties would amount to if s</w:t>
      </w:r>
      <w:r>
        <w:rPr>
          <w:rFonts w:ascii="Times New Roman" w:eastAsia="宋体" w:hAnsi="Times New Roman"/>
          <w:color w:val="000000"/>
          <w:sz w:val="20"/>
          <w:szCs w:val="20"/>
        </w:rPr>
        <w:t>uccessfully asserted against us. In addition, certain government inquiries and investigations, such as matters before our lead European Union privacy regulator, the IDPC, are subject to review by other regulatory bodies before decisions are finalized, whic</w:t>
      </w:r>
      <w:r>
        <w:rPr>
          <w:rFonts w:ascii="Times New Roman" w:eastAsia="宋体" w:hAnsi="Times New Roman"/>
          <w:color w:val="000000"/>
          <w:sz w:val="20"/>
          <w:szCs w:val="20"/>
        </w:rPr>
        <w:t xml:space="preserve">h can lead to significant changes in the outcome of an inquiry. As a result of these and other factors, we reasonably expect that our estimates and judgments with respect to our contingencies may continue to be revised in future quarters. </w:t>
      </w:r>
    </w:p>
    <w:p w14:paraId="5CD8E818" w14:textId="77777777" w:rsidR="00BA49F5" w:rsidRDefault="00BA49F5">
      <w:pPr>
        <w:ind w:firstLine="540"/>
        <w:jc w:val="both"/>
      </w:pPr>
    </w:p>
    <w:p w14:paraId="5CD8E819" w14:textId="77777777" w:rsidR="00BA49F5" w:rsidRDefault="007E5E49">
      <w:pPr>
        <w:ind w:firstLine="540"/>
        <w:jc w:val="both"/>
      </w:pPr>
      <w:r>
        <w:rPr>
          <w:rFonts w:ascii="Times New Roman" w:eastAsia="宋体" w:hAnsi="Times New Roman"/>
          <w:color w:val="000000"/>
          <w:sz w:val="20"/>
          <w:szCs w:val="20"/>
        </w:rPr>
        <w:t>The ultimate ou</w:t>
      </w:r>
      <w:r>
        <w:rPr>
          <w:rFonts w:ascii="Times New Roman" w:eastAsia="宋体" w:hAnsi="Times New Roman"/>
          <w:color w:val="000000"/>
          <w:sz w:val="20"/>
          <w:szCs w:val="20"/>
        </w:rPr>
        <w:t xml:space="preserve">tcome of these matters, such as whether the likelihood of loss is remote, reasonably possible, or probable or if and when the reasonably possible range of loss is estimable, is inherently uncertain. Therefore, if one or more of these matters were resolved </w:t>
      </w:r>
      <w:r>
        <w:rPr>
          <w:rFonts w:ascii="Times New Roman" w:eastAsia="宋体" w:hAnsi="Times New Roman"/>
          <w:color w:val="000000"/>
          <w:sz w:val="20"/>
          <w:szCs w:val="20"/>
        </w:rPr>
        <w:t>against us for amounts in excess of management's estimates of losses, our results of operations and financial condition, including in a particular reporting period in which any such outcome becomes probable and estimable, could be materially adversely affe</w:t>
      </w:r>
      <w:r>
        <w:rPr>
          <w:rFonts w:ascii="Times New Roman" w:eastAsia="宋体" w:hAnsi="Times New Roman"/>
          <w:color w:val="000000"/>
          <w:sz w:val="20"/>
          <w:szCs w:val="20"/>
        </w:rPr>
        <w:t>cted. See Note 13 — Commitments and Contingencies and Note 16 — Income Taxes of the accompanying notes to our consolidated financial statements included in Part II, Item 8, "Financial Statements and Supplementary Data" and Part I, Item 3, "Legal Proceeding</w:t>
      </w:r>
      <w:r>
        <w:rPr>
          <w:rFonts w:ascii="Times New Roman" w:eastAsia="宋体" w:hAnsi="Times New Roman"/>
          <w:color w:val="000000"/>
          <w:sz w:val="20"/>
          <w:szCs w:val="20"/>
        </w:rPr>
        <w:t>s" of this Annual Report on Form 10-K for additional information regarding these contingencies.</w:t>
      </w:r>
    </w:p>
    <w:p w14:paraId="5CD8E81A" w14:textId="77777777" w:rsidR="00BA49F5" w:rsidRDefault="00BA49F5">
      <w:pPr>
        <w:ind w:firstLine="540"/>
        <w:jc w:val="both"/>
      </w:pPr>
    </w:p>
    <w:p w14:paraId="5CD8E81B" w14:textId="77777777" w:rsidR="00BA49F5" w:rsidRDefault="007E5E49">
      <w:pPr>
        <w:jc w:val="both"/>
      </w:pPr>
      <w:r>
        <w:rPr>
          <w:rFonts w:ascii="Times New Roman" w:eastAsia="宋体" w:hAnsi="Times New Roman"/>
          <w:b/>
          <w:bCs/>
          <w:i/>
          <w:iCs/>
          <w:color w:val="000000"/>
          <w:sz w:val="20"/>
          <w:szCs w:val="20"/>
        </w:rPr>
        <w:t xml:space="preserve">Valuation of Long-lived Assets including Goodwill, Intangible Assets, and Property and Equipment and Estimated Useful Lives </w:t>
      </w:r>
    </w:p>
    <w:p w14:paraId="5CD8E81C" w14:textId="77777777" w:rsidR="00BA49F5" w:rsidRDefault="00BA49F5">
      <w:pPr>
        <w:jc w:val="both"/>
      </w:pPr>
    </w:p>
    <w:p w14:paraId="5CD8E81D" w14:textId="77777777" w:rsidR="00BA49F5" w:rsidRDefault="007E5E49">
      <w:pPr>
        <w:ind w:firstLine="540"/>
        <w:jc w:val="both"/>
      </w:pPr>
      <w:r>
        <w:rPr>
          <w:rFonts w:ascii="Times New Roman" w:eastAsia="宋体" w:hAnsi="Times New Roman"/>
          <w:color w:val="000000"/>
          <w:sz w:val="20"/>
          <w:szCs w:val="20"/>
        </w:rPr>
        <w:t>We allocate the fair value of pur</w:t>
      </w:r>
      <w:r>
        <w:rPr>
          <w:rFonts w:ascii="Times New Roman" w:eastAsia="宋体" w:hAnsi="Times New Roman"/>
          <w:color w:val="000000"/>
          <w:sz w:val="20"/>
          <w:szCs w:val="20"/>
        </w:rPr>
        <w:t>chase consideration to the tangible assets acquired, liabilities assumed, and intangible assets acquired based on their estimated fair values. The excess of the fair value of purchase consideration over the fair values of these identifiable assets and liab</w:t>
      </w:r>
      <w:r>
        <w:rPr>
          <w:rFonts w:ascii="Times New Roman" w:eastAsia="宋体" w:hAnsi="Times New Roman"/>
          <w:color w:val="000000"/>
          <w:sz w:val="20"/>
          <w:szCs w:val="20"/>
        </w:rPr>
        <w:t>ilities is recorded as goodwill to reporting units based on the expected benefit from the business combination. Such valuations require management to make significant estimates and assumptions, especially with respect to intangible assets. Significant esti</w:t>
      </w:r>
      <w:r>
        <w:rPr>
          <w:rFonts w:ascii="Times New Roman" w:eastAsia="宋体" w:hAnsi="Times New Roman"/>
          <w:color w:val="000000"/>
          <w:sz w:val="20"/>
          <w:szCs w:val="20"/>
        </w:rPr>
        <w:t xml:space="preserve">mates in valuing certain intangible assets include, but are not limited to, estimated replacement costs and future expected cash flows from acquired users, acquired technology, acquired patents, and trade </w:t>
      </w:r>
    </w:p>
    <w:p w14:paraId="5CD8E81E" w14:textId="77777777" w:rsidR="00BA49F5" w:rsidRDefault="007E5E49">
      <w:pPr>
        <w:jc w:val="center"/>
      </w:pPr>
      <w:r>
        <w:rPr>
          <w:rFonts w:ascii="Times New Roman" w:eastAsia="宋体" w:hAnsi="Times New Roman"/>
          <w:color w:val="000000"/>
          <w:sz w:val="20"/>
          <w:szCs w:val="20"/>
        </w:rPr>
        <w:t>66</w:t>
      </w:r>
    </w:p>
    <w:p w14:paraId="5CD8E81F" w14:textId="77777777" w:rsidR="00BA49F5" w:rsidRDefault="007E5E49">
      <w:r>
        <w:pict w14:anchorId="5CD90D37">
          <v:rect id="_x0000_i1090" style="width:415.3pt;height:1.5pt" o:hralign="center" o:hrstd="t" o:hr="t" fillcolor="#a0a0a0" stroked="f"/>
        </w:pict>
      </w:r>
    </w:p>
    <w:p w14:paraId="5CD8E820" w14:textId="77777777" w:rsidR="00BA49F5" w:rsidRDefault="00BA49F5"/>
    <w:p w14:paraId="5CD8E821" w14:textId="77777777" w:rsidR="00BA49F5" w:rsidRDefault="00BA49F5"/>
    <w:p w14:paraId="5CD8E822" w14:textId="77777777" w:rsidR="00BA49F5" w:rsidRDefault="007E5E49">
      <w:hyperlink r:id="rId212" w:anchor="i6df229dad1864210ab76200083e26819_7" w:history="1">
        <w:r>
          <w:rPr>
            <w:rStyle w:val="a5"/>
            <w:rFonts w:ascii="Times New Roman" w:eastAsia="宋体" w:hAnsi="Times New Roman"/>
            <w:sz w:val="20"/>
            <w:szCs w:val="20"/>
          </w:rPr>
          <w:t>T</w:t>
        </w:r>
      </w:hyperlink>
      <w:hyperlink r:id="rId213" w:anchor="i6df229dad1864210ab76200083e26819_7" w:history="1">
        <w:r>
          <w:rPr>
            <w:rStyle w:val="a5"/>
            <w:rFonts w:ascii="Times New Roman" w:eastAsia="宋体" w:hAnsi="Times New Roman"/>
            <w:sz w:val="20"/>
            <w:szCs w:val="20"/>
          </w:rPr>
          <w:t>able of Contents</w:t>
        </w:r>
      </w:hyperlink>
    </w:p>
    <w:p w14:paraId="5CD8E823" w14:textId="77777777" w:rsidR="00BA49F5" w:rsidRDefault="007E5E49">
      <w:pPr>
        <w:jc w:val="both"/>
      </w:pPr>
      <w:r>
        <w:rPr>
          <w:rFonts w:ascii="Times New Roman" w:eastAsia="宋体" w:hAnsi="Times New Roman"/>
          <w:color w:val="000000"/>
          <w:sz w:val="20"/>
          <w:szCs w:val="20"/>
        </w:rPr>
        <w:t>names from a market participant perspective, useful lives, and discount rates. Management's estimates of fair value are based upon assumptions believed to be reasonable, but which are inhe</w:t>
      </w:r>
      <w:r>
        <w:rPr>
          <w:rFonts w:ascii="Times New Roman" w:eastAsia="宋体" w:hAnsi="Times New Roman"/>
          <w:color w:val="000000"/>
          <w:sz w:val="20"/>
          <w:szCs w:val="20"/>
        </w:rPr>
        <w:t>rently uncertain and unpredictable and, as a result, actual results may differ from estimates. Allocation of purchase consideration to identifiable assets and liabilities affects our amortization expense, as acquired finite-lived intangible assets are amor</w:t>
      </w:r>
      <w:r>
        <w:rPr>
          <w:rFonts w:ascii="Times New Roman" w:eastAsia="宋体" w:hAnsi="Times New Roman"/>
          <w:color w:val="000000"/>
          <w:sz w:val="20"/>
          <w:szCs w:val="20"/>
        </w:rPr>
        <w:t>tized over the useful life, whereas any indefinite-lived intangible assets, including goodwill, are not amortized. During the measurement period, which is not to exceed one year from the acquisition date, we may record adjustments to the assets acquired an</w:t>
      </w:r>
      <w:r>
        <w:rPr>
          <w:rFonts w:ascii="Times New Roman" w:eastAsia="宋体" w:hAnsi="Times New Roman"/>
          <w:color w:val="000000"/>
          <w:sz w:val="20"/>
          <w:szCs w:val="20"/>
        </w:rPr>
        <w:t>d liabilities assumed, with the corresponding offset to goodwill. Upon the conclusion of the measurement period, any subsequent adjustments are recorded to earnings.</w:t>
      </w:r>
    </w:p>
    <w:p w14:paraId="5CD8E824" w14:textId="77777777" w:rsidR="00BA49F5" w:rsidRDefault="00BA49F5">
      <w:pPr>
        <w:ind w:firstLine="540"/>
        <w:jc w:val="both"/>
      </w:pPr>
    </w:p>
    <w:p w14:paraId="5CD8E825" w14:textId="77777777" w:rsidR="00BA49F5" w:rsidRDefault="007E5E49">
      <w:pPr>
        <w:ind w:firstLine="540"/>
        <w:jc w:val="both"/>
      </w:pPr>
      <w:r>
        <w:rPr>
          <w:rFonts w:ascii="Times New Roman" w:eastAsia="宋体" w:hAnsi="Times New Roman"/>
          <w:color w:val="000000"/>
          <w:sz w:val="20"/>
          <w:szCs w:val="20"/>
        </w:rPr>
        <w:t>Goodwill is tested for impairment at the reporting unit level annually or more frequently</w:t>
      </w:r>
      <w:r>
        <w:rPr>
          <w:rFonts w:ascii="Times New Roman" w:eastAsia="宋体" w:hAnsi="Times New Roman"/>
          <w:color w:val="000000"/>
          <w:sz w:val="20"/>
          <w:szCs w:val="20"/>
        </w:rPr>
        <w:t xml:space="preserve"> if events or changes in circumstances would more likely than not reduce the fair value of a reporting unit below its carrying value. We have two reporting units subject to goodwill impairment testing. As of December 31, 2022, no impairment of goodwill has</w:t>
      </w:r>
      <w:r>
        <w:rPr>
          <w:rFonts w:ascii="Times New Roman" w:eastAsia="宋体" w:hAnsi="Times New Roman"/>
          <w:color w:val="000000"/>
          <w:sz w:val="20"/>
          <w:szCs w:val="20"/>
        </w:rPr>
        <w:t xml:space="preserve"> been identified.</w:t>
      </w:r>
    </w:p>
    <w:p w14:paraId="5CD8E826" w14:textId="77777777" w:rsidR="00BA49F5" w:rsidRDefault="00BA49F5">
      <w:pPr>
        <w:ind w:firstLine="540"/>
        <w:jc w:val="both"/>
      </w:pPr>
    </w:p>
    <w:p w14:paraId="5CD8E827" w14:textId="77777777" w:rsidR="00BA49F5" w:rsidRDefault="007E5E49">
      <w:pPr>
        <w:ind w:firstLine="540"/>
        <w:jc w:val="both"/>
      </w:pPr>
      <w:r>
        <w:rPr>
          <w:rFonts w:ascii="Times New Roman" w:eastAsia="宋体" w:hAnsi="Times New Roman"/>
          <w:color w:val="000000"/>
          <w:sz w:val="20"/>
          <w:szCs w:val="20"/>
        </w:rPr>
        <w:t xml:space="preserve">Long-lived assets, including property and equipment and finite-lived intangible assets are reviewed for possible impairment whenever events or circumstances indicate that the carrying amount of such assets may not be </w:t>
      </w:r>
      <w:r>
        <w:rPr>
          <w:rFonts w:ascii="Times New Roman" w:eastAsia="宋体" w:hAnsi="Times New Roman"/>
          <w:color w:val="000000"/>
          <w:sz w:val="20"/>
          <w:szCs w:val="20"/>
        </w:rPr>
        <w:t xml:space="preserve">recoverable. The evaluation is performed at the lowest level for which identifiable cash flows are largely independent of the cash flows of other assets and liabilities. Recoverability of these assets is measured by a comparison of the carrying amounts to </w:t>
      </w:r>
      <w:r>
        <w:rPr>
          <w:rFonts w:ascii="Times New Roman" w:eastAsia="宋体" w:hAnsi="Times New Roman"/>
          <w:color w:val="000000"/>
          <w:sz w:val="20"/>
          <w:szCs w:val="20"/>
        </w:rPr>
        <w:t xml:space="preserve">the future undiscounted cash flows the assets are expected to generate from the use and eventual disposition. If such review indicates that the carrying amount of property and equipment and intangible assets is not recoverable, the carrying amount of such </w:t>
      </w:r>
      <w:r>
        <w:rPr>
          <w:rFonts w:ascii="Times New Roman" w:eastAsia="宋体" w:hAnsi="Times New Roman"/>
          <w:color w:val="000000"/>
          <w:sz w:val="20"/>
          <w:szCs w:val="20"/>
        </w:rPr>
        <w:t>assets is reduced to fair value.</w:t>
      </w:r>
    </w:p>
    <w:p w14:paraId="5CD8E828" w14:textId="77777777" w:rsidR="00BA49F5" w:rsidRDefault="00BA49F5">
      <w:pPr>
        <w:ind w:firstLine="540"/>
        <w:jc w:val="both"/>
      </w:pPr>
    </w:p>
    <w:p w14:paraId="5CD8E829" w14:textId="77777777" w:rsidR="00BA49F5" w:rsidRDefault="007E5E49">
      <w:pPr>
        <w:ind w:firstLine="540"/>
        <w:jc w:val="both"/>
      </w:pPr>
      <w:r>
        <w:rPr>
          <w:rFonts w:ascii="Times New Roman" w:eastAsia="宋体" w:hAnsi="Times New Roman"/>
          <w:color w:val="000000"/>
          <w:sz w:val="20"/>
          <w:szCs w:val="20"/>
        </w:rPr>
        <w:t>The useful lives of our long-lived assets including property and equipment and finite-lived intangible assets are determined by management when those assets are initially recognized and are routinely reviewed for the remai</w:t>
      </w:r>
      <w:r>
        <w:rPr>
          <w:rFonts w:ascii="Times New Roman" w:eastAsia="宋体" w:hAnsi="Times New Roman"/>
          <w:color w:val="000000"/>
          <w:sz w:val="20"/>
          <w:szCs w:val="20"/>
        </w:rPr>
        <w:t>ning estimated useful lives. The current estimate of useful lives represents our best estimate based on current facts and circumstances, but may differ from the actual useful lives due to changes in future circumstances such as changes to our business oper</w:t>
      </w:r>
      <w:r>
        <w:rPr>
          <w:rFonts w:ascii="Times New Roman" w:eastAsia="宋体" w:hAnsi="Times New Roman"/>
          <w:color w:val="000000"/>
          <w:sz w:val="20"/>
          <w:szCs w:val="20"/>
        </w:rPr>
        <w:t>ations, changes in the planned use of assets, and technological advancements. When we change the estimated useful life assumption for any asset, the remaining carrying amount of the asset is accounted for prospectively and depreciated or amortized over the</w:t>
      </w:r>
      <w:r>
        <w:rPr>
          <w:rFonts w:ascii="Times New Roman" w:eastAsia="宋体" w:hAnsi="Times New Roman"/>
          <w:color w:val="000000"/>
          <w:sz w:val="20"/>
          <w:szCs w:val="20"/>
        </w:rPr>
        <w:t xml:space="preserve"> revised remaining useful life. </w:t>
      </w:r>
    </w:p>
    <w:p w14:paraId="5CD8E82A" w14:textId="77777777" w:rsidR="00BA49F5" w:rsidRDefault="00BA49F5">
      <w:pPr>
        <w:ind w:firstLine="540"/>
        <w:jc w:val="both"/>
      </w:pPr>
    </w:p>
    <w:p w14:paraId="5CD8E82B" w14:textId="77777777" w:rsidR="00BA49F5" w:rsidRDefault="007E5E49">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estimated average useful lives of our servers and network assets category effective the second and the fourth</w:t>
      </w:r>
      <w:r>
        <w:rPr>
          <w:rFonts w:ascii="Times New Roman" w:eastAsia="宋体" w:hAnsi="Times New Roman"/>
          <w:color w:val="000000"/>
          <w:sz w:val="20"/>
          <w:szCs w:val="20"/>
        </w:rPr>
        <w:t xml:space="preserve"> quarters of 2022. The financial impact of the changes in estimates was a reduction in depreciation expense of $860 million and an increase in net income of $693 million, or $0.26 per diluted share for the year ended December 31, 2022. The impact from the </w:t>
      </w:r>
      <w:r>
        <w:rPr>
          <w:rFonts w:ascii="Times New Roman" w:eastAsia="宋体" w:hAnsi="Times New Roman"/>
          <w:color w:val="000000"/>
          <w:sz w:val="20"/>
          <w:szCs w:val="20"/>
        </w:rPr>
        <w:t xml:space="preserve">changes in our estimates was calculated based on the servers and network assets existing as of the effective date of the change and applying the revised useful lives prospectively. </w:t>
      </w:r>
    </w:p>
    <w:p w14:paraId="5CD8E82C" w14:textId="77777777" w:rsidR="00BA49F5" w:rsidRDefault="00BA49F5">
      <w:pPr>
        <w:ind w:firstLine="540"/>
        <w:jc w:val="both"/>
      </w:pPr>
    </w:p>
    <w:p w14:paraId="5CD8E82D" w14:textId="77777777" w:rsidR="00BA49F5" w:rsidRDefault="007E5E49">
      <w:pPr>
        <w:ind w:firstLine="540"/>
        <w:jc w:val="both"/>
      </w:pPr>
      <w:r>
        <w:rPr>
          <w:rFonts w:ascii="Times New Roman" w:eastAsia="宋体" w:hAnsi="Times New Roman"/>
          <w:color w:val="000000"/>
          <w:sz w:val="20"/>
          <w:szCs w:val="20"/>
        </w:rPr>
        <w:t>See Note 1 — Summary of Significant Accounting Policies in the accompanyi</w:t>
      </w:r>
      <w:r>
        <w:rPr>
          <w:rFonts w:ascii="Times New Roman" w:eastAsia="宋体" w:hAnsi="Times New Roman"/>
          <w:color w:val="000000"/>
          <w:sz w:val="20"/>
          <w:szCs w:val="20"/>
        </w:rPr>
        <w:t>ng notes to consolidated financial statements included in Part II, Item 8, "Financial Statements and Supplementary Data" of this Annual Report on Form 10-K, for additional information regarding the changes in the estimated useful lives of our servers and n</w:t>
      </w:r>
      <w:r>
        <w:rPr>
          <w:rFonts w:ascii="Times New Roman" w:eastAsia="宋体" w:hAnsi="Times New Roman"/>
          <w:color w:val="000000"/>
          <w:sz w:val="20"/>
          <w:szCs w:val="20"/>
        </w:rPr>
        <w:t>etwork assets.</w:t>
      </w:r>
    </w:p>
    <w:p w14:paraId="5CD8E82E" w14:textId="77777777" w:rsidR="00BA49F5" w:rsidRDefault="00BA49F5">
      <w:pPr>
        <w:ind w:firstLine="540"/>
        <w:jc w:val="both"/>
      </w:pPr>
    </w:p>
    <w:p w14:paraId="5CD8E82F" w14:textId="77777777" w:rsidR="00BA49F5" w:rsidRDefault="00BA49F5">
      <w:pPr>
        <w:ind w:firstLine="540"/>
        <w:jc w:val="both"/>
      </w:pPr>
    </w:p>
    <w:p w14:paraId="5CD8E830" w14:textId="77777777" w:rsidR="00BA49F5" w:rsidRDefault="007E5E49">
      <w:pPr>
        <w:jc w:val="center"/>
      </w:pPr>
      <w:r>
        <w:rPr>
          <w:rFonts w:ascii="Times New Roman" w:eastAsia="宋体" w:hAnsi="Times New Roman"/>
          <w:color w:val="000000"/>
          <w:sz w:val="20"/>
          <w:szCs w:val="20"/>
        </w:rPr>
        <w:t>67</w:t>
      </w:r>
    </w:p>
    <w:p w14:paraId="5CD8E831" w14:textId="77777777" w:rsidR="00BA49F5" w:rsidRDefault="007E5E49">
      <w:r>
        <w:pict w14:anchorId="5CD90D38">
          <v:rect id="_x0000_i1091" style="width:415.3pt;height:1.5pt" o:hralign="center" o:hrstd="t" o:hr="t" fillcolor="#a0a0a0" stroked="f"/>
        </w:pict>
      </w:r>
    </w:p>
    <w:p w14:paraId="5CD8E832" w14:textId="77777777" w:rsidR="00BA49F5" w:rsidRDefault="00BA49F5"/>
    <w:p w14:paraId="5CD8E833" w14:textId="77777777" w:rsidR="00BA49F5" w:rsidRDefault="00BA49F5"/>
    <w:p w14:paraId="5CD8E834" w14:textId="77777777" w:rsidR="00BA49F5" w:rsidRDefault="007E5E49">
      <w:hyperlink r:id="rId214" w:anchor="i6df229dad1864210ab76200083e26819_7" w:history="1">
        <w:r>
          <w:rPr>
            <w:rStyle w:val="a5"/>
            <w:rFonts w:ascii="Times New Roman" w:eastAsia="宋体" w:hAnsi="Times New Roman"/>
            <w:sz w:val="20"/>
            <w:szCs w:val="20"/>
          </w:rPr>
          <w:t>T</w:t>
        </w:r>
      </w:hyperlink>
      <w:hyperlink r:id="rId215" w:anchor="i6df229dad1864210ab76200083e26819_7" w:history="1">
        <w:r>
          <w:rPr>
            <w:rStyle w:val="a5"/>
            <w:rFonts w:ascii="Times New Roman" w:eastAsia="宋体" w:hAnsi="Times New Roman"/>
            <w:sz w:val="20"/>
            <w:szCs w:val="20"/>
          </w:rPr>
          <w:t>able of Contents</w:t>
        </w:r>
      </w:hyperlink>
    </w:p>
    <w:p w14:paraId="5CD8E835" w14:textId="77777777" w:rsidR="00BA49F5" w:rsidRDefault="007E5E49">
      <w:r>
        <w:rPr>
          <w:rFonts w:ascii="Times New Roman" w:eastAsia="宋体" w:hAnsi="Times New Roman"/>
          <w:b/>
          <w:bCs/>
          <w:color w:val="000000"/>
          <w:sz w:val="20"/>
          <w:szCs w:val="20"/>
        </w:rPr>
        <w:t>Components of Results of Operations</w:t>
      </w:r>
    </w:p>
    <w:p w14:paraId="5CD8E836" w14:textId="77777777" w:rsidR="00BA49F5" w:rsidRDefault="00BA49F5"/>
    <w:p w14:paraId="5CD8E837" w14:textId="77777777" w:rsidR="00BA49F5" w:rsidRDefault="007E5E49">
      <w:r>
        <w:rPr>
          <w:rFonts w:ascii="Times New Roman" w:eastAsia="宋体" w:hAnsi="Times New Roman"/>
          <w:b/>
          <w:bCs/>
          <w:color w:val="000000"/>
          <w:sz w:val="20"/>
          <w:szCs w:val="20"/>
          <w:shd w:val="clear" w:color="auto" w:fill="FFFFFF"/>
        </w:rPr>
        <w:t xml:space="preserve">Revenue </w:t>
      </w:r>
    </w:p>
    <w:p w14:paraId="5CD8E838" w14:textId="77777777" w:rsidR="00BA49F5" w:rsidRDefault="00BA49F5"/>
    <w:p w14:paraId="5CD8E839" w14:textId="77777777" w:rsidR="00BA49F5" w:rsidRDefault="007E5E49">
      <w:pPr>
        <w:ind w:firstLine="540"/>
        <w:jc w:val="both"/>
      </w:pPr>
      <w:r>
        <w:rPr>
          <w:rFonts w:ascii="Times New Roman" w:eastAsia="宋体" w:hAnsi="Times New Roman"/>
          <w:b/>
          <w:bCs/>
          <w:i/>
          <w:iCs/>
          <w:color w:val="000000"/>
          <w:sz w:val="20"/>
          <w:szCs w:val="20"/>
          <w:shd w:val="clear" w:color="auto" w:fill="FFFFFF"/>
        </w:rPr>
        <w:t>Family of Apps (FoA)</w:t>
      </w:r>
    </w:p>
    <w:p w14:paraId="5CD8E83A" w14:textId="77777777" w:rsidR="00BA49F5" w:rsidRDefault="00BA49F5">
      <w:pPr>
        <w:ind w:firstLine="540"/>
        <w:jc w:val="both"/>
      </w:pPr>
    </w:p>
    <w:p w14:paraId="5CD8E83B" w14:textId="77777777" w:rsidR="00BA49F5" w:rsidRDefault="007E5E49">
      <w:pPr>
        <w:ind w:firstLine="540"/>
        <w:jc w:val="both"/>
      </w:pPr>
      <w:r>
        <w:rPr>
          <w:rFonts w:ascii="Times New Roman" w:eastAsia="宋体" w:hAnsi="Times New Roman"/>
          <w:b/>
          <w:bCs/>
          <w:i/>
          <w:iCs/>
          <w:color w:val="000000"/>
          <w:sz w:val="20"/>
          <w:szCs w:val="20"/>
          <w:shd w:val="clear" w:color="auto" w:fill="FFFFFF"/>
        </w:rPr>
        <w:t>Advertising.</w:t>
      </w:r>
      <w:r>
        <w:rPr>
          <w:rFonts w:ascii="Times New Roman" w:eastAsia="宋体" w:hAnsi="Times New Roman"/>
          <w:i/>
          <w:iCs/>
          <w:color w:val="000000"/>
          <w:sz w:val="20"/>
          <w:szCs w:val="20"/>
          <w:shd w:val="clear" w:color="auto" w:fill="FFFFFF"/>
        </w:rPr>
        <w:t xml:space="preserve"> </w:t>
      </w:r>
      <w:r>
        <w:rPr>
          <w:rFonts w:ascii="Times New Roman" w:eastAsia="宋体" w:hAnsi="Times New Roman"/>
          <w:color w:val="000000"/>
          <w:sz w:val="20"/>
          <w:szCs w:val="20"/>
          <w:shd w:val="clear" w:color="auto" w:fill="FFFFFF"/>
        </w:rPr>
        <w:t>We generate substantially all of our revenue from advertising. Our advertising revenue is generated by displaying ad products on Facebook, Instagram, Messenger, and third-party mobile applications. Marketers pay for ad products either directly or through t</w:t>
      </w:r>
      <w:r>
        <w:rPr>
          <w:rFonts w:ascii="Times New Roman" w:eastAsia="宋体" w:hAnsi="Times New Roman"/>
          <w:color w:val="000000"/>
          <w:sz w:val="20"/>
          <w:szCs w:val="20"/>
          <w:shd w:val="clear" w:color="auto" w:fill="FFFFFF"/>
        </w:rPr>
        <w:t xml:space="preserve">heir relationships with advertising agencies or resellers, based on the number of impressions delivered or the number of actions, such as clicks, taken by users. </w:t>
      </w:r>
    </w:p>
    <w:p w14:paraId="5CD8E83C" w14:textId="77777777" w:rsidR="00BA49F5" w:rsidRDefault="00BA49F5">
      <w:pPr>
        <w:ind w:firstLine="540"/>
        <w:jc w:val="both"/>
      </w:pPr>
    </w:p>
    <w:p w14:paraId="5CD8E83D" w14:textId="77777777" w:rsidR="00BA49F5" w:rsidRDefault="007E5E49">
      <w:pPr>
        <w:ind w:firstLine="540"/>
        <w:jc w:val="both"/>
      </w:pPr>
      <w:r>
        <w:rPr>
          <w:rFonts w:ascii="Times New Roman" w:eastAsia="宋体" w:hAnsi="Times New Roman"/>
          <w:color w:val="000000"/>
          <w:sz w:val="20"/>
          <w:szCs w:val="20"/>
          <w:shd w:val="clear" w:color="auto" w:fill="FFFFFF"/>
        </w:rPr>
        <w:t>We recognize revenue from the display of impression-based ads in the contracted period in which the impressions are delivered. Impressions are considered delivered when an ad is displayed to a user. We recognize revenue from the delivery of action-based ad</w:t>
      </w:r>
      <w:r>
        <w:rPr>
          <w:rFonts w:ascii="Times New Roman" w:eastAsia="宋体" w:hAnsi="Times New Roman"/>
          <w:color w:val="000000"/>
          <w:sz w:val="20"/>
          <w:szCs w:val="20"/>
          <w:shd w:val="clear" w:color="auto" w:fill="FFFFFF"/>
        </w:rPr>
        <w:t xml:space="preserve">s in the period in which a user takes the action the marketer contracted for. The number of ads we show is subject to methodological changes as we continue to evolve our ads business and the structure of our ads products. </w:t>
      </w:r>
      <w:r>
        <w:rPr>
          <w:rFonts w:ascii="Times New Roman" w:eastAsia="宋体" w:hAnsi="Times New Roman"/>
          <w:color w:val="000000"/>
          <w:sz w:val="20"/>
          <w:szCs w:val="20"/>
        </w:rPr>
        <w:t>In particular, the number of ads w</w:t>
      </w:r>
      <w:r>
        <w:rPr>
          <w:rFonts w:ascii="Times New Roman" w:eastAsia="宋体" w:hAnsi="Times New Roman"/>
          <w:color w:val="000000"/>
          <w:sz w:val="20"/>
          <w:szCs w:val="20"/>
        </w:rPr>
        <w:t>e show may vary by product (for example, our video and Reels products are not currently monetized at the same rate as our feed or Stories products), and from time to time we increase or decrease the number or frequency of ads we show as part of our product</w:t>
      </w:r>
      <w:r>
        <w:rPr>
          <w:rFonts w:ascii="Times New Roman" w:eastAsia="宋体" w:hAnsi="Times New Roman"/>
          <w:color w:val="000000"/>
          <w:sz w:val="20"/>
          <w:szCs w:val="20"/>
        </w:rPr>
        <w:t xml:space="preserve"> and monetization strategies. </w:t>
      </w:r>
      <w:r>
        <w:rPr>
          <w:rFonts w:ascii="Times New Roman" w:eastAsia="宋体" w:hAnsi="Times New Roman"/>
          <w:color w:val="000000"/>
          <w:sz w:val="20"/>
          <w:szCs w:val="20"/>
          <w:shd w:val="clear" w:color="auto" w:fill="FFFFFF"/>
        </w:rPr>
        <w:t>We calculate average price per ad as total advertising revenue divided by the number of ads delivered, representing the average price paid per ad by a marketer regardless of their desired objective such as impression or action</w:t>
      </w:r>
      <w:r>
        <w:rPr>
          <w:rFonts w:ascii="Times New Roman" w:eastAsia="宋体" w:hAnsi="Times New Roman"/>
          <w:color w:val="000000"/>
          <w:sz w:val="20"/>
          <w:szCs w:val="20"/>
          <w:shd w:val="clear" w:color="auto" w:fill="FFFFFF"/>
        </w:rPr>
        <w:t xml:space="preserve">. For advertising revenue arrangements where we are not the principal, we recognize revenue on a net basis. </w:t>
      </w:r>
    </w:p>
    <w:p w14:paraId="5CD8E83E" w14:textId="77777777" w:rsidR="00BA49F5" w:rsidRDefault="00BA49F5">
      <w:pPr>
        <w:ind w:firstLine="540"/>
        <w:jc w:val="both"/>
      </w:pPr>
    </w:p>
    <w:p w14:paraId="5CD8E83F" w14:textId="77777777" w:rsidR="00BA49F5" w:rsidRDefault="007E5E49">
      <w:pPr>
        <w:ind w:firstLine="540"/>
        <w:jc w:val="both"/>
      </w:pPr>
      <w:r>
        <w:rPr>
          <w:rFonts w:ascii="Times New Roman" w:eastAsia="宋体" w:hAnsi="Times New Roman"/>
          <w:b/>
          <w:bCs/>
          <w:i/>
          <w:iCs/>
          <w:color w:val="000000"/>
          <w:sz w:val="20"/>
          <w:szCs w:val="20"/>
          <w:shd w:val="clear" w:color="auto" w:fill="FFFFFF"/>
        </w:rPr>
        <w:t xml:space="preserve">Other revenue. </w:t>
      </w:r>
      <w:r>
        <w:rPr>
          <w:rFonts w:ascii="Times New Roman" w:eastAsia="宋体" w:hAnsi="Times New Roman"/>
          <w:color w:val="000000"/>
          <w:sz w:val="20"/>
          <w:szCs w:val="20"/>
          <w:shd w:val="clear" w:color="auto" w:fill="FFFFFF"/>
        </w:rPr>
        <w:t xml:space="preserve">Other revenue consists of net fees we receive from developers using our Payments infrastructure and revenue from WhatsApp Business </w:t>
      </w:r>
      <w:r>
        <w:rPr>
          <w:rFonts w:ascii="Times New Roman" w:eastAsia="宋体" w:hAnsi="Times New Roman"/>
          <w:color w:val="000000"/>
          <w:sz w:val="20"/>
          <w:szCs w:val="20"/>
          <w:shd w:val="clear" w:color="auto" w:fill="FFFFFF"/>
        </w:rPr>
        <w:t>Platform and various other sources.</w:t>
      </w:r>
    </w:p>
    <w:p w14:paraId="5CD8E840" w14:textId="77777777" w:rsidR="00BA49F5" w:rsidRDefault="00BA49F5">
      <w:pPr>
        <w:ind w:firstLine="540"/>
        <w:jc w:val="both"/>
      </w:pPr>
    </w:p>
    <w:p w14:paraId="5CD8E841" w14:textId="77777777" w:rsidR="00BA49F5" w:rsidRDefault="007E5E49">
      <w:pPr>
        <w:ind w:firstLine="540"/>
        <w:jc w:val="both"/>
      </w:pPr>
      <w:r>
        <w:rPr>
          <w:rFonts w:ascii="Times New Roman" w:eastAsia="宋体" w:hAnsi="Times New Roman"/>
          <w:b/>
          <w:bCs/>
          <w:i/>
          <w:iCs/>
          <w:color w:val="000000"/>
          <w:sz w:val="20"/>
          <w:szCs w:val="20"/>
          <w:shd w:val="clear" w:color="auto" w:fill="FFFFFF"/>
        </w:rPr>
        <w:t>Reality Labs (RL)</w:t>
      </w:r>
    </w:p>
    <w:p w14:paraId="5CD8E842" w14:textId="77777777" w:rsidR="00BA49F5" w:rsidRDefault="00BA49F5">
      <w:pPr>
        <w:ind w:firstLine="540"/>
        <w:jc w:val="both"/>
      </w:pPr>
    </w:p>
    <w:p w14:paraId="5CD8E843" w14:textId="77777777" w:rsidR="00BA49F5" w:rsidRDefault="007E5E49">
      <w:pPr>
        <w:ind w:firstLine="540"/>
        <w:jc w:val="both"/>
      </w:pPr>
      <w:r>
        <w:rPr>
          <w:rFonts w:ascii="Times New Roman" w:eastAsia="宋体" w:hAnsi="Times New Roman"/>
          <w:color w:val="000000"/>
          <w:sz w:val="20"/>
          <w:szCs w:val="20"/>
          <w:shd w:val="clear" w:color="auto" w:fill="FFFFFF"/>
        </w:rPr>
        <w:t xml:space="preserve">RL revenue is generated from the delivery of consumer hardware products, such as </w:t>
      </w:r>
      <w:r>
        <w:rPr>
          <w:rFonts w:ascii="Times New Roman" w:eastAsia="宋体" w:hAnsi="Times New Roman"/>
          <w:color w:val="000000"/>
          <w:sz w:val="20"/>
          <w:szCs w:val="20"/>
        </w:rPr>
        <w:t>Meta Quest</w:t>
      </w:r>
      <w:r>
        <w:rPr>
          <w:rFonts w:ascii="Times New Roman" w:eastAsia="宋体" w:hAnsi="Times New Roman"/>
          <w:color w:val="000000"/>
          <w:sz w:val="20"/>
          <w:szCs w:val="20"/>
          <w:shd w:val="clear" w:color="auto" w:fill="FFFFFF"/>
        </w:rPr>
        <w:t>, wearables, and related software and content.</w:t>
      </w:r>
    </w:p>
    <w:p w14:paraId="5CD8E844" w14:textId="77777777" w:rsidR="00BA49F5" w:rsidRDefault="00BA49F5">
      <w:pPr>
        <w:ind w:firstLine="540"/>
        <w:jc w:val="both"/>
      </w:pPr>
    </w:p>
    <w:p w14:paraId="5CD8E845" w14:textId="77777777" w:rsidR="00BA49F5" w:rsidRDefault="007E5E49">
      <w:r>
        <w:rPr>
          <w:rFonts w:ascii="Times New Roman" w:eastAsia="宋体" w:hAnsi="Times New Roman"/>
          <w:b/>
          <w:bCs/>
          <w:color w:val="000000"/>
          <w:sz w:val="20"/>
          <w:szCs w:val="20"/>
          <w:shd w:val="clear" w:color="auto" w:fill="FFFFFF"/>
        </w:rPr>
        <w:t xml:space="preserve">Cost of Revenue and Operating Expenses </w:t>
      </w:r>
    </w:p>
    <w:p w14:paraId="5CD8E846" w14:textId="77777777" w:rsidR="00BA49F5" w:rsidRDefault="00BA49F5"/>
    <w:p w14:paraId="5CD8E847" w14:textId="77777777" w:rsidR="00BA49F5" w:rsidRDefault="007E5E49">
      <w:pPr>
        <w:ind w:firstLine="540"/>
        <w:jc w:val="both"/>
      </w:pPr>
      <w:r>
        <w:rPr>
          <w:rFonts w:ascii="Times New Roman" w:eastAsia="宋体" w:hAnsi="Times New Roman"/>
          <w:b/>
          <w:bCs/>
          <w:color w:val="000000"/>
          <w:sz w:val="20"/>
          <w:szCs w:val="20"/>
        </w:rPr>
        <w:t xml:space="preserve">Cost of revenue. </w:t>
      </w:r>
      <w:r>
        <w:rPr>
          <w:rFonts w:ascii="Times New Roman" w:eastAsia="宋体" w:hAnsi="Times New Roman"/>
          <w:color w:val="000000"/>
          <w:sz w:val="20"/>
          <w:szCs w:val="20"/>
        </w:rPr>
        <w:t>Our</w:t>
      </w:r>
      <w:r>
        <w:rPr>
          <w:rFonts w:ascii="Times New Roman" w:eastAsia="宋体" w:hAnsi="Times New Roman"/>
          <w:color w:val="000000"/>
          <w:sz w:val="20"/>
          <w:szCs w:val="20"/>
        </w:rPr>
        <w:t xml:space="preserve"> cost of revenue consists mostly of expenses associated with the delivery and distribution of our products. These include expenses related to the operation of our data centers and technical infrastructure, such as depreciation expense from servers, network</w:t>
      </w:r>
      <w:r>
        <w:rPr>
          <w:rFonts w:ascii="Times New Roman" w:eastAsia="宋体" w:hAnsi="Times New Roman"/>
          <w:color w:val="000000"/>
          <w:sz w:val="20"/>
          <w:szCs w:val="20"/>
        </w:rPr>
        <w:t xml:space="preserve"> infrastructure and buildings, as well as payroll and related expenses which include share-based compensation for employees on our operations teams, and energy and bandwidth costs. Cost of revenue also includes costs associated with partner arrangements, i</w:t>
      </w:r>
      <w:r>
        <w:rPr>
          <w:rFonts w:ascii="Times New Roman" w:eastAsia="宋体" w:hAnsi="Times New Roman"/>
          <w:color w:val="000000"/>
          <w:sz w:val="20"/>
          <w:szCs w:val="20"/>
        </w:rPr>
        <w:t>ncluding traffic acquisition costs and credit card and other fees related to processing customer transactions, and content costs. Additionally, cost of revenue includes RL inventory costs, which consist of cost of products sold and estimated losses on non-</w:t>
      </w:r>
      <w:r>
        <w:rPr>
          <w:rFonts w:ascii="Times New Roman" w:eastAsia="宋体" w:hAnsi="Times New Roman"/>
          <w:color w:val="000000"/>
          <w:sz w:val="20"/>
          <w:szCs w:val="20"/>
        </w:rPr>
        <w:t xml:space="preserve">cancelable contractual commitments. </w:t>
      </w:r>
    </w:p>
    <w:p w14:paraId="5CD8E848" w14:textId="77777777" w:rsidR="00BA49F5" w:rsidRDefault="00BA49F5">
      <w:pPr>
        <w:ind w:firstLine="540"/>
        <w:jc w:val="both"/>
      </w:pPr>
    </w:p>
    <w:p w14:paraId="5CD8E849" w14:textId="77777777" w:rsidR="00BA49F5" w:rsidRDefault="007E5E49">
      <w:pPr>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payroll and related expenses which include share-based compensation, facilities-related costs for employees on our engineering and techni</w:t>
      </w:r>
      <w:r>
        <w:rPr>
          <w:rFonts w:ascii="Times New Roman" w:eastAsia="宋体" w:hAnsi="Times New Roman"/>
          <w:color w:val="000000"/>
          <w:sz w:val="20"/>
          <w:szCs w:val="20"/>
        </w:rPr>
        <w:t xml:space="preserve">cal teams who are responsible for developing new products as well as improving existing products, RL technology development costs, and professional services. </w:t>
      </w:r>
    </w:p>
    <w:p w14:paraId="5CD8E84A" w14:textId="77777777" w:rsidR="00BA49F5" w:rsidRDefault="00BA49F5">
      <w:pPr>
        <w:ind w:firstLine="540"/>
        <w:jc w:val="both"/>
      </w:pPr>
    </w:p>
    <w:p w14:paraId="5CD8E84B" w14:textId="77777777" w:rsidR="00BA49F5" w:rsidRDefault="007E5E49">
      <w:pPr>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mostly of marketing and promotional ex</w:t>
      </w:r>
      <w:r>
        <w:rPr>
          <w:rFonts w:ascii="Times New Roman" w:eastAsia="宋体" w:hAnsi="Times New Roman"/>
          <w:color w:val="000000"/>
          <w:sz w:val="20"/>
          <w:szCs w:val="20"/>
        </w:rPr>
        <w:t>penses as well as payroll and related expenses which include share-based compensation for our employees engaged in sales, sales support, marketing, business development, and customer service functions. Our marketing and sales expenses also include professi</w:t>
      </w:r>
      <w:r>
        <w:rPr>
          <w:rFonts w:ascii="Times New Roman" w:eastAsia="宋体" w:hAnsi="Times New Roman"/>
          <w:color w:val="000000"/>
          <w:sz w:val="20"/>
          <w:szCs w:val="20"/>
        </w:rPr>
        <w:t>onal services such as content reviewers to support our community and product operations.</w:t>
      </w:r>
    </w:p>
    <w:p w14:paraId="5CD8E84C" w14:textId="77777777" w:rsidR="00BA49F5" w:rsidRDefault="00BA49F5">
      <w:pPr>
        <w:ind w:firstLine="540"/>
        <w:jc w:val="both"/>
      </w:pPr>
    </w:p>
    <w:p w14:paraId="5CD8E84D" w14:textId="77777777" w:rsidR="00BA49F5" w:rsidRDefault="007E5E49">
      <w:pPr>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primarily of payroll and related expenses which include share-based compensation for certain o</w:t>
      </w:r>
      <w:r>
        <w:rPr>
          <w:rFonts w:ascii="Times New Roman" w:eastAsia="宋体" w:hAnsi="Times New Roman"/>
          <w:color w:val="000000"/>
          <w:sz w:val="20"/>
          <w:szCs w:val="20"/>
        </w:rPr>
        <w:t xml:space="preserve">f our executives as well as our legal, finance, human resources, corporate communications and policy, and other administrative employees; legal-related costs, which include estimated fines, settlements, or other losses in connection with legal and related </w:t>
      </w:r>
      <w:r>
        <w:rPr>
          <w:rFonts w:ascii="Times New Roman" w:eastAsia="宋体" w:hAnsi="Times New Roman"/>
          <w:color w:val="000000"/>
          <w:sz w:val="20"/>
          <w:szCs w:val="20"/>
        </w:rPr>
        <w:t>matters, as well as other legal fees; professional services, and other taxes, such as digital services taxes, other tax levies.</w:t>
      </w:r>
    </w:p>
    <w:p w14:paraId="5CD8E84E" w14:textId="77777777" w:rsidR="00BA49F5" w:rsidRDefault="00BA49F5">
      <w:pPr>
        <w:jc w:val="both"/>
      </w:pPr>
    </w:p>
    <w:p w14:paraId="5CD8E84F" w14:textId="77777777" w:rsidR="00BA49F5" w:rsidRDefault="007E5E49">
      <w:pPr>
        <w:jc w:val="center"/>
      </w:pPr>
      <w:r>
        <w:rPr>
          <w:rFonts w:ascii="Times New Roman" w:eastAsia="宋体" w:hAnsi="Times New Roman"/>
          <w:color w:val="000000"/>
          <w:sz w:val="20"/>
          <w:szCs w:val="20"/>
        </w:rPr>
        <w:t>68</w:t>
      </w:r>
    </w:p>
    <w:p w14:paraId="5CD8E850" w14:textId="77777777" w:rsidR="00BA49F5" w:rsidRDefault="007E5E49">
      <w:r>
        <w:pict w14:anchorId="5CD90D39">
          <v:rect id="_x0000_i1092" style="width:415.3pt;height:1.5pt" o:hralign="center" o:hrstd="t" o:hr="t" fillcolor="#a0a0a0" stroked="f"/>
        </w:pict>
      </w:r>
    </w:p>
    <w:p w14:paraId="5CD8E851" w14:textId="77777777" w:rsidR="00BA49F5" w:rsidRDefault="00BA49F5"/>
    <w:p w14:paraId="5CD8E852" w14:textId="77777777" w:rsidR="00BA49F5" w:rsidRDefault="00BA49F5"/>
    <w:p w14:paraId="5CD8E853" w14:textId="77777777" w:rsidR="00BA49F5" w:rsidRDefault="007E5E49">
      <w:hyperlink r:id="rId216" w:anchor="i6df229dad1864210ab76200083e26819_7" w:history="1">
        <w:r>
          <w:rPr>
            <w:rStyle w:val="a5"/>
            <w:rFonts w:ascii="Times New Roman" w:eastAsia="宋体" w:hAnsi="Times New Roman"/>
            <w:sz w:val="20"/>
            <w:szCs w:val="20"/>
          </w:rPr>
          <w:t>T</w:t>
        </w:r>
      </w:hyperlink>
      <w:hyperlink r:id="rId217" w:anchor="i6df229dad1864210ab76200083e26819_7" w:history="1">
        <w:r>
          <w:rPr>
            <w:rStyle w:val="a5"/>
            <w:rFonts w:ascii="Times New Roman" w:eastAsia="宋体" w:hAnsi="Times New Roman"/>
            <w:sz w:val="20"/>
            <w:szCs w:val="20"/>
          </w:rPr>
          <w:t>able of Contents</w:t>
        </w:r>
      </w:hyperlink>
    </w:p>
    <w:p w14:paraId="5CD8E854" w14:textId="77777777" w:rsidR="00BA49F5" w:rsidRDefault="007E5E49">
      <w:pPr>
        <w:jc w:val="both"/>
      </w:pPr>
      <w:r>
        <w:rPr>
          <w:rFonts w:ascii="Times New Roman" w:eastAsia="宋体" w:hAnsi="Times New Roman"/>
          <w:b/>
          <w:bCs/>
          <w:color w:val="000000"/>
          <w:sz w:val="20"/>
          <w:szCs w:val="20"/>
        </w:rPr>
        <w:t>Results of Operations</w:t>
      </w:r>
    </w:p>
    <w:p w14:paraId="5CD8E855" w14:textId="77777777" w:rsidR="00BA49F5" w:rsidRDefault="00BA49F5">
      <w:pPr>
        <w:ind w:firstLine="540"/>
        <w:jc w:val="both"/>
      </w:pPr>
    </w:p>
    <w:p w14:paraId="5CD8E856" w14:textId="77777777" w:rsidR="00BA49F5" w:rsidRDefault="007E5E49">
      <w:pPr>
        <w:ind w:firstLine="540"/>
        <w:jc w:val="both"/>
      </w:pPr>
      <w:r>
        <w:rPr>
          <w:rFonts w:ascii="Times New Roman" w:eastAsia="宋体" w:hAnsi="Times New Roman"/>
          <w:color w:val="000000"/>
          <w:sz w:val="20"/>
          <w:szCs w:val="20"/>
        </w:rPr>
        <w:t>In this section, we discuss the results of our operations for t</w:t>
      </w:r>
      <w:r>
        <w:rPr>
          <w:rFonts w:ascii="Times New Roman" w:eastAsia="宋体" w:hAnsi="Times New Roman"/>
          <w:color w:val="000000"/>
          <w:sz w:val="20"/>
          <w:szCs w:val="20"/>
        </w:rPr>
        <w:t>he year ended December 31, 2022 compared to the year ended December 31, 2021. For a discussion of the year ended December 31, 2021 compared to the year ended December 31, 2020, please refer to Part II, Item 7, "Management's Discussion and Analysis of Finan</w:t>
      </w:r>
      <w:r>
        <w:rPr>
          <w:rFonts w:ascii="Times New Roman" w:eastAsia="宋体" w:hAnsi="Times New Roman"/>
          <w:color w:val="000000"/>
          <w:sz w:val="20"/>
          <w:szCs w:val="20"/>
        </w:rPr>
        <w:t>cial Condition and Results of Operations" in our Annual Report on Form 10-K for the year ended December 31, 2021.</w:t>
      </w:r>
    </w:p>
    <w:p w14:paraId="5CD8E857" w14:textId="77777777" w:rsidR="00BA49F5" w:rsidRDefault="00BA49F5">
      <w:pPr>
        <w:ind w:firstLine="540"/>
        <w:jc w:val="both"/>
      </w:pPr>
    </w:p>
    <w:p w14:paraId="5CD8E858" w14:textId="77777777" w:rsidR="00BA49F5" w:rsidRDefault="007E5E49">
      <w:pPr>
        <w:ind w:firstLine="540"/>
        <w:jc w:val="both"/>
      </w:pPr>
      <w:r>
        <w:rPr>
          <w:rFonts w:ascii="Times New Roman" w:eastAsia="宋体" w:hAnsi="Times New Roman"/>
          <w:color w:val="000000"/>
          <w:sz w:val="20"/>
          <w:szCs w:val="20"/>
        </w:rPr>
        <w:t>The following table sets forth our consolidated statements of income data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80"/>
        <w:gridCol w:w="38"/>
        <w:gridCol w:w="120"/>
        <w:gridCol w:w="853"/>
        <w:gridCol w:w="36"/>
        <w:gridCol w:w="36"/>
        <w:gridCol w:w="36"/>
        <w:gridCol w:w="36"/>
        <w:gridCol w:w="120"/>
        <w:gridCol w:w="814"/>
        <w:gridCol w:w="36"/>
        <w:gridCol w:w="36"/>
        <w:gridCol w:w="36"/>
        <w:gridCol w:w="36"/>
        <w:gridCol w:w="120"/>
        <w:gridCol w:w="815"/>
        <w:gridCol w:w="36"/>
      </w:tblGrid>
      <w:tr w:rsidR="00BA49F5" w14:paraId="5CD8E86B" w14:textId="77777777">
        <w:trPr>
          <w:jc w:val="center"/>
        </w:trPr>
        <w:tc>
          <w:tcPr>
            <w:tcW w:w="50" w:type="pct"/>
            <w:shd w:val="clear" w:color="auto" w:fill="auto"/>
            <w:vAlign w:val="bottom"/>
          </w:tcPr>
          <w:p w14:paraId="5CD8E859" w14:textId="77777777" w:rsidR="00BA49F5" w:rsidRDefault="00BA49F5">
            <w:pPr>
              <w:rPr>
                <w:rFonts w:ascii="宋体"/>
              </w:rPr>
            </w:pPr>
          </w:p>
        </w:tc>
        <w:tc>
          <w:tcPr>
            <w:tcW w:w="3082" w:type="pct"/>
            <w:shd w:val="clear" w:color="auto" w:fill="auto"/>
            <w:vAlign w:val="bottom"/>
          </w:tcPr>
          <w:p w14:paraId="5CD8E85A" w14:textId="77777777" w:rsidR="00BA49F5" w:rsidRDefault="00BA49F5">
            <w:pPr>
              <w:rPr>
                <w:rFonts w:ascii="宋体"/>
              </w:rPr>
            </w:pPr>
          </w:p>
        </w:tc>
        <w:tc>
          <w:tcPr>
            <w:tcW w:w="5" w:type="pct"/>
            <w:shd w:val="clear" w:color="auto" w:fill="auto"/>
            <w:vAlign w:val="bottom"/>
          </w:tcPr>
          <w:p w14:paraId="5CD8E85B" w14:textId="77777777" w:rsidR="00BA49F5" w:rsidRDefault="00BA49F5">
            <w:pPr>
              <w:rPr>
                <w:rFonts w:ascii="宋体"/>
              </w:rPr>
            </w:pPr>
          </w:p>
        </w:tc>
        <w:tc>
          <w:tcPr>
            <w:tcW w:w="50" w:type="pct"/>
            <w:shd w:val="clear" w:color="auto" w:fill="auto"/>
            <w:vAlign w:val="bottom"/>
          </w:tcPr>
          <w:p w14:paraId="5CD8E85C" w14:textId="77777777" w:rsidR="00BA49F5" w:rsidRDefault="00BA49F5">
            <w:pPr>
              <w:rPr>
                <w:rFonts w:ascii="宋体"/>
              </w:rPr>
            </w:pPr>
          </w:p>
        </w:tc>
        <w:tc>
          <w:tcPr>
            <w:tcW w:w="541" w:type="pct"/>
            <w:shd w:val="clear" w:color="auto" w:fill="auto"/>
            <w:vAlign w:val="bottom"/>
          </w:tcPr>
          <w:p w14:paraId="5CD8E85D" w14:textId="77777777" w:rsidR="00BA49F5" w:rsidRDefault="00BA49F5">
            <w:pPr>
              <w:rPr>
                <w:rFonts w:ascii="宋体"/>
              </w:rPr>
            </w:pPr>
          </w:p>
        </w:tc>
        <w:tc>
          <w:tcPr>
            <w:tcW w:w="5" w:type="pct"/>
            <w:shd w:val="clear" w:color="auto" w:fill="auto"/>
            <w:vAlign w:val="bottom"/>
          </w:tcPr>
          <w:p w14:paraId="5CD8E85E" w14:textId="77777777" w:rsidR="00BA49F5" w:rsidRDefault="00BA49F5">
            <w:pPr>
              <w:rPr>
                <w:rFonts w:ascii="宋体"/>
              </w:rPr>
            </w:pPr>
          </w:p>
        </w:tc>
        <w:tc>
          <w:tcPr>
            <w:tcW w:w="5" w:type="pct"/>
            <w:shd w:val="clear" w:color="auto" w:fill="auto"/>
            <w:vAlign w:val="bottom"/>
          </w:tcPr>
          <w:p w14:paraId="5CD8E85F" w14:textId="77777777" w:rsidR="00BA49F5" w:rsidRDefault="00BA49F5">
            <w:pPr>
              <w:rPr>
                <w:rFonts w:ascii="宋体"/>
              </w:rPr>
            </w:pPr>
          </w:p>
        </w:tc>
        <w:tc>
          <w:tcPr>
            <w:tcW w:w="27" w:type="pct"/>
            <w:shd w:val="clear" w:color="auto" w:fill="auto"/>
            <w:vAlign w:val="bottom"/>
          </w:tcPr>
          <w:p w14:paraId="5CD8E860" w14:textId="77777777" w:rsidR="00BA49F5" w:rsidRDefault="00BA49F5">
            <w:pPr>
              <w:rPr>
                <w:rFonts w:ascii="宋体"/>
              </w:rPr>
            </w:pPr>
          </w:p>
        </w:tc>
        <w:tc>
          <w:tcPr>
            <w:tcW w:w="5" w:type="pct"/>
            <w:shd w:val="clear" w:color="auto" w:fill="auto"/>
            <w:vAlign w:val="bottom"/>
          </w:tcPr>
          <w:p w14:paraId="5CD8E861" w14:textId="77777777" w:rsidR="00BA49F5" w:rsidRDefault="00BA49F5">
            <w:pPr>
              <w:rPr>
                <w:rFonts w:ascii="宋体"/>
              </w:rPr>
            </w:pPr>
          </w:p>
        </w:tc>
        <w:tc>
          <w:tcPr>
            <w:tcW w:w="50" w:type="pct"/>
            <w:shd w:val="clear" w:color="auto" w:fill="auto"/>
            <w:vAlign w:val="bottom"/>
          </w:tcPr>
          <w:p w14:paraId="5CD8E862" w14:textId="77777777" w:rsidR="00BA49F5" w:rsidRDefault="00BA49F5">
            <w:pPr>
              <w:rPr>
                <w:rFonts w:ascii="宋体"/>
              </w:rPr>
            </w:pPr>
          </w:p>
        </w:tc>
        <w:tc>
          <w:tcPr>
            <w:tcW w:w="541" w:type="pct"/>
            <w:shd w:val="clear" w:color="auto" w:fill="auto"/>
            <w:vAlign w:val="bottom"/>
          </w:tcPr>
          <w:p w14:paraId="5CD8E863" w14:textId="77777777" w:rsidR="00BA49F5" w:rsidRDefault="00BA49F5">
            <w:pPr>
              <w:rPr>
                <w:rFonts w:ascii="宋体"/>
              </w:rPr>
            </w:pPr>
          </w:p>
        </w:tc>
        <w:tc>
          <w:tcPr>
            <w:tcW w:w="5" w:type="pct"/>
            <w:shd w:val="clear" w:color="auto" w:fill="auto"/>
            <w:vAlign w:val="bottom"/>
          </w:tcPr>
          <w:p w14:paraId="5CD8E864" w14:textId="77777777" w:rsidR="00BA49F5" w:rsidRDefault="00BA49F5">
            <w:pPr>
              <w:rPr>
                <w:rFonts w:ascii="宋体"/>
              </w:rPr>
            </w:pPr>
          </w:p>
        </w:tc>
        <w:tc>
          <w:tcPr>
            <w:tcW w:w="5" w:type="pct"/>
            <w:shd w:val="clear" w:color="auto" w:fill="auto"/>
            <w:vAlign w:val="bottom"/>
          </w:tcPr>
          <w:p w14:paraId="5CD8E865" w14:textId="77777777" w:rsidR="00BA49F5" w:rsidRDefault="00BA49F5">
            <w:pPr>
              <w:rPr>
                <w:rFonts w:ascii="宋体"/>
              </w:rPr>
            </w:pPr>
          </w:p>
        </w:tc>
        <w:tc>
          <w:tcPr>
            <w:tcW w:w="27" w:type="pct"/>
            <w:shd w:val="clear" w:color="auto" w:fill="auto"/>
            <w:vAlign w:val="bottom"/>
          </w:tcPr>
          <w:p w14:paraId="5CD8E866" w14:textId="77777777" w:rsidR="00BA49F5" w:rsidRDefault="00BA49F5">
            <w:pPr>
              <w:rPr>
                <w:rFonts w:ascii="宋体"/>
              </w:rPr>
            </w:pPr>
          </w:p>
        </w:tc>
        <w:tc>
          <w:tcPr>
            <w:tcW w:w="5" w:type="pct"/>
            <w:shd w:val="clear" w:color="auto" w:fill="auto"/>
            <w:vAlign w:val="bottom"/>
          </w:tcPr>
          <w:p w14:paraId="5CD8E867" w14:textId="77777777" w:rsidR="00BA49F5" w:rsidRDefault="00BA49F5">
            <w:pPr>
              <w:rPr>
                <w:rFonts w:ascii="宋体"/>
              </w:rPr>
            </w:pPr>
          </w:p>
        </w:tc>
        <w:tc>
          <w:tcPr>
            <w:tcW w:w="50" w:type="pct"/>
            <w:shd w:val="clear" w:color="auto" w:fill="auto"/>
            <w:vAlign w:val="bottom"/>
          </w:tcPr>
          <w:p w14:paraId="5CD8E868" w14:textId="77777777" w:rsidR="00BA49F5" w:rsidRDefault="00BA49F5">
            <w:pPr>
              <w:rPr>
                <w:rFonts w:ascii="宋体"/>
              </w:rPr>
            </w:pPr>
          </w:p>
        </w:tc>
        <w:tc>
          <w:tcPr>
            <w:tcW w:w="541" w:type="pct"/>
            <w:shd w:val="clear" w:color="auto" w:fill="auto"/>
            <w:vAlign w:val="bottom"/>
          </w:tcPr>
          <w:p w14:paraId="5CD8E869" w14:textId="77777777" w:rsidR="00BA49F5" w:rsidRDefault="00BA49F5">
            <w:pPr>
              <w:rPr>
                <w:rFonts w:ascii="宋体"/>
              </w:rPr>
            </w:pPr>
          </w:p>
        </w:tc>
        <w:tc>
          <w:tcPr>
            <w:tcW w:w="5" w:type="pct"/>
            <w:shd w:val="clear" w:color="auto" w:fill="auto"/>
            <w:vAlign w:val="bottom"/>
          </w:tcPr>
          <w:p w14:paraId="5CD8E86A" w14:textId="77777777" w:rsidR="00BA49F5" w:rsidRDefault="00BA49F5">
            <w:pPr>
              <w:rPr>
                <w:rFonts w:ascii="宋体"/>
              </w:rPr>
            </w:pPr>
          </w:p>
        </w:tc>
      </w:tr>
      <w:tr w:rsidR="00BA49F5" w14:paraId="5CD8E86E" w14:textId="77777777">
        <w:trPr>
          <w:jc w:val="center"/>
        </w:trPr>
        <w:tc>
          <w:tcPr>
            <w:tcW w:w="0" w:type="auto"/>
            <w:gridSpan w:val="3"/>
            <w:shd w:val="clear" w:color="auto" w:fill="auto"/>
            <w:tcMar>
              <w:top w:w="0" w:type="dxa"/>
              <w:left w:w="20" w:type="dxa"/>
              <w:bottom w:w="0" w:type="dxa"/>
              <w:right w:w="20" w:type="dxa"/>
            </w:tcMar>
            <w:vAlign w:val="bottom"/>
          </w:tcPr>
          <w:p w14:paraId="5CD8E86C"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86D" w14:textId="77777777" w:rsidR="00BA49F5" w:rsidRDefault="007E5E49">
            <w:pPr>
              <w:jc w:val="center"/>
              <w:textAlignment w:val="bottom"/>
            </w:pPr>
            <w:r>
              <w:rPr>
                <w:rFonts w:ascii="Times New Roman" w:eastAsia="宋体" w:hAnsi="Times New Roman"/>
                <w:b/>
                <w:bCs/>
                <w:color w:val="000000"/>
                <w:sz w:val="16"/>
                <w:szCs w:val="16"/>
              </w:rPr>
              <w:t xml:space="preserve">Year Ended </w:t>
            </w:r>
            <w:r>
              <w:rPr>
                <w:rFonts w:ascii="Times New Roman" w:eastAsia="宋体" w:hAnsi="Times New Roman"/>
                <w:b/>
                <w:bCs/>
                <w:color w:val="000000"/>
                <w:sz w:val="16"/>
                <w:szCs w:val="16"/>
              </w:rPr>
              <w:t>December 31,</w:t>
            </w:r>
          </w:p>
        </w:tc>
      </w:tr>
      <w:tr w:rsidR="00BA49F5" w14:paraId="5CD8E875" w14:textId="77777777">
        <w:trPr>
          <w:jc w:val="center"/>
        </w:trPr>
        <w:tc>
          <w:tcPr>
            <w:tcW w:w="0" w:type="auto"/>
            <w:gridSpan w:val="3"/>
            <w:shd w:val="clear" w:color="auto" w:fill="auto"/>
            <w:tcMar>
              <w:top w:w="0" w:type="dxa"/>
              <w:left w:w="20" w:type="dxa"/>
              <w:bottom w:w="0" w:type="dxa"/>
              <w:right w:w="20" w:type="dxa"/>
            </w:tcMar>
            <w:vAlign w:val="bottom"/>
          </w:tcPr>
          <w:p w14:paraId="5CD8E86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870"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87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872"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87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874"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E882" w14:textId="77777777">
        <w:trPr>
          <w:jc w:val="center"/>
        </w:trPr>
        <w:tc>
          <w:tcPr>
            <w:tcW w:w="0" w:type="auto"/>
            <w:gridSpan w:val="3"/>
            <w:shd w:val="clear" w:color="auto" w:fill="CCEEFF"/>
            <w:tcMar>
              <w:top w:w="40" w:type="dxa"/>
              <w:left w:w="20" w:type="dxa"/>
              <w:bottom w:w="40" w:type="dxa"/>
              <w:right w:w="20" w:type="dxa"/>
            </w:tcMar>
            <w:vAlign w:val="bottom"/>
          </w:tcPr>
          <w:p w14:paraId="5CD8E876" w14:textId="77777777" w:rsidR="00BA49F5" w:rsidRDefault="007E5E49">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E87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878"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7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7A"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87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87C"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7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7E"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87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880"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81" w14:textId="77777777" w:rsidR="00BA49F5" w:rsidRDefault="00BA49F5">
            <w:pPr>
              <w:jc w:val="right"/>
              <w:rPr>
                <w:rFonts w:ascii="宋体"/>
              </w:rPr>
            </w:pPr>
          </w:p>
        </w:tc>
      </w:tr>
      <w:tr w:rsidR="00BA49F5" w14:paraId="5CD8E889" w14:textId="77777777">
        <w:trPr>
          <w:jc w:val="center"/>
        </w:trPr>
        <w:tc>
          <w:tcPr>
            <w:tcW w:w="0" w:type="auto"/>
            <w:gridSpan w:val="3"/>
            <w:shd w:val="clear" w:color="auto" w:fill="FFFFFF"/>
            <w:tcMar>
              <w:top w:w="40" w:type="dxa"/>
              <w:left w:w="20" w:type="dxa"/>
              <w:bottom w:w="40" w:type="dxa"/>
              <w:right w:w="20" w:type="dxa"/>
            </w:tcMar>
            <w:vAlign w:val="bottom"/>
          </w:tcPr>
          <w:p w14:paraId="5CD8E883" w14:textId="77777777" w:rsidR="00BA49F5" w:rsidRDefault="007E5E49">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5CD8E88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88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886"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887"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888" w14:textId="77777777" w:rsidR="00BA49F5" w:rsidRDefault="007E5E49">
            <w:pPr>
              <w:jc w:val="right"/>
              <w:textAlignment w:val="bottom"/>
            </w:pPr>
            <w:r>
              <w:rPr>
                <w:rFonts w:ascii="Times New Roman" w:eastAsia="宋体" w:hAnsi="Times New Roman"/>
                <w:color w:val="000000"/>
                <w:sz w:val="20"/>
                <w:szCs w:val="20"/>
              </w:rPr>
              <w:t> </w:t>
            </w:r>
          </w:p>
        </w:tc>
      </w:tr>
      <w:tr w:rsidR="00BA49F5" w14:paraId="5CD8E893" w14:textId="77777777">
        <w:trPr>
          <w:jc w:val="center"/>
        </w:trPr>
        <w:tc>
          <w:tcPr>
            <w:tcW w:w="0" w:type="auto"/>
            <w:gridSpan w:val="3"/>
            <w:shd w:val="clear" w:color="auto" w:fill="CCEEFF"/>
            <w:tcMar>
              <w:top w:w="40" w:type="dxa"/>
              <w:left w:w="200" w:type="dxa"/>
              <w:bottom w:w="40" w:type="dxa"/>
              <w:right w:w="20" w:type="dxa"/>
            </w:tcMar>
            <w:vAlign w:val="bottom"/>
          </w:tcPr>
          <w:p w14:paraId="5CD8E88A" w14:textId="77777777" w:rsidR="00BA49F5" w:rsidRDefault="007E5E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5CD8E88B" w14:textId="77777777" w:rsidR="00BA49F5" w:rsidRDefault="007E5E49">
            <w:pPr>
              <w:jc w:val="right"/>
              <w:textAlignment w:val="bottom"/>
            </w:pPr>
            <w:r>
              <w:rPr>
                <w:rFonts w:ascii="Times New Roman" w:eastAsia="宋体" w:hAnsi="Times New Roman"/>
                <w:color w:val="000000"/>
                <w:sz w:val="20"/>
                <w:szCs w:val="20"/>
              </w:rPr>
              <w:t>25,249 </w:t>
            </w:r>
          </w:p>
        </w:tc>
        <w:tc>
          <w:tcPr>
            <w:tcW w:w="0" w:type="auto"/>
            <w:shd w:val="clear" w:color="auto" w:fill="CCEEFF"/>
            <w:tcMar>
              <w:top w:w="40" w:type="dxa"/>
              <w:left w:w="0" w:type="dxa"/>
              <w:bottom w:w="40" w:type="dxa"/>
              <w:right w:w="20" w:type="dxa"/>
            </w:tcMar>
            <w:vAlign w:val="bottom"/>
          </w:tcPr>
          <w:p w14:paraId="5CD8E88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8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8E" w14:textId="77777777" w:rsidR="00BA49F5" w:rsidRDefault="007E5E49">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5CD8E88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9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91" w14:textId="77777777" w:rsidR="00BA49F5" w:rsidRDefault="007E5E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5CD8E892" w14:textId="77777777" w:rsidR="00BA49F5" w:rsidRDefault="00BA49F5">
            <w:pPr>
              <w:jc w:val="right"/>
              <w:rPr>
                <w:rFonts w:ascii="宋体"/>
              </w:rPr>
            </w:pPr>
          </w:p>
        </w:tc>
      </w:tr>
      <w:tr w:rsidR="00BA49F5" w14:paraId="5CD8E89D" w14:textId="77777777">
        <w:trPr>
          <w:jc w:val="center"/>
        </w:trPr>
        <w:tc>
          <w:tcPr>
            <w:tcW w:w="0" w:type="auto"/>
            <w:gridSpan w:val="3"/>
            <w:shd w:val="clear" w:color="auto" w:fill="FFFFFF"/>
            <w:tcMar>
              <w:top w:w="40" w:type="dxa"/>
              <w:left w:w="200" w:type="dxa"/>
              <w:bottom w:w="40" w:type="dxa"/>
              <w:right w:w="20" w:type="dxa"/>
            </w:tcMar>
            <w:vAlign w:val="bottom"/>
          </w:tcPr>
          <w:p w14:paraId="5CD8E894"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CD8E895" w14:textId="77777777" w:rsidR="00BA49F5" w:rsidRDefault="007E5E49">
            <w:pPr>
              <w:jc w:val="right"/>
              <w:textAlignment w:val="bottom"/>
            </w:pPr>
            <w:r>
              <w:rPr>
                <w:rFonts w:ascii="Times New Roman" w:eastAsia="宋体" w:hAnsi="Times New Roman"/>
                <w:color w:val="000000"/>
                <w:sz w:val="20"/>
                <w:szCs w:val="20"/>
              </w:rPr>
              <w:t>35,338 </w:t>
            </w:r>
          </w:p>
        </w:tc>
        <w:tc>
          <w:tcPr>
            <w:tcW w:w="0" w:type="auto"/>
            <w:shd w:val="clear" w:color="auto" w:fill="FFFFFF"/>
            <w:tcMar>
              <w:top w:w="40" w:type="dxa"/>
              <w:left w:w="0" w:type="dxa"/>
              <w:bottom w:w="40" w:type="dxa"/>
              <w:right w:w="20" w:type="dxa"/>
            </w:tcMar>
            <w:vAlign w:val="bottom"/>
          </w:tcPr>
          <w:p w14:paraId="5CD8E89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9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898" w14:textId="77777777" w:rsidR="00BA49F5" w:rsidRDefault="007E5E49">
            <w:pPr>
              <w:jc w:val="right"/>
              <w:textAlignment w:val="bottom"/>
            </w:pPr>
            <w:r>
              <w:rPr>
                <w:rFonts w:ascii="Times New Roman" w:eastAsia="宋体" w:hAnsi="Times New Roman"/>
                <w:color w:val="000000"/>
                <w:sz w:val="20"/>
                <w:szCs w:val="20"/>
              </w:rPr>
              <w:t>24,655 </w:t>
            </w:r>
          </w:p>
        </w:tc>
        <w:tc>
          <w:tcPr>
            <w:tcW w:w="0" w:type="auto"/>
            <w:shd w:val="clear" w:color="auto" w:fill="FFFFFF"/>
            <w:tcMar>
              <w:top w:w="40" w:type="dxa"/>
              <w:left w:w="0" w:type="dxa"/>
              <w:bottom w:w="40" w:type="dxa"/>
              <w:right w:w="20" w:type="dxa"/>
            </w:tcMar>
            <w:vAlign w:val="bottom"/>
          </w:tcPr>
          <w:p w14:paraId="5CD8E89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9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89B" w14:textId="77777777" w:rsidR="00BA49F5" w:rsidRDefault="007E5E49">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5CD8E89C" w14:textId="77777777" w:rsidR="00BA49F5" w:rsidRDefault="00BA49F5">
            <w:pPr>
              <w:jc w:val="right"/>
              <w:rPr>
                <w:rFonts w:ascii="宋体"/>
              </w:rPr>
            </w:pPr>
          </w:p>
        </w:tc>
      </w:tr>
      <w:tr w:rsidR="00BA49F5" w14:paraId="5CD8E8A7" w14:textId="77777777">
        <w:trPr>
          <w:jc w:val="center"/>
        </w:trPr>
        <w:tc>
          <w:tcPr>
            <w:tcW w:w="0" w:type="auto"/>
            <w:gridSpan w:val="3"/>
            <w:shd w:val="clear" w:color="auto" w:fill="CCEEFF"/>
            <w:tcMar>
              <w:top w:w="40" w:type="dxa"/>
              <w:left w:w="200" w:type="dxa"/>
              <w:bottom w:w="40" w:type="dxa"/>
              <w:right w:w="20" w:type="dxa"/>
            </w:tcMar>
            <w:vAlign w:val="bottom"/>
          </w:tcPr>
          <w:p w14:paraId="5CD8E89E" w14:textId="77777777" w:rsidR="00BA49F5" w:rsidRDefault="007E5E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5CD8E89F" w14:textId="77777777" w:rsidR="00BA49F5" w:rsidRDefault="007E5E49">
            <w:pPr>
              <w:jc w:val="right"/>
              <w:textAlignment w:val="bottom"/>
            </w:pPr>
            <w:r>
              <w:rPr>
                <w:rFonts w:ascii="Times New Roman" w:eastAsia="宋体" w:hAnsi="Times New Roman"/>
                <w:color w:val="000000"/>
                <w:sz w:val="20"/>
                <w:szCs w:val="20"/>
              </w:rPr>
              <w:t>15,262 </w:t>
            </w:r>
          </w:p>
        </w:tc>
        <w:tc>
          <w:tcPr>
            <w:tcW w:w="0" w:type="auto"/>
            <w:shd w:val="clear" w:color="auto" w:fill="CCEEFF"/>
            <w:tcMar>
              <w:top w:w="40" w:type="dxa"/>
              <w:left w:w="0" w:type="dxa"/>
              <w:bottom w:w="40" w:type="dxa"/>
              <w:right w:w="20" w:type="dxa"/>
            </w:tcMar>
            <w:vAlign w:val="bottom"/>
          </w:tcPr>
          <w:p w14:paraId="5CD8E8A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A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A2" w14:textId="77777777" w:rsidR="00BA49F5" w:rsidRDefault="007E5E49">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5CD8E8A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A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A5" w14:textId="77777777" w:rsidR="00BA49F5" w:rsidRDefault="007E5E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5CD8E8A6" w14:textId="77777777" w:rsidR="00BA49F5" w:rsidRDefault="00BA49F5">
            <w:pPr>
              <w:jc w:val="right"/>
              <w:rPr>
                <w:rFonts w:ascii="宋体"/>
              </w:rPr>
            </w:pPr>
          </w:p>
        </w:tc>
      </w:tr>
      <w:tr w:rsidR="00BA49F5" w14:paraId="5CD8E8B1" w14:textId="77777777">
        <w:trPr>
          <w:jc w:val="center"/>
        </w:trPr>
        <w:tc>
          <w:tcPr>
            <w:tcW w:w="0" w:type="auto"/>
            <w:gridSpan w:val="3"/>
            <w:shd w:val="clear" w:color="auto" w:fill="FFFFFF"/>
            <w:tcMar>
              <w:top w:w="40" w:type="dxa"/>
              <w:left w:w="200" w:type="dxa"/>
              <w:bottom w:w="40" w:type="dxa"/>
              <w:right w:w="20" w:type="dxa"/>
            </w:tcMar>
            <w:vAlign w:val="bottom"/>
          </w:tcPr>
          <w:p w14:paraId="5CD8E8A8"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5CD8E8A9" w14:textId="77777777" w:rsidR="00BA49F5" w:rsidRDefault="007E5E49">
            <w:pPr>
              <w:jc w:val="right"/>
              <w:textAlignment w:val="bottom"/>
            </w:pPr>
            <w:r>
              <w:rPr>
                <w:rFonts w:ascii="Times New Roman" w:eastAsia="宋体" w:hAnsi="Times New Roman"/>
                <w:color w:val="000000"/>
                <w:sz w:val="20"/>
                <w:szCs w:val="20"/>
              </w:rPr>
              <w:t>11,816 </w:t>
            </w:r>
          </w:p>
        </w:tc>
        <w:tc>
          <w:tcPr>
            <w:tcW w:w="0" w:type="auto"/>
            <w:shd w:val="clear" w:color="auto" w:fill="FFFFFF"/>
            <w:tcMar>
              <w:top w:w="40" w:type="dxa"/>
              <w:left w:w="0" w:type="dxa"/>
              <w:bottom w:w="40" w:type="dxa"/>
              <w:right w:w="20" w:type="dxa"/>
            </w:tcMar>
            <w:vAlign w:val="bottom"/>
          </w:tcPr>
          <w:p w14:paraId="5CD8E8A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A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8AC" w14:textId="77777777" w:rsidR="00BA49F5" w:rsidRDefault="007E5E49">
            <w:pPr>
              <w:jc w:val="right"/>
              <w:textAlignment w:val="bottom"/>
            </w:pPr>
            <w:r>
              <w:rPr>
                <w:rFonts w:ascii="Times New Roman" w:eastAsia="宋体" w:hAnsi="Times New Roman"/>
                <w:color w:val="000000"/>
                <w:sz w:val="20"/>
                <w:szCs w:val="20"/>
              </w:rPr>
              <w:t>9,829 </w:t>
            </w:r>
          </w:p>
        </w:tc>
        <w:tc>
          <w:tcPr>
            <w:tcW w:w="0" w:type="auto"/>
            <w:shd w:val="clear" w:color="auto" w:fill="FFFFFF"/>
            <w:tcMar>
              <w:top w:w="40" w:type="dxa"/>
              <w:left w:w="0" w:type="dxa"/>
              <w:bottom w:w="40" w:type="dxa"/>
              <w:right w:w="20" w:type="dxa"/>
            </w:tcMar>
            <w:vAlign w:val="bottom"/>
          </w:tcPr>
          <w:p w14:paraId="5CD8E8A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A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8AF" w14:textId="77777777" w:rsidR="00BA49F5" w:rsidRDefault="007E5E49">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5CD8E8B0" w14:textId="77777777" w:rsidR="00BA49F5" w:rsidRDefault="00BA49F5">
            <w:pPr>
              <w:jc w:val="right"/>
              <w:rPr>
                <w:rFonts w:ascii="宋体"/>
              </w:rPr>
            </w:pPr>
          </w:p>
        </w:tc>
      </w:tr>
      <w:tr w:rsidR="00BA49F5" w14:paraId="5CD8E8BB" w14:textId="77777777">
        <w:trPr>
          <w:jc w:val="center"/>
        </w:trPr>
        <w:tc>
          <w:tcPr>
            <w:tcW w:w="0" w:type="auto"/>
            <w:gridSpan w:val="3"/>
            <w:shd w:val="clear" w:color="auto" w:fill="CCEEFF"/>
            <w:tcMar>
              <w:top w:w="40" w:type="dxa"/>
              <w:left w:w="380" w:type="dxa"/>
              <w:bottom w:w="40" w:type="dxa"/>
              <w:right w:w="20" w:type="dxa"/>
            </w:tcMar>
            <w:vAlign w:val="bottom"/>
          </w:tcPr>
          <w:p w14:paraId="5CD8E8B2" w14:textId="77777777" w:rsidR="00BA49F5" w:rsidRDefault="007E5E49">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8B3" w14:textId="77777777" w:rsidR="00BA49F5" w:rsidRDefault="007E5E49">
            <w:pPr>
              <w:jc w:val="right"/>
              <w:textAlignment w:val="bottom"/>
            </w:pPr>
            <w:r>
              <w:rPr>
                <w:rFonts w:ascii="Times New Roman" w:eastAsia="宋体" w:hAnsi="Times New Roman"/>
                <w:color w:val="000000"/>
                <w:sz w:val="20"/>
                <w:szCs w:val="20"/>
              </w:rPr>
              <w:t>87,665 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B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B5"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8B6" w14:textId="77777777" w:rsidR="00BA49F5" w:rsidRDefault="007E5E49">
            <w:pPr>
              <w:jc w:val="right"/>
              <w:textAlignment w:val="bottom"/>
            </w:pPr>
            <w:r>
              <w:rPr>
                <w:rFonts w:ascii="Times New Roman" w:eastAsia="宋体" w:hAnsi="Times New Roman"/>
                <w:color w:val="000000"/>
                <w:sz w:val="20"/>
                <w:szCs w:val="20"/>
              </w:rPr>
              <w:t>71,176 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B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B8"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8B9" w14:textId="77777777" w:rsidR="00BA49F5" w:rsidRDefault="007E5E49">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8BA" w14:textId="77777777" w:rsidR="00BA49F5" w:rsidRDefault="00BA49F5">
            <w:pPr>
              <w:jc w:val="right"/>
              <w:rPr>
                <w:rFonts w:ascii="宋体"/>
              </w:rPr>
            </w:pPr>
          </w:p>
        </w:tc>
      </w:tr>
      <w:tr w:rsidR="00BA49F5" w14:paraId="5CD8E8C5" w14:textId="77777777">
        <w:trPr>
          <w:jc w:val="center"/>
        </w:trPr>
        <w:tc>
          <w:tcPr>
            <w:tcW w:w="0" w:type="auto"/>
            <w:gridSpan w:val="3"/>
            <w:shd w:val="clear" w:color="auto" w:fill="FFFFFF"/>
            <w:tcMar>
              <w:top w:w="40" w:type="dxa"/>
              <w:left w:w="20" w:type="dxa"/>
              <w:bottom w:w="40" w:type="dxa"/>
              <w:right w:w="20" w:type="dxa"/>
            </w:tcMar>
            <w:vAlign w:val="bottom"/>
          </w:tcPr>
          <w:p w14:paraId="5CD8E8BC" w14:textId="77777777" w:rsidR="00BA49F5" w:rsidRDefault="007E5E49">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BD" w14:textId="77777777" w:rsidR="00BA49F5" w:rsidRDefault="007E5E49">
            <w:pPr>
              <w:jc w:val="right"/>
              <w:textAlignment w:val="bottom"/>
            </w:pPr>
            <w:r>
              <w:rPr>
                <w:rFonts w:ascii="Times New Roman" w:eastAsia="宋体" w:hAnsi="Times New Roman"/>
                <w:color w:val="000000"/>
                <w:sz w:val="20"/>
                <w:szCs w:val="20"/>
              </w:rPr>
              <w:t>28,944 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B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BF"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C0" w14:textId="77777777" w:rsidR="00BA49F5" w:rsidRDefault="007E5E49">
            <w:pPr>
              <w:jc w:val="right"/>
              <w:textAlignment w:val="bottom"/>
            </w:pPr>
            <w:r>
              <w:rPr>
                <w:rFonts w:ascii="Times New Roman" w:eastAsia="宋体" w:hAnsi="Times New Roman"/>
                <w:color w:val="000000"/>
                <w:sz w:val="20"/>
                <w:szCs w:val="20"/>
              </w:rPr>
              <w:t>46,753 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C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C2"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C3" w14:textId="77777777" w:rsidR="00BA49F5" w:rsidRDefault="007E5E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C4" w14:textId="77777777" w:rsidR="00BA49F5" w:rsidRDefault="00BA49F5">
            <w:pPr>
              <w:jc w:val="right"/>
              <w:rPr>
                <w:rFonts w:ascii="宋体"/>
              </w:rPr>
            </w:pPr>
          </w:p>
        </w:tc>
      </w:tr>
      <w:tr w:rsidR="00BA49F5" w14:paraId="5CD8E8CF" w14:textId="77777777">
        <w:trPr>
          <w:jc w:val="center"/>
        </w:trPr>
        <w:tc>
          <w:tcPr>
            <w:tcW w:w="0" w:type="auto"/>
            <w:gridSpan w:val="3"/>
            <w:shd w:val="clear" w:color="auto" w:fill="CCEEFF"/>
            <w:tcMar>
              <w:top w:w="40" w:type="dxa"/>
              <w:left w:w="20" w:type="dxa"/>
              <w:bottom w:w="40" w:type="dxa"/>
              <w:right w:w="20" w:type="dxa"/>
            </w:tcMar>
            <w:vAlign w:val="bottom"/>
          </w:tcPr>
          <w:p w14:paraId="5CD8E8C6" w14:textId="77777777" w:rsidR="00BA49F5" w:rsidRDefault="007E5E49">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5CD8E8C7" w14:textId="77777777" w:rsidR="00BA49F5" w:rsidRDefault="007E5E49">
            <w:pPr>
              <w:jc w:val="right"/>
              <w:textAlignment w:val="bottom"/>
            </w:pPr>
            <w:r>
              <w:rPr>
                <w:rFonts w:ascii="Times New Roman" w:eastAsia="宋体" w:hAnsi="Times New Roman"/>
                <w:color w:val="000000"/>
                <w:sz w:val="20"/>
                <w:szCs w:val="20"/>
              </w:rPr>
              <w:t>(125)</w:t>
            </w:r>
          </w:p>
        </w:tc>
        <w:tc>
          <w:tcPr>
            <w:tcW w:w="0" w:type="auto"/>
            <w:shd w:val="clear" w:color="auto" w:fill="CCEEFF"/>
            <w:tcMar>
              <w:top w:w="40" w:type="dxa"/>
              <w:left w:w="0" w:type="dxa"/>
              <w:bottom w:w="40" w:type="dxa"/>
              <w:right w:w="20" w:type="dxa"/>
            </w:tcMar>
            <w:vAlign w:val="bottom"/>
          </w:tcPr>
          <w:p w14:paraId="5CD8E8C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C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CA" w14:textId="77777777" w:rsidR="00BA49F5" w:rsidRDefault="007E5E49">
            <w:pPr>
              <w:jc w:val="right"/>
              <w:textAlignment w:val="bottom"/>
            </w:pPr>
            <w:r>
              <w:rPr>
                <w:rFonts w:ascii="Times New Roman" w:eastAsia="宋体" w:hAnsi="Times New Roman"/>
                <w:color w:val="000000"/>
                <w:sz w:val="20"/>
                <w:szCs w:val="20"/>
              </w:rPr>
              <w:t>531 </w:t>
            </w:r>
          </w:p>
        </w:tc>
        <w:tc>
          <w:tcPr>
            <w:tcW w:w="0" w:type="auto"/>
            <w:shd w:val="clear" w:color="auto" w:fill="CCEEFF"/>
            <w:tcMar>
              <w:top w:w="40" w:type="dxa"/>
              <w:left w:w="0" w:type="dxa"/>
              <w:bottom w:w="40" w:type="dxa"/>
              <w:right w:w="20" w:type="dxa"/>
            </w:tcMar>
            <w:vAlign w:val="bottom"/>
          </w:tcPr>
          <w:p w14:paraId="5CD8E8C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C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CD" w14:textId="77777777" w:rsidR="00BA49F5" w:rsidRDefault="007E5E49">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5CD8E8CE" w14:textId="77777777" w:rsidR="00BA49F5" w:rsidRDefault="00BA49F5">
            <w:pPr>
              <w:jc w:val="right"/>
              <w:rPr>
                <w:rFonts w:ascii="宋体"/>
              </w:rPr>
            </w:pPr>
          </w:p>
        </w:tc>
      </w:tr>
      <w:tr w:rsidR="00BA49F5" w14:paraId="5CD8E8D9" w14:textId="77777777">
        <w:trPr>
          <w:jc w:val="center"/>
        </w:trPr>
        <w:tc>
          <w:tcPr>
            <w:tcW w:w="0" w:type="auto"/>
            <w:gridSpan w:val="3"/>
            <w:shd w:val="clear" w:color="auto" w:fill="FFFFFF"/>
            <w:tcMar>
              <w:top w:w="40" w:type="dxa"/>
              <w:left w:w="20" w:type="dxa"/>
              <w:bottom w:w="40" w:type="dxa"/>
              <w:right w:w="20" w:type="dxa"/>
            </w:tcMar>
            <w:vAlign w:val="bottom"/>
          </w:tcPr>
          <w:p w14:paraId="5CD8E8D0" w14:textId="77777777" w:rsidR="00BA49F5" w:rsidRDefault="007E5E49">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D1" w14:textId="77777777" w:rsidR="00BA49F5" w:rsidRDefault="007E5E49">
            <w:pPr>
              <w:jc w:val="right"/>
              <w:textAlignment w:val="bottom"/>
            </w:pPr>
            <w:r>
              <w:rPr>
                <w:rFonts w:ascii="Times New Roman" w:eastAsia="宋体" w:hAnsi="Times New Roman"/>
                <w:color w:val="000000"/>
                <w:sz w:val="20"/>
                <w:szCs w:val="20"/>
              </w:rPr>
              <w:t>28,819 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D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D3"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D4" w14:textId="77777777" w:rsidR="00BA49F5" w:rsidRDefault="007E5E49">
            <w:pPr>
              <w:jc w:val="right"/>
              <w:textAlignment w:val="bottom"/>
            </w:pPr>
            <w:r>
              <w:rPr>
                <w:rFonts w:ascii="Times New Roman" w:eastAsia="宋体" w:hAnsi="Times New Roman"/>
                <w:color w:val="000000"/>
                <w:sz w:val="20"/>
                <w:szCs w:val="20"/>
              </w:rPr>
              <w:t>47,284 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D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D6"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8D7" w14:textId="77777777" w:rsidR="00BA49F5" w:rsidRDefault="007E5E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8D8" w14:textId="77777777" w:rsidR="00BA49F5" w:rsidRDefault="00BA49F5">
            <w:pPr>
              <w:jc w:val="right"/>
              <w:rPr>
                <w:rFonts w:ascii="宋体"/>
              </w:rPr>
            </w:pPr>
          </w:p>
        </w:tc>
      </w:tr>
      <w:tr w:rsidR="00BA49F5" w14:paraId="5CD8E8E3" w14:textId="77777777">
        <w:trPr>
          <w:jc w:val="center"/>
        </w:trPr>
        <w:tc>
          <w:tcPr>
            <w:tcW w:w="0" w:type="auto"/>
            <w:gridSpan w:val="3"/>
            <w:shd w:val="clear" w:color="auto" w:fill="CCEEFF"/>
            <w:tcMar>
              <w:top w:w="40" w:type="dxa"/>
              <w:left w:w="20" w:type="dxa"/>
              <w:bottom w:w="40" w:type="dxa"/>
              <w:right w:w="20" w:type="dxa"/>
            </w:tcMar>
            <w:vAlign w:val="bottom"/>
          </w:tcPr>
          <w:p w14:paraId="5CD8E8DA" w14:textId="77777777" w:rsidR="00BA49F5" w:rsidRDefault="007E5E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5CD8E8DB" w14:textId="77777777" w:rsidR="00BA49F5" w:rsidRDefault="007E5E49">
            <w:pPr>
              <w:jc w:val="right"/>
              <w:textAlignment w:val="bottom"/>
            </w:pPr>
            <w:r>
              <w:rPr>
                <w:rFonts w:ascii="Times New Roman" w:eastAsia="宋体" w:hAnsi="Times New Roman"/>
                <w:color w:val="000000"/>
                <w:sz w:val="20"/>
                <w:szCs w:val="20"/>
              </w:rPr>
              <w:t>5,619 </w:t>
            </w:r>
          </w:p>
        </w:tc>
        <w:tc>
          <w:tcPr>
            <w:tcW w:w="0" w:type="auto"/>
            <w:shd w:val="clear" w:color="auto" w:fill="CCEEFF"/>
            <w:tcMar>
              <w:top w:w="40" w:type="dxa"/>
              <w:left w:w="0" w:type="dxa"/>
              <w:bottom w:w="40" w:type="dxa"/>
              <w:right w:w="20" w:type="dxa"/>
            </w:tcMar>
            <w:vAlign w:val="bottom"/>
          </w:tcPr>
          <w:p w14:paraId="5CD8E8D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D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DE" w14:textId="77777777" w:rsidR="00BA49F5" w:rsidRDefault="007E5E49">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5CD8E8D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8E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8E1" w14:textId="77777777" w:rsidR="00BA49F5" w:rsidRDefault="007E5E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5CD8E8E2" w14:textId="77777777" w:rsidR="00BA49F5" w:rsidRDefault="00BA49F5">
            <w:pPr>
              <w:jc w:val="right"/>
              <w:rPr>
                <w:rFonts w:ascii="宋体"/>
              </w:rPr>
            </w:pPr>
          </w:p>
        </w:tc>
      </w:tr>
      <w:tr w:rsidR="00BA49F5" w14:paraId="5CD8E8F0" w14:textId="77777777">
        <w:trPr>
          <w:jc w:val="center"/>
        </w:trPr>
        <w:tc>
          <w:tcPr>
            <w:tcW w:w="0" w:type="auto"/>
            <w:gridSpan w:val="3"/>
            <w:shd w:val="clear" w:color="auto" w:fill="FFFFFF"/>
            <w:tcMar>
              <w:top w:w="40" w:type="dxa"/>
              <w:left w:w="20" w:type="dxa"/>
              <w:bottom w:w="40" w:type="dxa"/>
              <w:right w:w="20" w:type="dxa"/>
            </w:tcMar>
            <w:vAlign w:val="bottom"/>
          </w:tcPr>
          <w:p w14:paraId="5CD8E8E4" w14:textId="77777777" w:rsidR="00BA49F5" w:rsidRDefault="007E5E49">
            <w:pPr>
              <w:textAlignment w:val="bottom"/>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8E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8E6"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8E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E8"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8E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8EA"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8E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8EC"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8E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8EE"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8EF" w14:textId="77777777" w:rsidR="00BA49F5" w:rsidRDefault="00BA49F5">
            <w:pPr>
              <w:jc w:val="right"/>
              <w:rPr>
                <w:rFonts w:ascii="宋体"/>
              </w:rPr>
            </w:pPr>
          </w:p>
        </w:tc>
      </w:tr>
    </w:tbl>
    <w:p w14:paraId="5CD8E8F1" w14:textId="77777777" w:rsidR="00BA49F5" w:rsidRDefault="00BA49F5">
      <w:pPr>
        <w:ind w:firstLine="540"/>
        <w:jc w:val="both"/>
      </w:pPr>
    </w:p>
    <w:p w14:paraId="5CD8E8F2" w14:textId="77777777" w:rsidR="00BA49F5" w:rsidRDefault="007E5E49">
      <w:pPr>
        <w:ind w:firstLine="540"/>
        <w:jc w:val="both"/>
      </w:pPr>
      <w:r>
        <w:rPr>
          <w:rFonts w:ascii="Times New Roman" w:eastAsia="宋体" w:hAnsi="Times New Roman"/>
          <w:color w:val="000000"/>
          <w:sz w:val="20"/>
          <w:szCs w:val="20"/>
        </w:rPr>
        <w:t>The following table sets forth our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40"/>
        <w:gridCol w:w="38"/>
        <w:gridCol w:w="38"/>
        <w:gridCol w:w="810"/>
        <w:gridCol w:w="188"/>
        <w:gridCol w:w="36"/>
        <w:gridCol w:w="36"/>
        <w:gridCol w:w="36"/>
        <w:gridCol w:w="42"/>
        <w:gridCol w:w="747"/>
        <w:gridCol w:w="187"/>
        <w:gridCol w:w="36"/>
        <w:gridCol w:w="36"/>
        <w:gridCol w:w="36"/>
        <w:gridCol w:w="42"/>
        <w:gridCol w:w="749"/>
        <w:gridCol w:w="187"/>
      </w:tblGrid>
      <w:tr w:rsidR="00BA49F5" w14:paraId="5CD8E905" w14:textId="77777777">
        <w:trPr>
          <w:jc w:val="center"/>
        </w:trPr>
        <w:tc>
          <w:tcPr>
            <w:tcW w:w="50" w:type="pct"/>
            <w:shd w:val="clear" w:color="auto" w:fill="auto"/>
            <w:vAlign w:val="bottom"/>
          </w:tcPr>
          <w:p w14:paraId="5CD8E8F3" w14:textId="77777777" w:rsidR="00BA49F5" w:rsidRDefault="00BA49F5">
            <w:pPr>
              <w:rPr>
                <w:rFonts w:ascii="宋体"/>
              </w:rPr>
            </w:pPr>
          </w:p>
        </w:tc>
        <w:tc>
          <w:tcPr>
            <w:tcW w:w="3082" w:type="pct"/>
            <w:shd w:val="clear" w:color="auto" w:fill="auto"/>
            <w:vAlign w:val="bottom"/>
          </w:tcPr>
          <w:p w14:paraId="5CD8E8F4" w14:textId="77777777" w:rsidR="00BA49F5" w:rsidRDefault="00BA49F5">
            <w:pPr>
              <w:rPr>
                <w:rFonts w:ascii="宋体"/>
              </w:rPr>
            </w:pPr>
          </w:p>
        </w:tc>
        <w:tc>
          <w:tcPr>
            <w:tcW w:w="5" w:type="pct"/>
            <w:shd w:val="clear" w:color="auto" w:fill="auto"/>
            <w:vAlign w:val="bottom"/>
          </w:tcPr>
          <w:p w14:paraId="5CD8E8F5" w14:textId="77777777" w:rsidR="00BA49F5" w:rsidRDefault="00BA49F5">
            <w:pPr>
              <w:rPr>
                <w:rFonts w:ascii="宋体"/>
              </w:rPr>
            </w:pPr>
          </w:p>
        </w:tc>
        <w:tc>
          <w:tcPr>
            <w:tcW w:w="50" w:type="pct"/>
            <w:shd w:val="clear" w:color="auto" w:fill="auto"/>
            <w:vAlign w:val="bottom"/>
          </w:tcPr>
          <w:p w14:paraId="5CD8E8F6" w14:textId="77777777" w:rsidR="00BA49F5" w:rsidRDefault="00BA49F5">
            <w:pPr>
              <w:rPr>
                <w:rFonts w:ascii="宋体"/>
              </w:rPr>
            </w:pPr>
          </w:p>
        </w:tc>
        <w:tc>
          <w:tcPr>
            <w:tcW w:w="541" w:type="pct"/>
            <w:shd w:val="clear" w:color="auto" w:fill="auto"/>
            <w:vAlign w:val="bottom"/>
          </w:tcPr>
          <w:p w14:paraId="5CD8E8F7" w14:textId="77777777" w:rsidR="00BA49F5" w:rsidRDefault="00BA49F5">
            <w:pPr>
              <w:rPr>
                <w:rFonts w:ascii="宋体"/>
              </w:rPr>
            </w:pPr>
          </w:p>
        </w:tc>
        <w:tc>
          <w:tcPr>
            <w:tcW w:w="5" w:type="pct"/>
            <w:shd w:val="clear" w:color="auto" w:fill="auto"/>
            <w:vAlign w:val="bottom"/>
          </w:tcPr>
          <w:p w14:paraId="5CD8E8F8" w14:textId="77777777" w:rsidR="00BA49F5" w:rsidRDefault="00BA49F5">
            <w:pPr>
              <w:rPr>
                <w:rFonts w:ascii="宋体"/>
              </w:rPr>
            </w:pPr>
          </w:p>
        </w:tc>
        <w:tc>
          <w:tcPr>
            <w:tcW w:w="5" w:type="pct"/>
            <w:shd w:val="clear" w:color="auto" w:fill="auto"/>
            <w:vAlign w:val="bottom"/>
          </w:tcPr>
          <w:p w14:paraId="5CD8E8F9" w14:textId="77777777" w:rsidR="00BA49F5" w:rsidRDefault="00BA49F5">
            <w:pPr>
              <w:rPr>
                <w:rFonts w:ascii="宋体"/>
              </w:rPr>
            </w:pPr>
          </w:p>
        </w:tc>
        <w:tc>
          <w:tcPr>
            <w:tcW w:w="27" w:type="pct"/>
            <w:shd w:val="clear" w:color="auto" w:fill="auto"/>
            <w:vAlign w:val="bottom"/>
          </w:tcPr>
          <w:p w14:paraId="5CD8E8FA" w14:textId="77777777" w:rsidR="00BA49F5" w:rsidRDefault="00BA49F5">
            <w:pPr>
              <w:rPr>
                <w:rFonts w:ascii="宋体"/>
              </w:rPr>
            </w:pPr>
          </w:p>
        </w:tc>
        <w:tc>
          <w:tcPr>
            <w:tcW w:w="5" w:type="pct"/>
            <w:shd w:val="clear" w:color="auto" w:fill="auto"/>
            <w:vAlign w:val="bottom"/>
          </w:tcPr>
          <w:p w14:paraId="5CD8E8FB" w14:textId="77777777" w:rsidR="00BA49F5" w:rsidRDefault="00BA49F5">
            <w:pPr>
              <w:rPr>
                <w:rFonts w:ascii="宋体"/>
              </w:rPr>
            </w:pPr>
          </w:p>
        </w:tc>
        <w:tc>
          <w:tcPr>
            <w:tcW w:w="50" w:type="pct"/>
            <w:shd w:val="clear" w:color="auto" w:fill="auto"/>
            <w:vAlign w:val="bottom"/>
          </w:tcPr>
          <w:p w14:paraId="5CD8E8FC" w14:textId="77777777" w:rsidR="00BA49F5" w:rsidRDefault="00BA49F5">
            <w:pPr>
              <w:rPr>
                <w:rFonts w:ascii="宋体"/>
              </w:rPr>
            </w:pPr>
          </w:p>
        </w:tc>
        <w:tc>
          <w:tcPr>
            <w:tcW w:w="541" w:type="pct"/>
            <w:shd w:val="clear" w:color="auto" w:fill="auto"/>
            <w:vAlign w:val="bottom"/>
          </w:tcPr>
          <w:p w14:paraId="5CD8E8FD" w14:textId="77777777" w:rsidR="00BA49F5" w:rsidRDefault="00BA49F5">
            <w:pPr>
              <w:rPr>
                <w:rFonts w:ascii="宋体"/>
              </w:rPr>
            </w:pPr>
          </w:p>
        </w:tc>
        <w:tc>
          <w:tcPr>
            <w:tcW w:w="5" w:type="pct"/>
            <w:shd w:val="clear" w:color="auto" w:fill="auto"/>
            <w:vAlign w:val="bottom"/>
          </w:tcPr>
          <w:p w14:paraId="5CD8E8FE" w14:textId="77777777" w:rsidR="00BA49F5" w:rsidRDefault="00BA49F5">
            <w:pPr>
              <w:rPr>
                <w:rFonts w:ascii="宋体"/>
              </w:rPr>
            </w:pPr>
          </w:p>
        </w:tc>
        <w:tc>
          <w:tcPr>
            <w:tcW w:w="5" w:type="pct"/>
            <w:shd w:val="clear" w:color="auto" w:fill="auto"/>
            <w:vAlign w:val="bottom"/>
          </w:tcPr>
          <w:p w14:paraId="5CD8E8FF" w14:textId="77777777" w:rsidR="00BA49F5" w:rsidRDefault="00BA49F5">
            <w:pPr>
              <w:rPr>
                <w:rFonts w:ascii="宋体"/>
              </w:rPr>
            </w:pPr>
          </w:p>
        </w:tc>
        <w:tc>
          <w:tcPr>
            <w:tcW w:w="27" w:type="pct"/>
            <w:shd w:val="clear" w:color="auto" w:fill="auto"/>
            <w:vAlign w:val="bottom"/>
          </w:tcPr>
          <w:p w14:paraId="5CD8E900" w14:textId="77777777" w:rsidR="00BA49F5" w:rsidRDefault="00BA49F5">
            <w:pPr>
              <w:rPr>
                <w:rFonts w:ascii="宋体"/>
              </w:rPr>
            </w:pPr>
          </w:p>
        </w:tc>
        <w:tc>
          <w:tcPr>
            <w:tcW w:w="5" w:type="pct"/>
            <w:shd w:val="clear" w:color="auto" w:fill="auto"/>
            <w:vAlign w:val="bottom"/>
          </w:tcPr>
          <w:p w14:paraId="5CD8E901" w14:textId="77777777" w:rsidR="00BA49F5" w:rsidRDefault="00BA49F5">
            <w:pPr>
              <w:rPr>
                <w:rFonts w:ascii="宋体"/>
              </w:rPr>
            </w:pPr>
          </w:p>
        </w:tc>
        <w:tc>
          <w:tcPr>
            <w:tcW w:w="50" w:type="pct"/>
            <w:shd w:val="clear" w:color="auto" w:fill="auto"/>
            <w:vAlign w:val="bottom"/>
          </w:tcPr>
          <w:p w14:paraId="5CD8E902" w14:textId="77777777" w:rsidR="00BA49F5" w:rsidRDefault="00BA49F5">
            <w:pPr>
              <w:rPr>
                <w:rFonts w:ascii="宋体"/>
              </w:rPr>
            </w:pPr>
          </w:p>
        </w:tc>
        <w:tc>
          <w:tcPr>
            <w:tcW w:w="541" w:type="pct"/>
            <w:shd w:val="clear" w:color="auto" w:fill="auto"/>
            <w:vAlign w:val="bottom"/>
          </w:tcPr>
          <w:p w14:paraId="5CD8E903" w14:textId="77777777" w:rsidR="00BA49F5" w:rsidRDefault="00BA49F5">
            <w:pPr>
              <w:rPr>
                <w:rFonts w:ascii="宋体"/>
              </w:rPr>
            </w:pPr>
          </w:p>
        </w:tc>
        <w:tc>
          <w:tcPr>
            <w:tcW w:w="5" w:type="pct"/>
            <w:shd w:val="clear" w:color="auto" w:fill="auto"/>
            <w:vAlign w:val="bottom"/>
          </w:tcPr>
          <w:p w14:paraId="5CD8E904" w14:textId="77777777" w:rsidR="00BA49F5" w:rsidRDefault="00BA49F5">
            <w:pPr>
              <w:rPr>
                <w:rFonts w:ascii="宋体"/>
              </w:rPr>
            </w:pPr>
          </w:p>
        </w:tc>
      </w:tr>
      <w:tr w:rsidR="00BA49F5" w14:paraId="5CD8E908" w14:textId="77777777">
        <w:trPr>
          <w:jc w:val="center"/>
        </w:trPr>
        <w:tc>
          <w:tcPr>
            <w:tcW w:w="0" w:type="auto"/>
            <w:gridSpan w:val="3"/>
            <w:shd w:val="clear" w:color="auto" w:fill="auto"/>
            <w:tcMar>
              <w:top w:w="0" w:type="dxa"/>
              <w:left w:w="20" w:type="dxa"/>
              <w:bottom w:w="0" w:type="dxa"/>
              <w:right w:w="20" w:type="dxa"/>
            </w:tcMar>
            <w:vAlign w:val="bottom"/>
          </w:tcPr>
          <w:p w14:paraId="5CD8E906"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907" w14:textId="77777777" w:rsidR="00BA49F5" w:rsidRDefault="007E5E49">
            <w:pPr>
              <w:jc w:val="center"/>
              <w:textAlignment w:val="bottom"/>
            </w:pPr>
            <w:r>
              <w:rPr>
                <w:rFonts w:ascii="Times New Roman" w:eastAsia="宋体" w:hAnsi="Times New Roman"/>
                <w:b/>
                <w:bCs/>
                <w:color w:val="000000"/>
                <w:sz w:val="16"/>
                <w:szCs w:val="16"/>
              </w:rPr>
              <w:t>Year Ended December 31,</w:t>
            </w:r>
          </w:p>
        </w:tc>
      </w:tr>
      <w:tr w:rsidR="00BA49F5" w14:paraId="5CD8E90F" w14:textId="77777777">
        <w:trPr>
          <w:jc w:val="center"/>
        </w:trPr>
        <w:tc>
          <w:tcPr>
            <w:tcW w:w="0" w:type="auto"/>
            <w:gridSpan w:val="3"/>
            <w:shd w:val="clear" w:color="auto" w:fill="auto"/>
            <w:tcMar>
              <w:top w:w="0" w:type="dxa"/>
              <w:left w:w="20" w:type="dxa"/>
              <w:bottom w:w="0" w:type="dxa"/>
              <w:right w:w="20" w:type="dxa"/>
            </w:tcMar>
            <w:vAlign w:val="bottom"/>
          </w:tcPr>
          <w:p w14:paraId="5CD8E90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90A"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0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5CD8E90C"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0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5CD8E90E"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E919" w14:textId="77777777">
        <w:trPr>
          <w:jc w:val="center"/>
        </w:trPr>
        <w:tc>
          <w:tcPr>
            <w:tcW w:w="0" w:type="auto"/>
            <w:gridSpan w:val="3"/>
            <w:shd w:val="clear" w:color="auto" w:fill="CCEEFF"/>
            <w:tcMar>
              <w:top w:w="40" w:type="dxa"/>
              <w:left w:w="20" w:type="dxa"/>
              <w:bottom w:w="40" w:type="dxa"/>
              <w:right w:w="20" w:type="dxa"/>
            </w:tcMar>
            <w:vAlign w:val="bottom"/>
          </w:tcPr>
          <w:p w14:paraId="5CD8E910" w14:textId="77777777" w:rsidR="00BA49F5" w:rsidRDefault="007E5E49">
            <w:pPr>
              <w:textAlignment w:val="bottom"/>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11" w14:textId="77777777" w:rsidR="00BA49F5" w:rsidRDefault="007E5E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12"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913"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14" w14:textId="77777777" w:rsidR="00BA49F5" w:rsidRDefault="007E5E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15"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916"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17" w14:textId="77777777" w:rsidR="00BA49F5" w:rsidRDefault="007E5E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18"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920" w14:textId="77777777">
        <w:trPr>
          <w:jc w:val="center"/>
        </w:trPr>
        <w:tc>
          <w:tcPr>
            <w:tcW w:w="0" w:type="auto"/>
            <w:gridSpan w:val="3"/>
            <w:shd w:val="clear" w:color="auto" w:fill="FFFFFF"/>
            <w:tcMar>
              <w:top w:w="40" w:type="dxa"/>
              <w:left w:w="20" w:type="dxa"/>
              <w:bottom w:w="40" w:type="dxa"/>
              <w:right w:w="20" w:type="dxa"/>
            </w:tcMar>
            <w:vAlign w:val="bottom"/>
          </w:tcPr>
          <w:p w14:paraId="5CD8E91A" w14:textId="77777777" w:rsidR="00BA49F5" w:rsidRDefault="007E5E49">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5CD8E91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91C"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91D"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91E"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91F" w14:textId="77777777" w:rsidR="00BA49F5" w:rsidRDefault="00BA49F5">
            <w:pPr>
              <w:rPr>
                <w:rFonts w:ascii="宋体"/>
              </w:rPr>
            </w:pPr>
          </w:p>
        </w:tc>
      </w:tr>
      <w:tr w:rsidR="00BA49F5" w14:paraId="5CD8E92A" w14:textId="77777777">
        <w:trPr>
          <w:jc w:val="center"/>
        </w:trPr>
        <w:tc>
          <w:tcPr>
            <w:tcW w:w="0" w:type="auto"/>
            <w:gridSpan w:val="3"/>
            <w:shd w:val="clear" w:color="auto" w:fill="CCEEFF"/>
            <w:tcMar>
              <w:top w:w="40" w:type="dxa"/>
              <w:left w:w="200" w:type="dxa"/>
              <w:bottom w:w="40" w:type="dxa"/>
              <w:right w:w="20" w:type="dxa"/>
            </w:tcMar>
            <w:vAlign w:val="bottom"/>
          </w:tcPr>
          <w:p w14:paraId="5CD8E921" w14:textId="77777777" w:rsidR="00BA49F5" w:rsidRDefault="007E5E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5CD8E922" w14:textId="77777777" w:rsidR="00BA49F5" w:rsidRDefault="007E5E49">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5CD8E92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2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25" w14:textId="77777777" w:rsidR="00BA49F5" w:rsidRDefault="007E5E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5CD8E92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2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28" w14:textId="77777777" w:rsidR="00BA49F5" w:rsidRDefault="007E5E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5CD8E929" w14:textId="77777777" w:rsidR="00BA49F5" w:rsidRDefault="00BA49F5">
            <w:pPr>
              <w:jc w:val="right"/>
              <w:rPr>
                <w:rFonts w:ascii="宋体"/>
              </w:rPr>
            </w:pPr>
          </w:p>
        </w:tc>
      </w:tr>
      <w:tr w:rsidR="00BA49F5" w14:paraId="5CD8E934" w14:textId="77777777">
        <w:trPr>
          <w:jc w:val="center"/>
        </w:trPr>
        <w:tc>
          <w:tcPr>
            <w:tcW w:w="0" w:type="auto"/>
            <w:gridSpan w:val="3"/>
            <w:shd w:val="clear" w:color="auto" w:fill="FFFFFF"/>
            <w:tcMar>
              <w:top w:w="40" w:type="dxa"/>
              <w:left w:w="200" w:type="dxa"/>
              <w:bottom w:w="40" w:type="dxa"/>
              <w:right w:w="20" w:type="dxa"/>
            </w:tcMar>
            <w:vAlign w:val="bottom"/>
          </w:tcPr>
          <w:p w14:paraId="5CD8E92B"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CD8E92C" w14:textId="77777777" w:rsidR="00BA49F5" w:rsidRDefault="007E5E49">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5CD8E92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2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2F" w14:textId="77777777" w:rsidR="00BA49F5" w:rsidRDefault="007E5E4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5CD8E93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3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32" w14:textId="77777777" w:rsidR="00BA49F5" w:rsidRDefault="007E5E4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5CD8E933" w14:textId="77777777" w:rsidR="00BA49F5" w:rsidRDefault="00BA49F5">
            <w:pPr>
              <w:jc w:val="right"/>
              <w:rPr>
                <w:rFonts w:ascii="宋体"/>
              </w:rPr>
            </w:pPr>
          </w:p>
        </w:tc>
      </w:tr>
      <w:tr w:rsidR="00BA49F5" w14:paraId="5CD8E93E" w14:textId="77777777">
        <w:trPr>
          <w:jc w:val="center"/>
        </w:trPr>
        <w:tc>
          <w:tcPr>
            <w:tcW w:w="0" w:type="auto"/>
            <w:gridSpan w:val="3"/>
            <w:shd w:val="clear" w:color="auto" w:fill="CCEEFF"/>
            <w:tcMar>
              <w:top w:w="40" w:type="dxa"/>
              <w:left w:w="200" w:type="dxa"/>
              <w:bottom w:w="40" w:type="dxa"/>
              <w:right w:w="20" w:type="dxa"/>
            </w:tcMar>
            <w:vAlign w:val="bottom"/>
          </w:tcPr>
          <w:p w14:paraId="5CD8E935" w14:textId="77777777" w:rsidR="00BA49F5" w:rsidRDefault="007E5E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5CD8E936" w14:textId="77777777" w:rsidR="00BA49F5" w:rsidRDefault="007E5E49">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5CD8E93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3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39" w14:textId="77777777" w:rsidR="00BA49F5" w:rsidRDefault="007E5E49">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5CD8E93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3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3C" w14:textId="77777777" w:rsidR="00BA49F5" w:rsidRDefault="007E5E49">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5CD8E93D" w14:textId="77777777" w:rsidR="00BA49F5" w:rsidRDefault="00BA49F5">
            <w:pPr>
              <w:jc w:val="right"/>
              <w:rPr>
                <w:rFonts w:ascii="宋体"/>
              </w:rPr>
            </w:pPr>
          </w:p>
        </w:tc>
      </w:tr>
      <w:tr w:rsidR="00BA49F5" w14:paraId="5CD8E948" w14:textId="77777777">
        <w:trPr>
          <w:jc w:val="center"/>
        </w:trPr>
        <w:tc>
          <w:tcPr>
            <w:tcW w:w="0" w:type="auto"/>
            <w:gridSpan w:val="3"/>
            <w:shd w:val="clear" w:color="auto" w:fill="FFFFFF"/>
            <w:tcMar>
              <w:top w:w="40" w:type="dxa"/>
              <w:left w:w="200" w:type="dxa"/>
              <w:bottom w:w="40" w:type="dxa"/>
              <w:right w:w="20" w:type="dxa"/>
            </w:tcMar>
            <w:vAlign w:val="bottom"/>
          </w:tcPr>
          <w:p w14:paraId="5CD8E93F"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5CD8E940" w14:textId="77777777" w:rsidR="00BA49F5" w:rsidRDefault="007E5E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5CD8E94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4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43" w14:textId="77777777" w:rsidR="00BA49F5" w:rsidRDefault="007E5E49">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5CD8E94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4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46" w14:textId="77777777" w:rsidR="00BA49F5" w:rsidRDefault="007E5E49">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5CD8E947" w14:textId="77777777" w:rsidR="00BA49F5" w:rsidRDefault="00BA49F5">
            <w:pPr>
              <w:jc w:val="right"/>
              <w:rPr>
                <w:rFonts w:ascii="宋体"/>
              </w:rPr>
            </w:pPr>
          </w:p>
        </w:tc>
      </w:tr>
      <w:tr w:rsidR="00BA49F5" w14:paraId="5CD8E952" w14:textId="77777777">
        <w:trPr>
          <w:jc w:val="center"/>
        </w:trPr>
        <w:tc>
          <w:tcPr>
            <w:tcW w:w="0" w:type="auto"/>
            <w:gridSpan w:val="3"/>
            <w:shd w:val="clear" w:color="auto" w:fill="CCEEFF"/>
            <w:tcMar>
              <w:top w:w="40" w:type="dxa"/>
              <w:left w:w="380" w:type="dxa"/>
              <w:bottom w:w="40" w:type="dxa"/>
              <w:right w:w="20" w:type="dxa"/>
            </w:tcMar>
            <w:vAlign w:val="bottom"/>
          </w:tcPr>
          <w:p w14:paraId="5CD8E949" w14:textId="77777777" w:rsidR="00BA49F5" w:rsidRDefault="007E5E49">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4A" w14:textId="77777777" w:rsidR="00BA49F5" w:rsidRDefault="007E5E49">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4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4C"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4D" w14:textId="77777777" w:rsidR="00BA49F5" w:rsidRDefault="007E5E49">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4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4F"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50" w14:textId="77777777" w:rsidR="00BA49F5" w:rsidRDefault="007E5E49">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51" w14:textId="77777777" w:rsidR="00BA49F5" w:rsidRDefault="00BA49F5">
            <w:pPr>
              <w:jc w:val="right"/>
              <w:rPr>
                <w:rFonts w:ascii="宋体"/>
              </w:rPr>
            </w:pPr>
          </w:p>
        </w:tc>
      </w:tr>
      <w:tr w:rsidR="00BA49F5" w14:paraId="5CD8E95C" w14:textId="77777777">
        <w:trPr>
          <w:jc w:val="center"/>
        </w:trPr>
        <w:tc>
          <w:tcPr>
            <w:tcW w:w="0" w:type="auto"/>
            <w:gridSpan w:val="3"/>
            <w:shd w:val="clear" w:color="auto" w:fill="FFFFFF"/>
            <w:tcMar>
              <w:top w:w="40" w:type="dxa"/>
              <w:left w:w="20" w:type="dxa"/>
              <w:bottom w:w="40" w:type="dxa"/>
              <w:right w:w="20" w:type="dxa"/>
            </w:tcMar>
            <w:vAlign w:val="bottom"/>
          </w:tcPr>
          <w:p w14:paraId="5CD8E953" w14:textId="77777777" w:rsidR="00BA49F5" w:rsidRDefault="007E5E49">
            <w:pPr>
              <w:textAlignment w:val="bottom"/>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54" w14:textId="77777777" w:rsidR="00BA49F5" w:rsidRDefault="007E5E49">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5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56"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57" w14:textId="77777777" w:rsidR="00BA49F5" w:rsidRDefault="007E5E49">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5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59"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5A" w14:textId="77777777" w:rsidR="00BA49F5" w:rsidRDefault="007E5E49">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5B" w14:textId="77777777" w:rsidR="00BA49F5" w:rsidRDefault="00BA49F5">
            <w:pPr>
              <w:jc w:val="right"/>
              <w:rPr>
                <w:rFonts w:ascii="宋体"/>
              </w:rPr>
            </w:pPr>
          </w:p>
        </w:tc>
      </w:tr>
      <w:tr w:rsidR="00BA49F5" w14:paraId="5CD8E966" w14:textId="77777777">
        <w:trPr>
          <w:jc w:val="center"/>
        </w:trPr>
        <w:tc>
          <w:tcPr>
            <w:tcW w:w="0" w:type="auto"/>
            <w:gridSpan w:val="3"/>
            <w:shd w:val="clear" w:color="auto" w:fill="CCEEFF"/>
            <w:tcMar>
              <w:top w:w="40" w:type="dxa"/>
              <w:left w:w="20" w:type="dxa"/>
              <w:bottom w:w="40" w:type="dxa"/>
              <w:right w:w="20" w:type="dxa"/>
            </w:tcMar>
            <w:vAlign w:val="bottom"/>
          </w:tcPr>
          <w:p w14:paraId="5CD8E95D" w14:textId="77777777" w:rsidR="00BA49F5" w:rsidRDefault="007E5E49">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5CD8E95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E95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6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6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E96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6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64" w14:textId="77777777" w:rsidR="00BA49F5" w:rsidRDefault="007E5E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CD8E965" w14:textId="77777777" w:rsidR="00BA49F5" w:rsidRDefault="00BA49F5">
            <w:pPr>
              <w:jc w:val="right"/>
              <w:rPr>
                <w:rFonts w:ascii="宋体"/>
              </w:rPr>
            </w:pPr>
          </w:p>
        </w:tc>
      </w:tr>
      <w:tr w:rsidR="00BA49F5" w14:paraId="5CD8E970" w14:textId="77777777">
        <w:trPr>
          <w:jc w:val="center"/>
        </w:trPr>
        <w:tc>
          <w:tcPr>
            <w:tcW w:w="0" w:type="auto"/>
            <w:gridSpan w:val="3"/>
            <w:shd w:val="clear" w:color="auto" w:fill="FFFFFF"/>
            <w:tcMar>
              <w:top w:w="40" w:type="dxa"/>
              <w:left w:w="20" w:type="dxa"/>
              <w:bottom w:w="40" w:type="dxa"/>
              <w:right w:w="20" w:type="dxa"/>
            </w:tcMar>
            <w:vAlign w:val="bottom"/>
          </w:tcPr>
          <w:p w14:paraId="5CD8E967" w14:textId="77777777" w:rsidR="00BA49F5" w:rsidRDefault="007E5E49">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68" w14:textId="77777777" w:rsidR="00BA49F5" w:rsidRDefault="007E5E49">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6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6A"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6B" w14:textId="77777777" w:rsidR="00BA49F5" w:rsidRDefault="007E5E49">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6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6D"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96E" w14:textId="77777777" w:rsidR="00BA49F5" w:rsidRDefault="007E5E49">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96F" w14:textId="77777777" w:rsidR="00BA49F5" w:rsidRDefault="00BA49F5">
            <w:pPr>
              <w:jc w:val="right"/>
              <w:rPr>
                <w:rFonts w:ascii="宋体"/>
              </w:rPr>
            </w:pPr>
          </w:p>
        </w:tc>
      </w:tr>
      <w:tr w:rsidR="00BA49F5" w14:paraId="5CD8E97A" w14:textId="77777777">
        <w:trPr>
          <w:jc w:val="center"/>
        </w:trPr>
        <w:tc>
          <w:tcPr>
            <w:tcW w:w="0" w:type="auto"/>
            <w:gridSpan w:val="3"/>
            <w:shd w:val="clear" w:color="auto" w:fill="CCEEFF"/>
            <w:tcMar>
              <w:top w:w="40" w:type="dxa"/>
              <w:left w:w="20" w:type="dxa"/>
              <w:bottom w:w="40" w:type="dxa"/>
              <w:right w:w="20" w:type="dxa"/>
            </w:tcMar>
            <w:vAlign w:val="bottom"/>
          </w:tcPr>
          <w:p w14:paraId="5CD8E971" w14:textId="77777777" w:rsidR="00BA49F5" w:rsidRDefault="007E5E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5CD8E972" w14:textId="77777777" w:rsidR="00BA49F5" w:rsidRDefault="007E5E49">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5CD8E97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7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75" w14:textId="77777777" w:rsidR="00BA49F5" w:rsidRDefault="007E5E49">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5CD8E97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7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78" w14:textId="77777777" w:rsidR="00BA49F5" w:rsidRDefault="007E5E49">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5CD8E979" w14:textId="77777777" w:rsidR="00BA49F5" w:rsidRDefault="00BA49F5">
            <w:pPr>
              <w:jc w:val="right"/>
              <w:rPr>
                <w:rFonts w:ascii="宋体"/>
              </w:rPr>
            </w:pPr>
          </w:p>
        </w:tc>
      </w:tr>
      <w:tr w:rsidR="00BA49F5" w14:paraId="5CD8E984" w14:textId="77777777">
        <w:trPr>
          <w:jc w:val="center"/>
        </w:trPr>
        <w:tc>
          <w:tcPr>
            <w:tcW w:w="0" w:type="auto"/>
            <w:gridSpan w:val="3"/>
            <w:shd w:val="clear" w:color="auto" w:fill="FFFFFF"/>
            <w:tcMar>
              <w:top w:w="40" w:type="dxa"/>
              <w:left w:w="20" w:type="dxa"/>
              <w:bottom w:w="40" w:type="dxa"/>
              <w:right w:w="20" w:type="dxa"/>
            </w:tcMar>
            <w:vAlign w:val="bottom"/>
          </w:tcPr>
          <w:p w14:paraId="5CD8E97B" w14:textId="77777777" w:rsidR="00BA49F5" w:rsidRDefault="007E5E49">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97C" w14:textId="77777777" w:rsidR="00BA49F5" w:rsidRDefault="007E5E49">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97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97E"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97F" w14:textId="77777777" w:rsidR="00BA49F5" w:rsidRDefault="007E5E49">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980"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981"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982" w14:textId="77777777" w:rsidR="00BA49F5" w:rsidRDefault="007E5E49">
            <w:pPr>
              <w:jc w:val="right"/>
              <w:textAlignment w:val="bottom"/>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983" w14:textId="77777777" w:rsidR="00BA49F5" w:rsidRDefault="007E5E49">
            <w:pPr>
              <w:jc w:val="right"/>
              <w:textAlignment w:val="bottom"/>
            </w:pPr>
            <w:r>
              <w:rPr>
                <w:rFonts w:ascii="Times New Roman" w:eastAsia="宋体" w:hAnsi="Times New Roman"/>
                <w:color w:val="000000"/>
                <w:sz w:val="20"/>
                <w:szCs w:val="20"/>
              </w:rPr>
              <w:t>%</w:t>
            </w:r>
          </w:p>
        </w:tc>
      </w:tr>
    </w:tbl>
    <w:p w14:paraId="5CD8E985" w14:textId="77777777" w:rsidR="00BA49F5" w:rsidRDefault="007E5E49">
      <w:r>
        <w:rPr>
          <w:rFonts w:ascii="Times New Roman" w:eastAsia="宋体" w:hAnsi="Times New Roman"/>
          <w:color w:val="000000"/>
          <w:sz w:val="12"/>
          <w:szCs w:val="12"/>
        </w:rPr>
        <w:t>_________________________</w:t>
      </w:r>
    </w:p>
    <w:p w14:paraId="5CD8E986" w14:textId="77777777" w:rsidR="00BA49F5" w:rsidRDefault="007E5E49">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5CD8E987" w14:textId="77777777" w:rsidR="00BA49F5" w:rsidRDefault="00BA49F5">
      <w:pPr>
        <w:jc w:val="right"/>
      </w:pPr>
    </w:p>
    <w:p w14:paraId="5CD8E988" w14:textId="77777777" w:rsidR="00BA49F5" w:rsidRDefault="007E5E49">
      <w:pPr>
        <w:jc w:val="center"/>
      </w:pPr>
      <w:r>
        <w:rPr>
          <w:rFonts w:ascii="Times New Roman" w:eastAsia="宋体" w:hAnsi="Times New Roman"/>
          <w:color w:val="000000"/>
          <w:sz w:val="20"/>
          <w:szCs w:val="20"/>
        </w:rPr>
        <w:t>69</w:t>
      </w:r>
    </w:p>
    <w:p w14:paraId="5CD8E989" w14:textId="77777777" w:rsidR="00BA49F5" w:rsidRDefault="007E5E49">
      <w:r>
        <w:pict w14:anchorId="5CD90D3A">
          <v:rect id="_x0000_i1093" style="width:415.3pt;height:1.5pt" o:hralign="center" o:hrstd="t" o:hr="t" fillcolor="#a0a0a0" stroked="f"/>
        </w:pict>
      </w:r>
    </w:p>
    <w:p w14:paraId="5CD8E98A" w14:textId="77777777" w:rsidR="00BA49F5" w:rsidRDefault="00BA49F5"/>
    <w:p w14:paraId="5CD8E98B" w14:textId="77777777" w:rsidR="00BA49F5" w:rsidRDefault="00BA49F5"/>
    <w:p w14:paraId="5CD8E98C" w14:textId="77777777" w:rsidR="00BA49F5" w:rsidRDefault="007E5E49">
      <w:hyperlink r:id="rId218" w:anchor="i6df229dad1864210ab76200083e26819_7" w:history="1">
        <w:r>
          <w:rPr>
            <w:rStyle w:val="a5"/>
            <w:rFonts w:ascii="Times New Roman" w:eastAsia="宋体" w:hAnsi="Times New Roman"/>
            <w:sz w:val="20"/>
            <w:szCs w:val="20"/>
          </w:rPr>
          <w:t>T</w:t>
        </w:r>
      </w:hyperlink>
      <w:hyperlink r:id="rId219" w:anchor="i6df229dad1864210ab76200083e26819_7" w:history="1">
        <w:r>
          <w:rPr>
            <w:rStyle w:val="a5"/>
            <w:rFonts w:ascii="Times New Roman" w:eastAsia="宋体" w:hAnsi="Times New Roman"/>
            <w:sz w:val="20"/>
            <w:szCs w:val="20"/>
          </w:rPr>
          <w:t>able of Contents</w:t>
        </w:r>
      </w:hyperlink>
    </w:p>
    <w:p w14:paraId="5CD8E98D" w14:textId="77777777" w:rsidR="00BA49F5" w:rsidRDefault="007E5E49">
      <w:pPr>
        <w:jc w:val="both"/>
      </w:pPr>
      <w:r>
        <w:rPr>
          <w:rFonts w:ascii="Times New Roman" w:eastAsia="宋体" w:hAnsi="Times New Roman"/>
          <w:b/>
          <w:bCs/>
          <w:i/>
          <w:iCs/>
          <w:color w:val="000000"/>
          <w:sz w:val="20"/>
          <w:szCs w:val="20"/>
          <w:shd w:val="clear" w:color="auto" w:fill="FFFFFF"/>
        </w:rPr>
        <w:t>Revenue</w:t>
      </w:r>
    </w:p>
    <w:p w14:paraId="5CD8E98E" w14:textId="77777777" w:rsidR="00BA49F5" w:rsidRDefault="00BA49F5">
      <w:pPr>
        <w:jc w:val="both"/>
      </w:pPr>
    </w:p>
    <w:p w14:paraId="5CD8E98F" w14:textId="77777777" w:rsidR="00BA49F5" w:rsidRDefault="007E5E49">
      <w:pPr>
        <w:ind w:firstLine="540"/>
        <w:jc w:val="both"/>
      </w:pPr>
      <w:r>
        <w:rPr>
          <w:rFonts w:ascii="Times New Roman" w:eastAsia="宋体" w:hAnsi="Times New Roman"/>
          <w:color w:val="000000"/>
          <w:sz w:val="20"/>
          <w:szCs w:val="20"/>
        </w:rPr>
        <w:t xml:space="preserve">The following table sets forth our </w:t>
      </w:r>
      <w:r>
        <w:rPr>
          <w:rFonts w:ascii="Times New Roman" w:eastAsia="宋体" w:hAnsi="Times New Roman"/>
          <w:color w:val="000000"/>
          <w:sz w:val="20"/>
          <w:szCs w:val="20"/>
        </w:rPr>
        <w:t>revenue by source and by segment. For comparative purposes, amounts for the year ended December 31, 2020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2771"/>
        <w:gridCol w:w="36"/>
        <w:gridCol w:w="120"/>
        <w:gridCol w:w="926"/>
        <w:gridCol w:w="36"/>
        <w:gridCol w:w="36"/>
        <w:gridCol w:w="36"/>
        <w:gridCol w:w="36"/>
        <w:gridCol w:w="120"/>
        <w:gridCol w:w="874"/>
        <w:gridCol w:w="36"/>
        <w:gridCol w:w="36"/>
        <w:gridCol w:w="36"/>
        <w:gridCol w:w="36"/>
        <w:gridCol w:w="120"/>
        <w:gridCol w:w="874"/>
        <w:gridCol w:w="36"/>
        <w:gridCol w:w="36"/>
        <w:gridCol w:w="36"/>
        <w:gridCol w:w="36"/>
        <w:gridCol w:w="49"/>
        <w:gridCol w:w="722"/>
        <w:gridCol w:w="187"/>
        <w:gridCol w:w="36"/>
        <w:gridCol w:w="36"/>
        <w:gridCol w:w="36"/>
        <w:gridCol w:w="49"/>
        <w:gridCol w:w="724"/>
        <w:gridCol w:w="187"/>
      </w:tblGrid>
      <w:tr w:rsidR="00BA49F5" w14:paraId="5CD8E9AE" w14:textId="77777777">
        <w:tc>
          <w:tcPr>
            <w:tcW w:w="50" w:type="pct"/>
            <w:shd w:val="clear" w:color="auto" w:fill="auto"/>
            <w:vAlign w:val="bottom"/>
          </w:tcPr>
          <w:p w14:paraId="5CD8E990" w14:textId="77777777" w:rsidR="00BA49F5" w:rsidRDefault="00BA49F5">
            <w:pPr>
              <w:rPr>
                <w:rFonts w:ascii="宋体"/>
              </w:rPr>
            </w:pPr>
          </w:p>
        </w:tc>
        <w:tc>
          <w:tcPr>
            <w:tcW w:w="1708" w:type="pct"/>
            <w:shd w:val="clear" w:color="auto" w:fill="auto"/>
            <w:vAlign w:val="bottom"/>
          </w:tcPr>
          <w:p w14:paraId="5CD8E991" w14:textId="77777777" w:rsidR="00BA49F5" w:rsidRDefault="00BA49F5">
            <w:pPr>
              <w:rPr>
                <w:rFonts w:ascii="宋体"/>
              </w:rPr>
            </w:pPr>
          </w:p>
        </w:tc>
        <w:tc>
          <w:tcPr>
            <w:tcW w:w="5" w:type="pct"/>
            <w:shd w:val="clear" w:color="auto" w:fill="auto"/>
            <w:vAlign w:val="bottom"/>
          </w:tcPr>
          <w:p w14:paraId="5CD8E992" w14:textId="77777777" w:rsidR="00BA49F5" w:rsidRDefault="00BA49F5">
            <w:pPr>
              <w:rPr>
                <w:rFonts w:ascii="宋体"/>
              </w:rPr>
            </w:pPr>
          </w:p>
        </w:tc>
        <w:tc>
          <w:tcPr>
            <w:tcW w:w="50" w:type="pct"/>
            <w:shd w:val="clear" w:color="auto" w:fill="auto"/>
            <w:vAlign w:val="bottom"/>
          </w:tcPr>
          <w:p w14:paraId="5CD8E993" w14:textId="77777777" w:rsidR="00BA49F5" w:rsidRDefault="00BA49F5">
            <w:pPr>
              <w:rPr>
                <w:rFonts w:ascii="宋体"/>
              </w:rPr>
            </w:pPr>
          </w:p>
        </w:tc>
        <w:tc>
          <w:tcPr>
            <w:tcW w:w="592" w:type="pct"/>
            <w:shd w:val="clear" w:color="auto" w:fill="auto"/>
            <w:vAlign w:val="bottom"/>
          </w:tcPr>
          <w:p w14:paraId="5CD8E994" w14:textId="77777777" w:rsidR="00BA49F5" w:rsidRDefault="00BA49F5">
            <w:pPr>
              <w:rPr>
                <w:rFonts w:ascii="宋体"/>
              </w:rPr>
            </w:pPr>
          </w:p>
        </w:tc>
        <w:tc>
          <w:tcPr>
            <w:tcW w:w="5" w:type="pct"/>
            <w:shd w:val="clear" w:color="auto" w:fill="auto"/>
            <w:vAlign w:val="bottom"/>
          </w:tcPr>
          <w:p w14:paraId="5CD8E995" w14:textId="77777777" w:rsidR="00BA49F5" w:rsidRDefault="00BA49F5">
            <w:pPr>
              <w:rPr>
                <w:rFonts w:ascii="宋体"/>
              </w:rPr>
            </w:pPr>
          </w:p>
        </w:tc>
        <w:tc>
          <w:tcPr>
            <w:tcW w:w="5" w:type="pct"/>
            <w:shd w:val="clear" w:color="auto" w:fill="auto"/>
            <w:vAlign w:val="bottom"/>
          </w:tcPr>
          <w:p w14:paraId="5CD8E996" w14:textId="77777777" w:rsidR="00BA49F5" w:rsidRDefault="00BA49F5">
            <w:pPr>
              <w:rPr>
                <w:rFonts w:ascii="宋体"/>
              </w:rPr>
            </w:pPr>
          </w:p>
        </w:tc>
        <w:tc>
          <w:tcPr>
            <w:tcW w:w="27" w:type="pct"/>
            <w:shd w:val="clear" w:color="auto" w:fill="auto"/>
            <w:vAlign w:val="bottom"/>
          </w:tcPr>
          <w:p w14:paraId="5CD8E997" w14:textId="77777777" w:rsidR="00BA49F5" w:rsidRDefault="00BA49F5">
            <w:pPr>
              <w:rPr>
                <w:rFonts w:ascii="宋体"/>
              </w:rPr>
            </w:pPr>
          </w:p>
        </w:tc>
        <w:tc>
          <w:tcPr>
            <w:tcW w:w="5" w:type="pct"/>
            <w:shd w:val="clear" w:color="auto" w:fill="auto"/>
            <w:vAlign w:val="bottom"/>
          </w:tcPr>
          <w:p w14:paraId="5CD8E998" w14:textId="77777777" w:rsidR="00BA49F5" w:rsidRDefault="00BA49F5">
            <w:pPr>
              <w:rPr>
                <w:rFonts w:ascii="宋体"/>
              </w:rPr>
            </w:pPr>
          </w:p>
        </w:tc>
        <w:tc>
          <w:tcPr>
            <w:tcW w:w="50" w:type="pct"/>
            <w:shd w:val="clear" w:color="auto" w:fill="auto"/>
            <w:vAlign w:val="bottom"/>
          </w:tcPr>
          <w:p w14:paraId="5CD8E999" w14:textId="77777777" w:rsidR="00BA49F5" w:rsidRDefault="00BA49F5">
            <w:pPr>
              <w:rPr>
                <w:rFonts w:ascii="宋体"/>
              </w:rPr>
            </w:pPr>
          </w:p>
        </w:tc>
        <w:tc>
          <w:tcPr>
            <w:tcW w:w="592" w:type="pct"/>
            <w:shd w:val="clear" w:color="auto" w:fill="auto"/>
            <w:vAlign w:val="bottom"/>
          </w:tcPr>
          <w:p w14:paraId="5CD8E99A" w14:textId="77777777" w:rsidR="00BA49F5" w:rsidRDefault="00BA49F5">
            <w:pPr>
              <w:rPr>
                <w:rFonts w:ascii="宋体"/>
              </w:rPr>
            </w:pPr>
          </w:p>
        </w:tc>
        <w:tc>
          <w:tcPr>
            <w:tcW w:w="5" w:type="pct"/>
            <w:shd w:val="clear" w:color="auto" w:fill="auto"/>
            <w:vAlign w:val="bottom"/>
          </w:tcPr>
          <w:p w14:paraId="5CD8E99B" w14:textId="77777777" w:rsidR="00BA49F5" w:rsidRDefault="00BA49F5">
            <w:pPr>
              <w:rPr>
                <w:rFonts w:ascii="宋体"/>
              </w:rPr>
            </w:pPr>
          </w:p>
        </w:tc>
        <w:tc>
          <w:tcPr>
            <w:tcW w:w="5" w:type="pct"/>
            <w:shd w:val="clear" w:color="auto" w:fill="auto"/>
            <w:vAlign w:val="bottom"/>
          </w:tcPr>
          <w:p w14:paraId="5CD8E99C" w14:textId="77777777" w:rsidR="00BA49F5" w:rsidRDefault="00BA49F5">
            <w:pPr>
              <w:rPr>
                <w:rFonts w:ascii="宋体"/>
              </w:rPr>
            </w:pPr>
          </w:p>
        </w:tc>
        <w:tc>
          <w:tcPr>
            <w:tcW w:w="27" w:type="pct"/>
            <w:shd w:val="clear" w:color="auto" w:fill="auto"/>
            <w:vAlign w:val="bottom"/>
          </w:tcPr>
          <w:p w14:paraId="5CD8E99D" w14:textId="77777777" w:rsidR="00BA49F5" w:rsidRDefault="00BA49F5">
            <w:pPr>
              <w:rPr>
                <w:rFonts w:ascii="宋体"/>
              </w:rPr>
            </w:pPr>
          </w:p>
        </w:tc>
        <w:tc>
          <w:tcPr>
            <w:tcW w:w="5" w:type="pct"/>
            <w:shd w:val="clear" w:color="auto" w:fill="auto"/>
            <w:vAlign w:val="bottom"/>
          </w:tcPr>
          <w:p w14:paraId="5CD8E99E" w14:textId="77777777" w:rsidR="00BA49F5" w:rsidRDefault="00BA49F5">
            <w:pPr>
              <w:rPr>
                <w:rFonts w:ascii="宋体"/>
              </w:rPr>
            </w:pPr>
          </w:p>
        </w:tc>
        <w:tc>
          <w:tcPr>
            <w:tcW w:w="50" w:type="pct"/>
            <w:shd w:val="clear" w:color="auto" w:fill="auto"/>
            <w:vAlign w:val="bottom"/>
          </w:tcPr>
          <w:p w14:paraId="5CD8E99F" w14:textId="77777777" w:rsidR="00BA49F5" w:rsidRDefault="00BA49F5">
            <w:pPr>
              <w:rPr>
                <w:rFonts w:ascii="宋体"/>
              </w:rPr>
            </w:pPr>
          </w:p>
        </w:tc>
        <w:tc>
          <w:tcPr>
            <w:tcW w:w="592" w:type="pct"/>
            <w:shd w:val="clear" w:color="auto" w:fill="auto"/>
            <w:vAlign w:val="bottom"/>
          </w:tcPr>
          <w:p w14:paraId="5CD8E9A0" w14:textId="77777777" w:rsidR="00BA49F5" w:rsidRDefault="00BA49F5">
            <w:pPr>
              <w:rPr>
                <w:rFonts w:ascii="宋体"/>
              </w:rPr>
            </w:pPr>
          </w:p>
        </w:tc>
        <w:tc>
          <w:tcPr>
            <w:tcW w:w="5" w:type="pct"/>
            <w:shd w:val="clear" w:color="auto" w:fill="auto"/>
            <w:vAlign w:val="bottom"/>
          </w:tcPr>
          <w:p w14:paraId="5CD8E9A1" w14:textId="77777777" w:rsidR="00BA49F5" w:rsidRDefault="00BA49F5">
            <w:pPr>
              <w:rPr>
                <w:rFonts w:ascii="宋体"/>
              </w:rPr>
            </w:pPr>
          </w:p>
        </w:tc>
        <w:tc>
          <w:tcPr>
            <w:tcW w:w="5" w:type="pct"/>
            <w:shd w:val="clear" w:color="auto" w:fill="auto"/>
            <w:vAlign w:val="bottom"/>
          </w:tcPr>
          <w:p w14:paraId="5CD8E9A2" w14:textId="77777777" w:rsidR="00BA49F5" w:rsidRDefault="00BA49F5">
            <w:pPr>
              <w:rPr>
                <w:rFonts w:ascii="宋体"/>
              </w:rPr>
            </w:pPr>
          </w:p>
        </w:tc>
        <w:tc>
          <w:tcPr>
            <w:tcW w:w="27" w:type="pct"/>
            <w:shd w:val="clear" w:color="auto" w:fill="auto"/>
            <w:vAlign w:val="bottom"/>
          </w:tcPr>
          <w:p w14:paraId="5CD8E9A3" w14:textId="77777777" w:rsidR="00BA49F5" w:rsidRDefault="00BA49F5">
            <w:pPr>
              <w:rPr>
                <w:rFonts w:ascii="宋体"/>
              </w:rPr>
            </w:pPr>
          </w:p>
        </w:tc>
        <w:tc>
          <w:tcPr>
            <w:tcW w:w="5" w:type="pct"/>
            <w:shd w:val="clear" w:color="auto" w:fill="auto"/>
            <w:vAlign w:val="bottom"/>
          </w:tcPr>
          <w:p w14:paraId="5CD8E9A4" w14:textId="77777777" w:rsidR="00BA49F5" w:rsidRDefault="00BA49F5">
            <w:pPr>
              <w:rPr>
                <w:rFonts w:ascii="宋体"/>
              </w:rPr>
            </w:pPr>
          </w:p>
        </w:tc>
        <w:tc>
          <w:tcPr>
            <w:tcW w:w="50" w:type="pct"/>
            <w:shd w:val="clear" w:color="auto" w:fill="auto"/>
            <w:vAlign w:val="bottom"/>
          </w:tcPr>
          <w:p w14:paraId="5CD8E9A5" w14:textId="77777777" w:rsidR="00BA49F5" w:rsidRDefault="00BA49F5">
            <w:pPr>
              <w:rPr>
                <w:rFonts w:ascii="宋体"/>
              </w:rPr>
            </w:pPr>
          </w:p>
        </w:tc>
        <w:tc>
          <w:tcPr>
            <w:tcW w:w="517" w:type="pct"/>
            <w:shd w:val="clear" w:color="auto" w:fill="auto"/>
            <w:vAlign w:val="bottom"/>
          </w:tcPr>
          <w:p w14:paraId="5CD8E9A6" w14:textId="77777777" w:rsidR="00BA49F5" w:rsidRDefault="00BA49F5">
            <w:pPr>
              <w:rPr>
                <w:rFonts w:ascii="宋体"/>
              </w:rPr>
            </w:pPr>
          </w:p>
        </w:tc>
        <w:tc>
          <w:tcPr>
            <w:tcW w:w="5" w:type="pct"/>
            <w:shd w:val="clear" w:color="auto" w:fill="auto"/>
            <w:vAlign w:val="bottom"/>
          </w:tcPr>
          <w:p w14:paraId="5CD8E9A7" w14:textId="77777777" w:rsidR="00BA49F5" w:rsidRDefault="00BA49F5">
            <w:pPr>
              <w:rPr>
                <w:rFonts w:ascii="宋体"/>
              </w:rPr>
            </w:pPr>
          </w:p>
        </w:tc>
        <w:tc>
          <w:tcPr>
            <w:tcW w:w="5" w:type="pct"/>
            <w:shd w:val="clear" w:color="auto" w:fill="auto"/>
            <w:vAlign w:val="bottom"/>
          </w:tcPr>
          <w:p w14:paraId="5CD8E9A8" w14:textId="77777777" w:rsidR="00BA49F5" w:rsidRDefault="00BA49F5">
            <w:pPr>
              <w:rPr>
                <w:rFonts w:ascii="宋体"/>
              </w:rPr>
            </w:pPr>
          </w:p>
        </w:tc>
        <w:tc>
          <w:tcPr>
            <w:tcW w:w="27" w:type="pct"/>
            <w:shd w:val="clear" w:color="auto" w:fill="auto"/>
            <w:vAlign w:val="bottom"/>
          </w:tcPr>
          <w:p w14:paraId="5CD8E9A9" w14:textId="77777777" w:rsidR="00BA49F5" w:rsidRDefault="00BA49F5">
            <w:pPr>
              <w:rPr>
                <w:rFonts w:ascii="宋体"/>
              </w:rPr>
            </w:pPr>
          </w:p>
        </w:tc>
        <w:tc>
          <w:tcPr>
            <w:tcW w:w="5" w:type="pct"/>
            <w:shd w:val="clear" w:color="auto" w:fill="auto"/>
            <w:vAlign w:val="bottom"/>
          </w:tcPr>
          <w:p w14:paraId="5CD8E9AA" w14:textId="77777777" w:rsidR="00BA49F5" w:rsidRDefault="00BA49F5">
            <w:pPr>
              <w:rPr>
                <w:rFonts w:ascii="宋体"/>
              </w:rPr>
            </w:pPr>
          </w:p>
        </w:tc>
        <w:tc>
          <w:tcPr>
            <w:tcW w:w="50" w:type="pct"/>
            <w:shd w:val="clear" w:color="auto" w:fill="auto"/>
            <w:vAlign w:val="bottom"/>
          </w:tcPr>
          <w:p w14:paraId="5CD8E9AB" w14:textId="77777777" w:rsidR="00BA49F5" w:rsidRDefault="00BA49F5">
            <w:pPr>
              <w:rPr>
                <w:rFonts w:ascii="宋体"/>
              </w:rPr>
            </w:pPr>
          </w:p>
        </w:tc>
        <w:tc>
          <w:tcPr>
            <w:tcW w:w="518" w:type="pct"/>
            <w:shd w:val="clear" w:color="auto" w:fill="auto"/>
            <w:vAlign w:val="bottom"/>
          </w:tcPr>
          <w:p w14:paraId="5CD8E9AC" w14:textId="77777777" w:rsidR="00BA49F5" w:rsidRDefault="00BA49F5">
            <w:pPr>
              <w:rPr>
                <w:rFonts w:ascii="宋体"/>
              </w:rPr>
            </w:pPr>
          </w:p>
        </w:tc>
        <w:tc>
          <w:tcPr>
            <w:tcW w:w="5" w:type="pct"/>
            <w:shd w:val="clear" w:color="auto" w:fill="auto"/>
            <w:vAlign w:val="bottom"/>
          </w:tcPr>
          <w:p w14:paraId="5CD8E9AD" w14:textId="77777777" w:rsidR="00BA49F5" w:rsidRDefault="00BA49F5">
            <w:pPr>
              <w:rPr>
                <w:rFonts w:ascii="宋体"/>
              </w:rPr>
            </w:pPr>
          </w:p>
        </w:tc>
      </w:tr>
      <w:tr w:rsidR="00BA49F5" w14:paraId="5CD8E9B5" w14:textId="77777777">
        <w:tc>
          <w:tcPr>
            <w:tcW w:w="0" w:type="auto"/>
            <w:gridSpan w:val="3"/>
            <w:shd w:val="clear" w:color="auto" w:fill="auto"/>
            <w:tcMar>
              <w:top w:w="40" w:type="dxa"/>
              <w:left w:w="20" w:type="dxa"/>
              <w:bottom w:w="40" w:type="dxa"/>
              <w:right w:w="20" w:type="dxa"/>
            </w:tcMar>
            <w:vAlign w:val="bottom"/>
          </w:tcPr>
          <w:p w14:paraId="5CD8E9AF"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8E9B0"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9B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B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B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B4" w14:textId="77777777" w:rsidR="00BA49F5" w:rsidRDefault="00BA49F5">
            <w:pPr>
              <w:rPr>
                <w:rFonts w:ascii="宋体"/>
              </w:rPr>
            </w:pPr>
          </w:p>
        </w:tc>
      </w:tr>
      <w:tr w:rsidR="00BA49F5" w14:paraId="5CD8E9C0" w14:textId="77777777">
        <w:tc>
          <w:tcPr>
            <w:tcW w:w="0" w:type="auto"/>
            <w:gridSpan w:val="3"/>
            <w:shd w:val="clear" w:color="auto" w:fill="auto"/>
            <w:tcMar>
              <w:top w:w="40" w:type="dxa"/>
              <w:left w:w="20" w:type="dxa"/>
              <w:bottom w:w="40" w:type="dxa"/>
              <w:right w:w="20" w:type="dxa"/>
            </w:tcMar>
            <w:vAlign w:val="bottom"/>
          </w:tcPr>
          <w:p w14:paraId="5CD8E9B6"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9B7"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B8"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9B9"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BA"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9BB"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9B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9BD"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9B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9BF"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9CB" w14:textId="77777777">
        <w:trPr>
          <w:trHeight w:val="60"/>
        </w:trPr>
        <w:tc>
          <w:tcPr>
            <w:tcW w:w="0" w:type="auto"/>
            <w:gridSpan w:val="3"/>
            <w:shd w:val="clear" w:color="auto" w:fill="auto"/>
            <w:tcMar>
              <w:top w:w="0" w:type="dxa"/>
              <w:left w:w="20" w:type="dxa"/>
              <w:bottom w:w="0" w:type="dxa"/>
              <w:right w:w="20" w:type="dxa"/>
            </w:tcMar>
            <w:vAlign w:val="bottom"/>
          </w:tcPr>
          <w:p w14:paraId="5CD8E9C1"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C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C3"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C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C5"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C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C7"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C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9C9"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9CA" w14:textId="77777777" w:rsidR="00BA49F5" w:rsidRDefault="00BA49F5">
            <w:pPr>
              <w:rPr>
                <w:rFonts w:ascii="宋体"/>
              </w:rPr>
            </w:pPr>
          </w:p>
        </w:tc>
      </w:tr>
      <w:tr w:rsidR="00BA49F5" w14:paraId="5CD8E9CE" w14:textId="77777777">
        <w:tc>
          <w:tcPr>
            <w:tcW w:w="0" w:type="auto"/>
            <w:gridSpan w:val="3"/>
            <w:shd w:val="clear" w:color="auto" w:fill="auto"/>
            <w:tcMar>
              <w:top w:w="0" w:type="dxa"/>
              <w:left w:w="20" w:type="dxa"/>
              <w:bottom w:w="0" w:type="dxa"/>
              <w:right w:w="20" w:type="dxa"/>
            </w:tcMar>
            <w:vAlign w:val="bottom"/>
          </w:tcPr>
          <w:p w14:paraId="5CD8E9CC"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9CD"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9E1" w14:textId="77777777">
        <w:tc>
          <w:tcPr>
            <w:tcW w:w="0" w:type="auto"/>
            <w:gridSpan w:val="3"/>
            <w:shd w:val="clear" w:color="auto" w:fill="CCEEFF"/>
            <w:tcMar>
              <w:top w:w="40" w:type="dxa"/>
              <w:left w:w="200" w:type="dxa"/>
              <w:bottom w:w="40" w:type="dxa"/>
              <w:right w:w="20" w:type="dxa"/>
            </w:tcMar>
            <w:vAlign w:val="bottom"/>
          </w:tcPr>
          <w:p w14:paraId="5CD8E9CF" w14:textId="77777777" w:rsidR="00BA49F5" w:rsidRDefault="007E5E49">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5CD8E9D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9D1" w14:textId="77777777" w:rsidR="00BA49F5" w:rsidRDefault="007E5E49">
            <w:pPr>
              <w:jc w:val="right"/>
              <w:textAlignment w:val="bottom"/>
            </w:pPr>
            <w:r>
              <w:rPr>
                <w:rFonts w:ascii="Times New Roman" w:eastAsia="宋体" w:hAnsi="Times New Roman"/>
                <w:color w:val="000000"/>
                <w:sz w:val="20"/>
                <w:szCs w:val="20"/>
              </w:rPr>
              <w:t>113,642 </w:t>
            </w:r>
          </w:p>
        </w:tc>
        <w:tc>
          <w:tcPr>
            <w:tcW w:w="0" w:type="auto"/>
            <w:shd w:val="clear" w:color="auto" w:fill="CCEEFF"/>
            <w:tcMar>
              <w:top w:w="40" w:type="dxa"/>
              <w:left w:w="0" w:type="dxa"/>
              <w:bottom w:w="40" w:type="dxa"/>
              <w:right w:w="20" w:type="dxa"/>
            </w:tcMar>
            <w:vAlign w:val="bottom"/>
          </w:tcPr>
          <w:p w14:paraId="5CD8E9D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D3"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9D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9D5" w14:textId="77777777" w:rsidR="00BA49F5" w:rsidRDefault="007E5E49">
            <w:pPr>
              <w:jc w:val="right"/>
              <w:textAlignment w:val="bottom"/>
            </w:pPr>
            <w:r>
              <w:rPr>
                <w:rFonts w:ascii="Times New Roman" w:eastAsia="宋体" w:hAnsi="Times New Roman"/>
                <w:color w:val="000000"/>
                <w:sz w:val="20"/>
                <w:szCs w:val="20"/>
              </w:rPr>
              <w:t>114,934 </w:t>
            </w:r>
          </w:p>
        </w:tc>
        <w:tc>
          <w:tcPr>
            <w:tcW w:w="0" w:type="auto"/>
            <w:shd w:val="clear" w:color="auto" w:fill="CCEEFF"/>
            <w:tcMar>
              <w:top w:w="40" w:type="dxa"/>
              <w:left w:w="0" w:type="dxa"/>
              <w:bottom w:w="40" w:type="dxa"/>
              <w:right w:w="20" w:type="dxa"/>
            </w:tcMar>
            <w:vAlign w:val="bottom"/>
          </w:tcPr>
          <w:p w14:paraId="5CD8E9D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D7"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9D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9D9" w14:textId="77777777" w:rsidR="00BA49F5" w:rsidRDefault="007E5E49">
            <w:pPr>
              <w:jc w:val="right"/>
              <w:textAlignment w:val="bottom"/>
            </w:pPr>
            <w:r>
              <w:rPr>
                <w:rFonts w:ascii="Times New Roman" w:eastAsia="宋体" w:hAnsi="Times New Roman"/>
                <w:color w:val="000000"/>
                <w:sz w:val="20"/>
                <w:szCs w:val="20"/>
              </w:rPr>
              <w:t>84,169 </w:t>
            </w:r>
          </w:p>
        </w:tc>
        <w:tc>
          <w:tcPr>
            <w:tcW w:w="0" w:type="auto"/>
            <w:shd w:val="clear" w:color="auto" w:fill="CCEEFF"/>
            <w:tcMar>
              <w:top w:w="40" w:type="dxa"/>
              <w:left w:w="0" w:type="dxa"/>
              <w:bottom w:w="40" w:type="dxa"/>
              <w:right w:w="20" w:type="dxa"/>
            </w:tcMar>
            <w:vAlign w:val="bottom"/>
          </w:tcPr>
          <w:p w14:paraId="5CD8E9D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D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DC" w14:textId="77777777" w:rsidR="00BA49F5" w:rsidRDefault="007E5E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CD8E9D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9D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DF" w14:textId="77777777" w:rsidR="00BA49F5" w:rsidRDefault="007E5E49">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5CD8E9E0"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9F1" w14:textId="77777777">
        <w:tc>
          <w:tcPr>
            <w:tcW w:w="0" w:type="auto"/>
            <w:gridSpan w:val="3"/>
            <w:shd w:val="clear" w:color="auto" w:fill="FFFFFF"/>
            <w:tcMar>
              <w:top w:w="40" w:type="dxa"/>
              <w:left w:w="200" w:type="dxa"/>
              <w:bottom w:w="40" w:type="dxa"/>
              <w:right w:w="20" w:type="dxa"/>
            </w:tcMar>
            <w:vAlign w:val="bottom"/>
          </w:tcPr>
          <w:p w14:paraId="5CD8E9E2" w14:textId="77777777" w:rsidR="00BA49F5" w:rsidRDefault="007E5E49">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5CD8E9E3" w14:textId="77777777" w:rsidR="00BA49F5" w:rsidRDefault="007E5E49">
            <w:pPr>
              <w:jc w:val="right"/>
              <w:textAlignment w:val="bottom"/>
            </w:pPr>
            <w:r>
              <w:rPr>
                <w:rFonts w:ascii="Times New Roman" w:eastAsia="宋体" w:hAnsi="Times New Roman"/>
                <w:color w:val="000000"/>
                <w:sz w:val="20"/>
                <w:szCs w:val="20"/>
              </w:rPr>
              <w:t>808 </w:t>
            </w:r>
          </w:p>
        </w:tc>
        <w:tc>
          <w:tcPr>
            <w:tcW w:w="0" w:type="auto"/>
            <w:shd w:val="clear" w:color="auto" w:fill="FFFFFF"/>
            <w:tcMar>
              <w:top w:w="40" w:type="dxa"/>
              <w:left w:w="0" w:type="dxa"/>
              <w:bottom w:w="40" w:type="dxa"/>
              <w:right w:w="20" w:type="dxa"/>
            </w:tcMar>
            <w:vAlign w:val="bottom"/>
          </w:tcPr>
          <w:p w14:paraId="5CD8E9E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E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E6" w14:textId="77777777" w:rsidR="00BA49F5" w:rsidRDefault="007E5E49">
            <w:pPr>
              <w:jc w:val="right"/>
              <w:textAlignment w:val="bottom"/>
            </w:pPr>
            <w:r>
              <w:rPr>
                <w:rFonts w:ascii="Times New Roman" w:eastAsia="宋体" w:hAnsi="Times New Roman"/>
                <w:color w:val="000000"/>
                <w:sz w:val="20"/>
                <w:szCs w:val="20"/>
              </w:rPr>
              <w:t>721 </w:t>
            </w:r>
          </w:p>
        </w:tc>
        <w:tc>
          <w:tcPr>
            <w:tcW w:w="0" w:type="auto"/>
            <w:shd w:val="clear" w:color="auto" w:fill="FFFFFF"/>
            <w:tcMar>
              <w:top w:w="40" w:type="dxa"/>
              <w:left w:w="0" w:type="dxa"/>
              <w:bottom w:w="40" w:type="dxa"/>
              <w:right w:w="20" w:type="dxa"/>
            </w:tcMar>
            <w:vAlign w:val="bottom"/>
          </w:tcPr>
          <w:p w14:paraId="5CD8E9E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E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E9" w14:textId="77777777" w:rsidR="00BA49F5" w:rsidRDefault="007E5E49">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5CD8E9E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9E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EC" w14:textId="77777777" w:rsidR="00BA49F5" w:rsidRDefault="007E5E4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5CD8E9E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9E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9EF" w14:textId="77777777" w:rsidR="00BA49F5" w:rsidRDefault="007E5E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5CD8E9F0"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A01" w14:textId="77777777">
        <w:tc>
          <w:tcPr>
            <w:tcW w:w="0" w:type="auto"/>
            <w:gridSpan w:val="3"/>
            <w:shd w:val="clear" w:color="auto" w:fill="CCEEFF"/>
            <w:tcMar>
              <w:top w:w="40" w:type="dxa"/>
              <w:left w:w="20" w:type="dxa"/>
              <w:bottom w:w="40" w:type="dxa"/>
              <w:right w:w="20" w:type="dxa"/>
            </w:tcMar>
            <w:vAlign w:val="bottom"/>
          </w:tcPr>
          <w:p w14:paraId="5CD8E9F2" w14:textId="77777777" w:rsidR="00BA49F5" w:rsidRDefault="007E5E49">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F3" w14:textId="77777777" w:rsidR="00BA49F5" w:rsidRDefault="007E5E49">
            <w:pPr>
              <w:jc w:val="right"/>
              <w:textAlignment w:val="bottom"/>
            </w:pPr>
            <w:r>
              <w:rPr>
                <w:rFonts w:ascii="Times New Roman" w:eastAsia="宋体" w:hAnsi="Times New Roman"/>
                <w:color w:val="000000"/>
                <w:sz w:val="20"/>
                <w:szCs w:val="20"/>
              </w:rPr>
              <w:t>114,450 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F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F5"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F6" w14:textId="77777777" w:rsidR="00BA49F5" w:rsidRDefault="007E5E49">
            <w:pPr>
              <w:jc w:val="right"/>
              <w:textAlignment w:val="bottom"/>
            </w:pPr>
            <w:r>
              <w:rPr>
                <w:rFonts w:ascii="Times New Roman" w:eastAsia="宋体" w:hAnsi="Times New Roman"/>
                <w:color w:val="000000"/>
                <w:sz w:val="20"/>
                <w:szCs w:val="20"/>
              </w:rPr>
              <w:t>115,655 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F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F8"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9F9" w14:textId="77777777" w:rsidR="00BA49F5" w:rsidRDefault="007E5E49">
            <w:pPr>
              <w:jc w:val="right"/>
              <w:textAlignment w:val="bottom"/>
            </w:pPr>
            <w:r>
              <w:rPr>
                <w:rFonts w:ascii="Times New Roman" w:eastAsia="宋体" w:hAnsi="Times New Roman"/>
                <w:color w:val="000000"/>
                <w:sz w:val="20"/>
                <w:szCs w:val="20"/>
              </w:rPr>
              <w:t>84,826 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9F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9F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FC" w14:textId="77777777" w:rsidR="00BA49F5" w:rsidRDefault="007E5E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CD8E9F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9F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9FF" w14:textId="77777777" w:rsidR="00BA49F5" w:rsidRDefault="007E5E49">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5CD8EA00"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A11" w14:textId="77777777">
        <w:tc>
          <w:tcPr>
            <w:tcW w:w="0" w:type="auto"/>
            <w:gridSpan w:val="3"/>
            <w:shd w:val="clear" w:color="auto" w:fill="FFFFFF"/>
            <w:tcMar>
              <w:top w:w="40" w:type="dxa"/>
              <w:left w:w="20" w:type="dxa"/>
              <w:bottom w:w="40" w:type="dxa"/>
              <w:right w:w="20" w:type="dxa"/>
            </w:tcMar>
            <w:vAlign w:val="bottom"/>
          </w:tcPr>
          <w:p w14:paraId="5CD8EA02" w14:textId="77777777" w:rsidR="00BA49F5" w:rsidRDefault="007E5E49">
            <w:pPr>
              <w:textAlignment w:val="bottom"/>
            </w:pPr>
            <w:r>
              <w:rPr>
                <w:rFonts w:ascii="Times New Roman" w:eastAsia="宋体" w:hAnsi="Times New Roman"/>
                <w:color w:val="000000"/>
                <w:sz w:val="20"/>
                <w:szCs w:val="20"/>
              </w:rPr>
              <w:t xml:space="preserve">Reality </w:t>
            </w:r>
            <w:r>
              <w:rPr>
                <w:rFonts w:ascii="Times New Roman" w:eastAsia="宋体" w:hAnsi="Times New Roman"/>
                <w:color w:val="000000"/>
                <w:sz w:val="20"/>
                <w:szCs w:val="20"/>
              </w:rPr>
              <w:t>Labs</w:t>
            </w:r>
          </w:p>
        </w:tc>
        <w:tc>
          <w:tcPr>
            <w:tcW w:w="0" w:type="auto"/>
            <w:gridSpan w:val="2"/>
            <w:shd w:val="clear" w:color="auto" w:fill="FFFFFF"/>
            <w:tcMar>
              <w:top w:w="40" w:type="dxa"/>
              <w:left w:w="20" w:type="dxa"/>
              <w:bottom w:w="40" w:type="dxa"/>
              <w:right w:w="0" w:type="dxa"/>
            </w:tcMar>
            <w:vAlign w:val="bottom"/>
          </w:tcPr>
          <w:p w14:paraId="5CD8EA03" w14:textId="77777777" w:rsidR="00BA49F5" w:rsidRDefault="007E5E49">
            <w:pPr>
              <w:jc w:val="right"/>
              <w:textAlignment w:val="bottom"/>
            </w:pPr>
            <w:r>
              <w:rPr>
                <w:rFonts w:ascii="Times New Roman" w:eastAsia="宋体" w:hAnsi="Times New Roman"/>
                <w:color w:val="000000"/>
                <w:sz w:val="20"/>
                <w:szCs w:val="20"/>
              </w:rPr>
              <w:t>2,159 </w:t>
            </w:r>
          </w:p>
        </w:tc>
        <w:tc>
          <w:tcPr>
            <w:tcW w:w="0" w:type="auto"/>
            <w:shd w:val="clear" w:color="auto" w:fill="FFFFFF"/>
            <w:tcMar>
              <w:top w:w="40" w:type="dxa"/>
              <w:left w:w="0" w:type="dxa"/>
              <w:bottom w:w="40" w:type="dxa"/>
              <w:right w:w="20" w:type="dxa"/>
            </w:tcMar>
            <w:vAlign w:val="bottom"/>
          </w:tcPr>
          <w:p w14:paraId="5CD8EA0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A0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06" w14:textId="77777777" w:rsidR="00BA49F5" w:rsidRDefault="007E5E49">
            <w:pPr>
              <w:jc w:val="right"/>
              <w:textAlignment w:val="bottom"/>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bottom"/>
          </w:tcPr>
          <w:p w14:paraId="5CD8EA0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A0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09" w14:textId="77777777" w:rsidR="00BA49F5" w:rsidRDefault="007E5E49">
            <w:pPr>
              <w:jc w:val="right"/>
              <w:textAlignment w:val="bottom"/>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vAlign w:val="bottom"/>
          </w:tcPr>
          <w:p w14:paraId="5CD8EA0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A0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0C" w14:textId="77777777" w:rsidR="00BA49F5" w:rsidRDefault="007E5E49">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5CD8EA0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A0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0F" w14:textId="77777777" w:rsidR="00BA49F5" w:rsidRDefault="007E5E49">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5CD8EA10"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A24" w14:textId="77777777">
        <w:tc>
          <w:tcPr>
            <w:tcW w:w="0" w:type="auto"/>
            <w:gridSpan w:val="3"/>
            <w:shd w:val="clear" w:color="auto" w:fill="CCEEFF"/>
            <w:tcMar>
              <w:top w:w="40" w:type="dxa"/>
              <w:left w:w="380" w:type="dxa"/>
              <w:bottom w:w="40" w:type="dxa"/>
              <w:right w:w="20" w:type="dxa"/>
            </w:tcMar>
            <w:vAlign w:val="bottom"/>
          </w:tcPr>
          <w:p w14:paraId="5CD8EA12" w14:textId="77777777" w:rsidR="00BA49F5" w:rsidRDefault="007E5E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A1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A14"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A1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16"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A1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A18"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A1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1A"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A1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A1C"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A1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1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1F" w14:textId="77777777" w:rsidR="00BA49F5" w:rsidRDefault="007E5E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CD8EA20"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A2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22" w14:textId="77777777" w:rsidR="00BA49F5" w:rsidRDefault="007E5E49">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5CD8EA23" w14:textId="77777777" w:rsidR="00BA49F5" w:rsidRDefault="007E5E49">
            <w:pPr>
              <w:jc w:val="right"/>
              <w:textAlignment w:val="bottom"/>
            </w:pPr>
            <w:r>
              <w:rPr>
                <w:rFonts w:ascii="Times New Roman" w:eastAsia="宋体" w:hAnsi="Times New Roman"/>
                <w:color w:val="000000"/>
                <w:sz w:val="20"/>
                <w:szCs w:val="20"/>
              </w:rPr>
              <w:t>%</w:t>
            </w:r>
          </w:p>
        </w:tc>
      </w:tr>
    </w:tbl>
    <w:p w14:paraId="5CD8EA25" w14:textId="77777777" w:rsidR="00BA49F5" w:rsidRDefault="00BA49F5">
      <w:pPr>
        <w:ind w:firstLine="540"/>
      </w:pPr>
    </w:p>
    <w:p w14:paraId="5CD8EA26" w14:textId="77777777" w:rsidR="00BA49F5" w:rsidRDefault="007E5E49">
      <w:pPr>
        <w:ind w:firstLine="540"/>
        <w:jc w:val="both"/>
      </w:pPr>
      <w:r>
        <w:rPr>
          <w:rFonts w:ascii="Times New Roman" w:eastAsia="宋体" w:hAnsi="Times New Roman"/>
          <w:b/>
          <w:bCs/>
          <w:i/>
          <w:iCs/>
          <w:color w:val="000000"/>
          <w:sz w:val="20"/>
          <w:szCs w:val="20"/>
        </w:rPr>
        <w:t>Family of Apps</w:t>
      </w:r>
    </w:p>
    <w:p w14:paraId="5CD8EA27" w14:textId="77777777" w:rsidR="00BA49F5" w:rsidRDefault="00BA49F5">
      <w:pPr>
        <w:jc w:val="both"/>
      </w:pPr>
    </w:p>
    <w:p w14:paraId="5CD8EA28" w14:textId="77777777" w:rsidR="00BA49F5" w:rsidRDefault="007E5E49">
      <w:pPr>
        <w:ind w:firstLine="540"/>
        <w:jc w:val="both"/>
      </w:pPr>
      <w:r>
        <w:rPr>
          <w:rFonts w:ascii="Times New Roman" w:eastAsia="宋体" w:hAnsi="Times New Roman"/>
          <w:color w:val="000000"/>
          <w:sz w:val="20"/>
          <w:szCs w:val="20"/>
        </w:rPr>
        <w:t>FoA revenue in 2022 decreased $1.21 billion, or 1%, compared</w:t>
      </w:r>
      <w:r>
        <w:rPr>
          <w:rFonts w:ascii="Times New Roman" w:eastAsia="宋体" w:hAnsi="Times New Roman"/>
          <w:color w:val="000000"/>
          <w:sz w:val="20"/>
          <w:szCs w:val="20"/>
        </w:rPr>
        <w:t xml:space="preserve"> to 2021. The decrease was mostly driven by advertising revenue.</w:t>
      </w:r>
    </w:p>
    <w:p w14:paraId="5CD8EA29" w14:textId="77777777" w:rsidR="00BA49F5" w:rsidRDefault="00BA49F5">
      <w:pPr>
        <w:ind w:firstLine="495"/>
        <w:jc w:val="both"/>
      </w:pPr>
    </w:p>
    <w:p w14:paraId="5CD8EA2A" w14:textId="77777777" w:rsidR="00BA49F5" w:rsidRDefault="007E5E49">
      <w:pPr>
        <w:ind w:firstLine="540"/>
        <w:jc w:val="both"/>
      </w:pPr>
      <w:r>
        <w:rPr>
          <w:rFonts w:ascii="Times New Roman" w:eastAsia="宋体" w:hAnsi="Times New Roman"/>
          <w:i/>
          <w:iCs/>
          <w:color w:val="000000"/>
          <w:sz w:val="20"/>
          <w:szCs w:val="20"/>
        </w:rPr>
        <w:t>Advertising</w:t>
      </w:r>
    </w:p>
    <w:p w14:paraId="5CD8EA2B" w14:textId="77777777" w:rsidR="00BA49F5" w:rsidRDefault="00BA49F5">
      <w:pPr>
        <w:ind w:firstLine="540"/>
        <w:jc w:val="both"/>
      </w:pPr>
    </w:p>
    <w:p w14:paraId="5CD8EA2C" w14:textId="77777777" w:rsidR="00BA49F5" w:rsidRDefault="007E5E49">
      <w:pPr>
        <w:ind w:firstLine="540"/>
        <w:jc w:val="both"/>
      </w:pPr>
      <w:r>
        <w:rPr>
          <w:rFonts w:ascii="Times New Roman" w:eastAsia="宋体" w:hAnsi="Times New Roman"/>
          <w:color w:val="000000"/>
          <w:sz w:val="20"/>
          <w:szCs w:val="20"/>
        </w:rPr>
        <w:t xml:space="preserve">Advertising revenue in 2022 decreased $1.29 billion, or 1%, compared to 2021 due to a decrease in the average price per ad, partially offset by an increase in the number of ads </w:t>
      </w:r>
      <w:r>
        <w:rPr>
          <w:rFonts w:ascii="Times New Roman" w:eastAsia="宋体" w:hAnsi="Times New Roman"/>
          <w:color w:val="000000"/>
          <w:sz w:val="20"/>
          <w:szCs w:val="20"/>
        </w:rPr>
        <w:t>delivered. In 2022, the average price per ad decreased by 16%, as compared with an increase of 24% in 2021. The decrease in average price per ad was driven by an increase in the number of ads delivered, especially in geographies and in products such as vid</w:t>
      </w:r>
      <w:r>
        <w:rPr>
          <w:rFonts w:ascii="Times New Roman" w:eastAsia="宋体" w:hAnsi="Times New Roman"/>
          <w:color w:val="000000"/>
          <w:sz w:val="20"/>
          <w:szCs w:val="20"/>
        </w:rPr>
        <w:t>eo and Reels that monetize at lower rates, and an unfavorable foreign exchange impact. In addition, the decrease in average price per ad was impacted by a reduction in advertising demand, which we believe was primarily driven by reduced marketer spending a</w:t>
      </w:r>
      <w:r>
        <w:rPr>
          <w:rFonts w:ascii="Times New Roman" w:eastAsia="宋体" w:hAnsi="Times New Roman"/>
          <w:color w:val="000000"/>
          <w:sz w:val="20"/>
          <w:szCs w:val="20"/>
        </w:rPr>
        <w:t>s a result of a more challenging macroeconomic environment and limitations on our ad targeting and measurement tools arising from changes to iOS and the regulatory environment, as well as, to a lesser extent, the other factors discussed in the section enti</w:t>
      </w:r>
      <w:r>
        <w:rPr>
          <w:rFonts w:ascii="Times New Roman" w:eastAsia="宋体" w:hAnsi="Times New Roman"/>
          <w:color w:val="000000"/>
          <w:sz w:val="20"/>
          <w:szCs w:val="20"/>
        </w:rPr>
        <w:t>tled "—Executive Overview of Full Year 2022 Results." In 2022, the number of ads delivered increased by 18%, as compared with a 10% increase in 2021. Ads impressions grew in all regions during 2022, mostly driven by an increase in ads delivered in Asia-Pac</w:t>
      </w:r>
      <w:r>
        <w:rPr>
          <w:rFonts w:ascii="Times New Roman" w:eastAsia="宋体" w:hAnsi="Times New Roman"/>
          <w:color w:val="000000"/>
          <w:sz w:val="20"/>
          <w:szCs w:val="20"/>
        </w:rPr>
        <w:t>ific and Rest of World. The increase in the ads delivered during 2022 was driven by increases in the number and frequency of ads displayed across our products and an increase in users. We anticipate that future advertising revenue will be driven by a combi</w:t>
      </w:r>
      <w:r>
        <w:rPr>
          <w:rFonts w:ascii="Times New Roman" w:eastAsia="宋体" w:hAnsi="Times New Roman"/>
          <w:color w:val="000000"/>
          <w:sz w:val="20"/>
          <w:szCs w:val="20"/>
        </w:rPr>
        <w:t>nation of price and the number of ads delivered.</w:t>
      </w:r>
    </w:p>
    <w:p w14:paraId="5CD8EA2D" w14:textId="77777777" w:rsidR="00BA49F5" w:rsidRDefault="00BA49F5">
      <w:pPr>
        <w:ind w:firstLine="540"/>
        <w:jc w:val="both"/>
      </w:pPr>
    </w:p>
    <w:p w14:paraId="5CD8EA2E" w14:textId="77777777" w:rsidR="00BA49F5" w:rsidRDefault="007E5E49">
      <w:pPr>
        <w:ind w:firstLine="540"/>
        <w:jc w:val="both"/>
      </w:pPr>
      <w:r>
        <w:rPr>
          <w:rFonts w:ascii="Times New Roman" w:eastAsia="宋体" w:hAnsi="Times New Roman"/>
          <w:b/>
          <w:bCs/>
          <w:i/>
          <w:iCs/>
          <w:color w:val="000000"/>
          <w:sz w:val="20"/>
          <w:szCs w:val="20"/>
        </w:rPr>
        <w:t>Reality Labs</w:t>
      </w:r>
    </w:p>
    <w:p w14:paraId="5CD8EA2F" w14:textId="77777777" w:rsidR="00BA49F5" w:rsidRDefault="00BA49F5">
      <w:pPr>
        <w:ind w:firstLine="540"/>
        <w:jc w:val="both"/>
      </w:pPr>
    </w:p>
    <w:p w14:paraId="5CD8EA30" w14:textId="77777777" w:rsidR="00BA49F5" w:rsidRDefault="007E5E49">
      <w:pPr>
        <w:ind w:firstLine="540"/>
        <w:jc w:val="both"/>
      </w:pPr>
      <w:r>
        <w:rPr>
          <w:rFonts w:ascii="Times New Roman" w:eastAsia="宋体" w:hAnsi="Times New Roman"/>
          <w:color w:val="000000"/>
          <w:sz w:val="20"/>
          <w:szCs w:val="20"/>
        </w:rPr>
        <w:t>RL revenue in 2022 decreased $115 million, or 5%, compared to 2021. The decrease in RL revenue was driven by a decrease in the volume of Meta Quest sales.</w:t>
      </w:r>
    </w:p>
    <w:p w14:paraId="5CD8EA31" w14:textId="77777777" w:rsidR="00BA49F5" w:rsidRDefault="00BA49F5">
      <w:pPr>
        <w:ind w:firstLine="540"/>
        <w:jc w:val="both"/>
      </w:pPr>
    </w:p>
    <w:p w14:paraId="5CD8EA32" w14:textId="77777777" w:rsidR="00BA49F5" w:rsidRDefault="007E5E49">
      <w:pPr>
        <w:ind w:firstLine="540"/>
        <w:jc w:val="both"/>
      </w:pPr>
      <w:r>
        <w:rPr>
          <w:rFonts w:ascii="Times New Roman" w:eastAsia="宋体" w:hAnsi="Times New Roman"/>
          <w:b/>
          <w:bCs/>
          <w:i/>
          <w:iCs/>
          <w:color w:val="000000"/>
          <w:sz w:val="20"/>
          <w:szCs w:val="20"/>
        </w:rPr>
        <w:t xml:space="preserve">Revenue Seasonality and </w:t>
      </w:r>
      <w:r>
        <w:rPr>
          <w:rFonts w:ascii="Times New Roman" w:eastAsia="宋体" w:hAnsi="Times New Roman"/>
          <w:b/>
          <w:bCs/>
          <w:i/>
          <w:iCs/>
          <w:color w:val="000000"/>
          <w:sz w:val="20"/>
          <w:szCs w:val="20"/>
        </w:rPr>
        <w:t>Customer Concentration</w:t>
      </w:r>
    </w:p>
    <w:p w14:paraId="5CD8EA33" w14:textId="77777777" w:rsidR="00BA49F5" w:rsidRDefault="00BA49F5">
      <w:pPr>
        <w:ind w:firstLine="540"/>
        <w:jc w:val="both"/>
      </w:pPr>
    </w:p>
    <w:p w14:paraId="5CD8EA34" w14:textId="77777777" w:rsidR="00BA49F5" w:rsidRDefault="007E5E49">
      <w:pPr>
        <w:ind w:firstLine="540"/>
        <w:jc w:val="both"/>
      </w:pPr>
      <w:r>
        <w:rPr>
          <w:rFonts w:ascii="Times New Roman" w:eastAsia="宋体" w:hAnsi="Times New Roman"/>
          <w:color w:val="000000"/>
          <w:sz w:val="20"/>
          <w:szCs w:val="20"/>
        </w:rPr>
        <w:t xml:space="preserve">Revenue is traditionally seasonally strong in the fourth quarter of each year due in part to seasonal holiday demand. We believe that this seasonality in both advertising revenue and RL consumer hardware sales affects our quarterly </w:t>
      </w:r>
      <w:r>
        <w:rPr>
          <w:rFonts w:ascii="Times New Roman" w:eastAsia="宋体" w:hAnsi="Times New Roman"/>
          <w:color w:val="000000"/>
          <w:sz w:val="20"/>
          <w:szCs w:val="20"/>
        </w:rPr>
        <w:t>results, which generally reflect significant growth in revenue between the third and fourth quarters and a decline between the fourth and subsequent first quarters. For instance, our total revenue increased 16%, 16%, and 31% between the third and fourth qu</w:t>
      </w:r>
      <w:r>
        <w:rPr>
          <w:rFonts w:ascii="Times New Roman" w:eastAsia="宋体" w:hAnsi="Times New Roman"/>
          <w:color w:val="000000"/>
          <w:sz w:val="20"/>
          <w:szCs w:val="20"/>
        </w:rPr>
        <w:t>arters of 2022, 2021, and 2020, respectively, while total revenue for the first quarters of 2022, 2021, and 2020 declined 17%, 7%, and 16% compared to the fourth quarters of 2021, 2020, and 2019, respectively.</w:t>
      </w:r>
    </w:p>
    <w:p w14:paraId="5CD8EA35" w14:textId="77777777" w:rsidR="00BA49F5" w:rsidRDefault="00BA49F5">
      <w:pPr>
        <w:ind w:firstLine="540"/>
        <w:jc w:val="both"/>
      </w:pPr>
    </w:p>
    <w:p w14:paraId="5CD8EA36" w14:textId="77777777" w:rsidR="00BA49F5" w:rsidRDefault="007E5E49">
      <w:pPr>
        <w:ind w:firstLine="540"/>
        <w:jc w:val="both"/>
      </w:pPr>
      <w:r>
        <w:rPr>
          <w:rFonts w:ascii="Times New Roman" w:eastAsia="宋体" w:hAnsi="Times New Roman"/>
          <w:color w:val="000000"/>
          <w:sz w:val="20"/>
          <w:szCs w:val="20"/>
        </w:rPr>
        <w:t xml:space="preserve">No customer represented 10% or more of total </w:t>
      </w:r>
      <w:r>
        <w:rPr>
          <w:rFonts w:ascii="Times New Roman" w:eastAsia="宋体" w:hAnsi="Times New Roman"/>
          <w:color w:val="000000"/>
          <w:sz w:val="20"/>
          <w:szCs w:val="20"/>
        </w:rPr>
        <w:t>revenue during the years ended December 31, 2022, 2021, and 2020.</w:t>
      </w:r>
    </w:p>
    <w:p w14:paraId="5CD8EA37" w14:textId="77777777" w:rsidR="00BA49F5" w:rsidRDefault="00BA49F5">
      <w:pPr>
        <w:ind w:firstLine="540"/>
        <w:jc w:val="both"/>
      </w:pPr>
    </w:p>
    <w:p w14:paraId="5CD8EA38" w14:textId="77777777" w:rsidR="00BA49F5" w:rsidRDefault="007E5E49">
      <w:pPr>
        <w:ind w:firstLine="540"/>
        <w:jc w:val="both"/>
      </w:pPr>
      <w:r>
        <w:rPr>
          <w:rFonts w:ascii="Times New Roman" w:eastAsia="宋体" w:hAnsi="Times New Roman"/>
          <w:b/>
          <w:bCs/>
          <w:i/>
          <w:iCs/>
          <w:color w:val="000000"/>
          <w:sz w:val="20"/>
          <w:szCs w:val="20"/>
        </w:rPr>
        <w:t xml:space="preserve">Foreign Exchange Impact on Revenue </w:t>
      </w:r>
    </w:p>
    <w:p w14:paraId="5CD8EA39" w14:textId="77777777" w:rsidR="00BA49F5" w:rsidRDefault="00BA49F5">
      <w:pPr>
        <w:ind w:firstLine="540"/>
        <w:jc w:val="both"/>
      </w:pPr>
    </w:p>
    <w:p w14:paraId="5CD8EA3A" w14:textId="77777777" w:rsidR="00BA49F5" w:rsidRDefault="007E5E49">
      <w:pPr>
        <w:ind w:firstLine="540"/>
        <w:jc w:val="both"/>
      </w:pPr>
      <w:r>
        <w:rPr>
          <w:rFonts w:ascii="Times New Roman" w:eastAsia="宋体" w:hAnsi="Times New Roman"/>
          <w:color w:val="000000"/>
          <w:sz w:val="20"/>
          <w:szCs w:val="20"/>
        </w:rPr>
        <w:t>The general strengthening of the U.S. dollar relative to certain foreign currencies in the full year 2022 compared to the same period in 2021 had an unf</w:t>
      </w:r>
      <w:r>
        <w:rPr>
          <w:rFonts w:ascii="Times New Roman" w:eastAsia="宋体" w:hAnsi="Times New Roman"/>
          <w:color w:val="000000"/>
          <w:sz w:val="20"/>
          <w:szCs w:val="20"/>
        </w:rPr>
        <w:t xml:space="preserve">avorable impact on revenue. If we had translated revenue for the full year 2022 using the prior </w:t>
      </w:r>
    </w:p>
    <w:p w14:paraId="5CD8EA3B" w14:textId="77777777" w:rsidR="00BA49F5" w:rsidRDefault="007E5E49">
      <w:pPr>
        <w:jc w:val="center"/>
      </w:pPr>
      <w:r>
        <w:rPr>
          <w:rFonts w:ascii="Times New Roman" w:eastAsia="宋体" w:hAnsi="Times New Roman"/>
          <w:color w:val="000000"/>
          <w:sz w:val="20"/>
          <w:szCs w:val="20"/>
        </w:rPr>
        <w:t>70</w:t>
      </w:r>
    </w:p>
    <w:p w14:paraId="5CD8EA3C" w14:textId="77777777" w:rsidR="00BA49F5" w:rsidRDefault="007E5E49">
      <w:r>
        <w:pict w14:anchorId="5CD90D3B">
          <v:rect id="_x0000_i1094" style="width:415.3pt;height:1.5pt" o:hralign="center" o:hrstd="t" o:hr="t" fillcolor="#a0a0a0" stroked="f"/>
        </w:pict>
      </w:r>
    </w:p>
    <w:p w14:paraId="5CD8EA3D" w14:textId="77777777" w:rsidR="00BA49F5" w:rsidRDefault="00BA49F5"/>
    <w:p w14:paraId="5CD8EA3E" w14:textId="77777777" w:rsidR="00BA49F5" w:rsidRDefault="00BA49F5"/>
    <w:p w14:paraId="5CD8EA3F" w14:textId="77777777" w:rsidR="00BA49F5" w:rsidRDefault="007E5E49">
      <w:hyperlink r:id="rId220" w:anchor="i6df229dad1864210ab76200083e26819_7" w:history="1">
        <w:r>
          <w:rPr>
            <w:rStyle w:val="a5"/>
            <w:rFonts w:ascii="Times New Roman" w:eastAsia="宋体" w:hAnsi="Times New Roman"/>
            <w:sz w:val="20"/>
            <w:szCs w:val="20"/>
          </w:rPr>
          <w:t>T</w:t>
        </w:r>
      </w:hyperlink>
      <w:hyperlink r:id="rId221" w:anchor="i6df229dad1864210ab76200083e26819_7" w:history="1">
        <w:r>
          <w:rPr>
            <w:rStyle w:val="a5"/>
            <w:rFonts w:ascii="Times New Roman" w:eastAsia="宋体" w:hAnsi="Times New Roman"/>
            <w:sz w:val="20"/>
            <w:szCs w:val="20"/>
          </w:rPr>
          <w:t>able of Contents</w:t>
        </w:r>
      </w:hyperlink>
    </w:p>
    <w:p w14:paraId="5CD8EA40" w14:textId="77777777" w:rsidR="00BA49F5" w:rsidRDefault="007E5E49">
      <w:pPr>
        <w:jc w:val="both"/>
      </w:pPr>
      <w:r>
        <w:rPr>
          <w:rFonts w:ascii="Times New Roman" w:eastAsia="宋体" w:hAnsi="Times New Roman"/>
          <w:color w:val="000000"/>
          <w:sz w:val="20"/>
          <w:szCs w:val="20"/>
        </w:rPr>
        <w:t>year's monthly exchange rates for our settlement or billing currencies other than th</w:t>
      </w:r>
      <w:r>
        <w:rPr>
          <w:rFonts w:ascii="Times New Roman" w:eastAsia="宋体" w:hAnsi="Times New Roman"/>
          <w:color w:val="000000"/>
          <w:sz w:val="20"/>
          <w:szCs w:val="20"/>
        </w:rPr>
        <w:t>e U.S. dollar, our total revenue and advertising revenue would have been $122.57 billion and $119.54 billion, respectively. Using these constant rates, total revenue and advertising revenue would have been $5.96 billion and $5.90 billion higher than actual</w:t>
      </w:r>
      <w:r>
        <w:rPr>
          <w:rFonts w:ascii="Times New Roman" w:eastAsia="宋体" w:hAnsi="Times New Roman"/>
          <w:color w:val="000000"/>
          <w:sz w:val="20"/>
          <w:szCs w:val="20"/>
        </w:rPr>
        <w:t xml:space="preserve"> total revenue and advertising revenue, respectively, for the full year 2022. Using the same constant rates, full year 2022 total revenue and advertising revenue would have been $4.64 billion and $4.60 billion, respectively, higher than actual total revenu</w:t>
      </w:r>
      <w:r>
        <w:rPr>
          <w:rFonts w:ascii="Times New Roman" w:eastAsia="宋体" w:hAnsi="Times New Roman"/>
          <w:color w:val="000000"/>
          <w:sz w:val="20"/>
          <w:szCs w:val="20"/>
        </w:rPr>
        <w:t xml:space="preserve">e and advertising revenue for the full year </w:t>
      </w:r>
      <w:r>
        <w:rPr>
          <w:rFonts w:ascii="Times New Roman" w:eastAsia="宋体" w:hAnsi="Times New Roman"/>
          <w:color w:val="000000"/>
          <w:sz w:val="20"/>
          <w:szCs w:val="20"/>
          <w:shd w:val="clear" w:color="auto" w:fill="FFFFFF"/>
        </w:rPr>
        <w:t>2021.</w:t>
      </w:r>
    </w:p>
    <w:p w14:paraId="5CD8EA41" w14:textId="77777777" w:rsidR="00BA49F5" w:rsidRDefault="00BA49F5">
      <w:pPr>
        <w:ind w:firstLine="540"/>
        <w:jc w:val="both"/>
      </w:pPr>
    </w:p>
    <w:p w14:paraId="5CD8EA42" w14:textId="77777777" w:rsidR="00BA49F5" w:rsidRDefault="007E5E49">
      <w:pPr>
        <w:jc w:val="both"/>
      </w:pPr>
      <w:r>
        <w:rPr>
          <w:rFonts w:ascii="Times New Roman" w:eastAsia="宋体" w:hAnsi="Times New Roman"/>
          <w:b/>
          <w:bCs/>
          <w:i/>
          <w:iCs/>
          <w:color w:val="000000"/>
          <w:sz w:val="20"/>
          <w:szCs w:val="20"/>
          <w:shd w:val="clear" w:color="auto" w:fill="FFFFFF"/>
        </w:rPr>
        <w:t>Cost of revenue</w:t>
      </w:r>
    </w:p>
    <w:tbl>
      <w:tblPr>
        <w:tblW w:w="4993" w:type="pct"/>
        <w:tblCellMar>
          <w:top w:w="15" w:type="dxa"/>
          <w:left w:w="15" w:type="dxa"/>
          <w:bottom w:w="15" w:type="dxa"/>
          <w:right w:w="15" w:type="dxa"/>
        </w:tblCellMar>
        <w:tblLook w:val="04A0" w:firstRow="1" w:lastRow="0" w:firstColumn="1" w:lastColumn="0" w:noHBand="0" w:noVBand="1"/>
      </w:tblPr>
      <w:tblGrid>
        <w:gridCol w:w="38"/>
        <w:gridCol w:w="2690"/>
        <w:gridCol w:w="37"/>
        <w:gridCol w:w="120"/>
        <w:gridCol w:w="891"/>
        <w:gridCol w:w="187"/>
        <w:gridCol w:w="36"/>
        <w:gridCol w:w="36"/>
        <w:gridCol w:w="36"/>
        <w:gridCol w:w="120"/>
        <w:gridCol w:w="804"/>
        <w:gridCol w:w="187"/>
        <w:gridCol w:w="36"/>
        <w:gridCol w:w="36"/>
        <w:gridCol w:w="36"/>
        <w:gridCol w:w="120"/>
        <w:gridCol w:w="804"/>
        <w:gridCol w:w="187"/>
        <w:gridCol w:w="36"/>
        <w:gridCol w:w="36"/>
        <w:gridCol w:w="36"/>
        <w:gridCol w:w="49"/>
        <w:gridCol w:w="617"/>
        <w:gridCol w:w="187"/>
        <w:gridCol w:w="36"/>
        <w:gridCol w:w="36"/>
        <w:gridCol w:w="36"/>
        <w:gridCol w:w="49"/>
        <w:gridCol w:w="618"/>
        <w:gridCol w:w="187"/>
      </w:tblGrid>
      <w:tr w:rsidR="00BA49F5" w14:paraId="5CD8EA61" w14:textId="77777777">
        <w:tc>
          <w:tcPr>
            <w:tcW w:w="50" w:type="pct"/>
            <w:shd w:val="clear" w:color="auto" w:fill="auto"/>
            <w:vAlign w:val="bottom"/>
          </w:tcPr>
          <w:p w14:paraId="5CD8EA43" w14:textId="77777777" w:rsidR="00BA49F5" w:rsidRDefault="00BA49F5">
            <w:pPr>
              <w:rPr>
                <w:rFonts w:ascii="宋体"/>
              </w:rPr>
            </w:pPr>
          </w:p>
        </w:tc>
        <w:tc>
          <w:tcPr>
            <w:tcW w:w="1703" w:type="pct"/>
            <w:shd w:val="clear" w:color="auto" w:fill="auto"/>
            <w:vAlign w:val="bottom"/>
          </w:tcPr>
          <w:p w14:paraId="5CD8EA44" w14:textId="77777777" w:rsidR="00BA49F5" w:rsidRDefault="00BA49F5">
            <w:pPr>
              <w:rPr>
                <w:rFonts w:ascii="宋体"/>
              </w:rPr>
            </w:pPr>
          </w:p>
        </w:tc>
        <w:tc>
          <w:tcPr>
            <w:tcW w:w="5" w:type="pct"/>
            <w:shd w:val="clear" w:color="auto" w:fill="auto"/>
            <w:vAlign w:val="bottom"/>
          </w:tcPr>
          <w:p w14:paraId="5CD8EA45" w14:textId="77777777" w:rsidR="00BA49F5" w:rsidRDefault="00BA49F5">
            <w:pPr>
              <w:rPr>
                <w:rFonts w:ascii="宋体"/>
              </w:rPr>
            </w:pPr>
          </w:p>
        </w:tc>
        <w:tc>
          <w:tcPr>
            <w:tcW w:w="50" w:type="pct"/>
            <w:shd w:val="clear" w:color="auto" w:fill="auto"/>
            <w:vAlign w:val="bottom"/>
          </w:tcPr>
          <w:p w14:paraId="5CD8EA46" w14:textId="77777777" w:rsidR="00BA49F5" w:rsidRDefault="00BA49F5">
            <w:pPr>
              <w:rPr>
                <w:rFonts w:ascii="宋体"/>
              </w:rPr>
            </w:pPr>
          </w:p>
        </w:tc>
        <w:tc>
          <w:tcPr>
            <w:tcW w:w="593" w:type="pct"/>
            <w:shd w:val="clear" w:color="auto" w:fill="auto"/>
            <w:vAlign w:val="bottom"/>
          </w:tcPr>
          <w:p w14:paraId="5CD8EA47" w14:textId="77777777" w:rsidR="00BA49F5" w:rsidRDefault="00BA49F5">
            <w:pPr>
              <w:rPr>
                <w:rFonts w:ascii="宋体"/>
              </w:rPr>
            </w:pPr>
          </w:p>
        </w:tc>
        <w:tc>
          <w:tcPr>
            <w:tcW w:w="5" w:type="pct"/>
            <w:shd w:val="clear" w:color="auto" w:fill="auto"/>
            <w:vAlign w:val="bottom"/>
          </w:tcPr>
          <w:p w14:paraId="5CD8EA48" w14:textId="77777777" w:rsidR="00BA49F5" w:rsidRDefault="00BA49F5">
            <w:pPr>
              <w:rPr>
                <w:rFonts w:ascii="宋体"/>
              </w:rPr>
            </w:pPr>
          </w:p>
        </w:tc>
        <w:tc>
          <w:tcPr>
            <w:tcW w:w="5" w:type="pct"/>
            <w:shd w:val="clear" w:color="auto" w:fill="auto"/>
            <w:vAlign w:val="bottom"/>
          </w:tcPr>
          <w:p w14:paraId="5CD8EA49" w14:textId="77777777" w:rsidR="00BA49F5" w:rsidRDefault="00BA49F5">
            <w:pPr>
              <w:rPr>
                <w:rFonts w:ascii="宋体"/>
              </w:rPr>
            </w:pPr>
          </w:p>
        </w:tc>
        <w:tc>
          <w:tcPr>
            <w:tcW w:w="27" w:type="pct"/>
            <w:shd w:val="clear" w:color="auto" w:fill="auto"/>
            <w:vAlign w:val="bottom"/>
          </w:tcPr>
          <w:p w14:paraId="5CD8EA4A" w14:textId="77777777" w:rsidR="00BA49F5" w:rsidRDefault="00BA49F5">
            <w:pPr>
              <w:rPr>
                <w:rFonts w:ascii="宋体"/>
              </w:rPr>
            </w:pPr>
          </w:p>
        </w:tc>
        <w:tc>
          <w:tcPr>
            <w:tcW w:w="5" w:type="pct"/>
            <w:shd w:val="clear" w:color="auto" w:fill="auto"/>
            <w:vAlign w:val="bottom"/>
          </w:tcPr>
          <w:p w14:paraId="5CD8EA4B" w14:textId="77777777" w:rsidR="00BA49F5" w:rsidRDefault="00BA49F5">
            <w:pPr>
              <w:rPr>
                <w:rFonts w:ascii="宋体"/>
              </w:rPr>
            </w:pPr>
          </w:p>
        </w:tc>
        <w:tc>
          <w:tcPr>
            <w:tcW w:w="50" w:type="pct"/>
            <w:shd w:val="clear" w:color="auto" w:fill="auto"/>
            <w:vAlign w:val="bottom"/>
          </w:tcPr>
          <w:p w14:paraId="5CD8EA4C" w14:textId="77777777" w:rsidR="00BA49F5" w:rsidRDefault="00BA49F5">
            <w:pPr>
              <w:rPr>
                <w:rFonts w:ascii="宋体"/>
              </w:rPr>
            </w:pPr>
          </w:p>
        </w:tc>
        <w:tc>
          <w:tcPr>
            <w:tcW w:w="593" w:type="pct"/>
            <w:shd w:val="clear" w:color="auto" w:fill="auto"/>
            <w:vAlign w:val="bottom"/>
          </w:tcPr>
          <w:p w14:paraId="5CD8EA4D" w14:textId="77777777" w:rsidR="00BA49F5" w:rsidRDefault="00BA49F5">
            <w:pPr>
              <w:rPr>
                <w:rFonts w:ascii="宋体"/>
              </w:rPr>
            </w:pPr>
          </w:p>
        </w:tc>
        <w:tc>
          <w:tcPr>
            <w:tcW w:w="5" w:type="pct"/>
            <w:shd w:val="clear" w:color="auto" w:fill="auto"/>
            <w:vAlign w:val="bottom"/>
          </w:tcPr>
          <w:p w14:paraId="5CD8EA4E" w14:textId="77777777" w:rsidR="00BA49F5" w:rsidRDefault="00BA49F5">
            <w:pPr>
              <w:rPr>
                <w:rFonts w:ascii="宋体"/>
              </w:rPr>
            </w:pPr>
          </w:p>
        </w:tc>
        <w:tc>
          <w:tcPr>
            <w:tcW w:w="5" w:type="pct"/>
            <w:shd w:val="clear" w:color="auto" w:fill="auto"/>
            <w:vAlign w:val="bottom"/>
          </w:tcPr>
          <w:p w14:paraId="5CD8EA4F" w14:textId="77777777" w:rsidR="00BA49F5" w:rsidRDefault="00BA49F5">
            <w:pPr>
              <w:rPr>
                <w:rFonts w:ascii="宋体"/>
              </w:rPr>
            </w:pPr>
          </w:p>
        </w:tc>
        <w:tc>
          <w:tcPr>
            <w:tcW w:w="27" w:type="pct"/>
            <w:shd w:val="clear" w:color="auto" w:fill="auto"/>
            <w:vAlign w:val="bottom"/>
          </w:tcPr>
          <w:p w14:paraId="5CD8EA50" w14:textId="77777777" w:rsidR="00BA49F5" w:rsidRDefault="00BA49F5">
            <w:pPr>
              <w:rPr>
                <w:rFonts w:ascii="宋体"/>
              </w:rPr>
            </w:pPr>
          </w:p>
        </w:tc>
        <w:tc>
          <w:tcPr>
            <w:tcW w:w="5" w:type="pct"/>
            <w:shd w:val="clear" w:color="auto" w:fill="auto"/>
            <w:vAlign w:val="bottom"/>
          </w:tcPr>
          <w:p w14:paraId="5CD8EA51" w14:textId="77777777" w:rsidR="00BA49F5" w:rsidRDefault="00BA49F5">
            <w:pPr>
              <w:rPr>
                <w:rFonts w:ascii="宋体"/>
              </w:rPr>
            </w:pPr>
          </w:p>
        </w:tc>
        <w:tc>
          <w:tcPr>
            <w:tcW w:w="50" w:type="pct"/>
            <w:shd w:val="clear" w:color="auto" w:fill="auto"/>
            <w:vAlign w:val="bottom"/>
          </w:tcPr>
          <w:p w14:paraId="5CD8EA52" w14:textId="77777777" w:rsidR="00BA49F5" w:rsidRDefault="00BA49F5">
            <w:pPr>
              <w:rPr>
                <w:rFonts w:ascii="宋体"/>
              </w:rPr>
            </w:pPr>
          </w:p>
        </w:tc>
        <w:tc>
          <w:tcPr>
            <w:tcW w:w="593" w:type="pct"/>
            <w:shd w:val="clear" w:color="auto" w:fill="auto"/>
            <w:vAlign w:val="bottom"/>
          </w:tcPr>
          <w:p w14:paraId="5CD8EA53" w14:textId="77777777" w:rsidR="00BA49F5" w:rsidRDefault="00BA49F5">
            <w:pPr>
              <w:rPr>
                <w:rFonts w:ascii="宋体"/>
              </w:rPr>
            </w:pPr>
          </w:p>
        </w:tc>
        <w:tc>
          <w:tcPr>
            <w:tcW w:w="5" w:type="pct"/>
            <w:shd w:val="clear" w:color="auto" w:fill="auto"/>
            <w:vAlign w:val="bottom"/>
          </w:tcPr>
          <w:p w14:paraId="5CD8EA54" w14:textId="77777777" w:rsidR="00BA49F5" w:rsidRDefault="00BA49F5">
            <w:pPr>
              <w:rPr>
                <w:rFonts w:ascii="宋体"/>
              </w:rPr>
            </w:pPr>
          </w:p>
        </w:tc>
        <w:tc>
          <w:tcPr>
            <w:tcW w:w="5" w:type="pct"/>
            <w:shd w:val="clear" w:color="auto" w:fill="auto"/>
            <w:vAlign w:val="bottom"/>
          </w:tcPr>
          <w:p w14:paraId="5CD8EA55" w14:textId="77777777" w:rsidR="00BA49F5" w:rsidRDefault="00BA49F5">
            <w:pPr>
              <w:rPr>
                <w:rFonts w:ascii="宋体"/>
              </w:rPr>
            </w:pPr>
          </w:p>
        </w:tc>
        <w:tc>
          <w:tcPr>
            <w:tcW w:w="27" w:type="pct"/>
            <w:shd w:val="clear" w:color="auto" w:fill="auto"/>
            <w:vAlign w:val="bottom"/>
          </w:tcPr>
          <w:p w14:paraId="5CD8EA56" w14:textId="77777777" w:rsidR="00BA49F5" w:rsidRDefault="00BA49F5">
            <w:pPr>
              <w:rPr>
                <w:rFonts w:ascii="宋体"/>
              </w:rPr>
            </w:pPr>
          </w:p>
        </w:tc>
        <w:tc>
          <w:tcPr>
            <w:tcW w:w="5" w:type="pct"/>
            <w:shd w:val="clear" w:color="auto" w:fill="auto"/>
            <w:vAlign w:val="bottom"/>
          </w:tcPr>
          <w:p w14:paraId="5CD8EA57" w14:textId="77777777" w:rsidR="00BA49F5" w:rsidRDefault="00BA49F5">
            <w:pPr>
              <w:rPr>
                <w:rFonts w:ascii="宋体"/>
              </w:rPr>
            </w:pPr>
          </w:p>
        </w:tc>
        <w:tc>
          <w:tcPr>
            <w:tcW w:w="50" w:type="pct"/>
            <w:shd w:val="clear" w:color="auto" w:fill="auto"/>
            <w:vAlign w:val="bottom"/>
          </w:tcPr>
          <w:p w14:paraId="5CD8EA58" w14:textId="77777777" w:rsidR="00BA49F5" w:rsidRDefault="00BA49F5">
            <w:pPr>
              <w:rPr>
                <w:rFonts w:ascii="宋体"/>
              </w:rPr>
            </w:pPr>
          </w:p>
        </w:tc>
        <w:tc>
          <w:tcPr>
            <w:tcW w:w="518" w:type="pct"/>
            <w:shd w:val="clear" w:color="auto" w:fill="auto"/>
            <w:vAlign w:val="bottom"/>
          </w:tcPr>
          <w:p w14:paraId="5CD8EA59" w14:textId="77777777" w:rsidR="00BA49F5" w:rsidRDefault="00BA49F5">
            <w:pPr>
              <w:rPr>
                <w:rFonts w:ascii="宋体"/>
              </w:rPr>
            </w:pPr>
          </w:p>
        </w:tc>
        <w:tc>
          <w:tcPr>
            <w:tcW w:w="5" w:type="pct"/>
            <w:shd w:val="clear" w:color="auto" w:fill="auto"/>
            <w:vAlign w:val="bottom"/>
          </w:tcPr>
          <w:p w14:paraId="5CD8EA5A" w14:textId="77777777" w:rsidR="00BA49F5" w:rsidRDefault="00BA49F5">
            <w:pPr>
              <w:rPr>
                <w:rFonts w:ascii="宋体"/>
              </w:rPr>
            </w:pPr>
          </w:p>
        </w:tc>
        <w:tc>
          <w:tcPr>
            <w:tcW w:w="5" w:type="pct"/>
            <w:shd w:val="clear" w:color="auto" w:fill="auto"/>
            <w:vAlign w:val="bottom"/>
          </w:tcPr>
          <w:p w14:paraId="5CD8EA5B" w14:textId="77777777" w:rsidR="00BA49F5" w:rsidRDefault="00BA49F5">
            <w:pPr>
              <w:rPr>
                <w:rFonts w:ascii="宋体"/>
              </w:rPr>
            </w:pPr>
          </w:p>
        </w:tc>
        <w:tc>
          <w:tcPr>
            <w:tcW w:w="27" w:type="pct"/>
            <w:shd w:val="clear" w:color="auto" w:fill="auto"/>
            <w:vAlign w:val="bottom"/>
          </w:tcPr>
          <w:p w14:paraId="5CD8EA5C" w14:textId="77777777" w:rsidR="00BA49F5" w:rsidRDefault="00BA49F5">
            <w:pPr>
              <w:rPr>
                <w:rFonts w:ascii="宋体"/>
              </w:rPr>
            </w:pPr>
          </w:p>
        </w:tc>
        <w:tc>
          <w:tcPr>
            <w:tcW w:w="5" w:type="pct"/>
            <w:shd w:val="clear" w:color="auto" w:fill="auto"/>
            <w:vAlign w:val="bottom"/>
          </w:tcPr>
          <w:p w14:paraId="5CD8EA5D" w14:textId="77777777" w:rsidR="00BA49F5" w:rsidRDefault="00BA49F5">
            <w:pPr>
              <w:rPr>
                <w:rFonts w:ascii="宋体"/>
              </w:rPr>
            </w:pPr>
          </w:p>
        </w:tc>
        <w:tc>
          <w:tcPr>
            <w:tcW w:w="50" w:type="pct"/>
            <w:shd w:val="clear" w:color="auto" w:fill="auto"/>
            <w:vAlign w:val="bottom"/>
          </w:tcPr>
          <w:p w14:paraId="5CD8EA5E" w14:textId="77777777" w:rsidR="00BA49F5" w:rsidRDefault="00BA49F5">
            <w:pPr>
              <w:rPr>
                <w:rFonts w:ascii="宋体"/>
              </w:rPr>
            </w:pPr>
          </w:p>
        </w:tc>
        <w:tc>
          <w:tcPr>
            <w:tcW w:w="518" w:type="pct"/>
            <w:shd w:val="clear" w:color="auto" w:fill="auto"/>
            <w:vAlign w:val="bottom"/>
          </w:tcPr>
          <w:p w14:paraId="5CD8EA5F" w14:textId="77777777" w:rsidR="00BA49F5" w:rsidRDefault="00BA49F5">
            <w:pPr>
              <w:rPr>
                <w:rFonts w:ascii="宋体"/>
              </w:rPr>
            </w:pPr>
          </w:p>
        </w:tc>
        <w:tc>
          <w:tcPr>
            <w:tcW w:w="5" w:type="pct"/>
            <w:shd w:val="clear" w:color="auto" w:fill="auto"/>
            <w:vAlign w:val="bottom"/>
          </w:tcPr>
          <w:p w14:paraId="5CD8EA60" w14:textId="77777777" w:rsidR="00BA49F5" w:rsidRDefault="00BA49F5">
            <w:pPr>
              <w:rPr>
                <w:rFonts w:ascii="宋体"/>
              </w:rPr>
            </w:pPr>
          </w:p>
        </w:tc>
      </w:tr>
      <w:tr w:rsidR="00BA49F5" w14:paraId="5CD8EA68" w14:textId="77777777">
        <w:tc>
          <w:tcPr>
            <w:tcW w:w="0" w:type="auto"/>
            <w:gridSpan w:val="3"/>
            <w:shd w:val="clear" w:color="auto" w:fill="auto"/>
            <w:tcMar>
              <w:top w:w="0" w:type="dxa"/>
              <w:left w:w="20" w:type="dxa"/>
              <w:bottom w:w="0" w:type="dxa"/>
              <w:right w:w="20" w:type="dxa"/>
            </w:tcMar>
            <w:vAlign w:val="bottom"/>
          </w:tcPr>
          <w:p w14:paraId="5CD8EA62"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A63"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A6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6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6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67" w14:textId="77777777" w:rsidR="00BA49F5" w:rsidRDefault="00BA49F5">
            <w:pPr>
              <w:rPr>
                <w:rFonts w:ascii="宋体"/>
              </w:rPr>
            </w:pPr>
          </w:p>
        </w:tc>
      </w:tr>
      <w:tr w:rsidR="00BA49F5" w14:paraId="5CD8EA73" w14:textId="77777777">
        <w:tc>
          <w:tcPr>
            <w:tcW w:w="0" w:type="auto"/>
            <w:gridSpan w:val="3"/>
            <w:shd w:val="clear" w:color="auto" w:fill="auto"/>
            <w:tcMar>
              <w:top w:w="0" w:type="dxa"/>
              <w:left w:w="20" w:type="dxa"/>
              <w:bottom w:w="0" w:type="dxa"/>
              <w:right w:w="20" w:type="dxa"/>
            </w:tcMar>
            <w:vAlign w:val="bottom"/>
          </w:tcPr>
          <w:p w14:paraId="5CD8EA6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6A"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6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6C"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6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6E"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A6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A70"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A7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A72"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A7E" w14:textId="77777777">
        <w:trPr>
          <w:trHeight w:val="60"/>
        </w:trPr>
        <w:tc>
          <w:tcPr>
            <w:tcW w:w="0" w:type="auto"/>
            <w:gridSpan w:val="3"/>
            <w:shd w:val="clear" w:color="auto" w:fill="auto"/>
            <w:tcMar>
              <w:top w:w="0" w:type="dxa"/>
              <w:left w:w="20" w:type="dxa"/>
              <w:bottom w:w="0" w:type="dxa"/>
              <w:right w:w="20" w:type="dxa"/>
            </w:tcMar>
            <w:vAlign w:val="bottom"/>
          </w:tcPr>
          <w:p w14:paraId="5CD8EA74"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7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7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7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78"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7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7A"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7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7C"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7D" w14:textId="77777777" w:rsidR="00BA49F5" w:rsidRDefault="00BA49F5">
            <w:pPr>
              <w:rPr>
                <w:rFonts w:ascii="宋体"/>
              </w:rPr>
            </w:pPr>
          </w:p>
        </w:tc>
      </w:tr>
      <w:tr w:rsidR="00BA49F5" w14:paraId="5CD8EA81" w14:textId="77777777">
        <w:tc>
          <w:tcPr>
            <w:tcW w:w="0" w:type="auto"/>
            <w:gridSpan w:val="3"/>
            <w:shd w:val="clear" w:color="auto" w:fill="auto"/>
            <w:tcMar>
              <w:top w:w="0" w:type="dxa"/>
              <w:left w:w="20" w:type="dxa"/>
              <w:bottom w:w="0" w:type="dxa"/>
              <w:right w:w="20" w:type="dxa"/>
            </w:tcMar>
            <w:vAlign w:val="bottom"/>
          </w:tcPr>
          <w:p w14:paraId="5CD8EA7F"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A80"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A94" w14:textId="77777777">
        <w:tc>
          <w:tcPr>
            <w:tcW w:w="0" w:type="auto"/>
            <w:gridSpan w:val="3"/>
            <w:shd w:val="clear" w:color="auto" w:fill="CCEEFF"/>
            <w:tcMar>
              <w:top w:w="40" w:type="dxa"/>
              <w:left w:w="20" w:type="dxa"/>
              <w:bottom w:w="40" w:type="dxa"/>
              <w:right w:w="20" w:type="dxa"/>
            </w:tcMar>
            <w:vAlign w:val="bottom"/>
          </w:tcPr>
          <w:p w14:paraId="5CD8EA82" w14:textId="77777777" w:rsidR="00BA49F5" w:rsidRDefault="007E5E49">
            <w:pPr>
              <w:textAlignment w:val="bottom"/>
            </w:pPr>
            <w:r>
              <w:rPr>
                <w:rFonts w:ascii="Times New Roman" w:eastAsia="宋体" w:hAnsi="Times New Roman"/>
                <w:color w:val="000000"/>
                <w:sz w:val="20"/>
                <w:szCs w:val="20"/>
              </w:rPr>
              <w:t xml:space="preserve">Cost of </w:t>
            </w: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5CD8EA8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84" w14:textId="77777777" w:rsidR="00BA49F5" w:rsidRDefault="007E5E49">
            <w:pPr>
              <w:jc w:val="right"/>
              <w:textAlignment w:val="bottom"/>
            </w:pPr>
            <w:r>
              <w:rPr>
                <w:rFonts w:ascii="Times New Roman" w:eastAsia="宋体" w:hAnsi="Times New Roman"/>
                <w:color w:val="000000"/>
                <w:sz w:val="20"/>
                <w:szCs w:val="20"/>
              </w:rPr>
              <w:t>25,249 </w:t>
            </w:r>
          </w:p>
        </w:tc>
        <w:tc>
          <w:tcPr>
            <w:tcW w:w="0" w:type="auto"/>
            <w:shd w:val="clear" w:color="auto" w:fill="CCEEFF"/>
            <w:tcMar>
              <w:top w:w="40" w:type="dxa"/>
              <w:left w:w="0" w:type="dxa"/>
              <w:bottom w:w="40" w:type="dxa"/>
              <w:right w:w="20" w:type="dxa"/>
            </w:tcMar>
            <w:vAlign w:val="bottom"/>
          </w:tcPr>
          <w:p w14:paraId="5CD8EA8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86"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A8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88" w14:textId="77777777" w:rsidR="00BA49F5" w:rsidRDefault="007E5E49">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5CD8EA8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8A"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A8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8C" w14:textId="77777777" w:rsidR="00BA49F5" w:rsidRDefault="007E5E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5CD8EA8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8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8F" w14:textId="77777777" w:rsidR="00BA49F5" w:rsidRDefault="007E5E49">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5CD8EA90"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A9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92" w14:textId="77777777" w:rsidR="00BA49F5" w:rsidRDefault="007E5E49">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5CD8EA93"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AA2" w14:textId="77777777">
        <w:tc>
          <w:tcPr>
            <w:tcW w:w="0" w:type="auto"/>
            <w:gridSpan w:val="3"/>
            <w:shd w:val="clear" w:color="auto" w:fill="FFFFFF"/>
            <w:tcMar>
              <w:top w:w="40" w:type="dxa"/>
              <w:left w:w="20" w:type="dxa"/>
              <w:bottom w:w="40" w:type="dxa"/>
              <w:right w:w="20" w:type="dxa"/>
            </w:tcMar>
            <w:vAlign w:val="bottom"/>
          </w:tcPr>
          <w:p w14:paraId="5CD8EA95" w14:textId="77777777" w:rsidR="00BA49F5" w:rsidRDefault="007E5E49">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5CD8EA96" w14:textId="77777777" w:rsidR="00BA49F5" w:rsidRDefault="007E5E4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5CD8EA97"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A9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99" w14:textId="77777777" w:rsidR="00BA49F5" w:rsidRDefault="007E5E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5CD8EA9A"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A9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9C" w14:textId="77777777" w:rsidR="00BA49F5" w:rsidRDefault="007E5E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5CD8EA9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A9E"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A9F"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AA0"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AA1" w14:textId="77777777" w:rsidR="00BA49F5" w:rsidRDefault="00BA49F5">
            <w:pPr>
              <w:rPr>
                <w:rFonts w:ascii="宋体"/>
              </w:rPr>
            </w:pPr>
          </w:p>
        </w:tc>
      </w:tr>
    </w:tbl>
    <w:p w14:paraId="5CD8EAA3" w14:textId="77777777" w:rsidR="00BA49F5" w:rsidRDefault="00BA49F5">
      <w:pPr>
        <w:ind w:firstLine="540"/>
      </w:pPr>
    </w:p>
    <w:p w14:paraId="5CD8EAA4" w14:textId="77777777" w:rsidR="00BA49F5" w:rsidRDefault="007E5E49">
      <w:pPr>
        <w:ind w:firstLine="540"/>
        <w:jc w:val="both"/>
      </w:pPr>
      <w:r>
        <w:rPr>
          <w:rFonts w:ascii="Times New Roman" w:eastAsia="宋体" w:hAnsi="Times New Roman"/>
          <w:color w:val="000000"/>
          <w:sz w:val="20"/>
          <w:szCs w:val="20"/>
        </w:rPr>
        <w:t xml:space="preserve">Cost of revenue in 2022 increased $2.60 billion, or 11%, compared to </w:t>
      </w:r>
      <w:r>
        <w:rPr>
          <w:rFonts w:ascii="Times New Roman" w:eastAsia="宋体" w:hAnsi="Times New Roman"/>
          <w:color w:val="000000"/>
          <w:sz w:val="20"/>
          <w:szCs w:val="20"/>
        </w:rPr>
        <w:t xml:space="preserve">2021. The increase was mainly due to an increase in operational expenses related to our data centers and technical infrastructure, adjusted for a decrease in the depreciation growth rate due to extensions in the useful lives of servers and network assets. </w:t>
      </w:r>
      <w:r>
        <w:rPr>
          <w:rFonts w:ascii="Times New Roman" w:eastAsia="宋体" w:hAnsi="Times New Roman"/>
          <w:color w:val="000000"/>
          <w:sz w:val="20"/>
          <w:szCs w:val="20"/>
        </w:rPr>
        <w:t>In addition, we recorded $1.34 billion of abandonment charges related to data center assets. These increases were partially offset by a decrease in RL inventory cost including lower losses on purchase commitments.</w:t>
      </w:r>
    </w:p>
    <w:p w14:paraId="5CD8EAA5" w14:textId="77777777" w:rsidR="00BA49F5" w:rsidRDefault="00BA49F5">
      <w:pPr>
        <w:ind w:firstLine="540"/>
        <w:jc w:val="both"/>
      </w:pPr>
    </w:p>
    <w:p w14:paraId="5CD8EAA6" w14:textId="77777777" w:rsidR="00BA49F5" w:rsidRDefault="007E5E49">
      <w:pPr>
        <w:ind w:firstLine="540"/>
        <w:jc w:val="both"/>
      </w:pPr>
      <w:r>
        <w:rPr>
          <w:rFonts w:ascii="Times New Roman" w:eastAsia="宋体" w:hAnsi="Times New Roman"/>
          <w:color w:val="000000"/>
          <w:sz w:val="20"/>
          <w:szCs w:val="20"/>
        </w:rPr>
        <w:t>See Note 1 — Summary of Significant Accou</w:t>
      </w:r>
      <w:r>
        <w:rPr>
          <w:rFonts w:ascii="Times New Roman" w:eastAsia="宋体" w:hAnsi="Times New Roman"/>
          <w:color w:val="000000"/>
          <w:sz w:val="20"/>
          <w:szCs w:val="20"/>
        </w:rPr>
        <w:t>nting Policies and Note 3 — Restructuring in the notes to the consolidated financial statements included in Part II, Item 8, "Financial Statements and Supplementary Data" of this Annual Report on Form 10-K for additional information regarding changes in th</w:t>
      </w:r>
      <w:r>
        <w:rPr>
          <w:rFonts w:ascii="Times New Roman" w:eastAsia="宋体" w:hAnsi="Times New Roman"/>
          <w:color w:val="000000"/>
          <w:sz w:val="20"/>
          <w:szCs w:val="20"/>
        </w:rPr>
        <w:t>e estimated useful life of our servers and network assets as well as the abandonment charges related to data center assets, respectively.</w:t>
      </w:r>
    </w:p>
    <w:p w14:paraId="5CD8EAA7" w14:textId="77777777" w:rsidR="00BA49F5" w:rsidRDefault="00BA49F5">
      <w:pPr>
        <w:ind w:firstLine="540"/>
        <w:jc w:val="both"/>
      </w:pPr>
    </w:p>
    <w:p w14:paraId="5CD8EAA8" w14:textId="77777777" w:rsidR="00BA49F5" w:rsidRDefault="007E5E49">
      <w:pPr>
        <w:jc w:val="both"/>
      </w:pPr>
      <w:r>
        <w:rPr>
          <w:rFonts w:ascii="Times New Roman" w:eastAsia="宋体" w:hAnsi="Times New Roman"/>
          <w:b/>
          <w:bCs/>
          <w:i/>
          <w:iCs/>
          <w:color w:val="000000"/>
          <w:sz w:val="20"/>
          <w:szCs w:val="20"/>
        </w:rPr>
        <w:t>Research and development</w:t>
      </w:r>
    </w:p>
    <w:tbl>
      <w:tblPr>
        <w:tblW w:w="4993" w:type="pct"/>
        <w:tblCellMar>
          <w:top w:w="15" w:type="dxa"/>
          <w:left w:w="15" w:type="dxa"/>
          <w:bottom w:w="15" w:type="dxa"/>
          <w:right w:w="15" w:type="dxa"/>
        </w:tblCellMar>
        <w:tblLook w:val="04A0" w:firstRow="1" w:lastRow="0" w:firstColumn="1" w:lastColumn="0" w:noHBand="0" w:noVBand="1"/>
      </w:tblPr>
      <w:tblGrid>
        <w:gridCol w:w="37"/>
        <w:gridCol w:w="2691"/>
        <w:gridCol w:w="36"/>
        <w:gridCol w:w="120"/>
        <w:gridCol w:w="891"/>
        <w:gridCol w:w="187"/>
        <w:gridCol w:w="36"/>
        <w:gridCol w:w="36"/>
        <w:gridCol w:w="36"/>
        <w:gridCol w:w="120"/>
        <w:gridCol w:w="804"/>
        <w:gridCol w:w="187"/>
        <w:gridCol w:w="36"/>
        <w:gridCol w:w="36"/>
        <w:gridCol w:w="36"/>
        <w:gridCol w:w="120"/>
        <w:gridCol w:w="804"/>
        <w:gridCol w:w="187"/>
        <w:gridCol w:w="36"/>
        <w:gridCol w:w="36"/>
        <w:gridCol w:w="36"/>
        <w:gridCol w:w="49"/>
        <w:gridCol w:w="617"/>
        <w:gridCol w:w="187"/>
        <w:gridCol w:w="36"/>
        <w:gridCol w:w="36"/>
        <w:gridCol w:w="36"/>
        <w:gridCol w:w="49"/>
        <w:gridCol w:w="619"/>
        <w:gridCol w:w="187"/>
      </w:tblGrid>
      <w:tr w:rsidR="00BA49F5" w14:paraId="5CD8EAC7" w14:textId="77777777">
        <w:tc>
          <w:tcPr>
            <w:tcW w:w="50" w:type="pct"/>
            <w:shd w:val="clear" w:color="auto" w:fill="auto"/>
            <w:vAlign w:val="bottom"/>
          </w:tcPr>
          <w:p w14:paraId="5CD8EAA9" w14:textId="77777777" w:rsidR="00BA49F5" w:rsidRDefault="00BA49F5">
            <w:pPr>
              <w:rPr>
                <w:rFonts w:ascii="宋体"/>
              </w:rPr>
            </w:pPr>
          </w:p>
        </w:tc>
        <w:tc>
          <w:tcPr>
            <w:tcW w:w="1703" w:type="pct"/>
            <w:shd w:val="clear" w:color="auto" w:fill="auto"/>
            <w:vAlign w:val="bottom"/>
          </w:tcPr>
          <w:p w14:paraId="5CD8EAAA" w14:textId="77777777" w:rsidR="00BA49F5" w:rsidRDefault="00BA49F5">
            <w:pPr>
              <w:rPr>
                <w:rFonts w:ascii="宋体"/>
              </w:rPr>
            </w:pPr>
          </w:p>
        </w:tc>
        <w:tc>
          <w:tcPr>
            <w:tcW w:w="5" w:type="pct"/>
            <w:shd w:val="clear" w:color="auto" w:fill="auto"/>
            <w:vAlign w:val="bottom"/>
          </w:tcPr>
          <w:p w14:paraId="5CD8EAAB" w14:textId="77777777" w:rsidR="00BA49F5" w:rsidRDefault="00BA49F5">
            <w:pPr>
              <w:rPr>
                <w:rFonts w:ascii="宋体"/>
              </w:rPr>
            </w:pPr>
          </w:p>
        </w:tc>
        <w:tc>
          <w:tcPr>
            <w:tcW w:w="50" w:type="pct"/>
            <w:shd w:val="clear" w:color="auto" w:fill="auto"/>
            <w:vAlign w:val="bottom"/>
          </w:tcPr>
          <w:p w14:paraId="5CD8EAAC" w14:textId="77777777" w:rsidR="00BA49F5" w:rsidRDefault="00BA49F5">
            <w:pPr>
              <w:rPr>
                <w:rFonts w:ascii="宋体"/>
              </w:rPr>
            </w:pPr>
          </w:p>
        </w:tc>
        <w:tc>
          <w:tcPr>
            <w:tcW w:w="593" w:type="pct"/>
            <w:shd w:val="clear" w:color="auto" w:fill="auto"/>
            <w:vAlign w:val="bottom"/>
          </w:tcPr>
          <w:p w14:paraId="5CD8EAAD" w14:textId="77777777" w:rsidR="00BA49F5" w:rsidRDefault="00BA49F5">
            <w:pPr>
              <w:rPr>
                <w:rFonts w:ascii="宋体"/>
              </w:rPr>
            </w:pPr>
          </w:p>
        </w:tc>
        <w:tc>
          <w:tcPr>
            <w:tcW w:w="5" w:type="pct"/>
            <w:shd w:val="clear" w:color="auto" w:fill="auto"/>
            <w:vAlign w:val="bottom"/>
          </w:tcPr>
          <w:p w14:paraId="5CD8EAAE" w14:textId="77777777" w:rsidR="00BA49F5" w:rsidRDefault="00BA49F5">
            <w:pPr>
              <w:rPr>
                <w:rFonts w:ascii="宋体"/>
              </w:rPr>
            </w:pPr>
          </w:p>
        </w:tc>
        <w:tc>
          <w:tcPr>
            <w:tcW w:w="5" w:type="pct"/>
            <w:shd w:val="clear" w:color="auto" w:fill="auto"/>
            <w:vAlign w:val="bottom"/>
          </w:tcPr>
          <w:p w14:paraId="5CD8EAAF" w14:textId="77777777" w:rsidR="00BA49F5" w:rsidRDefault="00BA49F5">
            <w:pPr>
              <w:rPr>
                <w:rFonts w:ascii="宋体"/>
              </w:rPr>
            </w:pPr>
          </w:p>
        </w:tc>
        <w:tc>
          <w:tcPr>
            <w:tcW w:w="27" w:type="pct"/>
            <w:shd w:val="clear" w:color="auto" w:fill="auto"/>
            <w:vAlign w:val="bottom"/>
          </w:tcPr>
          <w:p w14:paraId="5CD8EAB0" w14:textId="77777777" w:rsidR="00BA49F5" w:rsidRDefault="00BA49F5">
            <w:pPr>
              <w:rPr>
                <w:rFonts w:ascii="宋体"/>
              </w:rPr>
            </w:pPr>
          </w:p>
        </w:tc>
        <w:tc>
          <w:tcPr>
            <w:tcW w:w="5" w:type="pct"/>
            <w:shd w:val="clear" w:color="auto" w:fill="auto"/>
            <w:vAlign w:val="bottom"/>
          </w:tcPr>
          <w:p w14:paraId="5CD8EAB1" w14:textId="77777777" w:rsidR="00BA49F5" w:rsidRDefault="00BA49F5">
            <w:pPr>
              <w:rPr>
                <w:rFonts w:ascii="宋体"/>
              </w:rPr>
            </w:pPr>
          </w:p>
        </w:tc>
        <w:tc>
          <w:tcPr>
            <w:tcW w:w="50" w:type="pct"/>
            <w:shd w:val="clear" w:color="auto" w:fill="auto"/>
            <w:vAlign w:val="bottom"/>
          </w:tcPr>
          <w:p w14:paraId="5CD8EAB2" w14:textId="77777777" w:rsidR="00BA49F5" w:rsidRDefault="00BA49F5">
            <w:pPr>
              <w:rPr>
                <w:rFonts w:ascii="宋体"/>
              </w:rPr>
            </w:pPr>
          </w:p>
        </w:tc>
        <w:tc>
          <w:tcPr>
            <w:tcW w:w="593" w:type="pct"/>
            <w:shd w:val="clear" w:color="auto" w:fill="auto"/>
            <w:vAlign w:val="bottom"/>
          </w:tcPr>
          <w:p w14:paraId="5CD8EAB3" w14:textId="77777777" w:rsidR="00BA49F5" w:rsidRDefault="00BA49F5">
            <w:pPr>
              <w:rPr>
                <w:rFonts w:ascii="宋体"/>
              </w:rPr>
            </w:pPr>
          </w:p>
        </w:tc>
        <w:tc>
          <w:tcPr>
            <w:tcW w:w="5" w:type="pct"/>
            <w:shd w:val="clear" w:color="auto" w:fill="auto"/>
            <w:vAlign w:val="bottom"/>
          </w:tcPr>
          <w:p w14:paraId="5CD8EAB4" w14:textId="77777777" w:rsidR="00BA49F5" w:rsidRDefault="00BA49F5">
            <w:pPr>
              <w:rPr>
                <w:rFonts w:ascii="宋体"/>
              </w:rPr>
            </w:pPr>
          </w:p>
        </w:tc>
        <w:tc>
          <w:tcPr>
            <w:tcW w:w="5" w:type="pct"/>
            <w:shd w:val="clear" w:color="auto" w:fill="auto"/>
            <w:vAlign w:val="bottom"/>
          </w:tcPr>
          <w:p w14:paraId="5CD8EAB5" w14:textId="77777777" w:rsidR="00BA49F5" w:rsidRDefault="00BA49F5">
            <w:pPr>
              <w:rPr>
                <w:rFonts w:ascii="宋体"/>
              </w:rPr>
            </w:pPr>
          </w:p>
        </w:tc>
        <w:tc>
          <w:tcPr>
            <w:tcW w:w="27" w:type="pct"/>
            <w:shd w:val="clear" w:color="auto" w:fill="auto"/>
            <w:vAlign w:val="bottom"/>
          </w:tcPr>
          <w:p w14:paraId="5CD8EAB6" w14:textId="77777777" w:rsidR="00BA49F5" w:rsidRDefault="00BA49F5">
            <w:pPr>
              <w:rPr>
                <w:rFonts w:ascii="宋体"/>
              </w:rPr>
            </w:pPr>
          </w:p>
        </w:tc>
        <w:tc>
          <w:tcPr>
            <w:tcW w:w="5" w:type="pct"/>
            <w:shd w:val="clear" w:color="auto" w:fill="auto"/>
            <w:vAlign w:val="bottom"/>
          </w:tcPr>
          <w:p w14:paraId="5CD8EAB7" w14:textId="77777777" w:rsidR="00BA49F5" w:rsidRDefault="00BA49F5">
            <w:pPr>
              <w:rPr>
                <w:rFonts w:ascii="宋体"/>
              </w:rPr>
            </w:pPr>
          </w:p>
        </w:tc>
        <w:tc>
          <w:tcPr>
            <w:tcW w:w="50" w:type="pct"/>
            <w:shd w:val="clear" w:color="auto" w:fill="auto"/>
            <w:vAlign w:val="bottom"/>
          </w:tcPr>
          <w:p w14:paraId="5CD8EAB8" w14:textId="77777777" w:rsidR="00BA49F5" w:rsidRDefault="00BA49F5">
            <w:pPr>
              <w:rPr>
                <w:rFonts w:ascii="宋体"/>
              </w:rPr>
            </w:pPr>
          </w:p>
        </w:tc>
        <w:tc>
          <w:tcPr>
            <w:tcW w:w="593" w:type="pct"/>
            <w:shd w:val="clear" w:color="auto" w:fill="auto"/>
            <w:vAlign w:val="bottom"/>
          </w:tcPr>
          <w:p w14:paraId="5CD8EAB9" w14:textId="77777777" w:rsidR="00BA49F5" w:rsidRDefault="00BA49F5">
            <w:pPr>
              <w:rPr>
                <w:rFonts w:ascii="宋体"/>
              </w:rPr>
            </w:pPr>
          </w:p>
        </w:tc>
        <w:tc>
          <w:tcPr>
            <w:tcW w:w="5" w:type="pct"/>
            <w:shd w:val="clear" w:color="auto" w:fill="auto"/>
            <w:vAlign w:val="bottom"/>
          </w:tcPr>
          <w:p w14:paraId="5CD8EABA" w14:textId="77777777" w:rsidR="00BA49F5" w:rsidRDefault="00BA49F5">
            <w:pPr>
              <w:rPr>
                <w:rFonts w:ascii="宋体"/>
              </w:rPr>
            </w:pPr>
          </w:p>
        </w:tc>
        <w:tc>
          <w:tcPr>
            <w:tcW w:w="5" w:type="pct"/>
            <w:shd w:val="clear" w:color="auto" w:fill="auto"/>
            <w:vAlign w:val="bottom"/>
          </w:tcPr>
          <w:p w14:paraId="5CD8EABB" w14:textId="77777777" w:rsidR="00BA49F5" w:rsidRDefault="00BA49F5">
            <w:pPr>
              <w:rPr>
                <w:rFonts w:ascii="宋体"/>
              </w:rPr>
            </w:pPr>
          </w:p>
        </w:tc>
        <w:tc>
          <w:tcPr>
            <w:tcW w:w="27" w:type="pct"/>
            <w:shd w:val="clear" w:color="auto" w:fill="auto"/>
            <w:vAlign w:val="bottom"/>
          </w:tcPr>
          <w:p w14:paraId="5CD8EABC" w14:textId="77777777" w:rsidR="00BA49F5" w:rsidRDefault="00BA49F5">
            <w:pPr>
              <w:rPr>
                <w:rFonts w:ascii="宋体"/>
              </w:rPr>
            </w:pPr>
          </w:p>
        </w:tc>
        <w:tc>
          <w:tcPr>
            <w:tcW w:w="5" w:type="pct"/>
            <w:shd w:val="clear" w:color="auto" w:fill="auto"/>
            <w:vAlign w:val="bottom"/>
          </w:tcPr>
          <w:p w14:paraId="5CD8EABD" w14:textId="77777777" w:rsidR="00BA49F5" w:rsidRDefault="00BA49F5">
            <w:pPr>
              <w:rPr>
                <w:rFonts w:ascii="宋体"/>
              </w:rPr>
            </w:pPr>
          </w:p>
        </w:tc>
        <w:tc>
          <w:tcPr>
            <w:tcW w:w="50" w:type="pct"/>
            <w:shd w:val="clear" w:color="auto" w:fill="auto"/>
            <w:vAlign w:val="bottom"/>
          </w:tcPr>
          <w:p w14:paraId="5CD8EABE" w14:textId="77777777" w:rsidR="00BA49F5" w:rsidRDefault="00BA49F5">
            <w:pPr>
              <w:rPr>
                <w:rFonts w:ascii="宋体"/>
              </w:rPr>
            </w:pPr>
          </w:p>
        </w:tc>
        <w:tc>
          <w:tcPr>
            <w:tcW w:w="518" w:type="pct"/>
            <w:shd w:val="clear" w:color="auto" w:fill="auto"/>
            <w:vAlign w:val="bottom"/>
          </w:tcPr>
          <w:p w14:paraId="5CD8EABF" w14:textId="77777777" w:rsidR="00BA49F5" w:rsidRDefault="00BA49F5">
            <w:pPr>
              <w:rPr>
                <w:rFonts w:ascii="宋体"/>
              </w:rPr>
            </w:pPr>
          </w:p>
        </w:tc>
        <w:tc>
          <w:tcPr>
            <w:tcW w:w="5" w:type="pct"/>
            <w:shd w:val="clear" w:color="auto" w:fill="auto"/>
            <w:vAlign w:val="bottom"/>
          </w:tcPr>
          <w:p w14:paraId="5CD8EAC0" w14:textId="77777777" w:rsidR="00BA49F5" w:rsidRDefault="00BA49F5">
            <w:pPr>
              <w:rPr>
                <w:rFonts w:ascii="宋体"/>
              </w:rPr>
            </w:pPr>
          </w:p>
        </w:tc>
        <w:tc>
          <w:tcPr>
            <w:tcW w:w="5" w:type="pct"/>
            <w:shd w:val="clear" w:color="auto" w:fill="auto"/>
            <w:vAlign w:val="bottom"/>
          </w:tcPr>
          <w:p w14:paraId="5CD8EAC1" w14:textId="77777777" w:rsidR="00BA49F5" w:rsidRDefault="00BA49F5">
            <w:pPr>
              <w:rPr>
                <w:rFonts w:ascii="宋体"/>
              </w:rPr>
            </w:pPr>
          </w:p>
        </w:tc>
        <w:tc>
          <w:tcPr>
            <w:tcW w:w="27" w:type="pct"/>
            <w:shd w:val="clear" w:color="auto" w:fill="auto"/>
            <w:vAlign w:val="bottom"/>
          </w:tcPr>
          <w:p w14:paraId="5CD8EAC2" w14:textId="77777777" w:rsidR="00BA49F5" w:rsidRDefault="00BA49F5">
            <w:pPr>
              <w:rPr>
                <w:rFonts w:ascii="宋体"/>
              </w:rPr>
            </w:pPr>
          </w:p>
        </w:tc>
        <w:tc>
          <w:tcPr>
            <w:tcW w:w="5" w:type="pct"/>
            <w:shd w:val="clear" w:color="auto" w:fill="auto"/>
            <w:vAlign w:val="bottom"/>
          </w:tcPr>
          <w:p w14:paraId="5CD8EAC3" w14:textId="77777777" w:rsidR="00BA49F5" w:rsidRDefault="00BA49F5">
            <w:pPr>
              <w:rPr>
                <w:rFonts w:ascii="宋体"/>
              </w:rPr>
            </w:pPr>
          </w:p>
        </w:tc>
        <w:tc>
          <w:tcPr>
            <w:tcW w:w="50" w:type="pct"/>
            <w:shd w:val="clear" w:color="auto" w:fill="auto"/>
            <w:vAlign w:val="bottom"/>
          </w:tcPr>
          <w:p w14:paraId="5CD8EAC4" w14:textId="77777777" w:rsidR="00BA49F5" w:rsidRDefault="00BA49F5">
            <w:pPr>
              <w:rPr>
                <w:rFonts w:ascii="宋体"/>
              </w:rPr>
            </w:pPr>
          </w:p>
        </w:tc>
        <w:tc>
          <w:tcPr>
            <w:tcW w:w="518" w:type="pct"/>
            <w:shd w:val="clear" w:color="auto" w:fill="auto"/>
            <w:vAlign w:val="bottom"/>
          </w:tcPr>
          <w:p w14:paraId="5CD8EAC5" w14:textId="77777777" w:rsidR="00BA49F5" w:rsidRDefault="00BA49F5">
            <w:pPr>
              <w:rPr>
                <w:rFonts w:ascii="宋体"/>
              </w:rPr>
            </w:pPr>
          </w:p>
        </w:tc>
        <w:tc>
          <w:tcPr>
            <w:tcW w:w="5" w:type="pct"/>
            <w:shd w:val="clear" w:color="auto" w:fill="auto"/>
            <w:vAlign w:val="bottom"/>
          </w:tcPr>
          <w:p w14:paraId="5CD8EAC6" w14:textId="77777777" w:rsidR="00BA49F5" w:rsidRDefault="00BA49F5">
            <w:pPr>
              <w:rPr>
                <w:rFonts w:ascii="宋体"/>
              </w:rPr>
            </w:pPr>
          </w:p>
        </w:tc>
      </w:tr>
      <w:tr w:rsidR="00BA49F5" w14:paraId="5CD8EACE" w14:textId="77777777">
        <w:tc>
          <w:tcPr>
            <w:tcW w:w="0" w:type="auto"/>
            <w:gridSpan w:val="3"/>
            <w:shd w:val="clear" w:color="auto" w:fill="auto"/>
            <w:tcMar>
              <w:top w:w="0" w:type="dxa"/>
              <w:left w:w="20" w:type="dxa"/>
              <w:bottom w:w="0" w:type="dxa"/>
              <w:right w:w="20" w:type="dxa"/>
            </w:tcMar>
            <w:vAlign w:val="bottom"/>
          </w:tcPr>
          <w:p w14:paraId="5CD8EAC8"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AC9"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AC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C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C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CD" w14:textId="77777777" w:rsidR="00BA49F5" w:rsidRDefault="00BA49F5">
            <w:pPr>
              <w:rPr>
                <w:rFonts w:ascii="宋体"/>
              </w:rPr>
            </w:pPr>
          </w:p>
        </w:tc>
      </w:tr>
      <w:tr w:rsidR="00BA49F5" w14:paraId="5CD8EAD9" w14:textId="77777777">
        <w:tc>
          <w:tcPr>
            <w:tcW w:w="0" w:type="auto"/>
            <w:gridSpan w:val="3"/>
            <w:shd w:val="clear" w:color="auto" w:fill="auto"/>
            <w:tcMar>
              <w:top w:w="0" w:type="dxa"/>
              <w:left w:w="20" w:type="dxa"/>
              <w:bottom w:w="0" w:type="dxa"/>
              <w:right w:w="20" w:type="dxa"/>
            </w:tcMar>
            <w:vAlign w:val="bottom"/>
          </w:tcPr>
          <w:p w14:paraId="5CD8EAC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D0"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D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D2"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D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AD4"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AD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AD6"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AD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AD8"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AE4" w14:textId="77777777">
        <w:trPr>
          <w:trHeight w:val="60"/>
        </w:trPr>
        <w:tc>
          <w:tcPr>
            <w:tcW w:w="0" w:type="auto"/>
            <w:gridSpan w:val="3"/>
            <w:shd w:val="clear" w:color="auto" w:fill="auto"/>
            <w:tcMar>
              <w:top w:w="0" w:type="dxa"/>
              <w:left w:w="20" w:type="dxa"/>
              <w:bottom w:w="0" w:type="dxa"/>
              <w:right w:w="20" w:type="dxa"/>
            </w:tcMar>
            <w:vAlign w:val="bottom"/>
          </w:tcPr>
          <w:p w14:paraId="5CD8EADA"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D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DC"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D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D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D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E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E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AE2"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AE3" w14:textId="77777777" w:rsidR="00BA49F5" w:rsidRDefault="00BA49F5">
            <w:pPr>
              <w:rPr>
                <w:rFonts w:ascii="宋体"/>
              </w:rPr>
            </w:pPr>
          </w:p>
        </w:tc>
      </w:tr>
      <w:tr w:rsidR="00BA49F5" w14:paraId="5CD8EAE7" w14:textId="77777777">
        <w:tc>
          <w:tcPr>
            <w:tcW w:w="0" w:type="auto"/>
            <w:gridSpan w:val="3"/>
            <w:shd w:val="clear" w:color="auto" w:fill="auto"/>
            <w:tcMar>
              <w:top w:w="0" w:type="dxa"/>
              <w:left w:w="20" w:type="dxa"/>
              <w:bottom w:w="0" w:type="dxa"/>
              <w:right w:w="20" w:type="dxa"/>
            </w:tcMar>
            <w:vAlign w:val="bottom"/>
          </w:tcPr>
          <w:p w14:paraId="5CD8EAE5"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AE6"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AFA" w14:textId="77777777">
        <w:tc>
          <w:tcPr>
            <w:tcW w:w="0" w:type="auto"/>
            <w:gridSpan w:val="3"/>
            <w:shd w:val="clear" w:color="auto" w:fill="CCEEFF"/>
            <w:tcMar>
              <w:top w:w="40" w:type="dxa"/>
              <w:left w:w="20" w:type="dxa"/>
              <w:bottom w:w="40" w:type="dxa"/>
              <w:right w:w="20" w:type="dxa"/>
            </w:tcMar>
            <w:vAlign w:val="bottom"/>
          </w:tcPr>
          <w:p w14:paraId="5CD8EAE8"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5CD8EAE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EA" w14:textId="77777777" w:rsidR="00BA49F5" w:rsidRDefault="007E5E49">
            <w:pPr>
              <w:jc w:val="right"/>
              <w:textAlignment w:val="bottom"/>
            </w:pPr>
            <w:r>
              <w:rPr>
                <w:rFonts w:ascii="Times New Roman" w:eastAsia="宋体" w:hAnsi="Times New Roman"/>
                <w:color w:val="000000"/>
                <w:sz w:val="20"/>
                <w:szCs w:val="20"/>
              </w:rPr>
              <w:t>35,338 </w:t>
            </w:r>
          </w:p>
        </w:tc>
        <w:tc>
          <w:tcPr>
            <w:tcW w:w="0" w:type="auto"/>
            <w:shd w:val="clear" w:color="auto" w:fill="CCEEFF"/>
            <w:tcMar>
              <w:top w:w="40" w:type="dxa"/>
              <w:left w:w="0" w:type="dxa"/>
              <w:bottom w:w="40" w:type="dxa"/>
              <w:right w:w="20" w:type="dxa"/>
            </w:tcMar>
            <w:vAlign w:val="bottom"/>
          </w:tcPr>
          <w:p w14:paraId="5CD8EAE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E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AE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EE" w14:textId="77777777" w:rsidR="00BA49F5" w:rsidRDefault="007E5E49">
            <w:pPr>
              <w:jc w:val="right"/>
              <w:textAlignment w:val="bottom"/>
            </w:pPr>
            <w:r>
              <w:rPr>
                <w:rFonts w:ascii="Times New Roman" w:eastAsia="宋体" w:hAnsi="Times New Roman"/>
                <w:color w:val="000000"/>
                <w:sz w:val="20"/>
                <w:szCs w:val="20"/>
              </w:rPr>
              <w:t>24,655 </w:t>
            </w:r>
          </w:p>
        </w:tc>
        <w:tc>
          <w:tcPr>
            <w:tcW w:w="0" w:type="auto"/>
            <w:shd w:val="clear" w:color="auto" w:fill="CCEEFF"/>
            <w:tcMar>
              <w:top w:w="40" w:type="dxa"/>
              <w:left w:w="0" w:type="dxa"/>
              <w:bottom w:w="40" w:type="dxa"/>
              <w:right w:w="20" w:type="dxa"/>
            </w:tcMar>
            <w:vAlign w:val="bottom"/>
          </w:tcPr>
          <w:p w14:paraId="5CD8EAE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F0"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AF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AF2" w14:textId="77777777" w:rsidR="00BA49F5" w:rsidRDefault="007E5E49">
            <w:pPr>
              <w:jc w:val="right"/>
              <w:textAlignment w:val="bottom"/>
            </w:pPr>
            <w:r>
              <w:rPr>
                <w:rFonts w:ascii="Times New Roman" w:eastAsia="宋体" w:hAnsi="Times New Roman"/>
                <w:color w:val="000000"/>
                <w:sz w:val="20"/>
                <w:szCs w:val="20"/>
              </w:rPr>
              <w:t>18,447 </w:t>
            </w:r>
          </w:p>
        </w:tc>
        <w:tc>
          <w:tcPr>
            <w:tcW w:w="0" w:type="auto"/>
            <w:shd w:val="clear" w:color="auto" w:fill="CCEEFF"/>
            <w:tcMar>
              <w:top w:w="40" w:type="dxa"/>
              <w:left w:w="0" w:type="dxa"/>
              <w:bottom w:w="40" w:type="dxa"/>
              <w:right w:w="20" w:type="dxa"/>
            </w:tcMar>
            <w:vAlign w:val="bottom"/>
          </w:tcPr>
          <w:p w14:paraId="5CD8EAF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AF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F5" w14:textId="77777777" w:rsidR="00BA49F5" w:rsidRDefault="007E5E49">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5CD8EAF6"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AF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AF8" w14:textId="77777777" w:rsidR="00BA49F5" w:rsidRDefault="007E5E49">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5CD8EAF9"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B08" w14:textId="77777777">
        <w:tc>
          <w:tcPr>
            <w:tcW w:w="0" w:type="auto"/>
            <w:gridSpan w:val="3"/>
            <w:shd w:val="clear" w:color="auto" w:fill="FFFFFF"/>
            <w:tcMar>
              <w:top w:w="40" w:type="dxa"/>
              <w:left w:w="20" w:type="dxa"/>
              <w:bottom w:w="40" w:type="dxa"/>
              <w:right w:w="20" w:type="dxa"/>
            </w:tcMar>
            <w:vAlign w:val="bottom"/>
          </w:tcPr>
          <w:p w14:paraId="5CD8EAFB" w14:textId="77777777" w:rsidR="00BA49F5" w:rsidRDefault="007E5E49">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5CD8EAFC" w14:textId="77777777" w:rsidR="00BA49F5" w:rsidRDefault="007E5E49">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5CD8EAF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AF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AFF" w14:textId="77777777" w:rsidR="00BA49F5" w:rsidRDefault="007E5E4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5CD8EB00"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0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B02" w14:textId="77777777" w:rsidR="00BA49F5" w:rsidRDefault="007E5E4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5CD8EB03"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0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0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06"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07" w14:textId="77777777" w:rsidR="00BA49F5" w:rsidRDefault="00BA49F5">
            <w:pPr>
              <w:rPr>
                <w:rFonts w:ascii="宋体"/>
              </w:rPr>
            </w:pPr>
          </w:p>
        </w:tc>
      </w:tr>
    </w:tbl>
    <w:p w14:paraId="5CD8EB09" w14:textId="77777777" w:rsidR="00BA49F5" w:rsidRDefault="00BA49F5"/>
    <w:p w14:paraId="5CD8EB0A" w14:textId="77777777" w:rsidR="00BA49F5" w:rsidRDefault="007E5E49">
      <w:pPr>
        <w:ind w:firstLine="540"/>
        <w:jc w:val="both"/>
      </w:pPr>
      <w:r>
        <w:rPr>
          <w:rFonts w:ascii="Times New Roman" w:eastAsia="宋体" w:hAnsi="Times New Roman"/>
          <w:color w:val="000000"/>
          <w:sz w:val="20"/>
          <w:szCs w:val="20"/>
        </w:rPr>
        <w:t xml:space="preserve">Research and development expenses in 2022 increased </w:t>
      </w:r>
      <w:r>
        <w:rPr>
          <w:rFonts w:ascii="Times New Roman" w:eastAsia="宋体" w:hAnsi="Times New Roman"/>
          <w:color w:val="000000"/>
          <w:sz w:val="20"/>
          <w:szCs w:val="20"/>
        </w:rPr>
        <w:t>$10.68 billion, or 43%, compared to 2021. The increase was mainly due to higher payroll and related expenses and $1.31 billion impairment charges to leases and leasehold improvements as part of our restructuring efforts. Our payroll and related expenses in</w:t>
      </w:r>
      <w:r>
        <w:rPr>
          <w:rFonts w:ascii="Times New Roman" w:eastAsia="宋体" w:hAnsi="Times New Roman"/>
          <w:color w:val="000000"/>
          <w:sz w:val="20"/>
          <w:szCs w:val="20"/>
        </w:rPr>
        <w:t>creased as a result of a 26% increase in employee headcount from December 31, 2021 to December 31, 2022 in engineering and other technical functions supporting our continued investment in our family of products and RL.</w:t>
      </w:r>
    </w:p>
    <w:p w14:paraId="5CD8EB0B" w14:textId="77777777" w:rsidR="00BA49F5" w:rsidRDefault="00BA49F5">
      <w:pPr>
        <w:jc w:val="both"/>
      </w:pPr>
    </w:p>
    <w:p w14:paraId="5CD8EB0C" w14:textId="77777777" w:rsidR="00BA49F5" w:rsidRDefault="007E5E49">
      <w:pPr>
        <w:jc w:val="both"/>
      </w:pPr>
      <w:r>
        <w:rPr>
          <w:rFonts w:ascii="Times New Roman" w:eastAsia="宋体" w:hAnsi="Times New Roman"/>
          <w:b/>
          <w:bCs/>
          <w:i/>
          <w:iCs/>
          <w:color w:val="000000"/>
          <w:sz w:val="20"/>
          <w:szCs w:val="20"/>
        </w:rPr>
        <w:t>Marketing and sales</w:t>
      </w:r>
    </w:p>
    <w:tbl>
      <w:tblPr>
        <w:tblW w:w="4993" w:type="pct"/>
        <w:jc w:val="right"/>
        <w:tblCellMar>
          <w:top w:w="15" w:type="dxa"/>
          <w:left w:w="15" w:type="dxa"/>
          <w:bottom w:w="15" w:type="dxa"/>
          <w:right w:w="15" w:type="dxa"/>
        </w:tblCellMar>
        <w:tblLook w:val="04A0" w:firstRow="1" w:lastRow="0" w:firstColumn="1" w:lastColumn="0" w:noHBand="0" w:noVBand="1"/>
      </w:tblPr>
      <w:tblGrid>
        <w:gridCol w:w="37"/>
        <w:gridCol w:w="2691"/>
        <w:gridCol w:w="36"/>
        <w:gridCol w:w="120"/>
        <w:gridCol w:w="891"/>
        <w:gridCol w:w="187"/>
        <w:gridCol w:w="36"/>
        <w:gridCol w:w="36"/>
        <w:gridCol w:w="36"/>
        <w:gridCol w:w="120"/>
        <w:gridCol w:w="804"/>
        <w:gridCol w:w="187"/>
        <w:gridCol w:w="36"/>
        <w:gridCol w:w="36"/>
        <w:gridCol w:w="36"/>
        <w:gridCol w:w="120"/>
        <w:gridCol w:w="804"/>
        <w:gridCol w:w="187"/>
        <w:gridCol w:w="36"/>
        <w:gridCol w:w="36"/>
        <w:gridCol w:w="36"/>
        <w:gridCol w:w="49"/>
        <w:gridCol w:w="617"/>
        <w:gridCol w:w="187"/>
        <w:gridCol w:w="36"/>
        <w:gridCol w:w="36"/>
        <w:gridCol w:w="36"/>
        <w:gridCol w:w="49"/>
        <w:gridCol w:w="619"/>
        <w:gridCol w:w="187"/>
      </w:tblGrid>
      <w:tr w:rsidR="00BA49F5" w14:paraId="5CD8EB2B" w14:textId="77777777">
        <w:trPr>
          <w:jc w:val="right"/>
        </w:trPr>
        <w:tc>
          <w:tcPr>
            <w:tcW w:w="50" w:type="pct"/>
            <w:shd w:val="clear" w:color="auto" w:fill="auto"/>
            <w:vAlign w:val="bottom"/>
          </w:tcPr>
          <w:p w14:paraId="5CD8EB0D" w14:textId="77777777" w:rsidR="00BA49F5" w:rsidRDefault="00BA49F5">
            <w:pPr>
              <w:rPr>
                <w:rFonts w:ascii="宋体"/>
              </w:rPr>
            </w:pPr>
          </w:p>
        </w:tc>
        <w:tc>
          <w:tcPr>
            <w:tcW w:w="1703" w:type="pct"/>
            <w:shd w:val="clear" w:color="auto" w:fill="auto"/>
            <w:vAlign w:val="bottom"/>
          </w:tcPr>
          <w:p w14:paraId="5CD8EB0E" w14:textId="77777777" w:rsidR="00BA49F5" w:rsidRDefault="00BA49F5">
            <w:pPr>
              <w:rPr>
                <w:rFonts w:ascii="宋体"/>
              </w:rPr>
            </w:pPr>
          </w:p>
        </w:tc>
        <w:tc>
          <w:tcPr>
            <w:tcW w:w="5" w:type="pct"/>
            <w:shd w:val="clear" w:color="auto" w:fill="auto"/>
            <w:vAlign w:val="bottom"/>
          </w:tcPr>
          <w:p w14:paraId="5CD8EB0F" w14:textId="77777777" w:rsidR="00BA49F5" w:rsidRDefault="00BA49F5">
            <w:pPr>
              <w:rPr>
                <w:rFonts w:ascii="宋体"/>
              </w:rPr>
            </w:pPr>
          </w:p>
        </w:tc>
        <w:tc>
          <w:tcPr>
            <w:tcW w:w="50" w:type="pct"/>
            <w:shd w:val="clear" w:color="auto" w:fill="auto"/>
            <w:vAlign w:val="bottom"/>
          </w:tcPr>
          <w:p w14:paraId="5CD8EB10" w14:textId="77777777" w:rsidR="00BA49F5" w:rsidRDefault="00BA49F5">
            <w:pPr>
              <w:rPr>
                <w:rFonts w:ascii="宋体"/>
              </w:rPr>
            </w:pPr>
          </w:p>
        </w:tc>
        <w:tc>
          <w:tcPr>
            <w:tcW w:w="593" w:type="pct"/>
            <w:shd w:val="clear" w:color="auto" w:fill="auto"/>
            <w:vAlign w:val="bottom"/>
          </w:tcPr>
          <w:p w14:paraId="5CD8EB11" w14:textId="77777777" w:rsidR="00BA49F5" w:rsidRDefault="00BA49F5">
            <w:pPr>
              <w:rPr>
                <w:rFonts w:ascii="宋体"/>
              </w:rPr>
            </w:pPr>
          </w:p>
        </w:tc>
        <w:tc>
          <w:tcPr>
            <w:tcW w:w="5" w:type="pct"/>
            <w:shd w:val="clear" w:color="auto" w:fill="auto"/>
            <w:vAlign w:val="bottom"/>
          </w:tcPr>
          <w:p w14:paraId="5CD8EB12" w14:textId="77777777" w:rsidR="00BA49F5" w:rsidRDefault="00BA49F5">
            <w:pPr>
              <w:rPr>
                <w:rFonts w:ascii="宋体"/>
              </w:rPr>
            </w:pPr>
          </w:p>
        </w:tc>
        <w:tc>
          <w:tcPr>
            <w:tcW w:w="5" w:type="pct"/>
            <w:shd w:val="clear" w:color="auto" w:fill="auto"/>
            <w:vAlign w:val="bottom"/>
          </w:tcPr>
          <w:p w14:paraId="5CD8EB13" w14:textId="77777777" w:rsidR="00BA49F5" w:rsidRDefault="00BA49F5">
            <w:pPr>
              <w:rPr>
                <w:rFonts w:ascii="宋体"/>
              </w:rPr>
            </w:pPr>
          </w:p>
        </w:tc>
        <w:tc>
          <w:tcPr>
            <w:tcW w:w="27" w:type="pct"/>
            <w:shd w:val="clear" w:color="auto" w:fill="auto"/>
            <w:vAlign w:val="bottom"/>
          </w:tcPr>
          <w:p w14:paraId="5CD8EB14" w14:textId="77777777" w:rsidR="00BA49F5" w:rsidRDefault="00BA49F5">
            <w:pPr>
              <w:rPr>
                <w:rFonts w:ascii="宋体"/>
              </w:rPr>
            </w:pPr>
          </w:p>
        </w:tc>
        <w:tc>
          <w:tcPr>
            <w:tcW w:w="5" w:type="pct"/>
            <w:shd w:val="clear" w:color="auto" w:fill="auto"/>
            <w:vAlign w:val="bottom"/>
          </w:tcPr>
          <w:p w14:paraId="5CD8EB15" w14:textId="77777777" w:rsidR="00BA49F5" w:rsidRDefault="00BA49F5">
            <w:pPr>
              <w:rPr>
                <w:rFonts w:ascii="宋体"/>
              </w:rPr>
            </w:pPr>
          </w:p>
        </w:tc>
        <w:tc>
          <w:tcPr>
            <w:tcW w:w="50" w:type="pct"/>
            <w:shd w:val="clear" w:color="auto" w:fill="auto"/>
            <w:vAlign w:val="bottom"/>
          </w:tcPr>
          <w:p w14:paraId="5CD8EB16" w14:textId="77777777" w:rsidR="00BA49F5" w:rsidRDefault="00BA49F5">
            <w:pPr>
              <w:rPr>
                <w:rFonts w:ascii="宋体"/>
              </w:rPr>
            </w:pPr>
          </w:p>
        </w:tc>
        <w:tc>
          <w:tcPr>
            <w:tcW w:w="593" w:type="pct"/>
            <w:shd w:val="clear" w:color="auto" w:fill="auto"/>
            <w:vAlign w:val="bottom"/>
          </w:tcPr>
          <w:p w14:paraId="5CD8EB17" w14:textId="77777777" w:rsidR="00BA49F5" w:rsidRDefault="00BA49F5">
            <w:pPr>
              <w:rPr>
                <w:rFonts w:ascii="宋体"/>
              </w:rPr>
            </w:pPr>
          </w:p>
        </w:tc>
        <w:tc>
          <w:tcPr>
            <w:tcW w:w="5" w:type="pct"/>
            <w:shd w:val="clear" w:color="auto" w:fill="auto"/>
            <w:vAlign w:val="bottom"/>
          </w:tcPr>
          <w:p w14:paraId="5CD8EB18" w14:textId="77777777" w:rsidR="00BA49F5" w:rsidRDefault="00BA49F5">
            <w:pPr>
              <w:rPr>
                <w:rFonts w:ascii="宋体"/>
              </w:rPr>
            </w:pPr>
          </w:p>
        </w:tc>
        <w:tc>
          <w:tcPr>
            <w:tcW w:w="5" w:type="pct"/>
            <w:shd w:val="clear" w:color="auto" w:fill="auto"/>
            <w:vAlign w:val="bottom"/>
          </w:tcPr>
          <w:p w14:paraId="5CD8EB19" w14:textId="77777777" w:rsidR="00BA49F5" w:rsidRDefault="00BA49F5">
            <w:pPr>
              <w:rPr>
                <w:rFonts w:ascii="宋体"/>
              </w:rPr>
            </w:pPr>
          </w:p>
        </w:tc>
        <w:tc>
          <w:tcPr>
            <w:tcW w:w="27" w:type="pct"/>
            <w:shd w:val="clear" w:color="auto" w:fill="auto"/>
            <w:vAlign w:val="bottom"/>
          </w:tcPr>
          <w:p w14:paraId="5CD8EB1A" w14:textId="77777777" w:rsidR="00BA49F5" w:rsidRDefault="00BA49F5">
            <w:pPr>
              <w:rPr>
                <w:rFonts w:ascii="宋体"/>
              </w:rPr>
            </w:pPr>
          </w:p>
        </w:tc>
        <w:tc>
          <w:tcPr>
            <w:tcW w:w="5" w:type="pct"/>
            <w:shd w:val="clear" w:color="auto" w:fill="auto"/>
            <w:vAlign w:val="bottom"/>
          </w:tcPr>
          <w:p w14:paraId="5CD8EB1B" w14:textId="77777777" w:rsidR="00BA49F5" w:rsidRDefault="00BA49F5">
            <w:pPr>
              <w:rPr>
                <w:rFonts w:ascii="宋体"/>
              </w:rPr>
            </w:pPr>
          </w:p>
        </w:tc>
        <w:tc>
          <w:tcPr>
            <w:tcW w:w="50" w:type="pct"/>
            <w:shd w:val="clear" w:color="auto" w:fill="auto"/>
            <w:vAlign w:val="bottom"/>
          </w:tcPr>
          <w:p w14:paraId="5CD8EB1C" w14:textId="77777777" w:rsidR="00BA49F5" w:rsidRDefault="00BA49F5">
            <w:pPr>
              <w:rPr>
                <w:rFonts w:ascii="宋体"/>
              </w:rPr>
            </w:pPr>
          </w:p>
        </w:tc>
        <w:tc>
          <w:tcPr>
            <w:tcW w:w="593" w:type="pct"/>
            <w:shd w:val="clear" w:color="auto" w:fill="auto"/>
            <w:vAlign w:val="bottom"/>
          </w:tcPr>
          <w:p w14:paraId="5CD8EB1D" w14:textId="77777777" w:rsidR="00BA49F5" w:rsidRDefault="00BA49F5">
            <w:pPr>
              <w:rPr>
                <w:rFonts w:ascii="宋体"/>
              </w:rPr>
            </w:pPr>
          </w:p>
        </w:tc>
        <w:tc>
          <w:tcPr>
            <w:tcW w:w="5" w:type="pct"/>
            <w:shd w:val="clear" w:color="auto" w:fill="auto"/>
            <w:vAlign w:val="bottom"/>
          </w:tcPr>
          <w:p w14:paraId="5CD8EB1E" w14:textId="77777777" w:rsidR="00BA49F5" w:rsidRDefault="00BA49F5">
            <w:pPr>
              <w:rPr>
                <w:rFonts w:ascii="宋体"/>
              </w:rPr>
            </w:pPr>
          </w:p>
        </w:tc>
        <w:tc>
          <w:tcPr>
            <w:tcW w:w="5" w:type="pct"/>
            <w:shd w:val="clear" w:color="auto" w:fill="auto"/>
            <w:vAlign w:val="bottom"/>
          </w:tcPr>
          <w:p w14:paraId="5CD8EB1F" w14:textId="77777777" w:rsidR="00BA49F5" w:rsidRDefault="00BA49F5">
            <w:pPr>
              <w:rPr>
                <w:rFonts w:ascii="宋体"/>
              </w:rPr>
            </w:pPr>
          </w:p>
        </w:tc>
        <w:tc>
          <w:tcPr>
            <w:tcW w:w="27" w:type="pct"/>
            <w:shd w:val="clear" w:color="auto" w:fill="auto"/>
            <w:vAlign w:val="bottom"/>
          </w:tcPr>
          <w:p w14:paraId="5CD8EB20" w14:textId="77777777" w:rsidR="00BA49F5" w:rsidRDefault="00BA49F5">
            <w:pPr>
              <w:rPr>
                <w:rFonts w:ascii="宋体"/>
              </w:rPr>
            </w:pPr>
          </w:p>
        </w:tc>
        <w:tc>
          <w:tcPr>
            <w:tcW w:w="5" w:type="pct"/>
            <w:shd w:val="clear" w:color="auto" w:fill="auto"/>
            <w:vAlign w:val="bottom"/>
          </w:tcPr>
          <w:p w14:paraId="5CD8EB21" w14:textId="77777777" w:rsidR="00BA49F5" w:rsidRDefault="00BA49F5">
            <w:pPr>
              <w:rPr>
                <w:rFonts w:ascii="宋体"/>
              </w:rPr>
            </w:pPr>
          </w:p>
        </w:tc>
        <w:tc>
          <w:tcPr>
            <w:tcW w:w="50" w:type="pct"/>
            <w:shd w:val="clear" w:color="auto" w:fill="auto"/>
            <w:vAlign w:val="bottom"/>
          </w:tcPr>
          <w:p w14:paraId="5CD8EB22" w14:textId="77777777" w:rsidR="00BA49F5" w:rsidRDefault="00BA49F5">
            <w:pPr>
              <w:rPr>
                <w:rFonts w:ascii="宋体"/>
              </w:rPr>
            </w:pPr>
          </w:p>
        </w:tc>
        <w:tc>
          <w:tcPr>
            <w:tcW w:w="518" w:type="pct"/>
            <w:shd w:val="clear" w:color="auto" w:fill="auto"/>
            <w:vAlign w:val="bottom"/>
          </w:tcPr>
          <w:p w14:paraId="5CD8EB23" w14:textId="77777777" w:rsidR="00BA49F5" w:rsidRDefault="00BA49F5">
            <w:pPr>
              <w:rPr>
                <w:rFonts w:ascii="宋体"/>
              </w:rPr>
            </w:pPr>
          </w:p>
        </w:tc>
        <w:tc>
          <w:tcPr>
            <w:tcW w:w="5" w:type="pct"/>
            <w:shd w:val="clear" w:color="auto" w:fill="auto"/>
            <w:vAlign w:val="bottom"/>
          </w:tcPr>
          <w:p w14:paraId="5CD8EB24" w14:textId="77777777" w:rsidR="00BA49F5" w:rsidRDefault="00BA49F5">
            <w:pPr>
              <w:rPr>
                <w:rFonts w:ascii="宋体"/>
              </w:rPr>
            </w:pPr>
          </w:p>
        </w:tc>
        <w:tc>
          <w:tcPr>
            <w:tcW w:w="5" w:type="pct"/>
            <w:shd w:val="clear" w:color="auto" w:fill="auto"/>
            <w:vAlign w:val="bottom"/>
          </w:tcPr>
          <w:p w14:paraId="5CD8EB25" w14:textId="77777777" w:rsidR="00BA49F5" w:rsidRDefault="00BA49F5">
            <w:pPr>
              <w:rPr>
                <w:rFonts w:ascii="宋体"/>
              </w:rPr>
            </w:pPr>
          </w:p>
        </w:tc>
        <w:tc>
          <w:tcPr>
            <w:tcW w:w="27" w:type="pct"/>
            <w:shd w:val="clear" w:color="auto" w:fill="auto"/>
            <w:vAlign w:val="bottom"/>
          </w:tcPr>
          <w:p w14:paraId="5CD8EB26" w14:textId="77777777" w:rsidR="00BA49F5" w:rsidRDefault="00BA49F5">
            <w:pPr>
              <w:rPr>
                <w:rFonts w:ascii="宋体"/>
              </w:rPr>
            </w:pPr>
          </w:p>
        </w:tc>
        <w:tc>
          <w:tcPr>
            <w:tcW w:w="5" w:type="pct"/>
            <w:shd w:val="clear" w:color="auto" w:fill="auto"/>
            <w:vAlign w:val="bottom"/>
          </w:tcPr>
          <w:p w14:paraId="5CD8EB27" w14:textId="77777777" w:rsidR="00BA49F5" w:rsidRDefault="00BA49F5">
            <w:pPr>
              <w:rPr>
                <w:rFonts w:ascii="宋体"/>
              </w:rPr>
            </w:pPr>
          </w:p>
        </w:tc>
        <w:tc>
          <w:tcPr>
            <w:tcW w:w="50" w:type="pct"/>
            <w:shd w:val="clear" w:color="auto" w:fill="auto"/>
            <w:vAlign w:val="bottom"/>
          </w:tcPr>
          <w:p w14:paraId="5CD8EB28" w14:textId="77777777" w:rsidR="00BA49F5" w:rsidRDefault="00BA49F5">
            <w:pPr>
              <w:rPr>
                <w:rFonts w:ascii="宋体"/>
              </w:rPr>
            </w:pPr>
          </w:p>
        </w:tc>
        <w:tc>
          <w:tcPr>
            <w:tcW w:w="518" w:type="pct"/>
            <w:shd w:val="clear" w:color="auto" w:fill="auto"/>
            <w:vAlign w:val="bottom"/>
          </w:tcPr>
          <w:p w14:paraId="5CD8EB29" w14:textId="77777777" w:rsidR="00BA49F5" w:rsidRDefault="00BA49F5">
            <w:pPr>
              <w:rPr>
                <w:rFonts w:ascii="宋体"/>
              </w:rPr>
            </w:pPr>
          </w:p>
        </w:tc>
        <w:tc>
          <w:tcPr>
            <w:tcW w:w="5" w:type="pct"/>
            <w:shd w:val="clear" w:color="auto" w:fill="auto"/>
            <w:vAlign w:val="bottom"/>
          </w:tcPr>
          <w:p w14:paraId="5CD8EB2A" w14:textId="77777777" w:rsidR="00BA49F5" w:rsidRDefault="00BA49F5">
            <w:pPr>
              <w:rPr>
                <w:rFonts w:ascii="宋体"/>
              </w:rPr>
            </w:pPr>
          </w:p>
        </w:tc>
      </w:tr>
      <w:tr w:rsidR="00BA49F5" w14:paraId="5CD8EB32" w14:textId="77777777">
        <w:trPr>
          <w:jc w:val="right"/>
        </w:trPr>
        <w:tc>
          <w:tcPr>
            <w:tcW w:w="0" w:type="auto"/>
            <w:gridSpan w:val="3"/>
            <w:shd w:val="clear" w:color="auto" w:fill="auto"/>
            <w:tcMar>
              <w:top w:w="0" w:type="dxa"/>
              <w:left w:w="20" w:type="dxa"/>
              <w:bottom w:w="0" w:type="dxa"/>
              <w:right w:w="20" w:type="dxa"/>
            </w:tcMar>
            <w:vAlign w:val="bottom"/>
          </w:tcPr>
          <w:p w14:paraId="5CD8EB2C"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B2D"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B2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2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3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31" w14:textId="77777777" w:rsidR="00BA49F5" w:rsidRDefault="00BA49F5">
            <w:pPr>
              <w:rPr>
                <w:rFonts w:ascii="宋体"/>
              </w:rPr>
            </w:pPr>
          </w:p>
        </w:tc>
      </w:tr>
      <w:tr w:rsidR="00BA49F5" w14:paraId="5CD8EB3D" w14:textId="77777777">
        <w:trPr>
          <w:jc w:val="right"/>
        </w:trPr>
        <w:tc>
          <w:tcPr>
            <w:tcW w:w="0" w:type="auto"/>
            <w:gridSpan w:val="3"/>
            <w:shd w:val="clear" w:color="auto" w:fill="auto"/>
            <w:tcMar>
              <w:top w:w="0" w:type="dxa"/>
              <w:left w:w="20" w:type="dxa"/>
              <w:bottom w:w="0" w:type="dxa"/>
              <w:right w:w="20" w:type="dxa"/>
            </w:tcMar>
            <w:vAlign w:val="bottom"/>
          </w:tcPr>
          <w:p w14:paraId="5CD8EB3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34"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3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36"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3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38"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B3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B3A"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B3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B3C"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B48" w14:textId="77777777">
        <w:trPr>
          <w:trHeight w:val="60"/>
          <w:jc w:val="right"/>
        </w:trPr>
        <w:tc>
          <w:tcPr>
            <w:tcW w:w="0" w:type="auto"/>
            <w:gridSpan w:val="3"/>
            <w:shd w:val="clear" w:color="auto" w:fill="auto"/>
            <w:tcMar>
              <w:top w:w="0" w:type="dxa"/>
              <w:left w:w="20" w:type="dxa"/>
              <w:bottom w:w="0" w:type="dxa"/>
              <w:right w:w="20" w:type="dxa"/>
            </w:tcMar>
            <w:vAlign w:val="bottom"/>
          </w:tcPr>
          <w:p w14:paraId="5CD8EB3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3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4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4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42"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4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44"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4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4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47" w14:textId="77777777" w:rsidR="00BA49F5" w:rsidRDefault="00BA49F5">
            <w:pPr>
              <w:rPr>
                <w:rFonts w:ascii="宋体"/>
              </w:rPr>
            </w:pPr>
          </w:p>
        </w:tc>
      </w:tr>
      <w:tr w:rsidR="00BA49F5" w14:paraId="5CD8EB4B" w14:textId="77777777">
        <w:trPr>
          <w:jc w:val="right"/>
        </w:trPr>
        <w:tc>
          <w:tcPr>
            <w:tcW w:w="0" w:type="auto"/>
            <w:gridSpan w:val="3"/>
            <w:shd w:val="clear" w:color="auto" w:fill="auto"/>
            <w:tcMar>
              <w:top w:w="0" w:type="dxa"/>
              <w:left w:w="20" w:type="dxa"/>
              <w:bottom w:w="0" w:type="dxa"/>
              <w:right w:w="20" w:type="dxa"/>
            </w:tcMar>
            <w:vAlign w:val="bottom"/>
          </w:tcPr>
          <w:p w14:paraId="5CD8EB49"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B4A"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B5E" w14:textId="77777777">
        <w:trPr>
          <w:jc w:val="right"/>
        </w:trPr>
        <w:tc>
          <w:tcPr>
            <w:tcW w:w="0" w:type="auto"/>
            <w:gridSpan w:val="3"/>
            <w:shd w:val="clear" w:color="auto" w:fill="CCEEFF"/>
            <w:tcMar>
              <w:top w:w="40" w:type="dxa"/>
              <w:left w:w="20" w:type="dxa"/>
              <w:bottom w:w="40" w:type="dxa"/>
              <w:right w:w="20" w:type="dxa"/>
            </w:tcMar>
            <w:vAlign w:val="bottom"/>
          </w:tcPr>
          <w:p w14:paraId="5CD8EB4C" w14:textId="77777777" w:rsidR="00BA49F5" w:rsidRDefault="007E5E49">
            <w:pPr>
              <w:textAlignment w:val="bottom"/>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5CD8EB4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4E" w14:textId="77777777" w:rsidR="00BA49F5" w:rsidRDefault="007E5E49">
            <w:pPr>
              <w:jc w:val="right"/>
              <w:textAlignment w:val="bottom"/>
            </w:pPr>
            <w:r>
              <w:rPr>
                <w:rFonts w:ascii="Times New Roman" w:eastAsia="宋体" w:hAnsi="Times New Roman"/>
                <w:color w:val="000000"/>
                <w:sz w:val="20"/>
                <w:szCs w:val="20"/>
              </w:rPr>
              <w:t>15,262 </w:t>
            </w:r>
          </w:p>
        </w:tc>
        <w:tc>
          <w:tcPr>
            <w:tcW w:w="0" w:type="auto"/>
            <w:shd w:val="clear" w:color="auto" w:fill="CCEEFF"/>
            <w:tcMar>
              <w:top w:w="40" w:type="dxa"/>
              <w:left w:w="0" w:type="dxa"/>
              <w:bottom w:w="40" w:type="dxa"/>
              <w:right w:w="20" w:type="dxa"/>
            </w:tcMar>
            <w:vAlign w:val="bottom"/>
          </w:tcPr>
          <w:p w14:paraId="5CD8EB4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50"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B5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52" w14:textId="77777777" w:rsidR="00BA49F5" w:rsidRDefault="007E5E49">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5CD8EB5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54"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B5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56" w14:textId="77777777" w:rsidR="00BA49F5" w:rsidRDefault="007E5E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5CD8EB5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5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B59" w14:textId="77777777" w:rsidR="00BA49F5" w:rsidRDefault="007E5E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5CD8EB5A"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B5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B5C" w14:textId="77777777" w:rsidR="00BA49F5" w:rsidRDefault="007E5E49">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5CD8EB5D"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B6C" w14:textId="77777777">
        <w:trPr>
          <w:jc w:val="right"/>
        </w:trPr>
        <w:tc>
          <w:tcPr>
            <w:tcW w:w="0" w:type="auto"/>
            <w:gridSpan w:val="3"/>
            <w:shd w:val="clear" w:color="auto" w:fill="FFFFFF"/>
            <w:tcMar>
              <w:top w:w="40" w:type="dxa"/>
              <w:left w:w="20" w:type="dxa"/>
              <w:bottom w:w="40" w:type="dxa"/>
              <w:right w:w="20" w:type="dxa"/>
            </w:tcMar>
            <w:vAlign w:val="bottom"/>
          </w:tcPr>
          <w:p w14:paraId="5CD8EB5F" w14:textId="77777777" w:rsidR="00BA49F5" w:rsidRDefault="007E5E49">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5CD8EB60" w14:textId="77777777" w:rsidR="00BA49F5" w:rsidRDefault="007E5E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5CD8EB61"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6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B63" w14:textId="77777777" w:rsidR="00BA49F5" w:rsidRDefault="007E5E4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5CD8EB64"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6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B66" w14:textId="77777777" w:rsidR="00BA49F5" w:rsidRDefault="007E5E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5CD8EB67"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6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6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6A"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6B" w14:textId="77777777" w:rsidR="00BA49F5" w:rsidRDefault="00BA49F5">
            <w:pPr>
              <w:rPr>
                <w:rFonts w:ascii="宋体"/>
              </w:rPr>
            </w:pPr>
          </w:p>
        </w:tc>
      </w:tr>
    </w:tbl>
    <w:p w14:paraId="5CD8EB6D" w14:textId="77777777" w:rsidR="00BA49F5" w:rsidRDefault="00BA49F5">
      <w:pPr>
        <w:ind w:firstLine="540"/>
      </w:pPr>
    </w:p>
    <w:p w14:paraId="5CD8EB6E" w14:textId="77777777" w:rsidR="00BA49F5" w:rsidRDefault="007E5E49">
      <w:pPr>
        <w:ind w:firstLine="540"/>
        <w:jc w:val="both"/>
      </w:pPr>
      <w:r>
        <w:rPr>
          <w:rFonts w:ascii="Times New Roman" w:eastAsia="宋体" w:hAnsi="Times New Roman"/>
          <w:color w:val="000000"/>
          <w:sz w:val="20"/>
          <w:szCs w:val="20"/>
        </w:rPr>
        <w:t>Marketing and sales expenses in 2022 increased $1.22 billion, or 9%, compared to 2021. The increase was mostly due to increases in payroll and related expenses and $404 million impairment charges to leases and leasehold improvements as part of our res</w:t>
      </w:r>
      <w:r>
        <w:rPr>
          <w:rFonts w:ascii="Times New Roman" w:eastAsia="宋体" w:hAnsi="Times New Roman"/>
          <w:color w:val="000000"/>
          <w:sz w:val="20"/>
          <w:szCs w:val="20"/>
        </w:rPr>
        <w:t xml:space="preserve">tructuring efforts. </w:t>
      </w:r>
    </w:p>
    <w:p w14:paraId="5CD8EB6F" w14:textId="77777777" w:rsidR="00BA49F5" w:rsidRDefault="00BA49F5">
      <w:pPr>
        <w:jc w:val="both"/>
      </w:pPr>
    </w:p>
    <w:p w14:paraId="5CD8EB70" w14:textId="77777777" w:rsidR="00BA49F5" w:rsidRDefault="007E5E49">
      <w:pPr>
        <w:jc w:val="center"/>
      </w:pPr>
      <w:r>
        <w:rPr>
          <w:rFonts w:ascii="Times New Roman" w:eastAsia="宋体" w:hAnsi="Times New Roman"/>
          <w:color w:val="000000"/>
          <w:sz w:val="20"/>
          <w:szCs w:val="20"/>
        </w:rPr>
        <w:t>71</w:t>
      </w:r>
    </w:p>
    <w:p w14:paraId="5CD8EB71" w14:textId="77777777" w:rsidR="00BA49F5" w:rsidRDefault="007E5E49">
      <w:r>
        <w:pict w14:anchorId="5CD90D3C">
          <v:rect id="_x0000_i1095" style="width:415.3pt;height:1.5pt" o:hralign="center" o:hrstd="t" o:hr="t" fillcolor="#a0a0a0" stroked="f"/>
        </w:pict>
      </w:r>
    </w:p>
    <w:p w14:paraId="5CD8EB72" w14:textId="77777777" w:rsidR="00BA49F5" w:rsidRDefault="00BA49F5"/>
    <w:p w14:paraId="5CD8EB73" w14:textId="77777777" w:rsidR="00BA49F5" w:rsidRDefault="00BA49F5"/>
    <w:p w14:paraId="5CD8EB74" w14:textId="77777777" w:rsidR="00BA49F5" w:rsidRDefault="007E5E49">
      <w:hyperlink r:id="rId222" w:anchor="i6df229dad1864210ab76200083e26819_7" w:history="1">
        <w:r>
          <w:rPr>
            <w:rStyle w:val="a5"/>
            <w:rFonts w:ascii="Times New Roman" w:eastAsia="宋体" w:hAnsi="Times New Roman"/>
            <w:sz w:val="20"/>
            <w:szCs w:val="20"/>
          </w:rPr>
          <w:t>T</w:t>
        </w:r>
      </w:hyperlink>
      <w:hyperlink r:id="rId223" w:anchor="i6df229dad1864210ab76200083e26819_7" w:history="1">
        <w:r>
          <w:rPr>
            <w:rStyle w:val="a5"/>
            <w:rFonts w:ascii="Times New Roman" w:eastAsia="宋体" w:hAnsi="Times New Roman"/>
            <w:sz w:val="20"/>
            <w:szCs w:val="20"/>
          </w:rPr>
          <w:t>able of Contents</w:t>
        </w:r>
      </w:hyperlink>
    </w:p>
    <w:p w14:paraId="5CD8EB75" w14:textId="77777777" w:rsidR="00BA49F5" w:rsidRDefault="007E5E49">
      <w:pPr>
        <w:jc w:val="both"/>
      </w:pPr>
      <w:r>
        <w:rPr>
          <w:rFonts w:ascii="Times New Roman" w:eastAsia="宋体" w:hAnsi="Times New Roman"/>
          <w:b/>
          <w:bCs/>
          <w:i/>
          <w:iCs/>
          <w:color w:val="000000"/>
          <w:sz w:val="20"/>
          <w:szCs w:val="20"/>
        </w:rPr>
        <w:t>General and administrative</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691"/>
        <w:gridCol w:w="36"/>
        <w:gridCol w:w="120"/>
        <w:gridCol w:w="891"/>
        <w:gridCol w:w="187"/>
        <w:gridCol w:w="36"/>
        <w:gridCol w:w="36"/>
        <w:gridCol w:w="36"/>
        <w:gridCol w:w="120"/>
        <w:gridCol w:w="804"/>
        <w:gridCol w:w="187"/>
        <w:gridCol w:w="36"/>
        <w:gridCol w:w="36"/>
        <w:gridCol w:w="36"/>
        <w:gridCol w:w="120"/>
        <w:gridCol w:w="804"/>
        <w:gridCol w:w="187"/>
        <w:gridCol w:w="36"/>
        <w:gridCol w:w="36"/>
        <w:gridCol w:w="36"/>
        <w:gridCol w:w="49"/>
        <w:gridCol w:w="617"/>
        <w:gridCol w:w="187"/>
        <w:gridCol w:w="36"/>
        <w:gridCol w:w="36"/>
        <w:gridCol w:w="36"/>
        <w:gridCol w:w="49"/>
        <w:gridCol w:w="619"/>
        <w:gridCol w:w="187"/>
      </w:tblGrid>
      <w:tr w:rsidR="00BA49F5" w14:paraId="5CD8EB94" w14:textId="77777777">
        <w:trPr>
          <w:jc w:val="center"/>
        </w:trPr>
        <w:tc>
          <w:tcPr>
            <w:tcW w:w="50" w:type="pct"/>
            <w:shd w:val="clear" w:color="auto" w:fill="auto"/>
            <w:vAlign w:val="bottom"/>
          </w:tcPr>
          <w:p w14:paraId="5CD8EB76" w14:textId="77777777" w:rsidR="00BA49F5" w:rsidRDefault="00BA49F5">
            <w:pPr>
              <w:rPr>
                <w:rFonts w:ascii="宋体"/>
              </w:rPr>
            </w:pPr>
          </w:p>
        </w:tc>
        <w:tc>
          <w:tcPr>
            <w:tcW w:w="1703" w:type="pct"/>
            <w:shd w:val="clear" w:color="auto" w:fill="auto"/>
            <w:vAlign w:val="bottom"/>
          </w:tcPr>
          <w:p w14:paraId="5CD8EB77" w14:textId="77777777" w:rsidR="00BA49F5" w:rsidRDefault="00BA49F5">
            <w:pPr>
              <w:rPr>
                <w:rFonts w:ascii="宋体"/>
              </w:rPr>
            </w:pPr>
          </w:p>
        </w:tc>
        <w:tc>
          <w:tcPr>
            <w:tcW w:w="5" w:type="pct"/>
            <w:shd w:val="clear" w:color="auto" w:fill="auto"/>
            <w:vAlign w:val="bottom"/>
          </w:tcPr>
          <w:p w14:paraId="5CD8EB78" w14:textId="77777777" w:rsidR="00BA49F5" w:rsidRDefault="00BA49F5">
            <w:pPr>
              <w:rPr>
                <w:rFonts w:ascii="宋体"/>
              </w:rPr>
            </w:pPr>
          </w:p>
        </w:tc>
        <w:tc>
          <w:tcPr>
            <w:tcW w:w="50" w:type="pct"/>
            <w:shd w:val="clear" w:color="auto" w:fill="auto"/>
            <w:vAlign w:val="bottom"/>
          </w:tcPr>
          <w:p w14:paraId="5CD8EB79" w14:textId="77777777" w:rsidR="00BA49F5" w:rsidRDefault="00BA49F5">
            <w:pPr>
              <w:rPr>
                <w:rFonts w:ascii="宋体"/>
              </w:rPr>
            </w:pPr>
          </w:p>
        </w:tc>
        <w:tc>
          <w:tcPr>
            <w:tcW w:w="593" w:type="pct"/>
            <w:shd w:val="clear" w:color="auto" w:fill="auto"/>
            <w:vAlign w:val="bottom"/>
          </w:tcPr>
          <w:p w14:paraId="5CD8EB7A" w14:textId="77777777" w:rsidR="00BA49F5" w:rsidRDefault="00BA49F5">
            <w:pPr>
              <w:rPr>
                <w:rFonts w:ascii="宋体"/>
              </w:rPr>
            </w:pPr>
          </w:p>
        </w:tc>
        <w:tc>
          <w:tcPr>
            <w:tcW w:w="5" w:type="pct"/>
            <w:shd w:val="clear" w:color="auto" w:fill="auto"/>
            <w:vAlign w:val="bottom"/>
          </w:tcPr>
          <w:p w14:paraId="5CD8EB7B" w14:textId="77777777" w:rsidR="00BA49F5" w:rsidRDefault="00BA49F5">
            <w:pPr>
              <w:rPr>
                <w:rFonts w:ascii="宋体"/>
              </w:rPr>
            </w:pPr>
          </w:p>
        </w:tc>
        <w:tc>
          <w:tcPr>
            <w:tcW w:w="5" w:type="pct"/>
            <w:shd w:val="clear" w:color="auto" w:fill="auto"/>
            <w:vAlign w:val="bottom"/>
          </w:tcPr>
          <w:p w14:paraId="5CD8EB7C" w14:textId="77777777" w:rsidR="00BA49F5" w:rsidRDefault="00BA49F5">
            <w:pPr>
              <w:rPr>
                <w:rFonts w:ascii="宋体"/>
              </w:rPr>
            </w:pPr>
          </w:p>
        </w:tc>
        <w:tc>
          <w:tcPr>
            <w:tcW w:w="27" w:type="pct"/>
            <w:shd w:val="clear" w:color="auto" w:fill="auto"/>
            <w:vAlign w:val="bottom"/>
          </w:tcPr>
          <w:p w14:paraId="5CD8EB7D" w14:textId="77777777" w:rsidR="00BA49F5" w:rsidRDefault="00BA49F5">
            <w:pPr>
              <w:rPr>
                <w:rFonts w:ascii="宋体"/>
              </w:rPr>
            </w:pPr>
          </w:p>
        </w:tc>
        <w:tc>
          <w:tcPr>
            <w:tcW w:w="5" w:type="pct"/>
            <w:shd w:val="clear" w:color="auto" w:fill="auto"/>
            <w:vAlign w:val="bottom"/>
          </w:tcPr>
          <w:p w14:paraId="5CD8EB7E" w14:textId="77777777" w:rsidR="00BA49F5" w:rsidRDefault="00BA49F5">
            <w:pPr>
              <w:rPr>
                <w:rFonts w:ascii="宋体"/>
              </w:rPr>
            </w:pPr>
          </w:p>
        </w:tc>
        <w:tc>
          <w:tcPr>
            <w:tcW w:w="50" w:type="pct"/>
            <w:shd w:val="clear" w:color="auto" w:fill="auto"/>
            <w:vAlign w:val="bottom"/>
          </w:tcPr>
          <w:p w14:paraId="5CD8EB7F" w14:textId="77777777" w:rsidR="00BA49F5" w:rsidRDefault="00BA49F5">
            <w:pPr>
              <w:rPr>
                <w:rFonts w:ascii="宋体"/>
              </w:rPr>
            </w:pPr>
          </w:p>
        </w:tc>
        <w:tc>
          <w:tcPr>
            <w:tcW w:w="593" w:type="pct"/>
            <w:shd w:val="clear" w:color="auto" w:fill="auto"/>
            <w:vAlign w:val="bottom"/>
          </w:tcPr>
          <w:p w14:paraId="5CD8EB80" w14:textId="77777777" w:rsidR="00BA49F5" w:rsidRDefault="00BA49F5">
            <w:pPr>
              <w:rPr>
                <w:rFonts w:ascii="宋体"/>
              </w:rPr>
            </w:pPr>
          </w:p>
        </w:tc>
        <w:tc>
          <w:tcPr>
            <w:tcW w:w="5" w:type="pct"/>
            <w:shd w:val="clear" w:color="auto" w:fill="auto"/>
            <w:vAlign w:val="bottom"/>
          </w:tcPr>
          <w:p w14:paraId="5CD8EB81" w14:textId="77777777" w:rsidR="00BA49F5" w:rsidRDefault="00BA49F5">
            <w:pPr>
              <w:rPr>
                <w:rFonts w:ascii="宋体"/>
              </w:rPr>
            </w:pPr>
          </w:p>
        </w:tc>
        <w:tc>
          <w:tcPr>
            <w:tcW w:w="5" w:type="pct"/>
            <w:shd w:val="clear" w:color="auto" w:fill="auto"/>
            <w:vAlign w:val="bottom"/>
          </w:tcPr>
          <w:p w14:paraId="5CD8EB82" w14:textId="77777777" w:rsidR="00BA49F5" w:rsidRDefault="00BA49F5">
            <w:pPr>
              <w:rPr>
                <w:rFonts w:ascii="宋体"/>
              </w:rPr>
            </w:pPr>
          </w:p>
        </w:tc>
        <w:tc>
          <w:tcPr>
            <w:tcW w:w="27" w:type="pct"/>
            <w:shd w:val="clear" w:color="auto" w:fill="auto"/>
            <w:vAlign w:val="bottom"/>
          </w:tcPr>
          <w:p w14:paraId="5CD8EB83" w14:textId="77777777" w:rsidR="00BA49F5" w:rsidRDefault="00BA49F5">
            <w:pPr>
              <w:rPr>
                <w:rFonts w:ascii="宋体"/>
              </w:rPr>
            </w:pPr>
          </w:p>
        </w:tc>
        <w:tc>
          <w:tcPr>
            <w:tcW w:w="5" w:type="pct"/>
            <w:shd w:val="clear" w:color="auto" w:fill="auto"/>
            <w:vAlign w:val="bottom"/>
          </w:tcPr>
          <w:p w14:paraId="5CD8EB84" w14:textId="77777777" w:rsidR="00BA49F5" w:rsidRDefault="00BA49F5">
            <w:pPr>
              <w:rPr>
                <w:rFonts w:ascii="宋体"/>
              </w:rPr>
            </w:pPr>
          </w:p>
        </w:tc>
        <w:tc>
          <w:tcPr>
            <w:tcW w:w="50" w:type="pct"/>
            <w:shd w:val="clear" w:color="auto" w:fill="auto"/>
            <w:vAlign w:val="bottom"/>
          </w:tcPr>
          <w:p w14:paraId="5CD8EB85" w14:textId="77777777" w:rsidR="00BA49F5" w:rsidRDefault="00BA49F5">
            <w:pPr>
              <w:rPr>
                <w:rFonts w:ascii="宋体"/>
              </w:rPr>
            </w:pPr>
          </w:p>
        </w:tc>
        <w:tc>
          <w:tcPr>
            <w:tcW w:w="593" w:type="pct"/>
            <w:shd w:val="clear" w:color="auto" w:fill="auto"/>
            <w:vAlign w:val="bottom"/>
          </w:tcPr>
          <w:p w14:paraId="5CD8EB86" w14:textId="77777777" w:rsidR="00BA49F5" w:rsidRDefault="00BA49F5">
            <w:pPr>
              <w:rPr>
                <w:rFonts w:ascii="宋体"/>
              </w:rPr>
            </w:pPr>
          </w:p>
        </w:tc>
        <w:tc>
          <w:tcPr>
            <w:tcW w:w="5" w:type="pct"/>
            <w:shd w:val="clear" w:color="auto" w:fill="auto"/>
            <w:vAlign w:val="bottom"/>
          </w:tcPr>
          <w:p w14:paraId="5CD8EB87" w14:textId="77777777" w:rsidR="00BA49F5" w:rsidRDefault="00BA49F5">
            <w:pPr>
              <w:rPr>
                <w:rFonts w:ascii="宋体"/>
              </w:rPr>
            </w:pPr>
          </w:p>
        </w:tc>
        <w:tc>
          <w:tcPr>
            <w:tcW w:w="5" w:type="pct"/>
            <w:shd w:val="clear" w:color="auto" w:fill="auto"/>
            <w:vAlign w:val="bottom"/>
          </w:tcPr>
          <w:p w14:paraId="5CD8EB88" w14:textId="77777777" w:rsidR="00BA49F5" w:rsidRDefault="00BA49F5">
            <w:pPr>
              <w:rPr>
                <w:rFonts w:ascii="宋体"/>
              </w:rPr>
            </w:pPr>
          </w:p>
        </w:tc>
        <w:tc>
          <w:tcPr>
            <w:tcW w:w="27" w:type="pct"/>
            <w:shd w:val="clear" w:color="auto" w:fill="auto"/>
            <w:vAlign w:val="bottom"/>
          </w:tcPr>
          <w:p w14:paraId="5CD8EB89" w14:textId="77777777" w:rsidR="00BA49F5" w:rsidRDefault="00BA49F5">
            <w:pPr>
              <w:rPr>
                <w:rFonts w:ascii="宋体"/>
              </w:rPr>
            </w:pPr>
          </w:p>
        </w:tc>
        <w:tc>
          <w:tcPr>
            <w:tcW w:w="5" w:type="pct"/>
            <w:shd w:val="clear" w:color="auto" w:fill="auto"/>
            <w:vAlign w:val="bottom"/>
          </w:tcPr>
          <w:p w14:paraId="5CD8EB8A" w14:textId="77777777" w:rsidR="00BA49F5" w:rsidRDefault="00BA49F5">
            <w:pPr>
              <w:rPr>
                <w:rFonts w:ascii="宋体"/>
              </w:rPr>
            </w:pPr>
          </w:p>
        </w:tc>
        <w:tc>
          <w:tcPr>
            <w:tcW w:w="50" w:type="pct"/>
            <w:shd w:val="clear" w:color="auto" w:fill="auto"/>
            <w:vAlign w:val="bottom"/>
          </w:tcPr>
          <w:p w14:paraId="5CD8EB8B" w14:textId="77777777" w:rsidR="00BA49F5" w:rsidRDefault="00BA49F5">
            <w:pPr>
              <w:rPr>
                <w:rFonts w:ascii="宋体"/>
              </w:rPr>
            </w:pPr>
          </w:p>
        </w:tc>
        <w:tc>
          <w:tcPr>
            <w:tcW w:w="518" w:type="pct"/>
            <w:shd w:val="clear" w:color="auto" w:fill="auto"/>
            <w:vAlign w:val="bottom"/>
          </w:tcPr>
          <w:p w14:paraId="5CD8EB8C" w14:textId="77777777" w:rsidR="00BA49F5" w:rsidRDefault="00BA49F5">
            <w:pPr>
              <w:rPr>
                <w:rFonts w:ascii="宋体"/>
              </w:rPr>
            </w:pPr>
          </w:p>
        </w:tc>
        <w:tc>
          <w:tcPr>
            <w:tcW w:w="5" w:type="pct"/>
            <w:shd w:val="clear" w:color="auto" w:fill="auto"/>
            <w:vAlign w:val="bottom"/>
          </w:tcPr>
          <w:p w14:paraId="5CD8EB8D" w14:textId="77777777" w:rsidR="00BA49F5" w:rsidRDefault="00BA49F5">
            <w:pPr>
              <w:rPr>
                <w:rFonts w:ascii="宋体"/>
              </w:rPr>
            </w:pPr>
          </w:p>
        </w:tc>
        <w:tc>
          <w:tcPr>
            <w:tcW w:w="5" w:type="pct"/>
            <w:shd w:val="clear" w:color="auto" w:fill="auto"/>
            <w:vAlign w:val="bottom"/>
          </w:tcPr>
          <w:p w14:paraId="5CD8EB8E" w14:textId="77777777" w:rsidR="00BA49F5" w:rsidRDefault="00BA49F5">
            <w:pPr>
              <w:rPr>
                <w:rFonts w:ascii="宋体"/>
              </w:rPr>
            </w:pPr>
          </w:p>
        </w:tc>
        <w:tc>
          <w:tcPr>
            <w:tcW w:w="27" w:type="pct"/>
            <w:shd w:val="clear" w:color="auto" w:fill="auto"/>
            <w:vAlign w:val="bottom"/>
          </w:tcPr>
          <w:p w14:paraId="5CD8EB8F" w14:textId="77777777" w:rsidR="00BA49F5" w:rsidRDefault="00BA49F5">
            <w:pPr>
              <w:rPr>
                <w:rFonts w:ascii="宋体"/>
              </w:rPr>
            </w:pPr>
          </w:p>
        </w:tc>
        <w:tc>
          <w:tcPr>
            <w:tcW w:w="5" w:type="pct"/>
            <w:shd w:val="clear" w:color="auto" w:fill="auto"/>
            <w:vAlign w:val="bottom"/>
          </w:tcPr>
          <w:p w14:paraId="5CD8EB90" w14:textId="77777777" w:rsidR="00BA49F5" w:rsidRDefault="00BA49F5">
            <w:pPr>
              <w:rPr>
                <w:rFonts w:ascii="宋体"/>
              </w:rPr>
            </w:pPr>
          </w:p>
        </w:tc>
        <w:tc>
          <w:tcPr>
            <w:tcW w:w="50" w:type="pct"/>
            <w:shd w:val="clear" w:color="auto" w:fill="auto"/>
            <w:vAlign w:val="bottom"/>
          </w:tcPr>
          <w:p w14:paraId="5CD8EB91" w14:textId="77777777" w:rsidR="00BA49F5" w:rsidRDefault="00BA49F5">
            <w:pPr>
              <w:rPr>
                <w:rFonts w:ascii="宋体"/>
              </w:rPr>
            </w:pPr>
          </w:p>
        </w:tc>
        <w:tc>
          <w:tcPr>
            <w:tcW w:w="518" w:type="pct"/>
            <w:shd w:val="clear" w:color="auto" w:fill="auto"/>
            <w:vAlign w:val="bottom"/>
          </w:tcPr>
          <w:p w14:paraId="5CD8EB92" w14:textId="77777777" w:rsidR="00BA49F5" w:rsidRDefault="00BA49F5">
            <w:pPr>
              <w:rPr>
                <w:rFonts w:ascii="宋体"/>
              </w:rPr>
            </w:pPr>
          </w:p>
        </w:tc>
        <w:tc>
          <w:tcPr>
            <w:tcW w:w="5" w:type="pct"/>
            <w:shd w:val="clear" w:color="auto" w:fill="auto"/>
            <w:vAlign w:val="bottom"/>
          </w:tcPr>
          <w:p w14:paraId="5CD8EB93" w14:textId="77777777" w:rsidR="00BA49F5" w:rsidRDefault="00BA49F5">
            <w:pPr>
              <w:rPr>
                <w:rFonts w:ascii="宋体"/>
              </w:rPr>
            </w:pPr>
          </w:p>
        </w:tc>
      </w:tr>
      <w:tr w:rsidR="00BA49F5" w14:paraId="5CD8EB9B" w14:textId="77777777">
        <w:trPr>
          <w:jc w:val="center"/>
        </w:trPr>
        <w:tc>
          <w:tcPr>
            <w:tcW w:w="0" w:type="auto"/>
            <w:gridSpan w:val="3"/>
            <w:shd w:val="clear" w:color="auto" w:fill="auto"/>
            <w:tcMar>
              <w:top w:w="0" w:type="dxa"/>
              <w:left w:w="20" w:type="dxa"/>
              <w:bottom w:w="0" w:type="dxa"/>
              <w:right w:w="20" w:type="dxa"/>
            </w:tcMar>
            <w:vAlign w:val="bottom"/>
          </w:tcPr>
          <w:p w14:paraId="5CD8EB95"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B96"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B9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9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9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9A" w14:textId="77777777" w:rsidR="00BA49F5" w:rsidRDefault="00BA49F5">
            <w:pPr>
              <w:rPr>
                <w:rFonts w:ascii="宋体"/>
              </w:rPr>
            </w:pPr>
          </w:p>
        </w:tc>
      </w:tr>
      <w:tr w:rsidR="00BA49F5" w14:paraId="5CD8EBA6" w14:textId="77777777">
        <w:trPr>
          <w:jc w:val="center"/>
        </w:trPr>
        <w:tc>
          <w:tcPr>
            <w:tcW w:w="0" w:type="auto"/>
            <w:gridSpan w:val="3"/>
            <w:shd w:val="clear" w:color="auto" w:fill="auto"/>
            <w:tcMar>
              <w:top w:w="0" w:type="dxa"/>
              <w:left w:w="20" w:type="dxa"/>
              <w:bottom w:w="0" w:type="dxa"/>
              <w:right w:w="20" w:type="dxa"/>
            </w:tcMar>
            <w:vAlign w:val="bottom"/>
          </w:tcPr>
          <w:p w14:paraId="5CD8EB9C"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9D"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9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9F"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A0"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BA1"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BA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BA3"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BA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BA5"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BB1" w14:textId="77777777">
        <w:trPr>
          <w:trHeight w:val="60"/>
          <w:jc w:val="center"/>
        </w:trPr>
        <w:tc>
          <w:tcPr>
            <w:tcW w:w="0" w:type="auto"/>
            <w:gridSpan w:val="3"/>
            <w:shd w:val="clear" w:color="auto" w:fill="auto"/>
            <w:tcMar>
              <w:top w:w="0" w:type="dxa"/>
              <w:left w:w="20" w:type="dxa"/>
              <w:bottom w:w="0" w:type="dxa"/>
              <w:right w:w="20" w:type="dxa"/>
            </w:tcMar>
            <w:vAlign w:val="bottom"/>
          </w:tcPr>
          <w:p w14:paraId="5CD8EBA7"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A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A9"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A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AB"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A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AD"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A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BAF"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BB0" w14:textId="77777777" w:rsidR="00BA49F5" w:rsidRDefault="00BA49F5">
            <w:pPr>
              <w:rPr>
                <w:rFonts w:ascii="宋体"/>
              </w:rPr>
            </w:pPr>
          </w:p>
        </w:tc>
      </w:tr>
      <w:tr w:rsidR="00BA49F5" w14:paraId="5CD8EBB4" w14:textId="77777777">
        <w:trPr>
          <w:jc w:val="center"/>
        </w:trPr>
        <w:tc>
          <w:tcPr>
            <w:tcW w:w="0" w:type="auto"/>
            <w:gridSpan w:val="3"/>
            <w:shd w:val="clear" w:color="auto" w:fill="auto"/>
            <w:tcMar>
              <w:top w:w="0" w:type="dxa"/>
              <w:left w:w="20" w:type="dxa"/>
              <w:bottom w:w="0" w:type="dxa"/>
              <w:right w:w="20" w:type="dxa"/>
            </w:tcMar>
            <w:vAlign w:val="bottom"/>
          </w:tcPr>
          <w:p w14:paraId="5CD8EBB2"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BB3"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BC7" w14:textId="77777777">
        <w:trPr>
          <w:jc w:val="center"/>
        </w:trPr>
        <w:tc>
          <w:tcPr>
            <w:tcW w:w="0" w:type="auto"/>
            <w:gridSpan w:val="3"/>
            <w:shd w:val="clear" w:color="auto" w:fill="CCEEFF"/>
            <w:tcMar>
              <w:top w:w="40" w:type="dxa"/>
              <w:left w:w="20" w:type="dxa"/>
              <w:bottom w:w="40" w:type="dxa"/>
              <w:right w:w="20" w:type="dxa"/>
            </w:tcMar>
            <w:vAlign w:val="bottom"/>
          </w:tcPr>
          <w:p w14:paraId="5CD8EBB5"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5CD8EBB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B7" w14:textId="77777777" w:rsidR="00BA49F5" w:rsidRDefault="007E5E49">
            <w:pPr>
              <w:jc w:val="right"/>
              <w:textAlignment w:val="bottom"/>
            </w:pPr>
            <w:r>
              <w:rPr>
                <w:rFonts w:ascii="Times New Roman" w:eastAsia="宋体" w:hAnsi="Times New Roman"/>
                <w:color w:val="000000"/>
                <w:sz w:val="20"/>
                <w:szCs w:val="20"/>
              </w:rPr>
              <w:t>11,816 </w:t>
            </w:r>
          </w:p>
        </w:tc>
        <w:tc>
          <w:tcPr>
            <w:tcW w:w="0" w:type="auto"/>
            <w:shd w:val="clear" w:color="auto" w:fill="CCEEFF"/>
            <w:tcMar>
              <w:top w:w="40" w:type="dxa"/>
              <w:left w:w="0" w:type="dxa"/>
              <w:bottom w:w="40" w:type="dxa"/>
              <w:right w:w="20" w:type="dxa"/>
            </w:tcMar>
            <w:vAlign w:val="bottom"/>
          </w:tcPr>
          <w:p w14:paraId="5CD8EBB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B9"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BB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BB" w14:textId="77777777" w:rsidR="00BA49F5" w:rsidRDefault="007E5E49">
            <w:pPr>
              <w:jc w:val="right"/>
              <w:textAlignment w:val="bottom"/>
            </w:pPr>
            <w:r>
              <w:rPr>
                <w:rFonts w:ascii="Times New Roman" w:eastAsia="宋体" w:hAnsi="Times New Roman"/>
                <w:color w:val="000000"/>
                <w:sz w:val="20"/>
                <w:szCs w:val="20"/>
              </w:rPr>
              <w:t>9,829 </w:t>
            </w:r>
          </w:p>
        </w:tc>
        <w:tc>
          <w:tcPr>
            <w:tcW w:w="0" w:type="auto"/>
            <w:shd w:val="clear" w:color="auto" w:fill="CCEEFF"/>
            <w:tcMar>
              <w:top w:w="40" w:type="dxa"/>
              <w:left w:w="0" w:type="dxa"/>
              <w:bottom w:w="40" w:type="dxa"/>
              <w:right w:w="20" w:type="dxa"/>
            </w:tcMar>
            <w:vAlign w:val="bottom"/>
          </w:tcPr>
          <w:p w14:paraId="5CD8EBB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B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BB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BBF" w14:textId="77777777" w:rsidR="00BA49F5" w:rsidRDefault="007E5E49">
            <w:pPr>
              <w:jc w:val="right"/>
              <w:textAlignment w:val="bottom"/>
            </w:pPr>
            <w:r>
              <w:rPr>
                <w:rFonts w:ascii="Times New Roman" w:eastAsia="宋体" w:hAnsi="Times New Roman"/>
                <w:color w:val="000000"/>
                <w:sz w:val="20"/>
                <w:szCs w:val="20"/>
              </w:rPr>
              <w:t>6,564 </w:t>
            </w:r>
          </w:p>
        </w:tc>
        <w:tc>
          <w:tcPr>
            <w:tcW w:w="0" w:type="auto"/>
            <w:shd w:val="clear" w:color="auto" w:fill="CCEEFF"/>
            <w:tcMar>
              <w:top w:w="40" w:type="dxa"/>
              <w:left w:w="0" w:type="dxa"/>
              <w:bottom w:w="40" w:type="dxa"/>
              <w:right w:w="20" w:type="dxa"/>
            </w:tcMar>
            <w:vAlign w:val="bottom"/>
          </w:tcPr>
          <w:p w14:paraId="5CD8EBC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BC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BC2" w14:textId="77777777" w:rsidR="00BA49F5" w:rsidRDefault="007E5E49">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5CD8EBC3"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BC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BC5" w14:textId="77777777" w:rsidR="00BA49F5" w:rsidRDefault="007E5E49">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5CD8EBC6"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BD5" w14:textId="77777777">
        <w:trPr>
          <w:jc w:val="center"/>
        </w:trPr>
        <w:tc>
          <w:tcPr>
            <w:tcW w:w="0" w:type="auto"/>
            <w:gridSpan w:val="3"/>
            <w:shd w:val="clear" w:color="auto" w:fill="FFFFFF"/>
            <w:tcMar>
              <w:top w:w="40" w:type="dxa"/>
              <w:left w:w="20" w:type="dxa"/>
              <w:bottom w:w="40" w:type="dxa"/>
              <w:right w:w="20" w:type="dxa"/>
            </w:tcMar>
            <w:vAlign w:val="bottom"/>
          </w:tcPr>
          <w:p w14:paraId="5CD8EBC8" w14:textId="77777777" w:rsidR="00BA49F5" w:rsidRDefault="007E5E49">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5CD8EBC9" w14:textId="77777777" w:rsidR="00BA49F5" w:rsidRDefault="007E5E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5CD8EBCA"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C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BCC" w14:textId="77777777" w:rsidR="00BA49F5" w:rsidRDefault="007E5E49">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5CD8EBCD"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C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BCF" w14:textId="77777777" w:rsidR="00BA49F5" w:rsidRDefault="007E5E49">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5CD8EBD0"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BD1"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D2"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D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BD4" w14:textId="77777777" w:rsidR="00BA49F5" w:rsidRDefault="00BA49F5">
            <w:pPr>
              <w:rPr>
                <w:rFonts w:ascii="宋体"/>
              </w:rPr>
            </w:pPr>
          </w:p>
        </w:tc>
      </w:tr>
    </w:tbl>
    <w:p w14:paraId="5CD8EBD6" w14:textId="77777777" w:rsidR="00BA49F5" w:rsidRDefault="007E5E49">
      <w:pPr>
        <w:jc w:val="center"/>
      </w:pPr>
      <w:r>
        <w:rPr>
          <w:rFonts w:ascii="Times New Roman" w:eastAsia="宋体" w:hAnsi="Times New Roman"/>
          <w:color w:val="000000"/>
          <w:sz w:val="2"/>
          <w:szCs w:val="2"/>
        </w:rPr>
        <w:t> </w:t>
      </w:r>
    </w:p>
    <w:p w14:paraId="5CD8EBD7" w14:textId="77777777" w:rsidR="00BA49F5" w:rsidRDefault="00BA49F5">
      <w:pPr>
        <w:ind w:firstLine="540"/>
      </w:pPr>
    </w:p>
    <w:p w14:paraId="5CD8EBD8" w14:textId="77777777" w:rsidR="00BA49F5" w:rsidRDefault="007E5E49">
      <w:pPr>
        <w:ind w:firstLine="540"/>
        <w:jc w:val="both"/>
      </w:pPr>
      <w:r>
        <w:rPr>
          <w:rFonts w:ascii="Times New Roman" w:eastAsia="宋体" w:hAnsi="Times New Roman"/>
          <w:color w:val="000000"/>
          <w:sz w:val="20"/>
          <w:szCs w:val="20"/>
        </w:rPr>
        <w:t>General and administrative expenses in 2022 increased $1.99 billion, or 20%, compared to 2021. The increase was primarily due to increases in payroll and related expenses and $426 million impairment charges to leases and leasehold improvements as pa</w:t>
      </w:r>
      <w:r>
        <w:rPr>
          <w:rFonts w:ascii="Times New Roman" w:eastAsia="宋体" w:hAnsi="Times New Roman"/>
          <w:color w:val="000000"/>
          <w:sz w:val="20"/>
          <w:szCs w:val="20"/>
        </w:rPr>
        <w:t>rt of our restructuring efforts. Our payroll and related expenses increased as a result of a 20% increase in employee headcount from December 31, 2021 to December 31, 2022 in our general and administrative functions.</w:t>
      </w:r>
    </w:p>
    <w:p w14:paraId="5CD8EBD9" w14:textId="77777777" w:rsidR="00BA49F5" w:rsidRDefault="00BA49F5">
      <w:pPr>
        <w:ind w:firstLine="540"/>
        <w:jc w:val="both"/>
      </w:pPr>
    </w:p>
    <w:p w14:paraId="5CD8EBDA" w14:textId="77777777" w:rsidR="00BA49F5" w:rsidRDefault="007E5E49">
      <w:pPr>
        <w:ind w:firstLine="540"/>
        <w:jc w:val="both"/>
      </w:pPr>
      <w:r>
        <w:rPr>
          <w:rFonts w:ascii="Times New Roman" w:eastAsia="宋体" w:hAnsi="Times New Roman"/>
          <w:color w:val="000000"/>
          <w:sz w:val="20"/>
          <w:szCs w:val="20"/>
        </w:rPr>
        <w:t>See Note 3 — Restructuring in the note</w:t>
      </w:r>
      <w:r>
        <w:rPr>
          <w:rFonts w:ascii="Times New Roman" w:eastAsia="宋体" w:hAnsi="Times New Roman"/>
          <w:color w:val="000000"/>
          <w:sz w:val="20"/>
          <w:szCs w:val="20"/>
        </w:rPr>
        <w:t xml:space="preserve">s to the consolidated financial statements included in Part II, Item 8, "Financial Statements and Supplementary Data" of this Annual Report on Form 10-K for additional information regarding impairment charges to leases and leasehold improvements. </w:t>
      </w:r>
    </w:p>
    <w:p w14:paraId="5CD8EBDB" w14:textId="77777777" w:rsidR="00BA49F5" w:rsidRDefault="00BA49F5">
      <w:pPr>
        <w:ind w:firstLine="540"/>
        <w:jc w:val="both"/>
      </w:pPr>
    </w:p>
    <w:p w14:paraId="5CD8EBDC" w14:textId="77777777" w:rsidR="00BA49F5" w:rsidRDefault="007E5E49">
      <w:pPr>
        <w:jc w:val="both"/>
      </w:pPr>
      <w:r>
        <w:rPr>
          <w:rFonts w:ascii="Times New Roman" w:eastAsia="宋体" w:hAnsi="Times New Roman"/>
          <w:b/>
          <w:bCs/>
          <w:i/>
          <w:iCs/>
          <w:color w:val="000000"/>
          <w:sz w:val="20"/>
          <w:szCs w:val="20"/>
          <w:shd w:val="clear" w:color="auto" w:fill="FFFFFF"/>
        </w:rPr>
        <w:t>Segment</w:t>
      </w:r>
      <w:r>
        <w:rPr>
          <w:rFonts w:ascii="Times New Roman" w:eastAsia="宋体" w:hAnsi="Times New Roman"/>
          <w:b/>
          <w:bCs/>
          <w:i/>
          <w:iCs/>
          <w:color w:val="000000"/>
          <w:sz w:val="20"/>
          <w:szCs w:val="20"/>
          <w:shd w:val="clear" w:color="auto" w:fill="FFFFFF"/>
        </w:rPr>
        <w:t xml:space="preserve"> profitability</w:t>
      </w:r>
    </w:p>
    <w:p w14:paraId="5CD8EBDD" w14:textId="77777777" w:rsidR="00BA49F5" w:rsidRDefault="00BA49F5">
      <w:pPr>
        <w:ind w:firstLine="450"/>
        <w:jc w:val="both"/>
      </w:pPr>
    </w:p>
    <w:p w14:paraId="5CD8EBDE" w14:textId="77777777" w:rsidR="00BA49F5" w:rsidRDefault="007E5E49">
      <w:pPr>
        <w:ind w:firstLine="540"/>
        <w:jc w:val="both"/>
      </w:pPr>
      <w:r>
        <w:rPr>
          <w:rFonts w:ascii="Times New Roman" w:eastAsia="宋体" w:hAnsi="Times New Roman"/>
          <w:color w:val="000000"/>
          <w:sz w:val="20"/>
          <w:szCs w:val="20"/>
        </w:rPr>
        <w:t>The following table sets forth income (loss) from operations by segment. For comparative purposes, amounts for the year ended December 31, 2020 have been recast:</w:t>
      </w:r>
    </w:p>
    <w:tbl>
      <w:tblPr>
        <w:tblW w:w="4993" w:type="pct"/>
        <w:tblCellMar>
          <w:top w:w="15" w:type="dxa"/>
          <w:left w:w="15" w:type="dxa"/>
          <w:bottom w:w="15" w:type="dxa"/>
          <w:right w:w="15" w:type="dxa"/>
        </w:tblCellMar>
        <w:tblLook w:val="04A0" w:firstRow="1" w:lastRow="0" w:firstColumn="1" w:lastColumn="0" w:noHBand="0" w:noVBand="1"/>
      </w:tblPr>
      <w:tblGrid>
        <w:gridCol w:w="38"/>
        <w:gridCol w:w="2759"/>
        <w:gridCol w:w="37"/>
        <w:gridCol w:w="120"/>
        <w:gridCol w:w="926"/>
        <w:gridCol w:w="36"/>
        <w:gridCol w:w="36"/>
        <w:gridCol w:w="36"/>
        <w:gridCol w:w="36"/>
        <w:gridCol w:w="120"/>
        <w:gridCol w:w="874"/>
        <w:gridCol w:w="36"/>
        <w:gridCol w:w="36"/>
        <w:gridCol w:w="36"/>
        <w:gridCol w:w="36"/>
        <w:gridCol w:w="120"/>
        <w:gridCol w:w="874"/>
        <w:gridCol w:w="36"/>
        <w:gridCol w:w="36"/>
        <w:gridCol w:w="36"/>
        <w:gridCol w:w="36"/>
        <w:gridCol w:w="49"/>
        <w:gridCol w:w="722"/>
        <w:gridCol w:w="187"/>
        <w:gridCol w:w="36"/>
        <w:gridCol w:w="36"/>
        <w:gridCol w:w="36"/>
        <w:gridCol w:w="49"/>
        <w:gridCol w:w="722"/>
        <w:gridCol w:w="187"/>
      </w:tblGrid>
      <w:tr w:rsidR="00BA49F5" w14:paraId="5CD8EBFD" w14:textId="77777777">
        <w:tc>
          <w:tcPr>
            <w:tcW w:w="50" w:type="pct"/>
            <w:shd w:val="clear" w:color="auto" w:fill="auto"/>
            <w:vAlign w:val="bottom"/>
          </w:tcPr>
          <w:p w14:paraId="5CD8EBDF" w14:textId="77777777" w:rsidR="00BA49F5" w:rsidRDefault="00BA49F5">
            <w:pPr>
              <w:rPr>
                <w:rFonts w:ascii="宋体"/>
              </w:rPr>
            </w:pPr>
          </w:p>
        </w:tc>
        <w:tc>
          <w:tcPr>
            <w:tcW w:w="1703" w:type="pct"/>
            <w:shd w:val="clear" w:color="auto" w:fill="auto"/>
            <w:vAlign w:val="bottom"/>
          </w:tcPr>
          <w:p w14:paraId="5CD8EBE0" w14:textId="77777777" w:rsidR="00BA49F5" w:rsidRDefault="00BA49F5">
            <w:pPr>
              <w:rPr>
                <w:rFonts w:ascii="宋体"/>
              </w:rPr>
            </w:pPr>
          </w:p>
        </w:tc>
        <w:tc>
          <w:tcPr>
            <w:tcW w:w="5" w:type="pct"/>
            <w:shd w:val="clear" w:color="auto" w:fill="auto"/>
            <w:vAlign w:val="bottom"/>
          </w:tcPr>
          <w:p w14:paraId="5CD8EBE1" w14:textId="77777777" w:rsidR="00BA49F5" w:rsidRDefault="00BA49F5">
            <w:pPr>
              <w:rPr>
                <w:rFonts w:ascii="宋体"/>
              </w:rPr>
            </w:pPr>
          </w:p>
        </w:tc>
        <w:tc>
          <w:tcPr>
            <w:tcW w:w="50" w:type="pct"/>
            <w:shd w:val="clear" w:color="auto" w:fill="auto"/>
            <w:vAlign w:val="bottom"/>
          </w:tcPr>
          <w:p w14:paraId="5CD8EBE2" w14:textId="77777777" w:rsidR="00BA49F5" w:rsidRDefault="00BA49F5">
            <w:pPr>
              <w:rPr>
                <w:rFonts w:ascii="宋体"/>
              </w:rPr>
            </w:pPr>
          </w:p>
        </w:tc>
        <w:tc>
          <w:tcPr>
            <w:tcW w:w="593" w:type="pct"/>
            <w:shd w:val="clear" w:color="auto" w:fill="auto"/>
            <w:vAlign w:val="bottom"/>
          </w:tcPr>
          <w:p w14:paraId="5CD8EBE3" w14:textId="77777777" w:rsidR="00BA49F5" w:rsidRDefault="00BA49F5">
            <w:pPr>
              <w:rPr>
                <w:rFonts w:ascii="宋体"/>
              </w:rPr>
            </w:pPr>
          </w:p>
        </w:tc>
        <w:tc>
          <w:tcPr>
            <w:tcW w:w="5" w:type="pct"/>
            <w:shd w:val="clear" w:color="auto" w:fill="auto"/>
            <w:vAlign w:val="bottom"/>
          </w:tcPr>
          <w:p w14:paraId="5CD8EBE4" w14:textId="77777777" w:rsidR="00BA49F5" w:rsidRDefault="00BA49F5">
            <w:pPr>
              <w:rPr>
                <w:rFonts w:ascii="宋体"/>
              </w:rPr>
            </w:pPr>
          </w:p>
        </w:tc>
        <w:tc>
          <w:tcPr>
            <w:tcW w:w="5" w:type="pct"/>
            <w:shd w:val="clear" w:color="auto" w:fill="auto"/>
            <w:vAlign w:val="bottom"/>
          </w:tcPr>
          <w:p w14:paraId="5CD8EBE5" w14:textId="77777777" w:rsidR="00BA49F5" w:rsidRDefault="00BA49F5">
            <w:pPr>
              <w:rPr>
                <w:rFonts w:ascii="宋体"/>
              </w:rPr>
            </w:pPr>
          </w:p>
        </w:tc>
        <w:tc>
          <w:tcPr>
            <w:tcW w:w="27" w:type="pct"/>
            <w:shd w:val="clear" w:color="auto" w:fill="auto"/>
            <w:vAlign w:val="bottom"/>
          </w:tcPr>
          <w:p w14:paraId="5CD8EBE6" w14:textId="77777777" w:rsidR="00BA49F5" w:rsidRDefault="00BA49F5">
            <w:pPr>
              <w:rPr>
                <w:rFonts w:ascii="宋体"/>
              </w:rPr>
            </w:pPr>
          </w:p>
        </w:tc>
        <w:tc>
          <w:tcPr>
            <w:tcW w:w="5" w:type="pct"/>
            <w:shd w:val="clear" w:color="auto" w:fill="auto"/>
            <w:vAlign w:val="bottom"/>
          </w:tcPr>
          <w:p w14:paraId="5CD8EBE7" w14:textId="77777777" w:rsidR="00BA49F5" w:rsidRDefault="00BA49F5">
            <w:pPr>
              <w:rPr>
                <w:rFonts w:ascii="宋体"/>
              </w:rPr>
            </w:pPr>
          </w:p>
        </w:tc>
        <w:tc>
          <w:tcPr>
            <w:tcW w:w="50" w:type="pct"/>
            <w:shd w:val="clear" w:color="auto" w:fill="auto"/>
            <w:vAlign w:val="bottom"/>
          </w:tcPr>
          <w:p w14:paraId="5CD8EBE8" w14:textId="77777777" w:rsidR="00BA49F5" w:rsidRDefault="00BA49F5">
            <w:pPr>
              <w:rPr>
                <w:rFonts w:ascii="宋体"/>
              </w:rPr>
            </w:pPr>
          </w:p>
        </w:tc>
        <w:tc>
          <w:tcPr>
            <w:tcW w:w="593" w:type="pct"/>
            <w:shd w:val="clear" w:color="auto" w:fill="auto"/>
            <w:vAlign w:val="bottom"/>
          </w:tcPr>
          <w:p w14:paraId="5CD8EBE9" w14:textId="77777777" w:rsidR="00BA49F5" w:rsidRDefault="00BA49F5">
            <w:pPr>
              <w:rPr>
                <w:rFonts w:ascii="宋体"/>
              </w:rPr>
            </w:pPr>
          </w:p>
        </w:tc>
        <w:tc>
          <w:tcPr>
            <w:tcW w:w="5" w:type="pct"/>
            <w:shd w:val="clear" w:color="auto" w:fill="auto"/>
            <w:vAlign w:val="bottom"/>
          </w:tcPr>
          <w:p w14:paraId="5CD8EBEA" w14:textId="77777777" w:rsidR="00BA49F5" w:rsidRDefault="00BA49F5">
            <w:pPr>
              <w:rPr>
                <w:rFonts w:ascii="宋体"/>
              </w:rPr>
            </w:pPr>
          </w:p>
        </w:tc>
        <w:tc>
          <w:tcPr>
            <w:tcW w:w="5" w:type="pct"/>
            <w:shd w:val="clear" w:color="auto" w:fill="auto"/>
            <w:vAlign w:val="bottom"/>
          </w:tcPr>
          <w:p w14:paraId="5CD8EBEB" w14:textId="77777777" w:rsidR="00BA49F5" w:rsidRDefault="00BA49F5">
            <w:pPr>
              <w:rPr>
                <w:rFonts w:ascii="宋体"/>
              </w:rPr>
            </w:pPr>
          </w:p>
        </w:tc>
        <w:tc>
          <w:tcPr>
            <w:tcW w:w="27" w:type="pct"/>
            <w:shd w:val="clear" w:color="auto" w:fill="auto"/>
            <w:vAlign w:val="bottom"/>
          </w:tcPr>
          <w:p w14:paraId="5CD8EBEC" w14:textId="77777777" w:rsidR="00BA49F5" w:rsidRDefault="00BA49F5">
            <w:pPr>
              <w:rPr>
                <w:rFonts w:ascii="宋体"/>
              </w:rPr>
            </w:pPr>
          </w:p>
        </w:tc>
        <w:tc>
          <w:tcPr>
            <w:tcW w:w="5" w:type="pct"/>
            <w:shd w:val="clear" w:color="auto" w:fill="auto"/>
            <w:vAlign w:val="bottom"/>
          </w:tcPr>
          <w:p w14:paraId="5CD8EBED" w14:textId="77777777" w:rsidR="00BA49F5" w:rsidRDefault="00BA49F5">
            <w:pPr>
              <w:rPr>
                <w:rFonts w:ascii="宋体"/>
              </w:rPr>
            </w:pPr>
          </w:p>
        </w:tc>
        <w:tc>
          <w:tcPr>
            <w:tcW w:w="50" w:type="pct"/>
            <w:shd w:val="clear" w:color="auto" w:fill="auto"/>
            <w:vAlign w:val="bottom"/>
          </w:tcPr>
          <w:p w14:paraId="5CD8EBEE" w14:textId="77777777" w:rsidR="00BA49F5" w:rsidRDefault="00BA49F5">
            <w:pPr>
              <w:rPr>
                <w:rFonts w:ascii="宋体"/>
              </w:rPr>
            </w:pPr>
          </w:p>
        </w:tc>
        <w:tc>
          <w:tcPr>
            <w:tcW w:w="593" w:type="pct"/>
            <w:shd w:val="clear" w:color="auto" w:fill="auto"/>
            <w:vAlign w:val="bottom"/>
          </w:tcPr>
          <w:p w14:paraId="5CD8EBEF" w14:textId="77777777" w:rsidR="00BA49F5" w:rsidRDefault="00BA49F5">
            <w:pPr>
              <w:rPr>
                <w:rFonts w:ascii="宋体"/>
              </w:rPr>
            </w:pPr>
          </w:p>
        </w:tc>
        <w:tc>
          <w:tcPr>
            <w:tcW w:w="5" w:type="pct"/>
            <w:shd w:val="clear" w:color="auto" w:fill="auto"/>
            <w:vAlign w:val="bottom"/>
          </w:tcPr>
          <w:p w14:paraId="5CD8EBF0" w14:textId="77777777" w:rsidR="00BA49F5" w:rsidRDefault="00BA49F5">
            <w:pPr>
              <w:rPr>
                <w:rFonts w:ascii="宋体"/>
              </w:rPr>
            </w:pPr>
          </w:p>
        </w:tc>
        <w:tc>
          <w:tcPr>
            <w:tcW w:w="5" w:type="pct"/>
            <w:shd w:val="clear" w:color="auto" w:fill="auto"/>
            <w:vAlign w:val="bottom"/>
          </w:tcPr>
          <w:p w14:paraId="5CD8EBF1" w14:textId="77777777" w:rsidR="00BA49F5" w:rsidRDefault="00BA49F5">
            <w:pPr>
              <w:rPr>
                <w:rFonts w:ascii="宋体"/>
              </w:rPr>
            </w:pPr>
          </w:p>
        </w:tc>
        <w:tc>
          <w:tcPr>
            <w:tcW w:w="27" w:type="pct"/>
            <w:shd w:val="clear" w:color="auto" w:fill="auto"/>
            <w:vAlign w:val="bottom"/>
          </w:tcPr>
          <w:p w14:paraId="5CD8EBF2" w14:textId="77777777" w:rsidR="00BA49F5" w:rsidRDefault="00BA49F5">
            <w:pPr>
              <w:rPr>
                <w:rFonts w:ascii="宋体"/>
              </w:rPr>
            </w:pPr>
          </w:p>
        </w:tc>
        <w:tc>
          <w:tcPr>
            <w:tcW w:w="5" w:type="pct"/>
            <w:shd w:val="clear" w:color="auto" w:fill="auto"/>
            <w:vAlign w:val="bottom"/>
          </w:tcPr>
          <w:p w14:paraId="5CD8EBF3" w14:textId="77777777" w:rsidR="00BA49F5" w:rsidRDefault="00BA49F5">
            <w:pPr>
              <w:rPr>
                <w:rFonts w:ascii="宋体"/>
              </w:rPr>
            </w:pPr>
          </w:p>
        </w:tc>
        <w:tc>
          <w:tcPr>
            <w:tcW w:w="50" w:type="pct"/>
            <w:shd w:val="clear" w:color="auto" w:fill="auto"/>
            <w:vAlign w:val="bottom"/>
          </w:tcPr>
          <w:p w14:paraId="5CD8EBF4" w14:textId="77777777" w:rsidR="00BA49F5" w:rsidRDefault="00BA49F5">
            <w:pPr>
              <w:rPr>
                <w:rFonts w:ascii="宋体"/>
              </w:rPr>
            </w:pPr>
          </w:p>
        </w:tc>
        <w:tc>
          <w:tcPr>
            <w:tcW w:w="518" w:type="pct"/>
            <w:shd w:val="clear" w:color="auto" w:fill="auto"/>
            <w:vAlign w:val="bottom"/>
          </w:tcPr>
          <w:p w14:paraId="5CD8EBF5" w14:textId="77777777" w:rsidR="00BA49F5" w:rsidRDefault="00BA49F5">
            <w:pPr>
              <w:rPr>
                <w:rFonts w:ascii="宋体"/>
              </w:rPr>
            </w:pPr>
          </w:p>
        </w:tc>
        <w:tc>
          <w:tcPr>
            <w:tcW w:w="5" w:type="pct"/>
            <w:shd w:val="clear" w:color="auto" w:fill="auto"/>
            <w:vAlign w:val="bottom"/>
          </w:tcPr>
          <w:p w14:paraId="5CD8EBF6" w14:textId="77777777" w:rsidR="00BA49F5" w:rsidRDefault="00BA49F5">
            <w:pPr>
              <w:rPr>
                <w:rFonts w:ascii="宋体"/>
              </w:rPr>
            </w:pPr>
          </w:p>
        </w:tc>
        <w:tc>
          <w:tcPr>
            <w:tcW w:w="5" w:type="pct"/>
            <w:shd w:val="clear" w:color="auto" w:fill="auto"/>
            <w:vAlign w:val="bottom"/>
          </w:tcPr>
          <w:p w14:paraId="5CD8EBF7" w14:textId="77777777" w:rsidR="00BA49F5" w:rsidRDefault="00BA49F5">
            <w:pPr>
              <w:rPr>
                <w:rFonts w:ascii="宋体"/>
              </w:rPr>
            </w:pPr>
          </w:p>
        </w:tc>
        <w:tc>
          <w:tcPr>
            <w:tcW w:w="27" w:type="pct"/>
            <w:shd w:val="clear" w:color="auto" w:fill="auto"/>
            <w:vAlign w:val="bottom"/>
          </w:tcPr>
          <w:p w14:paraId="5CD8EBF8" w14:textId="77777777" w:rsidR="00BA49F5" w:rsidRDefault="00BA49F5">
            <w:pPr>
              <w:rPr>
                <w:rFonts w:ascii="宋体"/>
              </w:rPr>
            </w:pPr>
          </w:p>
        </w:tc>
        <w:tc>
          <w:tcPr>
            <w:tcW w:w="5" w:type="pct"/>
            <w:shd w:val="clear" w:color="auto" w:fill="auto"/>
            <w:vAlign w:val="bottom"/>
          </w:tcPr>
          <w:p w14:paraId="5CD8EBF9" w14:textId="77777777" w:rsidR="00BA49F5" w:rsidRDefault="00BA49F5">
            <w:pPr>
              <w:rPr>
                <w:rFonts w:ascii="宋体"/>
              </w:rPr>
            </w:pPr>
          </w:p>
        </w:tc>
        <w:tc>
          <w:tcPr>
            <w:tcW w:w="50" w:type="pct"/>
            <w:shd w:val="clear" w:color="auto" w:fill="auto"/>
            <w:vAlign w:val="bottom"/>
          </w:tcPr>
          <w:p w14:paraId="5CD8EBFA" w14:textId="77777777" w:rsidR="00BA49F5" w:rsidRDefault="00BA49F5">
            <w:pPr>
              <w:rPr>
                <w:rFonts w:ascii="宋体"/>
              </w:rPr>
            </w:pPr>
          </w:p>
        </w:tc>
        <w:tc>
          <w:tcPr>
            <w:tcW w:w="518" w:type="pct"/>
            <w:shd w:val="clear" w:color="auto" w:fill="auto"/>
            <w:vAlign w:val="bottom"/>
          </w:tcPr>
          <w:p w14:paraId="5CD8EBFB" w14:textId="77777777" w:rsidR="00BA49F5" w:rsidRDefault="00BA49F5">
            <w:pPr>
              <w:rPr>
                <w:rFonts w:ascii="宋体"/>
              </w:rPr>
            </w:pPr>
          </w:p>
        </w:tc>
        <w:tc>
          <w:tcPr>
            <w:tcW w:w="5" w:type="pct"/>
            <w:shd w:val="clear" w:color="auto" w:fill="auto"/>
            <w:vAlign w:val="bottom"/>
          </w:tcPr>
          <w:p w14:paraId="5CD8EBFC" w14:textId="77777777" w:rsidR="00BA49F5" w:rsidRDefault="00BA49F5">
            <w:pPr>
              <w:rPr>
                <w:rFonts w:ascii="宋体"/>
              </w:rPr>
            </w:pPr>
          </w:p>
        </w:tc>
      </w:tr>
      <w:tr w:rsidR="00BA49F5" w14:paraId="5CD8EC04" w14:textId="77777777">
        <w:tc>
          <w:tcPr>
            <w:tcW w:w="0" w:type="auto"/>
            <w:gridSpan w:val="3"/>
            <w:shd w:val="clear" w:color="auto" w:fill="FFFFFF"/>
            <w:tcMar>
              <w:top w:w="0" w:type="dxa"/>
              <w:left w:w="20" w:type="dxa"/>
              <w:bottom w:w="0" w:type="dxa"/>
              <w:right w:w="20" w:type="dxa"/>
            </w:tcMar>
            <w:vAlign w:val="bottom"/>
          </w:tcPr>
          <w:p w14:paraId="5CD8EBFE" w14:textId="77777777" w:rsidR="00BA49F5" w:rsidRDefault="00BA49F5">
            <w:pPr>
              <w:rPr>
                <w:rFonts w:ascii="宋体"/>
              </w:rPr>
            </w:pPr>
          </w:p>
        </w:tc>
        <w:tc>
          <w:tcPr>
            <w:tcW w:w="0" w:type="auto"/>
            <w:gridSpan w:val="15"/>
            <w:shd w:val="clear" w:color="auto" w:fill="FFFFFF"/>
            <w:tcMar>
              <w:top w:w="40" w:type="dxa"/>
              <w:left w:w="20" w:type="dxa"/>
              <w:bottom w:w="40" w:type="dxa"/>
              <w:right w:w="20" w:type="dxa"/>
            </w:tcMar>
            <w:vAlign w:val="bottom"/>
          </w:tcPr>
          <w:p w14:paraId="5CD8EBFF"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FFFFFF"/>
            <w:tcMar>
              <w:top w:w="0" w:type="dxa"/>
              <w:left w:w="20" w:type="dxa"/>
              <w:bottom w:w="0" w:type="dxa"/>
              <w:right w:w="20" w:type="dxa"/>
            </w:tcMar>
            <w:vAlign w:val="bottom"/>
          </w:tcPr>
          <w:p w14:paraId="5CD8EC00"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01"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02"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03" w14:textId="77777777" w:rsidR="00BA49F5" w:rsidRDefault="00BA49F5">
            <w:pPr>
              <w:rPr>
                <w:rFonts w:ascii="宋体"/>
              </w:rPr>
            </w:pPr>
          </w:p>
        </w:tc>
      </w:tr>
      <w:tr w:rsidR="00BA49F5" w14:paraId="5CD8EC0F" w14:textId="77777777">
        <w:tc>
          <w:tcPr>
            <w:tcW w:w="0" w:type="auto"/>
            <w:gridSpan w:val="3"/>
            <w:shd w:val="clear" w:color="auto" w:fill="FFFFFF"/>
            <w:tcMar>
              <w:top w:w="0" w:type="dxa"/>
              <w:left w:w="20" w:type="dxa"/>
              <w:bottom w:w="0" w:type="dxa"/>
              <w:right w:w="20" w:type="dxa"/>
            </w:tcMar>
            <w:vAlign w:val="bottom"/>
          </w:tcPr>
          <w:p w14:paraId="5CD8EC0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06"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0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08"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0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0A"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C0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C0C"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C0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C0E"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C1A" w14:textId="77777777">
        <w:trPr>
          <w:trHeight w:val="60"/>
        </w:trPr>
        <w:tc>
          <w:tcPr>
            <w:tcW w:w="0" w:type="auto"/>
            <w:gridSpan w:val="3"/>
            <w:shd w:val="clear" w:color="auto" w:fill="FFFFFF"/>
            <w:tcMar>
              <w:top w:w="0" w:type="dxa"/>
              <w:left w:w="20" w:type="dxa"/>
              <w:bottom w:w="0" w:type="dxa"/>
              <w:right w:w="20" w:type="dxa"/>
            </w:tcMar>
            <w:vAlign w:val="bottom"/>
          </w:tcPr>
          <w:p w14:paraId="5CD8EC10"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11"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12"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1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14"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1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16"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17"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C18"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EC19" w14:textId="77777777" w:rsidR="00BA49F5" w:rsidRDefault="00BA49F5">
            <w:pPr>
              <w:rPr>
                <w:rFonts w:ascii="宋体"/>
              </w:rPr>
            </w:pPr>
          </w:p>
        </w:tc>
      </w:tr>
      <w:tr w:rsidR="00BA49F5" w14:paraId="5CD8EC1D" w14:textId="77777777">
        <w:tc>
          <w:tcPr>
            <w:tcW w:w="0" w:type="auto"/>
            <w:gridSpan w:val="3"/>
            <w:shd w:val="clear" w:color="auto" w:fill="FFFFFF"/>
            <w:tcMar>
              <w:top w:w="0" w:type="dxa"/>
              <w:left w:w="20" w:type="dxa"/>
              <w:bottom w:w="0" w:type="dxa"/>
              <w:right w:w="20" w:type="dxa"/>
            </w:tcMar>
            <w:vAlign w:val="bottom"/>
          </w:tcPr>
          <w:p w14:paraId="5CD8EC1B" w14:textId="77777777" w:rsidR="00BA49F5" w:rsidRDefault="00BA49F5">
            <w:pPr>
              <w:rPr>
                <w:rFonts w:ascii="宋体"/>
              </w:rPr>
            </w:pPr>
          </w:p>
        </w:tc>
        <w:tc>
          <w:tcPr>
            <w:tcW w:w="0" w:type="auto"/>
            <w:gridSpan w:val="27"/>
            <w:shd w:val="clear" w:color="auto" w:fill="FFFFFF"/>
            <w:tcMar>
              <w:top w:w="40" w:type="dxa"/>
              <w:left w:w="20" w:type="dxa"/>
              <w:bottom w:w="40" w:type="dxa"/>
              <w:right w:w="20" w:type="dxa"/>
            </w:tcMar>
          </w:tcPr>
          <w:p w14:paraId="5CD8EC1C"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C30" w14:textId="77777777">
        <w:tc>
          <w:tcPr>
            <w:tcW w:w="0" w:type="auto"/>
            <w:gridSpan w:val="3"/>
            <w:shd w:val="clear" w:color="auto" w:fill="CCEEFF"/>
            <w:tcMar>
              <w:top w:w="40" w:type="dxa"/>
              <w:left w:w="20" w:type="dxa"/>
              <w:bottom w:w="40" w:type="dxa"/>
              <w:right w:w="20" w:type="dxa"/>
            </w:tcMar>
            <w:vAlign w:val="bottom"/>
          </w:tcPr>
          <w:p w14:paraId="5CD8EC1E" w14:textId="77777777" w:rsidR="00BA49F5" w:rsidRDefault="007E5E49">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5CD8EC1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20" w14:textId="77777777" w:rsidR="00BA49F5" w:rsidRDefault="007E5E49">
            <w:pPr>
              <w:jc w:val="right"/>
              <w:textAlignment w:val="bottom"/>
            </w:pPr>
            <w:r>
              <w:rPr>
                <w:rFonts w:ascii="Times New Roman" w:eastAsia="宋体" w:hAnsi="Times New Roman"/>
                <w:color w:val="000000"/>
                <w:sz w:val="20"/>
                <w:szCs w:val="20"/>
              </w:rPr>
              <w:t>42,661 </w:t>
            </w:r>
          </w:p>
        </w:tc>
        <w:tc>
          <w:tcPr>
            <w:tcW w:w="0" w:type="auto"/>
            <w:shd w:val="clear" w:color="auto" w:fill="CCEEFF"/>
            <w:tcMar>
              <w:top w:w="40" w:type="dxa"/>
              <w:left w:w="0" w:type="dxa"/>
              <w:bottom w:w="40" w:type="dxa"/>
              <w:right w:w="20" w:type="dxa"/>
            </w:tcMar>
            <w:vAlign w:val="bottom"/>
          </w:tcPr>
          <w:p w14:paraId="5CD8EC2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22"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C2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24" w14:textId="77777777" w:rsidR="00BA49F5" w:rsidRDefault="007E5E49">
            <w:pPr>
              <w:jc w:val="right"/>
              <w:textAlignment w:val="bottom"/>
            </w:pPr>
            <w:r>
              <w:rPr>
                <w:rFonts w:ascii="Times New Roman" w:eastAsia="宋体" w:hAnsi="Times New Roman"/>
                <w:color w:val="000000"/>
                <w:sz w:val="20"/>
                <w:szCs w:val="20"/>
              </w:rPr>
              <w:t>56,946 </w:t>
            </w:r>
          </w:p>
        </w:tc>
        <w:tc>
          <w:tcPr>
            <w:tcW w:w="0" w:type="auto"/>
            <w:shd w:val="clear" w:color="auto" w:fill="CCEEFF"/>
            <w:tcMar>
              <w:top w:w="40" w:type="dxa"/>
              <w:left w:w="0" w:type="dxa"/>
              <w:bottom w:w="40" w:type="dxa"/>
              <w:right w:w="20" w:type="dxa"/>
            </w:tcMar>
            <w:vAlign w:val="bottom"/>
          </w:tcPr>
          <w:p w14:paraId="5CD8EC2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26"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C2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28" w14:textId="77777777" w:rsidR="00BA49F5" w:rsidRDefault="007E5E49">
            <w:pPr>
              <w:jc w:val="right"/>
              <w:textAlignment w:val="bottom"/>
            </w:pPr>
            <w:r>
              <w:rPr>
                <w:rFonts w:ascii="Times New Roman" w:eastAsia="宋体" w:hAnsi="Times New Roman"/>
                <w:color w:val="000000"/>
                <w:sz w:val="20"/>
                <w:szCs w:val="20"/>
              </w:rPr>
              <w:t>39,294 </w:t>
            </w:r>
          </w:p>
        </w:tc>
        <w:tc>
          <w:tcPr>
            <w:tcW w:w="0" w:type="auto"/>
            <w:shd w:val="clear" w:color="auto" w:fill="CCEEFF"/>
            <w:tcMar>
              <w:top w:w="40" w:type="dxa"/>
              <w:left w:w="0" w:type="dxa"/>
              <w:bottom w:w="40" w:type="dxa"/>
              <w:right w:w="20" w:type="dxa"/>
            </w:tcMar>
            <w:vAlign w:val="bottom"/>
          </w:tcPr>
          <w:p w14:paraId="5CD8EC2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2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2B" w14:textId="77777777" w:rsidR="00BA49F5" w:rsidRDefault="007E5E49">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5CD8EC2C"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C2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2E" w14:textId="77777777" w:rsidR="00BA49F5" w:rsidRDefault="007E5E49">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5CD8EC2F"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C40" w14:textId="77777777">
        <w:tc>
          <w:tcPr>
            <w:tcW w:w="0" w:type="auto"/>
            <w:gridSpan w:val="3"/>
            <w:shd w:val="clear" w:color="auto" w:fill="FFFFFF"/>
            <w:tcMar>
              <w:top w:w="40" w:type="dxa"/>
              <w:left w:w="20" w:type="dxa"/>
              <w:bottom w:w="40" w:type="dxa"/>
              <w:right w:w="20" w:type="dxa"/>
            </w:tcMar>
            <w:vAlign w:val="bottom"/>
          </w:tcPr>
          <w:p w14:paraId="5CD8EC31" w14:textId="77777777" w:rsidR="00BA49F5" w:rsidRDefault="007E5E49">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5CD8EC32" w14:textId="77777777" w:rsidR="00BA49F5" w:rsidRDefault="007E5E49">
            <w:pPr>
              <w:jc w:val="right"/>
              <w:textAlignment w:val="bottom"/>
            </w:pPr>
            <w:r>
              <w:rPr>
                <w:rFonts w:ascii="Times New Roman" w:eastAsia="宋体" w:hAnsi="Times New Roman"/>
                <w:color w:val="000000"/>
                <w:sz w:val="20"/>
                <w:szCs w:val="20"/>
              </w:rPr>
              <w:t>(13,717)</w:t>
            </w:r>
          </w:p>
        </w:tc>
        <w:tc>
          <w:tcPr>
            <w:tcW w:w="0" w:type="auto"/>
            <w:shd w:val="clear" w:color="auto" w:fill="FFFFFF"/>
            <w:tcMar>
              <w:top w:w="40" w:type="dxa"/>
              <w:left w:w="0" w:type="dxa"/>
              <w:bottom w:w="40" w:type="dxa"/>
              <w:right w:w="20" w:type="dxa"/>
            </w:tcMar>
            <w:vAlign w:val="bottom"/>
          </w:tcPr>
          <w:p w14:paraId="5CD8EC3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3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35" w14:textId="77777777" w:rsidR="00BA49F5" w:rsidRDefault="007E5E49">
            <w:pPr>
              <w:jc w:val="right"/>
              <w:textAlignment w:val="bottom"/>
            </w:pPr>
            <w:r>
              <w:rPr>
                <w:rFonts w:ascii="Times New Roman" w:eastAsia="宋体" w:hAnsi="Times New Roman"/>
                <w:color w:val="000000"/>
                <w:sz w:val="20"/>
                <w:szCs w:val="20"/>
              </w:rPr>
              <w:t>(10,193)</w:t>
            </w:r>
          </w:p>
        </w:tc>
        <w:tc>
          <w:tcPr>
            <w:tcW w:w="0" w:type="auto"/>
            <w:shd w:val="clear" w:color="auto" w:fill="FFFFFF"/>
            <w:tcMar>
              <w:top w:w="40" w:type="dxa"/>
              <w:left w:w="0" w:type="dxa"/>
              <w:bottom w:w="40" w:type="dxa"/>
              <w:right w:w="20" w:type="dxa"/>
            </w:tcMar>
            <w:vAlign w:val="bottom"/>
          </w:tcPr>
          <w:p w14:paraId="5CD8EC3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3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38" w14:textId="77777777" w:rsidR="00BA49F5" w:rsidRDefault="007E5E49">
            <w:pPr>
              <w:jc w:val="right"/>
              <w:textAlignment w:val="bottom"/>
            </w:pPr>
            <w:r>
              <w:rPr>
                <w:rFonts w:ascii="Times New Roman" w:eastAsia="宋体" w:hAnsi="Times New Roman"/>
                <w:color w:val="000000"/>
                <w:sz w:val="20"/>
                <w:szCs w:val="20"/>
              </w:rPr>
              <w:t>(6,623)</w:t>
            </w:r>
          </w:p>
        </w:tc>
        <w:tc>
          <w:tcPr>
            <w:tcW w:w="0" w:type="auto"/>
            <w:shd w:val="clear" w:color="auto" w:fill="FFFFFF"/>
            <w:tcMar>
              <w:top w:w="40" w:type="dxa"/>
              <w:left w:w="0" w:type="dxa"/>
              <w:bottom w:w="40" w:type="dxa"/>
              <w:right w:w="20" w:type="dxa"/>
            </w:tcMar>
            <w:vAlign w:val="bottom"/>
          </w:tcPr>
          <w:p w14:paraId="5CD8EC3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3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3B" w14:textId="77777777" w:rsidR="00BA49F5" w:rsidRDefault="007E5E49">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5CD8EC3C"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C3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3E" w14:textId="77777777" w:rsidR="00BA49F5" w:rsidRDefault="007E5E49">
            <w:pPr>
              <w:jc w:val="right"/>
              <w:textAlignment w:val="bottom"/>
            </w:pPr>
            <w:r>
              <w:rPr>
                <w:rFonts w:ascii="Times New Roman" w:eastAsia="宋体" w:hAnsi="Times New Roman"/>
                <w:color w:val="000000"/>
                <w:sz w:val="20"/>
                <w:szCs w:val="20"/>
              </w:rPr>
              <w:t>(54)</w:t>
            </w:r>
          </w:p>
        </w:tc>
        <w:tc>
          <w:tcPr>
            <w:tcW w:w="0" w:type="auto"/>
            <w:shd w:val="clear" w:color="auto" w:fill="FFFFFF"/>
            <w:tcMar>
              <w:top w:w="40" w:type="dxa"/>
              <w:left w:w="0" w:type="dxa"/>
              <w:bottom w:w="40" w:type="dxa"/>
              <w:right w:w="20" w:type="dxa"/>
            </w:tcMar>
            <w:vAlign w:val="bottom"/>
          </w:tcPr>
          <w:p w14:paraId="5CD8EC3F"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C53" w14:textId="77777777">
        <w:tc>
          <w:tcPr>
            <w:tcW w:w="0" w:type="auto"/>
            <w:gridSpan w:val="3"/>
            <w:shd w:val="clear" w:color="auto" w:fill="CCEEFF"/>
            <w:tcMar>
              <w:top w:w="40" w:type="dxa"/>
              <w:left w:w="380" w:type="dxa"/>
              <w:bottom w:w="40" w:type="dxa"/>
              <w:right w:w="20" w:type="dxa"/>
            </w:tcMar>
            <w:vAlign w:val="bottom"/>
          </w:tcPr>
          <w:p w14:paraId="5CD8EC41" w14:textId="77777777" w:rsidR="00BA49F5" w:rsidRDefault="007E5E49">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C4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C43" w14:textId="77777777" w:rsidR="00BA49F5" w:rsidRDefault="007E5E49">
            <w:pPr>
              <w:jc w:val="right"/>
              <w:textAlignment w:val="bottom"/>
            </w:pPr>
            <w:r>
              <w:rPr>
                <w:rFonts w:ascii="Times New Roman" w:eastAsia="宋体" w:hAnsi="Times New Roman"/>
                <w:color w:val="000000"/>
                <w:sz w:val="20"/>
                <w:szCs w:val="20"/>
              </w:rPr>
              <w:t>28,944 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C4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45"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C4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C47" w14:textId="77777777" w:rsidR="00BA49F5" w:rsidRDefault="007E5E49">
            <w:pPr>
              <w:jc w:val="right"/>
              <w:textAlignment w:val="bottom"/>
            </w:pPr>
            <w:r>
              <w:rPr>
                <w:rFonts w:ascii="Times New Roman" w:eastAsia="宋体" w:hAnsi="Times New Roman"/>
                <w:color w:val="000000"/>
                <w:sz w:val="20"/>
                <w:szCs w:val="20"/>
              </w:rPr>
              <w:t>46,753 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C4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49"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EC4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EC4B" w14:textId="77777777" w:rsidR="00BA49F5" w:rsidRDefault="007E5E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EC4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4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4E" w14:textId="77777777" w:rsidR="00BA49F5" w:rsidRDefault="007E5E49">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left w:w="0" w:type="dxa"/>
              <w:bottom w:w="40" w:type="dxa"/>
              <w:right w:w="20" w:type="dxa"/>
            </w:tcMar>
            <w:vAlign w:val="bottom"/>
          </w:tcPr>
          <w:p w14:paraId="5CD8EC4F"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C5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51" w14:textId="77777777" w:rsidR="00BA49F5" w:rsidRDefault="007E5E49">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5CD8EC52" w14:textId="77777777" w:rsidR="00BA49F5" w:rsidRDefault="007E5E49">
            <w:pPr>
              <w:jc w:val="right"/>
              <w:textAlignment w:val="bottom"/>
            </w:pPr>
            <w:r>
              <w:rPr>
                <w:rFonts w:ascii="Times New Roman" w:eastAsia="宋体" w:hAnsi="Times New Roman"/>
                <w:color w:val="000000"/>
                <w:sz w:val="20"/>
                <w:szCs w:val="20"/>
              </w:rPr>
              <w:t>%</w:t>
            </w:r>
          </w:p>
        </w:tc>
      </w:tr>
    </w:tbl>
    <w:p w14:paraId="5CD8EC54" w14:textId="77777777" w:rsidR="00BA49F5" w:rsidRDefault="00BA49F5">
      <w:pPr>
        <w:jc w:val="both"/>
      </w:pPr>
    </w:p>
    <w:p w14:paraId="5CD8EC55" w14:textId="77777777" w:rsidR="00BA49F5" w:rsidRDefault="007E5E49">
      <w:pPr>
        <w:ind w:firstLine="540"/>
        <w:jc w:val="both"/>
      </w:pPr>
      <w:r>
        <w:rPr>
          <w:rFonts w:ascii="Times New Roman" w:eastAsia="宋体" w:hAnsi="Times New Roman"/>
          <w:i/>
          <w:iCs/>
          <w:color w:val="000000"/>
          <w:sz w:val="20"/>
          <w:szCs w:val="20"/>
          <w:shd w:val="clear" w:color="auto" w:fill="FFFFFF"/>
        </w:rPr>
        <w:t>Family of Apps</w:t>
      </w:r>
    </w:p>
    <w:p w14:paraId="5CD8EC56" w14:textId="77777777" w:rsidR="00BA49F5" w:rsidRDefault="00BA49F5">
      <w:pPr>
        <w:ind w:firstLine="540"/>
      </w:pPr>
    </w:p>
    <w:p w14:paraId="5CD8EC57" w14:textId="77777777" w:rsidR="00BA49F5" w:rsidRDefault="007E5E49">
      <w:pPr>
        <w:ind w:firstLine="540"/>
        <w:jc w:val="both"/>
      </w:pPr>
      <w:r>
        <w:rPr>
          <w:rFonts w:ascii="Times New Roman" w:eastAsia="宋体" w:hAnsi="Times New Roman"/>
          <w:color w:val="000000"/>
          <w:sz w:val="20"/>
          <w:szCs w:val="20"/>
          <w:shd w:val="clear" w:color="auto" w:fill="FFFFFF"/>
        </w:rPr>
        <w:t xml:space="preserve">FoA income from operations in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xml:space="preserve"> decreased </w:t>
      </w:r>
      <w:r>
        <w:rPr>
          <w:rFonts w:ascii="Times New Roman" w:eastAsia="宋体" w:hAnsi="Times New Roman"/>
          <w:color w:val="000000"/>
          <w:sz w:val="20"/>
          <w:szCs w:val="20"/>
        </w:rPr>
        <w:t>$14.29 billion, or 25%, compared to</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2021</w:t>
      </w:r>
      <w:r>
        <w:rPr>
          <w:rFonts w:ascii="Times New Roman" w:eastAsia="宋体" w:hAnsi="Times New Roman"/>
          <w:color w:val="000000"/>
          <w:sz w:val="20"/>
          <w:szCs w:val="20"/>
          <w:shd w:val="clear" w:color="auto" w:fill="FFFFFF"/>
        </w:rPr>
        <w:t xml:space="preserve">. The decrease was due to an increase in FoA total costs and expenses, primarily due to </w:t>
      </w:r>
      <w:r>
        <w:rPr>
          <w:rFonts w:ascii="Times New Roman" w:eastAsia="宋体" w:hAnsi="Times New Roman"/>
          <w:color w:val="000000"/>
          <w:sz w:val="20"/>
          <w:szCs w:val="20"/>
        </w:rPr>
        <w:t>an increase in payroll and related expenses as a result of higher employee headcount, additional charges recorded related to our</w:t>
      </w:r>
      <w:r>
        <w:rPr>
          <w:rFonts w:ascii="Times New Roman" w:eastAsia="宋体" w:hAnsi="Times New Roman"/>
          <w:color w:val="000000"/>
          <w:sz w:val="20"/>
          <w:szCs w:val="20"/>
        </w:rPr>
        <w:t xml:space="preserve"> restructuring efforts and an increase in costs related to our data centers and technical infrastructure.</w:t>
      </w:r>
    </w:p>
    <w:p w14:paraId="5CD8EC58" w14:textId="77777777" w:rsidR="00BA49F5" w:rsidRDefault="00BA49F5">
      <w:pPr>
        <w:ind w:firstLine="540"/>
        <w:jc w:val="both"/>
      </w:pPr>
    </w:p>
    <w:p w14:paraId="5CD8EC59" w14:textId="77777777" w:rsidR="00BA49F5" w:rsidRDefault="007E5E49">
      <w:pPr>
        <w:ind w:firstLine="540"/>
        <w:jc w:val="both"/>
      </w:pPr>
      <w:r>
        <w:rPr>
          <w:rFonts w:ascii="Times New Roman" w:eastAsia="宋体" w:hAnsi="Times New Roman"/>
          <w:color w:val="000000"/>
          <w:sz w:val="20"/>
          <w:szCs w:val="20"/>
        </w:rPr>
        <w:t>See Note 3 — Restructuring in the notes to the consolidated financial statements included in Part II, Item 8, "Financial Statements and Supplementary</w:t>
      </w:r>
      <w:r>
        <w:rPr>
          <w:rFonts w:ascii="Times New Roman" w:eastAsia="宋体" w:hAnsi="Times New Roman"/>
          <w:color w:val="000000"/>
          <w:sz w:val="20"/>
          <w:szCs w:val="20"/>
        </w:rPr>
        <w:t xml:space="preserve"> Data" of this Annual Report on Form 10-K for additional information.</w:t>
      </w:r>
    </w:p>
    <w:p w14:paraId="5CD8EC5A" w14:textId="77777777" w:rsidR="00BA49F5" w:rsidRDefault="00BA49F5">
      <w:pPr>
        <w:ind w:firstLine="540"/>
        <w:jc w:val="both"/>
      </w:pPr>
    </w:p>
    <w:p w14:paraId="5CD8EC5B" w14:textId="77777777" w:rsidR="00BA49F5" w:rsidRDefault="007E5E49">
      <w:pPr>
        <w:ind w:firstLine="540"/>
        <w:jc w:val="both"/>
      </w:pPr>
      <w:r>
        <w:rPr>
          <w:rFonts w:ascii="Times New Roman" w:eastAsia="宋体" w:hAnsi="Times New Roman"/>
          <w:i/>
          <w:iCs/>
          <w:color w:val="000000"/>
          <w:sz w:val="20"/>
          <w:szCs w:val="20"/>
          <w:shd w:val="clear" w:color="auto" w:fill="FFFFFF"/>
        </w:rPr>
        <w:t>Reality Labs</w:t>
      </w:r>
    </w:p>
    <w:p w14:paraId="5CD8EC5C" w14:textId="77777777" w:rsidR="00BA49F5" w:rsidRDefault="00BA49F5">
      <w:pPr>
        <w:ind w:firstLine="540"/>
        <w:jc w:val="both"/>
      </w:pPr>
    </w:p>
    <w:p w14:paraId="5CD8EC5D" w14:textId="77777777" w:rsidR="00BA49F5" w:rsidRDefault="007E5E49">
      <w:pPr>
        <w:ind w:firstLine="540"/>
        <w:jc w:val="both"/>
      </w:pPr>
      <w:r>
        <w:rPr>
          <w:rFonts w:ascii="Times New Roman" w:eastAsia="宋体" w:hAnsi="Times New Roman"/>
          <w:color w:val="000000"/>
          <w:sz w:val="20"/>
          <w:szCs w:val="20"/>
        </w:rPr>
        <w:t xml:space="preserve">RL loss from operations </w:t>
      </w: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rPr>
        <w:t>2022 increased $3.52 billion, or 35%, compared to</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2021. The increase in loss from operations was mainly driven by increases in payroll and relat</w:t>
      </w:r>
      <w:r>
        <w:rPr>
          <w:rFonts w:ascii="Times New Roman" w:eastAsia="宋体" w:hAnsi="Times New Roman"/>
          <w:color w:val="000000"/>
          <w:sz w:val="20"/>
          <w:szCs w:val="20"/>
        </w:rPr>
        <w:t>ed expenses and research and development expenses, partially offset by a decrease in RL inventory cost including lower losses on purchase commitments.</w:t>
      </w:r>
    </w:p>
    <w:p w14:paraId="5CD8EC5E" w14:textId="77777777" w:rsidR="00BA49F5" w:rsidRDefault="00BA49F5">
      <w:pPr>
        <w:jc w:val="both"/>
      </w:pPr>
    </w:p>
    <w:p w14:paraId="5CD8EC5F" w14:textId="77777777" w:rsidR="00BA49F5" w:rsidRDefault="007E5E49">
      <w:pPr>
        <w:jc w:val="center"/>
      </w:pPr>
      <w:r>
        <w:rPr>
          <w:rFonts w:ascii="Times New Roman" w:eastAsia="宋体" w:hAnsi="Times New Roman"/>
          <w:color w:val="000000"/>
          <w:sz w:val="20"/>
          <w:szCs w:val="20"/>
        </w:rPr>
        <w:t>72</w:t>
      </w:r>
    </w:p>
    <w:p w14:paraId="5CD8EC60" w14:textId="77777777" w:rsidR="00BA49F5" w:rsidRDefault="007E5E49">
      <w:r>
        <w:pict w14:anchorId="5CD90D3D">
          <v:rect id="_x0000_i1096" style="width:415.3pt;height:1.5pt" o:hralign="center" o:hrstd="t" o:hr="t" fillcolor="#a0a0a0" stroked="f"/>
        </w:pict>
      </w:r>
    </w:p>
    <w:p w14:paraId="5CD8EC61" w14:textId="77777777" w:rsidR="00BA49F5" w:rsidRDefault="00BA49F5"/>
    <w:p w14:paraId="5CD8EC62" w14:textId="77777777" w:rsidR="00BA49F5" w:rsidRDefault="00BA49F5"/>
    <w:p w14:paraId="5CD8EC63" w14:textId="77777777" w:rsidR="00BA49F5" w:rsidRDefault="007E5E49">
      <w:hyperlink r:id="rId224" w:anchor="i6df229dad1864210ab76200083e26819_7" w:history="1">
        <w:r>
          <w:rPr>
            <w:rStyle w:val="a5"/>
            <w:rFonts w:ascii="Times New Roman" w:eastAsia="宋体" w:hAnsi="Times New Roman"/>
            <w:sz w:val="20"/>
            <w:szCs w:val="20"/>
          </w:rPr>
          <w:t>T</w:t>
        </w:r>
      </w:hyperlink>
      <w:hyperlink r:id="rId225" w:anchor="i6df229dad1864210ab76200083e26819_7" w:history="1">
        <w:r>
          <w:rPr>
            <w:rStyle w:val="a5"/>
            <w:rFonts w:ascii="Times New Roman" w:eastAsia="宋体" w:hAnsi="Times New Roman"/>
            <w:sz w:val="20"/>
            <w:szCs w:val="20"/>
          </w:rPr>
          <w:t>able of Contents</w:t>
        </w:r>
      </w:hyperlink>
    </w:p>
    <w:p w14:paraId="5CD8EC64" w14:textId="77777777" w:rsidR="00BA49F5" w:rsidRDefault="007E5E49">
      <w:r>
        <w:rPr>
          <w:rFonts w:ascii="Times New Roman" w:eastAsia="宋体" w:hAnsi="Times New Roman"/>
          <w:b/>
          <w:bCs/>
          <w:i/>
          <w:iCs/>
          <w:color w:val="000000"/>
          <w:sz w:val="20"/>
          <w:szCs w:val="20"/>
        </w:rPr>
        <w:t>Interest and other income (expense), net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2756"/>
        <w:gridCol w:w="39"/>
        <w:gridCol w:w="120"/>
        <w:gridCol w:w="925"/>
        <w:gridCol w:w="36"/>
        <w:gridCol w:w="36"/>
        <w:gridCol w:w="36"/>
        <w:gridCol w:w="36"/>
        <w:gridCol w:w="120"/>
        <w:gridCol w:w="874"/>
        <w:gridCol w:w="36"/>
        <w:gridCol w:w="36"/>
        <w:gridCol w:w="36"/>
        <w:gridCol w:w="36"/>
        <w:gridCol w:w="120"/>
        <w:gridCol w:w="874"/>
        <w:gridCol w:w="36"/>
        <w:gridCol w:w="36"/>
        <w:gridCol w:w="36"/>
        <w:gridCol w:w="36"/>
        <w:gridCol w:w="49"/>
        <w:gridCol w:w="722"/>
        <w:gridCol w:w="187"/>
        <w:gridCol w:w="36"/>
        <w:gridCol w:w="36"/>
        <w:gridCol w:w="36"/>
        <w:gridCol w:w="49"/>
        <w:gridCol w:w="722"/>
        <w:gridCol w:w="187"/>
      </w:tblGrid>
      <w:tr w:rsidR="00BA49F5" w14:paraId="5CD8EC83" w14:textId="77777777">
        <w:trPr>
          <w:jc w:val="center"/>
        </w:trPr>
        <w:tc>
          <w:tcPr>
            <w:tcW w:w="50" w:type="pct"/>
            <w:shd w:val="clear" w:color="auto" w:fill="auto"/>
            <w:vAlign w:val="bottom"/>
          </w:tcPr>
          <w:p w14:paraId="5CD8EC65" w14:textId="77777777" w:rsidR="00BA49F5" w:rsidRDefault="00BA49F5">
            <w:pPr>
              <w:rPr>
                <w:rFonts w:ascii="宋体"/>
              </w:rPr>
            </w:pPr>
          </w:p>
        </w:tc>
        <w:tc>
          <w:tcPr>
            <w:tcW w:w="1703" w:type="pct"/>
            <w:shd w:val="clear" w:color="auto" w:fill="auto"/>
            <w:vAlign w:val="bottom"/>
          </w:tcPr>
          <w:p w14:paraId="5CD8EC66" w14:textId="77777777" w:rsidR="00BA49F5" w:rsidRDefault="00BA49F5">
            <w:pPr>
              <w:rPr>
                <w:rFonts w:ascii="宋体"/>
              </w:rPr>
            </w:pPr>
          </w:p>
        </w:tc>
        <w:tc>
          <w:tcPr>
            <w:tcW w:w="5" w:type="pct"/>
            <w:shd w:val="clear" w:color="auto" w:fill="auto"/>
            <w:vAlign w:val="bottom"/>
          </w:tcPr>
          <w:p w14:paraId="5CD8EC67" w14:textId="77777777" w:rsidR="00BA49F5" w:rsidRDefault="00BA49F5">
            <w:pPr>
              <w:rPr>
                <w:rFonts w:ascii="宋体"/>
              </w:rPr>
            </w:pPr>
          </w:p>
        </w:tc>
        <w:tc>
          <w:tcPr>
            <w:tcW w:w="50" w:type="pct"/>
            <w:shd w:val="clear" w:color="auto" w:fill="auto"/>
            <w:vAlign w:val="bottom"/>
          </w:tcPr>
          <w:p w14:paraId="5CD8EC68" w14:textId="77777777" w:rsidR="00BA49F5" w:rsidRDefault="00BA49F5">
            <w:pPr>
              <w:rPr>
                <w:rFonts w:ascii="宋体"/>
              </w:rPr>
            </w:pPr>
          </w:p>
        </w:tc>
        <w:tc>
          <w:tcPr>
            <w:tcW w:w="593" w:type="pct"/>
            <w:shd w:val="clear" w:color="auto" w:fill="auto"/>
            <w:vAlign w:val="bottom"/>
          </w:tcPr>
          <w:p w14:paraId="5CD8EC69" w14:textId="77777777" w:rsidR="00BA49F5" w:rsidRDefault="00BA49F5">
            <w:pPr>
              <w:rPr>
                <w:rFonts w:ascii="宋体"/>
              </w:rPr>
            </w:pPr>
          </w:p>
        </w:tc>
        <w:tc>
          <w:tcPr>
            <w:tcW w:w="5" w:type="pct"/>
            <w:shd w:val="clear" w:color="auto" w:fill="auto"/>
            <w:vAlign w:val="bottom"/>
          </w:tcPr>
          <w:p w14:paraId="5CD8EC6A" w14:textId="77777777" w:rsidR="00BA49F5" w:rsidRDefault="00BA49F5">
            <w:pPr>
              <w:rPr>
                <w:rFonts w:ascii="宋体"/>
              </w:rPr>
            </w:pPr>
          </w:p>
        </w:tc>
        <w:tc>
          <w:tcPr>
            <w:tcW w:w="5" w:type="pct"/>
            <w:shd w:val="clear" w:color="auto" w:fill="auto"/>
            <w:vAlign w:val="bottom"/>
          </w:tcPr>
          <w:p w14:paraId="5CD8EC6B" w14:textId="77777777" w:rsidR="00BA49F5" w:rsidRDefault="00BA49F5">
            <w:pPr>
              <w:rPr>
                <w:rFonts w:ascii="宋体"/>
              </w:rPr>
            </w:pPr>
          </w:p>
        </w:tc>
        <w:tc>
          <w:tcPr>
            <w:tcW w:w="27" w:type="pct"/>
            <w:shd w:val="clear" w:color="auto" w:fill="auto"/>
            <w:vAlign w:val="bottom"/>
          </w:tcPr>
          <w:p w14:paraId="5CD8EC6C" w14:textId="77777777" w:rsidR="00BA49F5" w:rsidRDefault="00BA49F5">
            <w:pPr>
              <w:rPr>
                <w:rFonts w:ascii="宋体"/>
              </w:rPr>
            </w:pPr>
          </w:p>
        </w:tc>
        <w:tc>
          <w:tcPr>
            <w:tcW w:w="5" w:type="pct"/>
            <w:shd w:val="clear" w:color="auto" w:fill="auto"/>
            <w:vAlign w:val="bottom"/>
          </w:tcPr>
          <w:p w14:paraId="5CD8EC6D" w14:textId="77777777" w:rsidR="00BA49F5" w:rsidRDefault="00BA49F5">
            <w:pPr>
              <w:rPr>
                <w:rFonts w:ascii="宋体"/>
              </w:rPr>
            </w:pPr>
          </w:p>
        </w:tc>
        <w:tc>
          <w:tcPr>
            <w:tcW w:w="50" w:type="pct"/>
            <w:shd w:val="clear" w:color="auto" w:fill="auto"/>
            <w:vAlign w:val="bottom"/>
          </w:tcPr>
          <w:p w14:paraId="5CD8EC6E" w14:textId="77777777" w:rsidR="00BA49F5" w:rsidRDefault="00BA49F5">
            <w:pPr>
              <w:rPr>
                <w:rFonts w:ascii="宋体"/>
              </w:rPr>
            </w:pPr>
          </w:p>
        </w:tc>
        <w:tc>
          <w:tcPr>
            <w:tcW w:w="593" w:type="pct"/>
            <w:shd w:val="clear" w:color="auto" w:fill="auto"/>
            <w:vAlign w:val="bottom"/>
          </w:tcPr>
          <w:p w14:paraId="5CD8EC6F" w14:textId="77777777" w:rsidR="00BA49F5" w:rsidRDefault="00BA49F5">
            <w:pPr>
              <w:rPr>
                <w:rFonts w:ascii="宋体"/>
              </w:rPr>
            </w:pPr>
          </w:p>
        </w:tc>
        <w:tc>
          <w:tcPr>
            <w:tcW w:w="5" w:type="pct"/>
            <w:shd w:val="clear" w:color="auto" w:fill="auto"/>
            <w:vAlign w:val="bottom"/>
          </w:tcPr>
          <w:p w14:paraId="5CD8EC70" w14:textId="77777777" w:rsidR="00BA49F5" w:rsidRDefault="00BA49F5">
            <w:pPr>
              <w:rPr>
                <w:rFonts w:ascii="宋体"/>
              </w:rPr>
            </w:pPr>
          </w:p>
        </w:tc>
        <w:tc>
          <w:tcPr>
            <w:tcW w:w="5" w:type="pct"/>
            <w:shd w:val="clear" w:color="auto" w:fill="auto"/>
            <w:vAlign w:val="bottom"/>
          </w:tcPr>
          <w:p w14:paraId="5CD8EC71" w14:textId="77777777" w:rsidR="00BA49F5" w:rsidRDefault="00BA49F5">
            <w:pPr>
              <w:rPr>
                <w:rFonts w:ascii="宋体"/>
              </w:rPr>
            </w:pPr>
          </w:p>
        </w:tc>
        <w:tc>
          <w:tcPr>
            <w:tcW w:w="27" w:type="pct"/>
            <w:shd w:val="clear" w:color="auto" w:fill="auto"/>
            <w:vAlign w:val="bottom"/>
          </w:tcPr>
          <w:p w14:paraId="5CD8EC72" w14:textId="77777777" w:rsidR="00BA49F5" w:rsidRDefault="00BA49F5">
            <w:pPr>
              <w:rPr>
                <w:rFonts w:ascii="宋体"/>
              </w:rPr>
            </w:pPr>
          </w:p>
        </w:tc>
        <w:tc>
          <w:tcPr>
            <w:tcW w:w="5" w:type="pct"/>
            <w:shd w:val="clear" w:color="auto" w:fill="auto"/>
            <w:vAlign w:val="bottom"/>
          </w:tcPr>
          <w:p w14:paraId="5CD8EC73" w14:textId="77777777" w:rsidR="00BA49F5" w:rsidRDefault="00BA49F5">
            <w:pPr>
              <w:rPr>
                <w:rFonts w:ascii="宋体"/>
              </w:rPr>
            </w:pPr>
          </w:p>
        </w:tc>
        <w:tc>
          <w:tcPr>
            <w:tcW w:w="50" w:type="pct"/>
            <w:shd w:val="clear" w:color="auto" w:fill="auto"/>
            <w:vAlign w:val="bottom"/>
          </w:tcPr>
          <w:p w14:paraId="5CD8EC74" w14:textId="77777777" w:rsidR="00BA49F5" w:rsidRDefault="00BA49F5">
            <w:pPr>
              <w:rPr>
                <w:rFonts w:ascii="宋体"/>
              </w:rPr>
            </w:pPr>
          </w:p>
        </w:tc>
        <w:tc>
          <w:tcPr>
            <w:tcW w:w="593" w:type="pct"/>
            <w:shd w:val="clear" w:color="auto" w:fill="auto"/>
            <w:vAlign w:val="bottom"/>
          </w:tcPr>
          <w:p w14:paraId="5CD8EC75" w14:textId="77777777" w:rsidR="00BA49F5" w:rsidRDefault="00BA49F5">
            <w:pPr>
              <w:rPr>
                <w:rFonts w:ascii="宋体"/>
              </w:rPr>
            </w:pPr>
          </w:p>
        </w:tc>
        <w:tc>
          <w:tcPr>
            <w:tcW w:w="5" w:type="pct"/>
            <w:shd w:val="clear" w:color="auto" w:fill="auto"/>
            <w:vAlign w:val="bottom"/>
          </w:tcPr>
          <w:p w14:paraId="5CD8EC76" w14:textId="77777777" w:rsidR="00BA49F5" w:rsidRDefault="00BA49F5">
            <w:pPr>
              <w:rPr>
                <w:rFonts w:ascii="宋体"/>
              </w:rPr>
            </w:pPr>
          </w:p>
        </w:tc>
        <w:tc>
          <w:tcPr>
            <w:tcW w:w="5" w:type="pct"/>
            <w:shd w:val="clear" w:color="auto" w:fill="auto"/>
            <w:vAlign w:val="bottom"/>
          </w:tcPr>
          <w:p w14:paraId="5CD8EC77" w14:textId="77777777" w:rsidR="00BA49F5" w:rsidRDefault="00BA49F5">
            <w:pPr>
              <w:rPr>
                <w:rFonts w:ascii="宋体"/>
              </w:rPr>
            </w:pPr>
          </w:p>
        </w:tc>
        <w:tc>
          <w:tcPr>
            <w:tcW w:w="27" w:type="pct"/>
            <w:shd w:val="clear" w:color="auto" w:fill="auto"/>
            <w:vAlign w:val="bottom"/>
          </w:tcPr>
          <w:p w14:paraId="5CD8EC78" w14:textId="77777777" w:rsidR="00BA49F5" w:rsidRDefault="00BA49F5">
            <w:pPr>
              <w:rPr>
                <w:rFonts w:ascii="宋体"/>
              </w:rPr>
            </w:pPr>
          </w:p>
        </w:tc>
        <w:tc>
          <w:tcPr>
            <w:tcW w:w="5" w:type="pct"/>
            <w:shd w:val="clear" w:color="auto" w:fill="auto"/>
            <w:vAlign w:val="bottom"/>
          </w:tcPr>
          <w:p w14:paraId="5CD8EC79" w14:textId="77777777" w:rsidR="00BA49F5" w:rsidRDefault="00BA49F5">
            <w:pPr>
              <w:rPr>
                <w:rFonts w:ascii="宋体"/>
              </w:rPr>
            </w:pPr>
          </w:p>
        </w:tc>
        <w:tc>
          <w:tcPr>
            <w:tcW w:w="50" w:type="pct"/>
            <w:shd w:val="clear" w:color="auto" w:fill="auto"/>
            <w:vAlign w:val="bottom"/>
          </w:tcPr>
          <w:p w14:paraId="5CD8EC7A" w14:textId="77777777" w:rsidR="00BA49F5" w:rsidRDefault="00BA49F5">
            <w:pPr>
              <w:rPr>
                <w:rFonts w:ascii="宋体"/>
              </w:rPr>
            </w:pPr>
          </w:p>
        </w:tc>
        <w:tc>
          <w:tcPr>
            <w:tcW w:w="518" w:type="pct"/>
            <w:shd w:val="clear" w:color="auto" w:fill="auto"/>
            <w:vAlign w:val="bottom"/>
          </w:tcPr>
          <w:p w14:paraId="5CD8EC7B" w14:textId="77777777" w:rsidR="00BA49F5" w:rsidRDefault="00BA49F5">
            <w:pPr>
              <w:rPr>
                <w:rFonts w:ascii="宋体"/>
              </w:rPr>
            </w:pPr>
          </w:p>
        </w:tc>
        <w:tc>
          <w:tcPr>
            <w:tcW w:w="5" w:type="pct"/>
            <w:shd w:val="clear" w:color="auto" w:fill="auto"/>
            <w:vAlign w:val="bottom"/>
          </w:tcPr>
          <w:p w14:paraId="5CD8EC7C" w14:textId="77777777" w:rsidR="00BA49F5" w:rsidRDefault="00BA49F5">
            <w:pPr>
              <w:rPr>
                <w:rFonts w:ascii="宋体"/>
              </w:rPr>
            </w:pPr>
          </w:p>
        </w:tc>
        <w:tc>
          <w:tcPr>
            <w:tcW w:w="5" w:type="pct"/>
            <w:shd w:val="clear" w:color="auto" w:fill="auto"/>
            <w:vAlign w:val="bottom"/>
          </w:tcPr>
          <w:p w14:paraId="5CD8EC7D" w14:textId="77777777" w:rsidR="00BA49F5" w:rsidRDefault="00BA49F5">
            <w:pPr>
              <w:rPr>
                <w:rFonts w:ascii="宋体"/>
              </w:rPr>
            </w:pPr>
          </w:p>
        </w:tc>
        <w:tc>
          <w:tcPr>
            <w:tcW w:w="27" w:type="pct"/>
            <w:shd w:val="clear" w:color="auto" w:fill="auto"/>
            <w:vAlign w:val="bottom"/>
          </w:tcPr>
          <w:p w14:paraId="5CD8EC7E" w14:textId="77777777" w:rsidR="00BA49F5" w:rsidRDefault="00BA49F5">
            <w:pPr>
              <w:rPr>
                <w:rFonts w:ascii="宋体"/>
              </w:rPr>
            </w:pPr>
          </w:p>
        </w:tc>
        <w:tc>
          <w:tcPr>
            <w:tcW w:w="5" w:type="pct"/>
            <w:shd w:val="clear" w:color="auto" w:fill="auto"/>
            <w:vAlign w:val="bottom"/>
          </w:tcPr>
          <w:p w14:paraId="5CD8EC7F" w14:textId="77777777" w:rsidR="00BA49F5" w:rsidRDefault="00BA49F5">
            <w:pPr>
              <w:rPr>
                <w:rFonts w:ascii="宋体"/>
              </w:rPr>
            </w:pPr>
          </w:p>
        </w:tc>
        <w:tc>
          <w:tcPr>
            <w:tcW w:w="50" w:type="pct"/>
            <w:shd w:val="clear" w:color="auto" w:fill="auto"/>
            <w:vAlign w:val="bottom"/>
          </w:tcPr>
          <w:p w14:paraId="5CD8EC80" w14:textId="77777777" w:rsidR="00BA49F5" w:rsidRDefault="00BA49F5">
            <w:pPr>
              <w:rPr>
                <w:rFonts w:ascii="宋体"/>
              </w:rPr>
            </w:pPr>
          </w:p>
        </w:tc>
        <w:tc>
          <w:tcPr>
            <w:tcW w:w="518" w:type="pct"/>
            <w:shd w:val="clear" w:color="auto" w:fill="auto"/>
            <w:vAlign w:val="bottom"/>
          </w:tcPr>
          <w:p w14:paraId="5CD8EC81" w14:textId="77777777" w:rsidR="00BA49F5" w:rsidRDefault="00BA49F5">
            <w:pPr>
              <w:rPr>
                <w:rFonts w:ascii="宋体"/>
              </w:rPr>
            </w:pPr>
          </w:p>
        </w:tc>
        <w:tc>
          <w:tcPr>
            <w:tcW w:w="5" w:type="pct"/>
            <w:shd w:val="clear" w:color="auto" w:fill="auto"/>
            <w:vAlign w:val="bottom"/>
          </w:tcPr>
          <w:p w14:paraId="5CD8EC82" w14:textId="77777777" w:rsidR="00BA49F5" w:rsidRDefault="00BA49F5">
            <w:pPr>
              <w:rPr>
                <w:rFonts w:ascii="宋体"/>
              </w:rPr>
            </w:pPr>
          </w:p>
        </w:tc>
      </w:tr>
      <w:tr w:rsidR="00BA49F5" w14:paraId="5CD8EC8A" w14:textId="77777777">
        <w:trPr>
          <w:jc w:val="center"/>
        </w:trPr>
        <w:tc>
          <w:tcPr>
            <w:tcW w:w="0" w:type="auto"/>
            <w:gridSpan w:val="3"/>
            <w:shd w:val="clear" w:color="auto" w:fill="auto"/>
            <w:tcMar>
              <w:top w:w="0" w:type="dxa"/>
              <w:left w:w="20" w:type="dxa"/>
              <w:bottom w:w="0" w:type="dxa"/>
              <w:right w:w="20" w:type="dxa"/>
            </w:tcMar>
            <w:vAlign w:val="bottom"/>
          </w:tcPr>
          <w:p w14:paraId="5CD8EC84"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C85"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C8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8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8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89" w14:textId="77777777" w:rsidR="00BA49F5" w:rsidRDefault="00BA49F5">
            <w:pPr>
              <w:rPr>
                <w:rFonts w:ascii="宋体"/>
              </w:rPr>
            </w:pPr>
          </w:p>
        </w:tc>
      </w:tr>
      <w:tr w:rsidR="00BA49F5" w14:paraId="5CD8EC95" w14:textId="77777777">
        <w:trPr>
          <w:jc w:val="center"/>
        </w:trPr>
        <w:tc>
          <w:tcPr>
            <w:tcW w:w="0" w:type="auto"/>
            <w:gridSpan w:val="3"/>
            <w:shd w:val="clear" w:color="auto" w:fill="auto"/>
            <w:tcMar>
              <w:top w:w="0" w:type="dxa"/>
              <w:left w:w="20" w:type="dxa"/>
              <w:bottom w:w="0" w:type="dxa"/>
              <w:right w:w="20" w:type="dxa"/>
            </w:tcMar>
            <w:vAlign w:val="bottom"/>
          </w:tcPr>
          <w:p w14:paraId="5CD8EC8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8C"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8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8E"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8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C90"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C9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C92"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C9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C94"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CA0" w14:textId="77777777">
        <w:trPr>
          <w:trHeight w:val="60"/>
          <w:jc w:val="center"/>
        </w:trPr>
        <w:tc>
          <w:tcPr>
            <w:tcW w:w="0" w:type="auto"/>
            <w:gridSpan w:val="3"/>
            <w:shd w:val="clear" w:color="auto" w:fill="auto"/>
            <w:tcMar>
              <w:top w:w="0" w:type="dxa"/>
              <w:left w:w="20" w:type="dxa"/>
              <w:bottom w:w="0" w:type="dxa"/>
              <w:right w:w="20" w:type="dxa"/>
            </w:tcMar>
            <w:vAlign w:val="bottom"/>
          </w:tcPr>
          <w:p w14:paraId="5CD8EC9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9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98"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9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9A"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9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9C"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9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C9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C9F" w14:textId="77777777" w:rsidR="00BA49F5" w:rsidRDefault="00BA49F5">
            <w:pPr>
              <w:rPr>
                <w:rFonts w:ascii="宋体"/>
              </w:rPr>
            </w:pPr>
          </w:p>
        </w:tc>
      </w:tr>
      <w:tr w:rsidR="00BA49F5" w14:paraId="5CD8ECA3" w14:textId="77777777">
        <w:trPr>
          <w:jc w:val="center"/>
        </w:trPr>
        <w:tc>
          <w:tcPr>
            <w:tcW w:w="0" w:type="auto"/>
            <w:gridSpan w:val="3"/>
            <w:shd w:val="clear" w:color="auto" w:fill="auto"/>
            <w:tcMar>
              <w:top w:w="0" w:type="dxa"/>
              <w:left w:w="20" w:type="dxa"/>
              <w:bottom w:w="0" w:type="dxa"/>
              <w:right w:w="20" w:type="dxa"/>
            </w:tcMar>
            <w:vAlign w:val="bottom"/>
          </w:tcPr>
          <w:p w14:paraId="5CD8ECA1"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CA2"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CB6" w14:textId="77777777">
        <w:trPr>
          <w:jc w:val="center"/>
        </w:trPr>
        <w:tc>
          <w:tcPr>
            <w:tcW w:w="0" w:type="auto"/>
            <w:gridSpan w:val="3"/>
            <w:shd w:val="clear" w:color="auto" w:fill="CCEEFF"/>
            <w:tcMar>
              <w:top w:w="40" w:type="dxa"/>
              <w:left w:w="20" w:type="dxa"/>
              <w:bottom w:w="40" w:type="dxa"/>
              <w:right w:w="20" w:type="dxa"/>
            </w:tcMar>
            <w:vAlign w:val="bottom"/>
          </w:tcPr>
          <w:p w14:paraId="5CD8ECA4" w14:textId="77777777" w:rsidR="00BA49F5" w:rsidRDefault="007E5E49">
            <w:pPr>
              <w:textAlignment w:val="bottom"/>
            </w:pPr>
            <w:r>
              <w:rPr>
                <w:rFonts w:ascii="Times New Roman" w:eastAsia="宋体" w:hAnsi="Times New Roman"/>
                <w:color w:val="000000"/>
                <w:sz w:val="20"/>
                <w:szCs w:val="20"/>
              </w:rPr>
              <w:t xml:space="preserve">Interest </w:t>
            </w:r>
            <w:r>
              <w:rPr>
                <w:rFonts w:ascii="Times New Roman" w:eastAsia="宋体" w:hAnsi="Times New Roman"/>
                <w:color w:val="000000"/>
                <w:sz w:val="20"/>
                <w:szCs w:val="20"/>
              </w:rPr>
              <w:t>income, net</w:t>
            </w:r>
          </w:p>
        </w:tc>
        <w:tc>
          <w:tcPr>
            <w:tcW w:w="0" w:type="auto"/>
            <w:shd w:val="clear" w:color="auto" w:fill="CCEEFF"/>
            <w:tcMar>
              <w:top w:w="40" w:type="dxa"/>
              <w:left w:w="20" w:type="dxa"/>
              <w:bottom w:w="40" w:type="dxa"/>
              <w:right w:w="0" w:type="dxa"/>
            </w:tcMar>
            <w:vAlign w:val="bottom"/>
          </w:tcPr>
          <w:p w14:paraId="5CD8ECA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A6" w14:textId="77777777" w:rsidR="00BA49F5" w:rsidRDefault="007E5E49">
            <w:pPr>
              <w:jc w:val="right"/>
              <w:textAlignment w:val="bottom"/>
            </w:pPr>
            <w:r>
              <w:rPr>
                <w:rFonts w:ascii="Times New Roman" w:eastAsia="宋体" w:hAnsi="Times New Roman"/>
                <w:color w:val="000000"/>
                <w:sz w:val="20"/>
                <w:szCs w:val="20"/>
              </w:rPr>
              <w:t>276 </w:t>
            </w:r>
          </w:p>
        </w:tc>
        <w:tc>
          <w:tcPr>
            <w:tcW w:w="0" w:type="auto"/>
            <w:shd w:val="clear" w:color="auto" w:fill="CCEEFF"/>
            <w:tcMar>
              <w:top w:w="40" w:type="dxa"/>
              <w:left w:w="0" w:type="dxa"/>
              <w:bottom w:w="40" w:type="dxa"/>
              <w:right w:w="20" w:type="dxa"/>
            </w:tcMar>
            <w:vAlign w:val="bottom"/>
          </w:tcPr>
          <w:p w14:paraId="5CD8ECA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A8"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CA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AA" w14:textId="77777777" w:rsidR="00BA49F5" w:rsidRDefault="007E5E49">
            <w:pPr>
              <w:jc w:val="right"/>
              <w:textAlignment w:val="bottom"/>
            </w:pPr>
            <w:r>
              <w:rPr>
                <w:rFonts w:ascii="Times New Roman" w:eastAsia="宋体" w:hAnsi="Times New Roman"/>
                <w:color w:val="000000"/>
                <w:sz w:val="20"/>
                <w:szCs w:val="20"/>
              </w:rPr>
              <w:t>461 </w:t>
            </w:r>
          </w:p>
        </w:tc>
        <w:tc>
          <w:tcPr>
            <w:tcW w:w="0" w:type="auto"/>
            <w:shd w:val="clear" w:color="auto" w:fill="CCEEFF"/>
            <w:tcMar>
              <w:top w:w="40" w:type="dxa"/>
              <w:left w:w="0" w:type="dxa"/>
              <w:bottom w:w="40" w:type="dxa"/>
              <w:right w:w="20" w:type="dxa"/>
            </w:tcMar>
            <w:vAlign w:val="bottom"/>
          </w:tcPr>
          <w:p w14:paraId="5CD8ECA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A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CA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CAE" w14:textId="77777777" w:rsidR="00BA49F5" w:rsidRDefault="007E5E49">
            <w:pPr>
              <w:jc w:val="right"/>
              <w:textAlignment w:val="bottom"/>
            </w:pPr>
            <w:r>
              <w:rPr>
                <w:rFonts w:ascii="Times New Roman" w:eastAsia="宋体" w:hAnsi="Times New Roman"/>
                <w:color w:val="000000"/>
                <w:sz w:val="20"/>
                <w:szCs w:val="20"/>
              </w:rPr>
              <w:t>672 </w:t>
            </w:r>
          </w:p>
        </w:tc>
        <w:tc>
          <w:tcPr>
            <w:tcW w:w="0" w:type="auto"/>
            <w:shd w:val="clear" w:color="auto" w:fill="CCEEFF"/>
            <w:tcMar>
              <w:top w:w="40" w:type="dxa"/>
              <w:left w:w="0" w:type="dxa"/>
              <w:bottom w:w="40" w:type="dxa"/>
              <w:right w:w="20" w:type="dxa"/>
            </w:tcMar>
            <w:vAlign w:val="bottom"/>
          </w:tcPr>
          <w:p w14:paraId="5CD8ECA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B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B1" w14:textId="77777777" w:rsidR="00BA49F5" w:rsidRDefault="007E5E49">
            <w:pPr>
              <w:jc w:val="right"/>
              <w:textAlignment w:val="bottom"/>
            </w:pPr>
            <w:r>
              <w:rPr>
                <w:rFonts w:ascii="Times New Roman" w:eastAsia="宋体" w:hAnsi="Times New Roman"/>
                <w:color w:val="000000"/>
                <w:sz w:val="20"/>
                <w:szCs w:val="20"/>
              </w:rPr>
              <w:t>(40)</w:t>
            </w:r>
          </w:p>
        </w:tc>
        <w:tc>
          <w:tcPr>
            <w:tcW w:w="0" w:type="auto"/>
            <w:shd w:val="clear" w:color="auto" w:fill="CCEEFF"/>
            <w:tcMar>
              <w:top w:w="40" w:type="dxa"/>
              <w:left w:w="0" w:type="dxa"/>
              <w:bottom w:w="40" w:type="dxa"/>
              <w:right w:w="20" w:type="dxa"/>
            </w:tcMar>
            <w:vAlign w:val="bottom"/>
          </w:tcPr>
          <w:p w14:paraId="5CD8ECB2"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CB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B4" w14:textId="77777777" w:rsidR="00BA49F5" w:rsidRDefault="007E5E49">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5CD8ECB5"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CC6" w14:textId="77777777">
        <w:trPr>
          <w:jc w:val="center"/>
        </w:trPr>
        <w:tc>
          <w:tcPr>
            <w:tcW w:w="0" w:type="auto"/>
            <w:gridSpan w:val="3"/>
            <w:shd w:val="clear" w:color="auto" w:fill="FFFFFF"/>
            <w:tcMar>
              <w:top w:w="40" w:type="dxa"/>
              <w:left w:w="20" w:type="dxa"/>
              <w:bottom w:w="40" w:type="dxa"/>
              <w:right w:w="20" w:type="dxa"/>
            </w:tcMar>
            <w:vAlign w:val="bottom"/>
          </w:tcPr>
          <w:p w14:paraId="5CD8ECB7" w14:textId="77777777" w:rsidR="00BA49F5" w:rsidRDefault="007E5E49">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5CD8ECB8" w14:textId="77777777" w:rsidR="00BA49F5" w:rsidRDefault="007E5E49">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5CD8ECB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B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BB" w14:textId="77777777" w:rsidR="00BA49F5" w:rsidRDefault="007E5E49">
            <w:pPr>
              <w:jc w:val="right"/>
              <w:textAlignment w:val="bottom"/>
            </w:pPr>
            <w:r>
              <w:rPr>
                <w:rFonts w:ascii="Times New Roman" w:eastAsia="宋体" w:hAnsi="Times New Roman"/>
                <w:color w:val="000000"/>
                <w:sz w:val="20"/>
                <w:szCs w:val="20"/>
              </w:rPr>
              <w:t>(140)</w:t>
            </w:r>
          </w:p>
        </w:tc>
        <w:tc>
          <w:tcPr>
            <w:tcW w:w="0" w:type="auto"/>
            <w:shd w:val="clear" w:color="auto" w:fill="FFFFFF"/>
            <w:tcMar>
              <w:top w:w="40" w:type="dxa"/>
              <w:left w:w="0" w:type="dxa"/>
              <w:bottom w:w="40" w:type="dxa"/>
              <w:right w:w="20" w:type="dxa"/>
            </w:tcMar>
            <w:vAlign w:val="bottom"/>
          </w:tcPr>
          <w:p w14:paraId="5CD8ECB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B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BE" w14:textId="77777777" w:rsidR="00BA49F5" w:rsidRDefault="007E5E49">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5CD8ECB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C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C1" w14:textId="77777777" w:rsidR="00BA49F5" w:rsidRDefault="007E5E49">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5CD8ECC2"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CC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C4" w14:textId="77777777" w:rsidR="00BA49F5" w:rsidRDefault="007E5E49">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5CD8ECC5"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CD5" w14:textId="77777777">
        <w:trPr>
          <w:jc w:val="center"/>
        </w:trPr>
        <w:tc>
          <w:tcPr>
            <w:tcW w:w="0" w:type="auto"/>
            <w:gridSpan w:val="3"/>
            <w:shd w:val="clear" w:color="auto" w:fill="CCEEFF"/>
            <w:tcMar>
              <w:top w:w="40" w:type="dxa"/>
              <w:left w:w="20" w:type="dxa"/>
              <w:bottom w:w="40" w:type="dxa"/>
              <w:right w:w="20" w:type="dxa"/>
            </w:tcMar>
            <w:vAlign w:val="bottom"/>
          </w:tcPr>
          <w:p w14:paraId="5CD8ECC7" w14:textId="77777777" w:rsidR="00BA49F5" w:rsidRDefault="007E5E49">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5CD8ECC8" w14:textId="77777777" w:rsidR="00BA49F5" w:rsidRDefault="007E5E49">
            <w:pPr>
              <w:jc w:val="right"/>
              <w:textAlignment w:val="bottom"/>
            </w:pPr>
            <w:r>
              <w:rPr>
                <w:rFonts w:ascii="Times New Roman" w:eastAsia="宋体" w:hAnsi="Times New Roman"/>
                <w:color w:val="000000"/>
                <w:sz w:val="20"/>
                <w:szCs w:val="20"/>
              </w:rPr>
              <w:t>(320)</w:t>
            </w:r>
          </w:p>
        </w:tc>
        <w:tc>
          <w:tcPr>
            <w:tcW w:w="0" w:type="auto"/>
            <w:shd w:val="clear" w:color="auto" w:fill="CCEEFF"/>
            <w:tcMar>
              <w:top w:w="40" w:type="dxa"/>
              <w:left w:w="0" w:type="dxa"/>
              <w:bottom w:w="40" w:type="dxa"/>
              <w:right w:w="20" w:type="dxa"/>
            </w:tcMar>
            <w:vAlign w:val="bottom"/>
          </w:tcPr>
          <w:p w14:paraId="5CD8ECC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C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CB" w14:textId="77777777" w:rsidR="00BA49F5" w:rsidRDefault="007E5E49">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5CD8ECC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C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CE" w14:textId="77777777" w:rsidR="00BA49F5" w:rsidRDefault="007E5E49">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5CD8ECC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CD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CD1" w14:textId="77777777" w:rsidR="00BA49F5" w:rsidRDefault="007E5E49">
            <w:pPr>
              <w:jc w:val="right"/>
              <w:textAlignment w:val="bottom"/>
            </w:pPr>
            <w:r>
              <w:rPr>
                <w:rFonts w:ascii="Times New Roman" w:eastAsia="宋体" w:hAnsi="Times New Roman"/>
                <w:color w:val="000000"/>
                <w:sz w:val="20"/>
                <w:szCs w:val="20"/>
              </w:rPr>
              <w:t>(252)</w:t>
            </w:r>
          </w:p>
        </w:tc>
        <w:tc>
          <w:tcPr>
            <w:tcW w:w="0" w:type="auto"/>
            <w:shd w:val="clear" w:color="auto" w:fill="CCEEFF"/>
            <w:tcMar>
              <w:top w:w="40" w:type="dxa"/>
              <w:left w:w="0" w:type="dxa"/>
              <w:bottom w:w="40" w:type="dxa"/>
              <w:right w:w="20" w:type="dxa"/>
            </w:tcMar>
            <w:vAlign w:val="bottom"/>
          </w:tcPr>
          <w:p w14:paraId="5CD8ECD2"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CD3"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CD4" w14:textId="77777777" w:rsidR="00BA49F5" w:rsidRDefault="007E5E49">
            <w:pPr>
              <w:jc w:val="right"/>
              <w:textAlignment w:val="bottom"/>
            </w:pPr>
            <w:r>
              <w:rPr>
                <w:rFonts w:ascii="Times New Roman" w:eastAsia="宋体" w:hAnsi="Times New Roman"/>
                <w:color w:val="000000"/>
                <w:sz w:val="20"/>
                <w:szCs w:val="20"/>
              </w:rPr>
              <w:t>NM</w:t>
            </w:r>
          </w:p>
        </w:tc>
      </w:tr>
      <w:tr w:rsidR="00BA49F5" w14:paraId="5CD8ECE8" w14:textId="77777777">
        <w:trPr>
          <w:jc w:val="center"/>
        </w:trPr>
        <w:tc>
          <w:tcPr>
            <w:tcW w:w="0" w:type="auto"/>
            <w:gridSpan w:val="3"/>
            <w:shd w:val="clear" w:color="auto" w:fill="FFFFFF"/>
            <w:tcMar>
              <w:top w:w="40" w:type="dxa"/>
              <w:left w:w="380" w:type="dxa"/>
              <w:bottom w:w="40" w:type="dxa"/>
              <w:right w:w="20" w:type="dxa"/>
            </w:tcMar>
            <w:vAlign w:val="bottom"/>
          </w:tcPr>
          <w:p w14:paraId="5CD8ECD6" w14:textId="77777777" w:rsidR="00BA49F5" w:rsidRDefault="007E5E49">
            <w:pPr>
              <w:textAlignment w:val="bottom"/>
            </w:pPr>
            <w:r>
              <w:rPr>
                <w:rFonts w:ascii="Times New Roman" w:eastAsia="宋体" w:hAnsi="Times New Roman"/>
                <w:color w:val="000000"/>
                <w:sz w:val="20"/>
                <w:szCs w:val="20"/>
              </w:rPr>
              <w:t>Interest and other income (expense),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CD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CD8" w14:textId="77777777" w:rsidR="00BA49F5" w:rsidRDefault="007E5E49">
            <w:pPr>
              <w:jc w:val="right"/>
              <w:textAlignment w:val="bottom"/>
            </w:pPr>
            <w:r>
              <w:rPr>
                <w:rFonts w:ascii="Times New Roman" w:eastAsia="宋体" w:hAnsi="Times New Roman"/>
                <w:color w:val="000000"/>
                <w:sz w:val="20"/>
                <w:szCs w:val="20"/>
              </w:rPr>
              <w:t>(125)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CD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DA"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CD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CDC" w14:textId="77777777" w:rsidR="00BA49F5" w:rsidRDefault="007E5E49">
            <w:pPr>
              <w:jc w:val="right"/>
              <w:textAlignment w:val="bottom"/>
            </w:pPr>
            <w:r>
              <w:rPr>
                <w:rFonts w:ascii="Times New Roman" w:eastAsia="宋体" w:hAnsi="Times New Roman"/>
                <w:color w:val="000000"/>
                <w:sz w:val="20"/>
                <w:szCs w:val="20"/>
              </w:rPr>
              <w:t>531 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CD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DE"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CD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CE0" w14:textId="77777777" w:rsidR="00BA49F5" w:rsidRDefault="007E5E49">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CE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CE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E3" w14:textId="77777777" w:rsidR="00BA49F5" w:rsidRDefault="007E5E49">
            <w:pPr>
              <w:jc w:val="right"/>
              <w:textAlignment w:val="bottom"/>
            </w:pPr>
            <w:r>
              <w:rPr>
                <w:rFonts w:ascii="Times New Roman" w:eastAsia="宋体" w:hAnsi="Times New Roman"/>
                <w:color w:val="000000"/>
                <w:sz w:val="20"/>
                <w:szCs w:val="20"/>
              </w:rPr>
              <w:t>(124)</w:t>
            </w:r>
          </w:p>
        </w:tc>
        <w:tc>
          <w:tcPr>
            <w:tcW w:w="0" w:type="auto"/>
            <w:shd w:val="clear" w:color="auto" w:fill="FFFFFF"/>
            <w:tcMar>
              <w:top w:w="40" w:type="dxa"/>
              <w:left w:w="0" w:type="dxa"/>
              <w:bottom w:w="40" w:type="dxa"/>
              <w:right w:w="20" w:type="dxa"/>
            </w:tcMar>
            <w:vAlign w:val="bottom"/>
          </w:tcPr>
          <w:p w14:paraId="5CD8ECE4"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CE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CE6" w14:textId="77777777" w:rsidR="00BA49F5" w:rsidRDefault="007E5E49">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5CD8ECE7" w14:textId="77777777" w:rsidR="00BA49F5" w:rsidRDefault="007E5E49">
            <w:pPr>
              <w:jc w:val="right"/>
              <w:textAlignment w:val="bottom"/>
            </w:pPr>
            <w:r>
              <w:rPr>
                <w:rFonts w:ascii="Times New Roman" w:eastAsia="宋体" w:hAnsi="Times New Roman"/>
                <w:color w:val="000000"/>
                <w:sz w:val="20"/>
                <w:szCs w:val="20"/>
              </w:rPr>
              <w:t>%</w:t>
            </w:r>
          </w:p>
        </w:tc>
      </w:tr>
    </w:tbl>
    <w:p w14:paraId="5CD8ECE9" w14:textId="77777777" w:rsidR="00BA49F5" w:rsidRDefault="007E5E49">
      <w:pPr>
        <w:jc w:val="center"/>
      </w:pPr>
      <w:r>
        <w:rPr>
          <w:rFonts w:ascii="Times New Roman" w:eastAsia="宋体" w:hAnsi="Times New Roman"/>
          <w:color w:val="000000"/>
          <w:sz w:val="16"/>
          <w:szCs w:val="16"/>
        </w:rPr>
        <w:t> </w:t>
      </w:r>
    </w:p>
    <w:p w14:paraId="5CD8ECEA" w14:textId="77777777" w:rsidR="00BA49F5" w:rsidRDefault="007E5E49">
      <w:pPr>
        <w:ind w:firstLine="540"/>
        <w:jc w:val="both"/>
      </w:pPr>
      <w:r>
        <w:rPr>
          <w:rFonts w:ascii="Times New Roman" w:eastAsia="宋体" w:hAnsi="Times New Roman"/>
          <w:color w:val="000000"/>
          <w:sz w:val="20"/>
          <w:szCs w:val="20"/>
        </w:rPr>
        <w:t>Interest and other income (expense), net in 2022 decreased $656 million, or 124%, compared to 2021. The decrease was mostly due to a decrease in other income (expense), net related to higher unrealized losses recognized for our equity investments and an in</w:t>
      </w:r>
      <w:r>
        <w:rPr>
          <w:rFonts w:ascii="Times New Roman" w:eastAsia="宋体" w:hAnsi="Times New Roman"/>
          <w:color w:val="000000"/>
          <w:sz w:val="20"/>
          <w:szCs w:val="20"/>
        </w:rPr>
        <w:t xml:space="preserve">crease in interest expense recognized on long-term debt. </w:t>
      </w:r>
    </w:p>
    <w:p w14:paraId="5CD8ECEB" w14:textId="77777777" w:rsidR="00BA49F5" w:rsidRDefault="00BA49F5">
      <w:pPr>
        <w:ind w:firstLine="495"/>
      </w:pPr>
    </w:p>
    <w:p w14:paraId="5CD8ECEC" w14:textId="77777777" w:rsidR="00BA49F5" w:rsidRDefault="007E5E49">
      <w:pPr>
        <w:jc w:val="both"/>
      </w:pPr>
      <w:r>
        <w:rPr>
          <w:rFonts w:ascii="Times New Roman" w:eastAsia="宋体" w:hAnsi="Times New Roman"/>
          <w:b/>
          <w:bCs/>
          <w:i/>
          <w:iCs/>
          <w:color w:val="000000"/>
          <w:sz w:val="20"/>
          <w:szCs w:val="20"/>
        </w:rPr>
        <w:t>Provision for income taxes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2691"/>
        <w:gridCol w:w="36"/>
        <w:gridCol w:w="120"/>
        <w:gridCol w:w="878"/>
        <w:gridCol w:w="187"/>
        <w:gridCol w:w="36"/>
        <w:gridCol w:w="36"/>
        <w:gridCol w:w="36"/>
        <w:gridCol w:w="120"/>
        <w:gridCol w:w="804"/>
        <w:gridCol w:w="187"/>
        <w:gridCol w:w="36"/>
        <w:gridCol w:w="36"/>
        <w:gridCol w:w="36"/>
        <w:gridCol w:w="120"/>
        <w:gridCol w:w="804"/>
        <w:gridCol w:w="187"/>
        <w:gridCol w:w="36"/>
        <w:gridCol w:w="36"/>
        <w:gridCol w:w="36"/>
        <w:gridCol w:w="49"/>
        <w:gridCol w:w="618"/>
        <w:gridCol w:w="187"/>
        <w:gridCol w:w="36"/>
        <w:gridCol w:w="36"/>
        <w:gridCol w:w="36"/>
        <w:gridCol w:w="49"/>
        <w:gridCol w:w="618"/>
        <w:gridCol w:w="187"/>
      </w:tblGrid>
      <w:tr w:rsidR="00BA49F5" w14:paraId="5CD8ED0B" w14:textId="77777777">
        <w:trPr>
          <w:jc w:val="center"/>
        </w:trPr>
        <w:tc>
          <w:tcPr>
            <w:tcW w:w="50" w:type="pct"/>
            <w:shd w:val="clear" w:color="auto" w:fill="auto"/>
            <w:vAlign w:val="bottom"/>
          </w:tcPr>
          <w:p w14:paraId="5CD8ECED" w14:textId="77777777" w:rsidR="00BA49F5" w:rsidRDefault="00BA49F5">
            <w:pPr>
              <w:rPr>
                <w:rFonts w:ascii="宋体"/>
              </w:rPr>
            </w:pPr>
          </w:p>
        </w:tc>
        <w:tc>
          <w:tcPr>
            <w:tcW w:w="1706" w:type="pct"/>
            <w:shd w:val="clear" w:color="auto" w:fill="auto"/>
            <w:vAlign w:val="bottom"/>
          </w:tcPr>
          <w:p w14:paraId="5CD8ECEE" w14:textId="77777777" w:rsidR="00BA49F5" w:rsidRDefault="00BA49F5">
            <w:pPr>
              <w:rPr>
                <w:rFonts w:ascii="宋体"/>
              </w:rPr>
            </w:pPr>
          </w:p>
        </w:tc>
        <w:tc>
          <w:tcPr>
            <w:tcW w:w="5" w:type="pct"/>
            <w:shd w:val="clear" w:color="auto" w:fill="auto"/>
            <w:vAlign w:val="bottom"/>
          </w:tcPr>
          <w:p w14:paraId="5CD8ECEF" w14:textId="77777777" w:rsidR="00BA49F5" w:rsidRDefault="00BA49F5">
            <w:pPr>
              <w:rPr>
                <w:rFonts w:ascii="宋体"/>
              </w:rPr>
            </w:pPr>
          </w:p>
        </w:tc>
        <w:tc>
          <w:tcPr>
            <w:tcW w:w="50" w:type="pct"/>
            <w:shd w:val="clear" w:color="auto" w:fill="auto"/>
            <w:vAlign w:val="bottom"/>
          </w:tcPr>
          <w:p w14:paraId="5CD8ECF0" w14:textId="77777777" w:rsidR="00BA49F5" w:rsidRDefault="00BA49F5">
            <w:pPr>
              <w:rPr>
                <w:rFonts w:ascii="宋体"/>
              </w:rPr>
            </w:pPr>
          </w:p>
        </w:tc>
        <w:tc>
          <w:tcPr>
            <w:tcW w:w="586" w:type="pct"/>
            <w:shd w:val="clear" w:color="auto" w:fill="auto"/>
            <w:vAlign w:val="bottom"/>
          </w:tcPr>
          <w:p w14:paraId="5CD8ECF1" w14:textId="77777777" w:rsidR="00BA49F5" w:rsidRDefault="00BA49F5">
            <w:pPr>
              <w:rPr>
                <w:rFonts w:ascii="宋体"/>
              </w:rPr>
            </w:pPr>
          </w:p>
        </w:tc>
        <w:tc>
          <w:tcPr>
            <w:tcW w:w="5" w:type="pct"/>
            <w:shd w:val="clear" w:color="auto" w:fill="auto"/>
            <w:vAlign w:val="bottom"/>
          </w:tcPr>
          <w:p w14:paraId="5CD8ECF2" w14:textId="77777777" w:rsidR="00BA49F5" w:rsidRDefault="00BA49F5">
            <w:pPr>
              <w:rPr>
                <w:rFonts w:ascii="宋体"/>
              </w:rPr>
            </w:pPr>
          </w:p>
        </w:tc>
        <w:tc>
          <w:tcPr>
            <w:tcW w:w="5" w:type="pct"/>
            <w:shd w:val="clear" w:color="auto" w:fill="auto"/>
            <w:vAlign w:val="bottom"/>
          </w:tcPr>
          <w:p w14:paraId="5CD8ECF3" w14:textId="77777777" w:rsidR="00BA49F5" w:rsidRDefault="00BA49F5">
            <w:pPr>
              <w:rPr>
                <w:rFonts w:ascii="宋体"/>
              </w:rPr>
            </w:pPr>
          </w:p>
        </w:tc>
        <w:tc>
          <w:tcPr>
            <w:tcW w:w="27" w:type="pct"/>
            <w:shd w:val="clear" w:color="auto" w:fill="auto"/>
            <w:vAlign w:val="bottom"/>
          </w:tcPr>
          <w:p w14:paraId="5CD8ECF4" w14:textId="77777777" w:rsidR="00BA49F5" w:rsidRDefault="00BA49F5">
            <w:pPr>
              <w:rPr>
                <w:rFonts w:ascii="宋体"/>
              </w:rPr>
            </w:pPr>
          </w:p>
        </w:tc>
        <w:tc>
          <w:tcPr>
            <w:tcW w:w="5" w:type="pct"/>
            <w:shd w:val="clear" w:color="auto" w:fill="auto"/>
            <w:vAlign w:val="bottom"/>
          </w:tcPr>
          <w:p w14:paraId="5CD8ECF5" w14:textId="77777777" w:rsidR="00BA49F5" w:rsidRDefault="00BA49F5">
            <w:pPr>
              <w:rPr>
                <w:rFonts w:ascii="宋体"/>
              </w:rPr>
            </w:pPr>
          </w:p>
        </w:tc>
        <w:tc>
          <w:tcPr>
            <w:tcW w:w="50" w:type="pct"/>
            <w:shd w:val="clear" w:color="auto" w:fill="auto"/>
            <w:vAlign w:val="bottom"/>
          </w:tcPr>
          <w:p w14:paraId="5CD8ECF6" w14:textId="77777777" w:rsidR="00BA49F5" w:rsidRDefault="00BA49F5">
            <w:pPr>
              <w:rPr>
                <w:rFonts w:ascii="宋体"/>
              </w:rPr>
            </w:pPr>
          </w:p>
        </w:tc>
        <w:tc>
          <w:tcPr>
            <w:tcW w:w="594" w:type="pct"/>
            <w:shd w:val="clear" w:color="auto" w:fill="auto"/>
            <w:vAlign w:val="bottom"/>
          </w:tcPr>
          <w:p w14:paraId="5CD8ECF7" w14:textId="77777777" w:rsidR="00BA49F5" w:rsidRDefault="00BA49F5">
            <w:pPr>
              <w:rPr>
                <w:rFonts w:ascii="宋体"/>
              </w:rPr>
            </w:pPr>
          </w:p>
        </w:tc>
        <w:tc>
          <w:tcPr>
            <w:tcW w:w="5" w:type="pct"/>
            <w:shd w:val="clear" w:color="auto" w:fill="auto"/>
            <w:vAlign w:val="bottom"/>
          </w:tcPr>
          <w:p w14:paraId="5CD8ECF8" w14:textId="77777777" w:rsidR="00BA49F5" w:rsidRDefault="00BA49F5">
            <w:pPr>
              <w:rPr>
                <w:rFonts w:ascii="宋体"/>
              </w:rPr>
            </w:pPr>
          </w:p>
        </w:tc>
        <w:tc>
          <w:tcPr>
            <w:tcW w:w="5" w:type="pct"/>
            <w:shd w:val="clear" w:color="auto" w:fill="auto"/>
            <w:vAlign w:val="bottom"/>
          </w:tcPr>
          <w:p w14:paraId="5CD8ECF9" w14:textId="77777777" w:rsidR="00BA49F5" w:rsidRDefault="00BA49F5">
            <w:pPr>
              <w:rPr>
                <w:rFonts w:ascii="宋体"/>
              </w:rPr>
            </w:pPr>
          </w:p>
        </w:tc>
        <w:tc>
          <w:tcPr>
            <w:tcW w:w="27" w:type="pct"/>
            <w:shd w:val="clear" w:color="auto" w:fill="auto"/>
            <w:vAlign w:val="bottom"/>
          </w:tcPr>
          <w:p w14:paraId="5CD8ECFA" w14:textId="77777777" w:rsidR="00BA49F5" w:rsidRDefault="00BA49F5">
            <w:pPr>
              <w:rPr>
                <w:rFonts w:ascii="宋体"/>
              </w:rPr>
            </w:pPr>
          </w:p>
        </w:tc>
        <w:tc>
          <w:tcPr>
            <w:tcW w:w="5" w:type="pct"/>
            <w:shd w:val="clear" w:color="auto" w:fill="auto"/>
            <w:vAlign w:val="bottom"/>
          </w:tcPr>
          <w:p w14:paraId="5CD8ECFB" w14:textId="77777777" w:rsidR="00BA49F5" w:rsidRDefault="00BA49F5">
            <w:pPr>
              <w:rPr>
                <w:rFonts w:ascii="宋体"/>
              </w:rPr>
            </w:pPr>
          </w:p>
        </w:tc>
        <w:tc>
          <w:tcPr>
            <w:tcW w:w="50" w:type="pct"/>
            <w:shd w:val="clear" w:color="auto" w:fill="auto"/>
            <w:vAlign w:val="bottom"/>
          </w:tcPr>
          <w:p w14:paraId="5CD8ECFC" w14:textId="77777777" w:rsidR="00BA49F5" w:rsidRDefault="00BA49F5">
            <w:pPr>
              <w:rPr>
                <w:rFonts w:ascii="宋体"/>
              </w:rPr>
            </w:pPr>
          </w:p>
        </w:tc>
        <w:tc>
          <w:tcPr>
            <w:tcW w:w="594" w:type="pct"/>
            <w:shd w:val="clear" w:color="auto" w:fill="auto"/>
            <w:vAlign w:val="bottom"/>
          </w:tcPr>
          <w:p w14:paraId="5CD8ECFD" w14:textId="77777777" w:rsidR="00BA49F5" w:rsidRDefault="00BA49F5">
            <w:pPr>
              <w:rPr>
                <w:rFonts w:ascii="宋体"/>
              </w:rPr>
            </w:pPr>
          </w:p>
        </w:tc>
        <w:tc>
          <w:tcPr>
            <w:tcW w:w="5" w:type="pct"/>
            <w:shd w:val="clear" w:color="auto" w:fill="auto"/>
            <w:vAlign w:val="bottom"/>
          </w:tcPr>
          <w:p w14:paraId="5CD8ECFE" w14:textId="77777777" w:rsidR="00BA49F5" w:rsidRDefault="00BA49F5">
            <w:pPr>
              <w:rPr>
                <w:rFonts w:ascii="宋体"/>
              </w:rPr>
            </w:pPr>
          </w:p>
        </w:tc>
        <w:tc>
          <w:tcPr>
            <w:tcW w:w="5" w:type="pct"/>
            <w:shd w:val="clear" w:color="auto" w:fill="auto"/>
            <w:vAlign w:val="bottom"/>
          </w:tcPr>
          <w:p w14:paraId="5CD8ECFF" w14:textId="77777777" w:rsidR="00BA49F5" w:rsidRDefault="00BA49F5">
            <w:pPr>
              <w:rPr>
                <w:rFonts w:ascii="宋体"/>
              </w:rPr>
            </w:pPr>
          </w:p>
        </w:tc>
        <w:tc>
          <w:tcPr>
            <w:tcW w:w="27" w:type="pct"/>
            <w:shd w:val="clear" w:color="auto" w:fill="auto"/>
            <w:vAlign w:val="bottom"/>
          </w:tcPr>
          <w:p w14:paraId="5CD8ED00" w14:textId="77777777" w:rsidR="00BA49F5" w:rsidRDefault="00BA49F5">
            <w:pPr>
              <w:rPr>
                <w:rFonts w:ascii="宋体"/>
              </w:rPr>
            </w:pPr>
          </w:p>
        </w:tc>
        <w:tc>
          <w:tcPr>
            <w:tcW w:w="5" w:type="pct"/>
            <w:shd w:val="clear" w:color="auto" w:fill="auto"/>
            <w:vAlign w:val="bottom"/>
          </w:tcPr>
          <w:p w14:paraId="5CD8ED01" w14:textId="77777777" w:rsidR="00BA49F5" w:rsidRDefault="00BA49F5">
            <w:pPr>
              <w:rPr>
                <w:rFonts w:ascii="宋体"/>
              </w:rPr>
            </w:pPr>
          </w:p>
        </w:tc>
        <w:tc>
          <w:tcPr>
            <w:tcW w:w="50" w:type="pct"/>
            <w:shd w:val="clear" w:color="auto" w:fill="auto"/>
            <w:vAlign w:val="bottom"/>
          </w:tcPr>
          <w:p w14:paraId="5CD8ED02" w14:textId="77777777" w:rsidR="00BA49F5" w:rsidRDefault="00BA49F5">
            <w:pPr>
              <w:rPr>
                <w:rFonts w:ascii="宋体"/>
              </w:rPr>
            </w:pPr>
          </w:p>
        </w:tc>
        <w:tc>
          <w:tcPr>
            <w:tcW w:w="519" w:type="pct"/>
            <w:shd w:val="clear" w:color="auto" w:fill="auto"/>
            <w:vAlign w:val="bottom"/>
          </w:tcPr>
          <w:p w14:paraId="5CD8ED03" w14:textId="77777777" w:rsidR="00BA49F5" w:rsidRDefault="00BA49F5">
            <w:pPr>
              <w:rPr>
                <w:rFonts w:ascii="宋体"/>
              </w:rPr>
            </w:pPr>
          </w:p>
        </w:tc>
        <w:tc>
          <w:tcPr>
            <w:tcW w:w="5" w:type="pct"/>
            <w:shd w:val="clear" w:color="auto" w:fill="auto"/>
            <w:vAlign w:val="bottom"/>
          </w:tcPr>
          <w:p w14:paraId="5CD8ED04" w14:textId="77777777" w:rsidR="00BA49F5" w:rsidRDefault="00BA49F5">
            <w:pPr>
              <w:rPr>
                <w:rFonts w:ascii="宋体"/>
              </w:rPr>
            </w:pPr>
          </w:p>
        </w:tc>
        <w:tc>
          <w:tcPr>
            <w:tcW w:w="5" w:type="pct"/>
            <w:shd w:val="clear" w:color="auto" w:fill="auto"/>
            <w:vAlign w:val="bottom"/>
          </w:tcPr>
          <w:p w14:paraId="5CD8ED05" w14:textId="77777777" w:rsidR="00BA49F5" w:rsidRDefault="00BA49F5">
            <w:pPr>
              <w:rPr>
                <w:rFonts w:ascii="宋体"/>
              </w:rPr>
            </w:pPr>
          </w:p>
        </w:tc>
        <w:tc>
          <w:tcPr>
            <w:tcW w:w="27" w:type="pct"/>
            <w:shd w:val="clear" w:color="auto" w:fill="auto"/>
            <w:vAlign w:val="bottom"/>
          </w:tcPr>
          <w:p w14:paraId="5CD8ED06" w14:textId="77777777" w:rsidR="00BA49F5" w:rsidRDefault="00BA49F5">
            <w:pPr>
              <w:rPr>
                <w:rFonts w:ascii="宋体"/>
              </w:rPr>
            </w:pPr>
          </w:p>
        </w:tc>
        <w:tc>
          <w:tcPr>
            <w:tcW w:w="5" w:type="pct"/>
            <w:shd w:val="clear" w:color="auto" w:fill="auto"/>
            <w:vAlign w:val="bottom"/>
          </w:tcPr>
          <w:p w14:paraId="5CD8ED07" w14:textId="77777777" w:rsidR="00BA49F5" w:rsidRDefault="00BA49F5">
            <w:pPr>
              <w:rPr>
                <w:rFonts w:ascii="宋体"/>
              </w:rPr>
            </w:pPr>
          </w:p>
        </w:tc>
        <w:tc>
          <w:tcPr>
            <w:tcW w:w="50" w:type="pct"/>
            <w:shd w:val="clear" w:color="auto" w:fill="auto"/>
            <w:vAlign w:val="bottom"/>
          </w:tcPr>
          <w:p w14:paraId="5CD8ED08" w14:textId="77777777" w:rsidR="00BA49F5" w:rsidRDefault="00BA49F5">
            <w:pPr>
              <w:rPr>
                <w:rFonts w:ascii="宋体"/>
              </w:rPr>
            </w:pPr>
          </w:p>
        </w:tc>
        <w:tc>
          <w:tcPr>
            <w:tcW w:w="519" w:type="pct"/>
            <w:shd w:val="clear" w:color="auto" w:fill="auto"/>
            <w:vAlign w:val="bottom"/>
          </w:tcPr>
          <w:p w14:paraId="5CD8ED09" w14:textId="77777777" w:rsidR="00BA49F5" w:rsidRDefault="00BA49F5">
            <w:pPr>
              <w:rPr>
                <w:rFonts w:ascii="宋体"/>
              </w:rPr>
            </w:pPr>
          </w:p>
        </w:tc>
        <w:tc>
          <w:tcPr>
            <w:tcW w:w="5" w:type="pct"/>
            <w:shd w:val="clear" w:color="auto" w:fill="auto"/>
            <w:vAlign w:val="bottom"/>
          </w:tcPr>
          <w:p w14:paraId="5CD8ED0A" w14:textId="77777777" w:rsidR="00BA49F5" w:rsidRDefault="00BA49F5">
            <w:pPr>
              <w:rPr>
                <w:rFonts w:ascii="宋体"/>
              </w:rPr>
            </w:pPr>
          </w:p>
        </w:tc>
      </w:tr>
      <w:tr w:rsidR="00BA49F5" w14:paraId="5CD8ED12" w14:textId="77777777">
        <w:trPr>
          <w:jc w:val="center"/>
        </w:trPr>
        <w:tc>
          <w:tcPr>
            <w:tcW w:w="0" w:type="auto"/>
            <w:gridSpan w:val="3"/>
            <w:shd w:val="clear" w:color="auto" w:fill="auto"/>
            <w:tcMar>
              <w:top w:w="0" w:type="dxa"/>
              <w:left w:w="20" w:type="dxa"/>
              <w:bottom w:w="0" w:type="dxa"/>
              <w:right w:w="20" w:type="dxa"/>
            </w:tcMar>
            <w:vAlign w:val="bottom"/>
          </w:tcPr>
          <w:p w14:paraId="5CD8ED0C"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D0D" w14:textId="77777777" w:rsidR="00BA49F5" w:rsidRDefault="007E5E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5CD8ED0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0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1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11" w14:textId="77777777" w:rsidR="00BA49F5" w:rsidRDefault="00BA49F5">
            <w:pPr>
              <w:rPr>
                <w:rFonts w:ascii="宋体"/>
              </w:rPr>
            </w:pPr>
          </w:p>
        </w:tc>
      </w:tr>
      <w:tr w:rsidR="00BA49F5" w14:paraId="5CD8ED1D" w14:textId="77777777">
        <w:trPr>
          <w:jc w:val="center"/>
        </w:trPr>
        <w:tc>
          <w:tcPr>
            <w:tcW w:w="0" w:type="auto"/>
            <w:gridSpan w:val="3"/>
            <w:shd w:val="clear" w:color="auto" w:fill="auto"/>
            <w:tcMar>
              <w:top w:w="0" w:type="dxa"/>
              <w:left w:w="20" w:type="dxa"/>
              <w:bottom w:w="0" w:type="dxa"/>
              <w:right w:w="20" w:type="dxa"/>
            </w:tcMar>
            <w:vAlign w:val="bottom"/>
          </w:tcPr>
          <w:p w14:paraId="5CD8ED1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14"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1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16"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1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18" w14:textId="77777777" w:rsidR="00BA49F5" w:rsidRDefault="007E5E4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CD8ED1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D1A" w14:textId="77777777" w:rsidR="00BA49F5" w:rsidRDefault="007E5E49">
            <w:pPr>
              <w:jc w:val="center"/>
              <w:textAlignment w:val="bottom"/>
            </w:pPr>
            <w:r>
              <w:rPr>
                <w:rFonts w:ascii="Times New Roman" w:eastAsia="宋体" w:hAnsi="Times New Roman"/>
                <w:b/>
                <w:bCs/>
                <w:color w:val="000000"/>
                <w:sz w:val="16"/>
                <w:szCs w:val="16"/>
              </w:rPr>
              <w:t>2022 vs 2021 % change</w:t>
            </w:r>
          </w:p>
        </w:tc>
        <w:tc>
          <w:tcPr>
            <w:tcW w:w="0" w:type="auto"/>
            <w:gridSpan w:val="3"/>
            <w:shd w:val="clear" w:color="auto" w:fill="auto"/>
            <w:tcMar>
              <w:top w:w="0" w:type="dxa"/>
              <w:left w:w="20" w:type="dxa"/>
              <w:bottom w:w="0" w:type="dxa"/>
              <w:right w:w="20" w:type="dxa"/>
            </w:tcMar>
            <w:vAlign w:val="bottom"/>
          </w:tcPr>
          <w:p w14:paraId="5CD8ED1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ED1C" w14:textId="77777777" w:rsidR="00BA49F5" w:rsidRDefault="007E5E49">
            <w:pPr>
              <w:jc w:val="center"/>
              <w:textAlignment w:val="bottom"/>
            </w:pPr>
            <w:r>
              <w:rPr>
                <w:rFonts w:ascii="Times New Roman" w:eastAsia="宋体" w:hAnsi="Times New Roman"/>
                <w:b/>
                <w:bCs/>
                <w:color w:val="000000"/>
                <w:sz w:val="16"/>
                <w:szCs w:val="16"/>
              </w:rPr>
              <w:t>2021 vs 2020 % change</w:t>
            </w:r>
          </w:p>
        </w:tc>
      </w:tr>
      <w:tr w:rsidR="00BA49F5" w14:paraId="5CD8ED28" w14:textId="77777777">
        <w:trPr>
          <w:trHeight w:val="60"/>
          <w:jc w:val="center"/>
        </w:trPr>
        <w:tc>
          <w:tcPr>
            <w:tcW w:w="0" w:type="auto"/>
            <w:gridSpan w:val="3"/>
            <w:shd w:val="clear" w:color="auto" w:fill="auto"/>
            <w:tcMar>
              <w:top w:w="0" w:type="dxa"/>
              <w:left w:w="20" w:type="dxa"/>
              <w:bottom w:w="0" w:type="dxa"/>
              <w:right w:w="20" w:type="dxa"/>
            </w:tcMar>
            <w:vAlign w:val="bottom"/>
          </w:tcPr>
          <w:p w14:paraId="5CD8ED1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1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2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2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22"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2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24"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2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D26"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27" w14:textId="77777777" w:rsidR="00BA49F5" w:rsidRDefault="00BA49F5">
            <w:pPr>
              <w:rPr>
                <w:rFonts w:ascii="宋体"/>
              </w:rPr>
            </w:pPr>
          </w:p>
        </w:tc>
      </w:tr>
      <w:tr w:rsidR="00BA49F5" w14:paraId="5CD8ED2B" w14:textId="77777777">
        <w:trPr>
          <w:jc w:val="center"/>
        </w:trPr>
        <w:tc>
          <w:tcPr>
            <w:tcW w:w="0" w:type="auto"/>
            <w:gridSpan w:val="3"/>
            <w:shd w:val="clear" w:color="auto" w:fill="auto"/>
            <w:tcMar>
              <w:top w:w="0" w:type="dxa"/>
              <w:left w:w="20" w:type="dxa"/>
              <w:bottom w:w="0" w:type="dxa"/>
              <w:right w:w="20" w:type="dxa"/>
            </w:tcMar>
            <w:vAlign w:val="bottom"/>
          </w:tcPr>
          <w:p w14:paraId="5CD8ED29" w14:textId="77777777" w:rsidR="00BA49F5" w:rsidRDefault="00BA49F5">
            <w:pPr>
              <w:rPr>
                <w:rFonts w:ascii="宋体"/>
              </w:rPr>
            </w:pPr>
          </w:p>
        </w:tc>
        <w:tc>
          <w:tcPr>
            <w:tcW w:w="0" w:type="auto"/>
            <w:gridSpan w:val="27"/>
            <w:shd w:val="clear" w:color="auto" w:fill="auto"/>
            <w:tcMar>
              <w:top w:w="40" w:type="dxa"/>
              <w:left w:w="20" w:type="dxa"/>
              <w:bottom w:w="40" w:type="dxa"/>
              <w:right w:w="20" w:type="dxa"/>
            </w:tcMar>
          </w:tcPr>
          <w:p w14:paraId="5CD8ED2A" w14:textId="77777777" w:rsidR="00BA49F5" w:rsidRDefault="007E5E49">
            <w:pPr>
              <w:jc w:val="center"/>
              <w:textAlignment w:val="top"/>
            </w:pPr>
            <w:r>
              <w:rPr>
                <w:rFonts w:ascii="Times New Roman" w:eastAsia="宋体" w:hAnsi="Times New Roman"/>
                <w:b/>
                <w:bCs/>
                <w:i/>
                <w:iCs/>
                <w:color w:val="000000"/>
                <w:sz w:val="16"/>
                <w:szCs w:val="16"/>
              </w:rPr>
              <w:t>(in millions, except percentages)</w:t>
            </w:r>
          </w:p>
        </w:tc>
      </w:tr>
      <w:tr w:rsidR="00BA49F5" w14:paraId="5CD8ED3E" w14:textId="77777777">
        <w:trPr>
          <w:jc w:val="center"/>
        </w:trPr>
        <w:tc>
          <w:tcPr>
            <w:tcW w:w="0" w:type="auto"/>
            <w:gridSpan w:val="3"/>
            <w:shd w:val="clear" w:color="auto" w:fill="CCEEFF"/>
            <w:tcMar>
              <w:top w:w="40" w:type="dxa"/>
              <w:left w:w="20" w:type="dxa"/>
              <w:bottom w:w="40" w:type="dxa"/>
              <w:right w:w="20" w:type="dxa"/>
            </w:tcMar>
            <w:vAlign w:val="bottom"/>
          </w:tcPr>
          <w:p w14:paraId="5CD8ED2C" w14:textId="77777777" w:rsidR="00BA49F5" w:rsidRDefault="007E5E49">
            <w:pPr>
              <w:textAlignment w:val="bottom"/>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5CD8ED2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2E" w14:textId="77777777" w:rsidR="00BA49F5" w:rsidRDefault="007E5E49">
            <w:pPr>
              <w:jc w:val="right"/>
              <w:textAlignment w:val="bottom"/>
            </w:pPr>
            <w:r>
              <w:rPr>
                <w:rFonts w:ascii="Times New Roman" w:eastAsia="宋体" w:hAnsi="Times New Roman"/>
                <w:color w:val="000000"/>
                <w:sz w:val="20"/>
                <w:szCs w:val="20"/>
              </w:rPr>
              <w:t>5,619 </w:t>
            </w:r>
          </w:p>
        </w:tc>
        <w:tc>
          <w:tcPr>
            <w:tcW w:w="0" w:type="auto"/>
            <w:shd w:val="clear" w:color="auto" w:fill="CCEEFF"/>
            <w:tcMar>
              <w:top w:w="40" w:type="dxa"/>
              <w:left w:w="0" w:type="dxa"/>
              <w:bottom w:w="40" w:type="dxa"/>
              <w:right w:w="20" w:type="dxa"/>
            </w:tcMar>
            <w:vAlign w:val="bottom"/>
          </w:tcPr>
          <w:p w14:paraId="5CD8ED2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30"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D3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32" w14:textId="77777777" w:rsidR="00BA49F5" w:rsidRDefault="007E5E49">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5CD8ED3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34"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D3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36" w14:textId="77777777" w:rsidR="00BA49F5" w:rsidRDefault="007E5E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5CD8ED3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3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D39" w14:textId="77777777" w:rsidR="00BA49F5" w:rsidRDefault="007E5E49">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5CD8ED3A"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ED3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D3C" w14:textId="77777777" w:rsidR="00BA49F5" w:rsidRDefault="007E5E49">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5CD8ED3D"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ED4C" w14:textId="77777777">
        <w:trPr>
          <w:jc w:val="center"/>
        </w:trPr>
        <w:tc>
          <w:tcPr>
            <w:tcW w:w="0" w:type="auto"/>
            <w:gridSpan w:val="3"/>
            <w:shd w:val="clear" w:color="auto" w:fill="FFFFFF"/>
            <w:tcMar>
              <w:top w:w="40" w:type="dxa"/>
              <w:left w:w="20" w:type="dxa"/>
              <w:bottom w:w="40" w:type="dxa"/>
              <w:right w:w="20" w:type="dxa"/>
            </w:tcMar>
            <w:vAlign w:val="bottom"/>
          </w:tcPr>
          <w:p w14:paraId="5CD8ED3F" w14:textId="77777777" w:rsidR="00BA49F5" w:rsidRDefault="007E5E49">
            <w:pPr>
              <w:textAlignment w:val="bottom"/>
            </w:pPr>
            <w:r>
              <w:rPr>
                <w:rFonts w:ascii="Times New Roman" w:eastAsia="宋体" w:hAnsi="Times New Roman"/>
                <w:color w:val="000000"/>
                <w:sz w:val="20"/>
                <w:szCs w:val="20"/>
              </w:rPr>
              <w:t>Effective tax rate</w:t>
            </w:r>
          </w:p>
        </w:tc>
        <w:tc>
          <w:tcPr>
            <w:tcW w:w="0" w:type="auto"/>
            <w:gridSpan w:val="2"/>
            <w:shd w:val="clear" w:color="auto" w:fill="FFFFFF"/>
            <w:tcMar>
              <w:top w:w="40" w:type="dxa"/>
              <w:left w:w="20" w:type="dxa"/>
              <w:bottom w:w="40" w:type="dxa"/>
              <w:right w:w="0" w:type="dxa"/>
            </w:tcMar>
            <w:vAlign w:val="bottom"/>
          </w:tcPr>
          <w:p w14:paraId="5CD8ED40" w14:textId="77777777" w:rsidR="00BA49F5" w:rsidRDefault="007E5E49">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5CD8ED41"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D4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D43" w14:textId="77777777" w:rsidR="00BA49F5" w:rsidRDefault="007E5E49">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5CD8ED44"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D4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D46" w14:textId="77777777" w:rsidR="00BA49F5" w:rsidRDefault="007E5E49">
            <w:pPr>
              <w:jc w:val="right"/>
              <w:textAlignment w:val="bottom"/>
            </w:pPr>
            <w:r>
              <w:rPr>
                <w:rFonts w:ascii="Times New Roman" w:eastAsia="宋体" w:hAnsi="Times New Roman"/>
                <w:color w:val="000000"/>
                <w:sz w:val="20"/>
                <w:szCs w:val="20"/>
              </w:rPr>
              <w:t>12.2 </w:t>
            </w:r>
          </w:p>
        </w:tc>
        <w:tc>
          <w:tcPr>
            <w:tcW w:w="0" w:type="auto"/>
            <w:shd w:val="clear" w:color="auto" w:fill="FFFFFF"/>
            <w:tcMar>
              <w:top w:w="40" w:type="dxa"/>
              <w:left w:w="0" w:type="dxa"/>
              <w:bottom w:w="40" w:type="dxa"/>
              <w:right w:w="20" w:type="dxa"/>
            </w:tcMar>
            <w:vAlign w:val="bottom"/>
          </w:tcPr>
          <w:p w14:paraId="5CD8ED47"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ED4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D4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D4A"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ED4B" w14:textId="77777777" w:rsidR="00BA49F5" w:rsidRDefault="00BA49F5">
            <w:pPr>
              <w:rPr>
                <w:rFonts w:ascii="宋体"/>
              </w:rPr>
            </w:pPr>
          </w:p>
        </w:tc>
      </w:tr>
    </w:tbl>
    <w:p w14:paraId="5CD8ED4D" w14:textId="77777777" w:rsidR="00BA49F5" w:rsidRDefault="00BA49F5">
      <w:pPr>
        <w:ind w:firstLine="540"/>
      </w:pPr>
    </w:p>
    <w:p w14:paraId="5CD8ED4E" w14:textId="77777777" w:rsidR="00BA49F5" w:rsidRDefault="007E5E49">
      <w:pPr>
        <w:ind w:firstLine="540"/>
        <w:jc w:val="both"/>
      </w:pPr>
      <w:r>
        <w:rPr>
          <w:rFonts w:ascii="Times New Roman" w:eastAsia="宋体" w:hAnsi="Times New Roman"/>
          <w:color w:val="000000"/>
          <w:sz w:val="20"/>
          <w:szCs w:val="20"/>
        </w:rPr>
        <w:t>Our provision for income taxes in 2022 decreased $2.29 billion, or 29%, compared to 2021, mostly due to a decrease in income from operations.</w:t>
      </w:r>
    </w:p>
    <w:p w14:paraId="5CD8ED4F" w14:textId="77777777" w:rsidR="00BA49F5" w:rsidRDefault="00BA49F5">
      <w:pPr>
        <w:ind w:firstLine="540"/>
      </w:pPr>
    </w:p>
    <w:p w14:paraId="5CD8ED50" w14:textId="77777777" w:rsidR="00BA49F5" w:rsidRDefault="007E5E49">
      <w:pPr>
        <w:ind w:firstLine="540"/>
        <w:jc w:val="both"/>
      </w:pPr>
      <w:r>
        <w:rPr>
          <w:rFonts w:ascii="Times New Roman" w:eastAsia="宋体" w:hAnsi="Times New Roman"/>
          <w:color w:val="000000"/>
          <w:sz w:val="20"/>
          <w:szCs w:val="20"/>
        </w:rPr>
        <w:t>Our effective tax rate in 2022 increased compared to 2021, mainly due to an increase in tax shortfalls recog</w:t>
      </w:r>
      <w:r>
        <w:rPr>
          <w:rFonts w:ascii="Times New Roman" w:eastAsia="宋体" w:hAnsi="Times New Roman"/>
          <w:color w:val="000000"/>
          <w:sz w:val="20"/>
          <w:szCs w:val="20"/>
        </w:rPr>
        <w:t>nized from share-based compensation and the effect of regulations issued by the U.S. Department of the Treasury in 2022 on foreign tax credits, partially offset by an increase in tax benefits from foreign-derived intangible income.</w:t>
      </w:r>
    </w:p>
    <w:p w14:paraId="5CD8ED51" w14:textId="77777777" w:rsidR="00BA49F5" w:rsidRDefault="00BA49F5">
      <w:pPr>
        <w:ind w:firstLine="540"/>
        <w:jc w:val="both"/>
      </w:pPr>
    </w:p>
    <w:p w14:paraId="5CD8ED52" w14:textId="77777777" w:rsidR="00BA49F5" w:rsidRDefault="007E5E49">
      <w:pPr>
        <w:ind w:firstLine="540"/>
        <w:jc w:val="both"/>
      </w:pPr>
      <w:r>
        <w:rPr>
          <w:rFonts w:ascii="Times New Roman" w:eastAsia="宋体" w:hAnsi="Times New Roman"/>
          <w:i/>
          <w:iCs/>
          <w:color w:val="000000"/>
          <w:sz w:val="20"/>
          <w:szCs w:val="20"/>
        </w:rPr>
        <w:t>Effective Tax Rate Item</w:t>
      </w:r>
      <w:r>
        <w:rPr>
          <w:rFonts w:ascii="Times New Roman" w:eastAsia="宋体" w:hAnsi="Times New Roman"/>
          <w:i/>
          <w:iCs/>
          <w:color w:val="000000"/>
          <w:sz w:val="20"/>
          <w:szCs w:val="20"/>
        </w:rPr>
        <w:t>s</w:t>
      </w:r>
      <w:r>
        <w:rPr>
          <w:rFonts w:ascii="Times New Roman" w:eastAsia="宋体" w:hAnsi="Times New Roman"/>
          <w:color w:val="000000"/>
          <w:sz w:val="20"/>
          <w:szCs w:val="20"/>
        </w:rPr>
        <w:t xml:space="preserve">. Our effective tax rate in the future will depend upon the proportion between the following items and income before provision for income taxes: U.S. tax benefits from foreign-derived intangible income, tax effects from share-based compensation, research </w:t>
      </w:r>
      <w:r>
        <w:rPr>
          <w:rFonts w:ascii="Times New Roman" w:eastAsia="宋体" w:hAnsi="Times New Roman"/>
          <w:color w:val="000000"/>
          <w:sz w:val="20"/>
          <w:szCs w:val="20"/>
        </w:rPr>
        <w:t>tax credit, tax effects of integrating intellectual property from acquisitions, settlement of tax contingency items, tax effects of changes in our business, and the effects of changes in tax law.</w:t>
      </w:r>
    </w:p>
    <w:p w14:paraId="5CD8ED53" w14:textId="77777777" w:rsidR="00BA49F5" w:rsidRDefault="00BA49F5">
      <w:pPr>
        <w:ind w:firstLine="540"/>
        <w:jc w:val="both"/>
      </w:pPr>
    </w:p>
    <w:p w14:paraId="5CD8ED54" w14:textId="77777777" w:rsidR="00BA49F5" w:rsidRDefault="007E5E49">
      <w:pPr>
        <w:ind w:firstLine="540"/>
        <w:jc w:val="both"/>
      </w:pPr>
      <w:r>
        <w:rPr>
          <w:rFonts w:ascii="Times New Roman" w:eastAsia="宋体" w:hAnsi="Times New Roman"/>
          <w:color w:val="000000"/>
          <w:sz w:val="20"/>
          <w:szCs w:val="20"/>
        </w:rPr>
        <w:t>The accounting for share-based compensation may increase or</w:t>
      </w:r>
      <w:r>
        <w:rPr>
          <w:rFonts w:ascii="Times New Roman" w:eastAsia="宋体" w:hAnsi="Times New Roman"/>
          <w:color w:val="000000"/>
          <w:sz w:val="20"/>
          <w:szCs w:val="20"/>
        </w:rPr>
        <w:t xml:space="preserve"> decrease our effective tax rate based upon the difference between our share-based compensation expense and the deductions taken on our tax return, which depend upon the stock price at the time of employee award vesting. If our stock price remains constant</w:t>
      </w:r>
      <w:r>
        <w:rPr>
          <w:rFonts w:ascii="Times New Roman" w:eastAsia="宋体" w:hAnsi="Times New Roman"/>
          <w:color w:val="000000"/>
          <w:sz w:val="20"/>
          <w:szCs w:val="20"/>
        </w:rPr>
        <w:t xml:space="preserve"> to the January 27, 2023 price, and absent any changes to U.S. tax law, we expect our effective tax rate for the full year 2023 to be in the low twenties. This includes the effects of the mandatory capitalization and amortization of research and developmen</w:t>
      </w:r>
      <w:r>
        <w:rPr>
          <w:rFonts w:ascii="Times New Roman" w:eastAsia="宋体" w:hAnsi="Times New Roman"/>
          <w:color w:val="000000"/>
          <w:sz w:val="20"/>
          <w:szCs w:val="20"/>
        </w:rPr>
        <w:t>t expenses incurred in 2022, as required by the 2017 Tax Cuts and Jobs Act (Tax Act). The mandatory capitalization requirement increased our 2022 cash tax liabilities materially but also decreased our effective tax rate due to increasing the foreign-derive</w:t>
      </w:r>
      <w:r>
        <w:rPr>
          <w:rFonts w:ascii="Times New Roman" w:eastAsia="宋体" w:hAnsi="Times New Roman"/>
          <w:color w:val="000000"/>
          <w:sz w:val="20"/>
          <w:szCs w:val="20"/>
        </w:rPr>
        <w:t>d intangible income deduction. If the mandatory capitalization requirement is deferred, our effective tax rate in 2023 could be higher when compared to current law and our cash tax liabilities could be several billion dollars lower.</w:t>
      </w:r>
    </w:p>
    <w:p w14:paraId="5CD8ED55" w14:textId="77777777" w:rsidR="00BA49F5" w:rsidRDefault="00BA49F5">
      <w:pPr>
        <w:ind w:firstLine="540"/>
        <w:jc w:val="both"/>
      </w:pPr>
    </w:p>
    <w:p w14:paraId="5CD8ED56" w14:textId="77777777" w:rsidR="00BA49F5" w:rsidRDefault="007E5E49">
      <w:pPr>
        <w:ind w:firstLine="540"/>
        <w:jc w:val="both"/>
      </w:pPr>
      <w:r>
        <w:rPr>
          <w:rFonts w:ascii="Times New Roman" w:eastAsia="宋体" w:hAnsi="Times New Roman"/>
          <w:color w:val="000000"/>
          <w:sz w:val="20"/>
          <w:szCs w:val="20"/>
        </w:rPr>
        <w:t>Integrating intellectu</w:t>
      </w:r>
      <w:r>
        <w:rPr>
          <w:rFonts w:ascii="Times New Roman" w:eastAsia="宋体" w:hAnsi="Times New Roman"/>
          <w:color w:val="000000"/>
          <w:sz w:val="20"/>
          <w:szCs w:val="20"/>
        </w:rPr>
        <w:t>al property from acquisitions into our business generally involves intercompany transactions that have the impact of increasing our provision for income taxes. Consequently, our provision for income taxes and our effective tax rate may initially increase i</w:t>
      </w:r>
      <w:r>
        <w:rPr>
          <w:rFonts w:ascii="Times New Roman" w:eastAsia="宋体" w:hAnsi="Times New Roman"/>
          <w:color w:val="000000"/>
          <w:sz w:val="20"/>
          <w:szCs w:val="20"/>
        </w:rPr>
        <w:t>n the period of an acquisition and integration. The magnitude of this impact will depend upon the specific type, size, and taxing jurisdictions of the intellectual property as well as the relative contribution to income in subsequent periods.</w:t>
      </w:r>
    </w:p>
    <w:p w14:paraId="5CD8ED57" w14:textId="77777777" w:rsidR="00BA49F5" w:rsidRDefault="00BA49F5">
      <w:pPr>
        <w:ind w:firstLine="540"/>
        <w:jc w:val="both"/>
      </w:pPr>
    </w:p>
    <w:p w14:paraId="5CD8ED58" w14:textId="77777777" w:rsidR="00BA49F5" w:rsidRDefault="007E5E49">
      <w:pPr>
        <w:ind w:firstLine="540"/>
        <w:jc w:val="both"/>
      </w:pPr>
      <w:r>
        <w:rPr>
          <w:rFonts w:ascii="Times New Roman" w:eastAsia="宋体" w:hAnsi="Times New Roman"/>
          <w:color w:val="000000"/>
          <w:sz w:val="20"/>
          <w:szCs w:val="20"/>
        </w:rPr>
        <w:t>On August 16</w:t>
      </w:r>
      <w:r>
        <w:rPr>
          <w:rFonts w:ascii="Times New Roman" w:eastAsia="宋体" w:hAnsi="Times New Roman"/>
          <w:color w:val="000000"/>
          <w:sz w:val="20"/>
          <w:szCs w:val="20"/>
        </w:rPr>
        <w:t xml:space="preserve">, 2022, Congress passed the Inflation Reduction Act of 2022. The key tax provisions applicable to us are a 15% corporate minimum tax on book income and a 1% excise tax on stock repurchases effective January 1, 2023. We do </w:t>
      </w:r>
    </w:p>
    <w:p w14:paraId="5CD8ED59" w14:textId="77777777" w:rsidR="00BA49F5" w:rsidRDefault="007E5E49">
      <w:pPr>
        <w:jc w:val="center"/>
      </w:pPr>
      <w:r>
        <w:rPr>
          <w:rFonts w:ascii="Times New Roman" w:eastAsia="宋体" w:hAnsi="Times New Roman"/>
          <w:color w:val="000000"/>
          <w:sz w:val="20"/>
          <w:szCs w:val="20"/>
        </w:rPr>
        <w:t>73</w:t>
      </w:r>
    </w:p>
    <w:p w14:paraId="5CD8ED5A" w14:textId="77777777" w:rsidR="00BA49F5" w:rsidRDefault="007E5E49">
      <w:r>
        <w:pict w14:anchorId="5CD90D3E">
          <v:rect id="_x0000_i1097" style="width:415.3pt;height:1.5pt" o:hralign="center" o:hrstd="t" o:hr="t" fillcolor="#a0a0a0" stroked="f"/>
        </w:pict>
      </w:r>
    </w:p>
    <w:p w14:paraId="5CD8ED5B" w14:textId="77777777" w:rsidR="00BA49F5" w:rsidRDefault="00BA49F5"/>
    <w:p w14:paraId="5CD8ED5C" w14:textId="77777777" w:rsidR="00BA49F5" w:rsidRDefault="00BA49F5"/>
    <w:p w14:paraId="5CD8ED5D" w14:textId="77777777" w:rsidR="00BA49F5" w:rsidRDefault="007E5E49">
      <w:hyperlink r:id="rId226" w:anchor="i6df229dad1864210ab76200083e26819_7" w:history="1">
        <w:r>
          <w:rPr>
            <w:rStyle w:val="a5"/>
            <w:rFonts w:ascii="Times New Roman" w:eastAsia="宋体" w:hAnsi="Times New Roman"/>
            <w:sz w:val="20"/>
            <w:szCs w:val="20"/>
          </w:rPr>
          <w:t>T</w:t>
        </w:r>
      </w:hyperlink>
      <w:hyperlink r:id="rId227" w:anchor="i6df229dad1864210ab76200083e26819_7" w:history="1">
        <w:r>
          <w:rPr>
            <w:rStyle w:val="a5"/>
            <w:rFonts w:ascii="Times New Roman" w:eastAsia="宋体" w:hAnsi="Times New Roman"/>
            <w:sz w:val="20"/>
            <w:szCs w:val="20"/>
          </w:rPr>
          <w:t>able of Contents</w:t>
        </w:r>
      </w:hyperlink>
    </w:p>
    <w:p w14:paraId="5CD8ED5E" w14:textId="77777777" w:rsidR="00BA49F5" w:rsidRDefault="007E5E49">
      <w:pPr>
        <w:jc w:val="both"/>
      </w:pPr>
      <w:r>
        <w:rPr>
          <w:rFonts w:ascii="Times New Roman" w:eastAsia="宋体" w:hAnsi="Times New Roman"/>
          <w:color w:val="000000"/>
          <w:sz w:val="20"/>
          <w:szCs w:val="20"/>
        </w:rPr>
        <w:t>not expect these tax law changes to have a material impact on our consolidated financial position; however, we will continue to evaluate their impact as further information becomes available.</w:t>
      </w:r>
    </w:p>
    <w:p w14:paraId="5CD8ED5F" w14:textId="77777777" w:rsidR="00BA49F5" w:rsidRDefault="00BA49F5">
      <w:pPr>
        <w:ind w:firstLine="540"/>
        <w:jc w:val="both"/>
      </w:pPr>
    </w:p>
    <w:p w14:paraId="5CD8ED60" w14:textId="77777777" w:rsidR="00BA49F5" w:rsidRDefault="007E5E49">
      <w:pPr>
        <w:ind w:firstLine="540"/>
        <w:jc w:val="both"/>
      </w:pPr>
      <w:r>
        <w:rPr>
          <w:rFonts w:ascii="Times New Roman" w:eastAsia="宋体" w:hAnsi="Times New Roman"/>
          <w:i/>
          <w:iCs/>
          <w:color w:val="000000"/>
          <w:sz w:val="20"/>
          <w:szCs w:val="20"/>
        </w:rPr>
        <w:t>Unrecognized Tax Bene</w:t>
      </w:r>
      <w:r>
        <w:rPr>
          <w:rFonts w:ascii="Times New Roman" w:eastAsia="宋体" w:hAnsi="Times New Roman"/>
          <w:i/>
          <w:iCs/>
          <w:color w:val="000000"/>
          <w:sz w:val="20"/>
          <w:szCs w:val="20"/>
        </w:rPr>
        <w:t>fits</w:t>
      </w:r>
      <w:r>
        <w:rPr>
          <w:rFonts w:ascii="Times New Roman" w:eastAsia="宋体" w:hAnsi="Times New Roman"/>
          <w:color w:val="000000"/>
          <w:sz w:val="20"/>
          <w:szCs w:val="20"/>
        </w:rPr>
        <w:t>. As of December 31, 2022, we had net uncertain tax positions of $5.49 billion which were accrued as other liabilities. These unrecognized tax benefits were predominantly accrued for uncertainties related to transfer pricing with our foreign subsidiari</w:t>
      </w:r>
      <w:r>
        <w:rPr>
          <w:rFonts w:ascii="Times New Roman" w:eastAsia="宋体" w:hAnsi="Times New Roman"/>
          <w:color w:val="000000"/>
          <w:sz w:val="20"/>
          <w:szCs w:val="20"/>
        </w:rPr>
        <w:t xml:space="preserve">es, which includes licensing of intellectual property, providing services and other transactions, as well as for uncertainties regarding the utilization of our research tax credits. The ultimate settlement of the liabilities will depend upon resolution of </w:t>
      </w:r>
      <w:r>
        <w:rPr>
          <w:rFonts w:ascii="Times New Roman" w:eastAsia="宋体" w:hAnsi="Times New Roman"/>
          <w:color w:val="000000"/>
          <w:sz w:val="20"/>
          <w:szCs w:val="20"/>
        </w:rPr>
        <w:t>tax audits, litigation, or events that would otherwise change the assessment of such items. Based upon the status of litigation described below and the current status of tax audits in various jurisdictions, we do not anticipate a material change to such am</w:t>
      </w:r>
      <w:r>
        <w:rPr>
          <w:rFonts w:ascii="Times New Roman" w:eastAsia="宋体" w:hAnsi="Times New Roman"/>
          <w:color w:val="000000"/>
          <w:sz w:val="20"/>
          <w:szCs w:val="20"/>
        </w:rPr>
        <w:t>ounts within the next 12 months.</w:t>
      </w:r>
    </w:p>
    <w:p w14:paraId="5CD8ED61" w14:textId="77777777" w:rsidR="00BA49F5" w:rsidRDefault="00BA49F5">
      <w:pPr>
        <w:ind w:firstLine="540"/>
        <w:jc w:val="both"/>
      </w:pPr>
    </w:p>
    <w:p w14:paraId="5CD8ED62" w14:textId="77777777" w:rsidR="00BA49F5" w:rsidRDefault="007E5E49">
      <w:pPr>
        <w:ind w:firstLine="540"/>
        <w:jc w:val="both"/>
      </w:pPr>
      <w:r>
        <w:rPr>
          <w:rFonts w:ascii="Times New Roman" w:eastAsia="宋体" w:hAnsi="Times New Roman"/>
          <w:color w:val="000000"/>
          <w:sz w:val="20"/>
          <w:szCs w:val="20"/>
        </w:rPr>
        <w:t xml:space="preserve">See Note 16 — Income Taxes in the notes to consolidated financial statements included in Part II, Item 8, "Financial Statements and Supplementary Data" of this Annual Report on Form 10-K for additional </w:t>
      </w:r>
      <w:r>
        <w:rPr>
          <w:rFonts w:ascii="Times New Roman" w:eastAsia="宋体" w:hAnsi="Times New Roman"/>
          <w:color w:val="000000"/>
          <w:sz w:val="20"/>
          <w:szCs w:val="20"/>
        </w:rPr>
        <w:t>information regarding income tax contingencies.</w:t>
      </w:r>
    </w:p>
    <w:p w14:paraId="5CD8ED63" w14:textId="77777777" w:rsidR="00BA49F5" w:rsidRDefault="007E5E49">
      <w:pPr>
        <w:jc w:val="center"/>
      </w:pPr>
      <w:r>
        <w:rPr>
          <w:rFonts w:ascii="Times New Roman" w:eastAsia="宋体" w:hAnsi="Times New Roman"/>
          <w:color w:val="000000"/>
          <w:sz w:val="20"/>
          <w:szCs w:val="20"/>
        </w:rPr>
        <w:t>74</w:t>
      </w:r>
    </w:p>
    <w:p w14:paraId="5CD8ED64" w14:textId="77777777" w:rsidR="00BA49F5" w:rsidRDefault="007E5E49">
      <w:r>
        <w:pict w14:anchorId="5CD90D3F">
          <v:rect id="_x0000_i1098" style="width:415.3pt;height:1.5pt" o:hralign="center" o:hrstd="t" o:hr="t" fillcolor="#a0a0a0" stroked="f"/>
        </w:pict>
      </w:r>
    </w:p>
    <w:p w14:paraId="5CD8ED65" w14:textId="77777777" w:rsidR="00BA49F5" w:rsidRDefault="00BA49F5"/>
    <w:p w14:paraId="5CD8ED66" w14:textId="77777777" w:rsidR="00BA49F5" w:rsidRDefault="00BA49F5"/>
    <w:p w14:paraId="5CD8ED67" w14:textId="77777777" w:rsidR="00BA49F5" w:rsidRDefault="007E5E49">
      <w:hyperlink r:id="rId228" w:anchor="i6df229dad1864210ab76200083e26819_7" w:history="1">
        <w:r>
          <w:rPr>
            <w:rStyle w:val="a5"/>
            <w:rFonts w:ascii="Times New Roman" w:eastAsia="宋体" w:hAnsi="Times New Roman"/>
            <w:sz w:val="20"/>
            <w:szCs w:val="20"/>
          </w:rPr>
          <w:t>T</w:t>
        </w:r>
      </w:hyperlink>
      <w:hyperlink r:id="rId229" w:anchor="i6df229dad1864210ab76200083e26819_7" w:history="1">
        <w:r>
          <w:rPr>
            <w:rStyle w:val="a5"/>
            <w:rFonts w:ascii="Times New Roman" w:eastAsia="宋体" w:hAnsi="Times New Roman"/>
            <w:sz w:val="20"/>
            <w:szCs w:val="20"/>
          </w:rPr>
          <w:t>able of Contents</w:t>
        </w:r>
      </w:hyperlink>
    </w:p>
    <w:p w14:paraId="5CD8ED68" w14:textId="77777777" w:rsidR="00BA49F5" w:rsidRDefault="007E5E49">
      <w:pPr>
        <w:jc w:val="both"/>
      </w:pPr>
      <w:r>
        <w:rPr>
          <w:rFonts w:ascii="Times New Roman" w:eastAsia="宋体" w:hAnsi="Times New Roman"/>
          <w:b/>
          <w:bCs/>
          <w:color w:val="000000"/>
          <w:sz w:val="20"/>
          <w:szCs w:val="20"/>
        </w:rPr>
        <w:t>Liquidity and Capital Resources</w:t>
      </w:r>
    </w:p>
    <w:p w14:paraId="5CD8ED69" w14:textId="77777777" w:rsidR="00BA49F5" w:rsidRDefault="00BA49F5">
      <w:pPr>
        <w:ind w:firstLine="540"/>
        <w:jc w:val="both"/>
      </w:pPr>
    </w:p>
    <w:p w14:paraId="5CD8ED6A" w14:textId="77777777" w:rsidR="00BA49F5" w:rsidRDefault="007E5E49">
      <w:pPr>
        <w:ind w:firstLine="540"/>
        <w:jc w:val="both"/>
      </w:pPr>
      <w:r>
        <w:rPr>
          <w:rFonts w:ascii="Times New Roman" w:eastAsia="宋体" w:hAnsi="Times New Roman"/>
          <w:color w:val="000000"/>
          <w:sz w:val="20"/>
          <w:szCs w:val="20"/>
        </w:rPr>
        <w:t xml:space="preserve">Our principal sources of liquidity are our cash and cash equivalents, marketable securities, and cash generated from operations. Cash and cash equivalents </w:t>
      </w:r>
      <w:r>
        <w:rPr>
          <w:rFonts w:ascii="Times New Roman" w:eastAsia="宋体" w:hAnsi="Times New Roman"/>
          <w:color w:val="000000"/>
          <w:sz w:val="20"/>
          <w:szCs w:val="20"/>
        </w:rPr>
        <w:t>and marketable securities consist mostly of cash on deposit with banks, investments in money market funds, U.S. government securities, U.S. government agency securities, and investment grade corporate debt securities. Cash and cash equivalents and marketab</w:t>
      </w:r>
      <w:r>
        <w:rPr>
          <w:rFonts w:ascii="Times New Roman" w:eastAsia="宋体" w:hAnsi="Times New Roman"/>
          <w:color w:val="000000"/>
          <w:sz w:val="20"/>
          <w:szCs w:val="20"/>
        </w:rPr>
        <w:t>le securities were $40.74 billion as of December 31, 2022, a decrease of $7.26 billion from December 31, 2021. The majority of the decrease was due to $32.04 billion for capital expenditures, including principal payments on finance leases, $27.96 billion r</w:t>
      </w:r>
      <w:r>
        <w:rPr>
          <w:rFonts w:ascii="Times New Roman" w:eastAsia="宋体" w:hAnsi="Times New Roman"/>
          <w:color w:val="000000"/>
          <w:sz w:val="20"/>
          <w:szCs w:val="20"/>
        </w:rPr>
        <w:t>epurchases of our Class A common stock, $3.60 billion of taxes paid related to net share settlement of employee restricted stock unit (RSU) awards, and $1.31 billion for acquisitions of businesses and intangible assets. These decreases were partially offse</w:t>
      </w:r>
      <w:r>
        <w:rPr>
          <w:rFonts w:ascii="Times New Roman" w:eastAsia="宋体" w:hAnsi="Times New Roman"/>
          <w:color w:val="000000"/>
          <w:sz w:val="20"/>
          <w:szCs w:val="20"/>
        </w:rPr>
        <w:t xml:space="preserve">t by $50.48 billion of cash generated from operations and $9.92 billion of net proceeds from the issuance of fixed-rate senior notes (the "Notes") in August 2022. </w:t>
      </w:r>
    </w:p>
    <w:p w14:paraId="5CD8ED6B" w14:textId="77777777" w:rsidR="00BA49F5" w:rsidRDefault="00BA49F5">
      <w:pPr>
        <w:ind w:firstLine="540"/>
        <w:jc w:val="both"/>
      </w:pPr>
    </w:p>
    <w:p w14:paraId="5CD8ED6C" w14:textId="77777777" w:rsidR="00BA49F5" w:rsidRDefault="007E5E49">
      <w:pPr>
        <w:ind w:firstLine="540"/>
        <w:jc w:val="both"/>
      </w:pPr>
      <w:r>
        <w:rPr>
          <w:rFonts w:ascii="Times New Roman" w:eastAsia="宋体" w:hAnsi="Times New Roman"/>
          <w:color w:val="000000"/>
          <w:sz w:val="20"/>
          <w:szCs w:val="20"/>
        </w:rPr>
        <w:t>Cash paid for income taxes was $6.41 billion for the year ended December 31, 2022. As of De</w:t>
      </w:r>
      <w:r>
        <w:rPr>
          <w:rFonts w:ascii="Times New Roman" w:eastAsia="宋体" w:hAnsi="Times New Roman"/>
          <w:color w:val="000000"/>
          <w:sz w:val="20"/>
          <w:szCs w:val="20"/>
        </w:rPr>
        <w:t xml:space="preserve">cember 31, 2022, our federal net operating loss carryforward was $196 million and our federal tax credit carryforward was $276 million. We anticipate the utilization of most of these net operating losses and credits within the next two years. </w:t>
      </w:r>
    </w:p>
    <w:p w14:paraId="5CD8ED6D" w14:textId="77777777" w:rsidR="00BA49F5" w:rsidRDefault="00BA49F5">
      <w:pPr>
        <w:ind w:firstLine="540"/>
        <w:jc w:val="both"/>
      </w:pPr>
    </w:p>
    <w:p w14:paraId="5CD8ED6E" w14:textId="77777777" w:rsidR="00BA49F5" w:rsidRDefault="007E5E49">
      <w:pPr>
        <w:ind w:firstLine="540"/>
        <w:jc w:val="both"/>
      </w:pPr>
      <w:r>
        <w:rPr>
          <w:rFonts w:ascii="Times New Roman" w:eastAsia="宋体" w:hAnsi="Times New Roman"/>
          <w:color w:val="000000"/>
          <w:sz w:val="20"/>
          <w:szCs w:val="20"/>
        </w:rPr>
        <w:t>Our board o</w:t>
      </w:r>
      <w:r>
        <w:rPr>
          <w:rFonts w:ascii="Times New Roman" w:eastAsia="宋体" w:hAnsi="Times New Roman"/>
          <w:color w:val="000000"/>
          <w:sz w:val="20"/>
          <w:szCs w:val="20"/>
        </w:rPr>
        <w:t xml:space="preserve">f directors has authorized a share repurchase program of our Class A common stock, which commenced in January 2017 and does not have an expiration date. In 2022, we repurchased and subsequently retired 161 million shares of our Class A common stock for an </w:t>
      </w:r>
      <w:r>
        <w:rPr>
          <w:rFonts w:ascii="Times New Roman" w:eastAsia="宋体" w:hAnsi="Times New Roman"/>
          <w:color w:val="000000"/>
          <w:sz w:val="20"/>
          <w:szCs w:val="20"/>
        </w:rPr>
        <w:t>aggregate amount of $27.93 billion. As of December 31, 2022, $10.87 billion remained available and authorized for repurchases. In January 2023, an additional $40 billion of repurchases was authorized under this program.</w:t>
      </w:r>
    </w:p>
    <w:p w14:paraId="5CD8ED6F" w14:textId="77777777" w:rsidR="00BA49F5" w:rsidRDefault="00BA49F5">
      <w:pPr>
        <w:ind w:firstLine="540"/>
        <w:jc w:val="both"/>
      </w:pPr>
    </w:p>
    <w:p w14:paraId="5CD8ED70" w14:textId="77777777" w:rsidR="00BA49F5" w:rsidRDefault="007E5E49">
      <w:pPr>
        <w:ind w:firstLine="540"/>
        <w:jc w:val="both"/>
      </w:pPr>
      <w:r>
        <w:rPr>
          <w:rFonts w:ascii="Times New Roman" w:eastAsia="宋体" w:hAnsi="Times New Roman"/>
          <w:color w:val="000000"/>
          <w:sz w:val="20"/>
          <w:szCs w:val="20"/>
        </w:rPr>
        <w:t>The following table presents our ca</w:t>
      </w:r>
      <w:r>
        <w:rPr>
          <w:rFonts w:ascii="Times New Roman" w:eastAsia="宋体" w:hAnsi="Times New Roman"/>
          <w:color w:val="000000"/>
          <w:sz w:val="20"/>
          <w:szCs w:val="20"/>
        </w:rPr>
        <w:t>sh flows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10"/>
        <w:gridCol w:w="36"/>
        <w:gridCol w:w="120"/>
        <w:gridCol w:w="915"/>
        <w:gridCol w:w="36"/>
        <w:gridCol w:w="36"/>
        <w:gridCol w:w="36"/>
        <w:gridCol w:w="36"/>
        <w:gridCol w:w="120"/>
        <w:gridCol w:w="877"/>
        <w:gridCol w:w="36"/>
        <w:gridCol w:w="36"/>
        <w:gridCol w:w="36"/>
        <w:gridCol w:w="36"/>
        <w:gridCol w:w="120"/>
        <w:gridCol w:w="877"/>
        <w:gridCol w:w="36"/>
      </w:tblGrid>
      <w:tr w:rsidR="00BA49F5" w14:paraId="5CD8ED83" w14:textId="77777777">
        <w:tc>
          <w:tcPr>
            <w:tcW w:w="50" w:type="pct"/>
            <w:shd w:val="clear" w:color="auto" w:fill="auto"/>
            <w:vAlign w:val="bottom"/>
          </w:tcPr>
          <w:p w14:paraId="5CD8ED71" w14:textId="77777777" w:rsidR="00BA49F5" w:rsidRDefault="00BA49F5">
            <w:pPr>
              <w:rPr>
                <w:rFonts w:ascii="宋体"/>
              </w:rPr>
            </w:pPr>
          </w:p>
        </w:tc>
        <w:tc>
          <w:tcPr>
            <w:tcW w:w="2973" w:type="pct"/>
            <w:shd w:val="clear" w:color="auto" w:fill="auto"/>
            <w:vAlign w:val="bottom"/>
          </w:tcPr>
          <w:p w14:paraId="5CD8ED72" w14:textId="77777777" w:rsidR="00BA49F5" w:rsidRDefault="00BA49F5">
            <w:pPr>
              <w:rPr>
                <w:rFonts w:ascii="宋体"/>
              </w:rPr>
            </w:pPr>
          </w:p>
        </w:tc>
        <w:tc>
          <w:tcPr>
            <w:tcW w:w="5" w:type="pct"/>
            <w:shd w:val="clear" w:color="auto" w:fill="auto"/>
            <w:vAlign w:val="bottom"/>
          </w:tcPr>
          <w:p w14:paraId="5CD8ED73" w14:textId="77777777" w:rsidR="00BA49F5" w:rsidRDefault="00BA49F5">
            <w:pPr>
              <w:rPr>
                <w:rFonts w:ascii="宋体"/>
              </w:rPr>
            </w:pPr>
          </w:p>
        </w:tc>
        <w:tc>
          <w:tcPr>
            <w:tcW w:w="50" w:type="pct"/>
            <w:shd w:val="clear" w:color="auto" w:fill="auto"/>
            <w:vAlign w:val="bottom"/>
          </w:tcPr>
          <w:p w14:paraId="5CD8ED74" w14:textId="77777777" w:rsidR="00BA49F5" w:rsidRDefault="00BA49F5">
            <w:pPr>
              <w:rPr>
                <w:rFonts w:ascii="宋体"/>
              </w:rPr>
            </w:pPr>
          </w:p>
        </w:tc>
        <w:tc>
          <w:tcPr>
            <w:tcW w:w="577" w:type="pct"/>
            <w:shd w:val="clear" w:color="auto" w:fill="auto"/>
            <w:vAlign w:val="bottom"/>
          </w:tcPr>
          <w:p w14:paraId="5CD8ED75" w14:textId="77777777" w:rsidR="00BA49F5" w:rsidRDefault="00BA49F5">
            <w:pPr>
              <w:rPr>
                <w:rFonts w:ascii="宋体"/>
              </w:rPr>
            </w:pPr>
          </w:p>
        </w:tc>
        <w:tc>
          <w:tcPr>
            <w:tcW w:w="5" w:type="pct"/>
            <w:shd w:val="clear" w:color="auto" w:fill="auto"/>
            <w:vAlign w:val="bottom"/>
          </w:tcPr>
          <w:p w14:paraId="5CD8ED76" w14:textId="77777777" w:rsidR="00BA49F5" w:rsidRDefault="00BA49F5">
            <w:pPr>
              <w:rPr>
                <w:rFonts w:ascii="宋体"/>
              </w:rPr>
            </w:pPr>
          </w:p>
        </w:tc>
        <w:tc>
          <w:tcPr>
            <w:tcW w:w="5" w:type="pct"/>
            <w:shd w:val="clear" w:color="auto" w:fill="auto"/>
            <w:vAlign w:val="bottom"/>
          </w:tcPr>
          <w:p w14:paraId="5CD8ED77" w14:textId="77777777" w:rsidR="00BA49F5" w:rsidRDefault="00BA49F5">
            <w:pPr>
              <w:rPr>
                <w:rFonts w:ascii="宋体"/>
              </w:rPr>
            </w:pPr>
          </w:p>
        </w:tc>
        <w:tc>
          <w:tcPr>
            <w:tcW w:w="27" w:type="pct"/>
            <w:shd w:val="clear" w:color="auto" w:fill="auto"/>
            <w:vAlign w:val="bottom"/>
          </w:tcPr>
          <w:p w14:paraId="5CD8ED78" w14:textId="77777777" w:rsidR="00BA49F5" w:rsidRDefault="00BA49F5">
            <w:pPr>
              <w:rPr>
                <w:rFonts w:ascii="宋体"/>
              </w:rPr>
            </w:pPr>
          </w:p>
        </w:tc>
        <w:tc>
          <w:tcPr>
            <w:tcW w:w="5" w:type="pct"/>
            <w:shd w:val="clear" w:color="auto" w:fill="auto"/>
            <w:vAlign w:val="bottom"/>
          </w:tcPr>
          <w:p w14:paraId="5CD8ED79" w14:textId="77777777" w:rsidR="00BA49F5" w:rsidRDefault="00BA49F5">
            <w:pPr>
              <w:rPr>
                <w:rFonts w:ascii="宋体"/>
              </w:rPr>
            </w:pPr>
          </w:p>
        </w:tc>
        <w:tc>
          <w:tcPr>
            <w:tcW w:w="50" w:type="pct"/>
            <w:shd w:val="clear" w:color="auto" w:fill="auto"/>
            <w:vAlign w:val="bottom"/>
          </w:tcPr>
          <w:p w14:paraId="5CD8ED7A" w14:textId="77777777" w:rsidR="00BA49F5" w:rsidRDefault="00BA49F5">
            <w:pPr>
              <w:rPr>
                <w:rFonts w:ascii="宋体"/>
              </w:rPr>
            </w:pPr>
          </w:p>
        </w:tc>
        <w:tc>
          <w:tcPr>
            <w:tcW w:w="577" w:type="pct"/>
            <w:shd w:val="clear" w:color="auto" w:fill="auto"/>
            <w:vAlign w:val="bottom"/>
          </w:tcPr>
          <w:p w14:paraId="5CD8ED7B" w14:textId="77777777" w:rsidR="00BA49F5" w:rsidRDefault="00BA49F5">
            <w:pPr>
              <w:rPr>
                <w:rFonts w:ascii="宋体"/>
              </w:rPr>
            </w:pPr>
          </w:p>
        </w:tc>
        <w:tc>
          <w:tcPr>
            <w:tcW w:w="5" w:type="pct"/>
            <w:shd w:val="clear" w:color="auto" w:fill="auto"/>
            <w:vAlign w:val="bottom"/>
          </w:tcPr>
          <w:p w14:paraId="5CD8ED7C" w14:textId="77777777" w:rsidR="00BA49F5" w:rsidRDefault="00BA49F5">
            <w:pPr>
              <w:rPr>
                <w:rFonts w:ascii="宋体"/>
              </w:rPr>
            </w:pPr>
          </w:p>
        </w:tc>
        <w:tc>
          <w:tcPr>
            <w:tcW w:w="5" w:type="pct"/>
            <w:shd w:val="clear" w:color="auto" w:fill="auto"/>
            <w:vAlign w:val="bottom"/>
          </w:tcPr>
          <w:p w14:paraId="5CD8ED7D" w14:textId="77777777" w:rsidR="00BA49F5" w:rsidRDefault="00BA49F5">
            <w:pPr>
              <w:rPr>
                <w:rFonts w:ascii="宋体"/>
              </w:rPr>
            </w:pPr>
          </w:p>
        </w:tc>
        <w:tc>
          <w:tcPr>
            <w:tcW w:w="27" w:type="pct"/>
            <w:shd w:val="clear" w:color="auto" w:fill="auto"/>
            <w:vAlign w:val="bottom"/>
          </w:tcPr>
          <w:p w14:paraId="5CD8ED7E" w14:textId="77777777" w:rsidR="00BA49F5" w:rsidRDefault="00BA49F5">
            <w:pPr>
              <w:rPr>
                <w:rFonts w:ascii="宋体"/>
              </w:rPr>
            </w:pPr>
          </w:p>
        </w:tc>
        <w:tc>
          <w:tcPr>
            <w:tcW w:w="5" w:type="pct"/>
            <w:shd w:val="clear" w:color="auto" w:fill="auto"/>
            <w:vAlign w:val="bottom"/>
          </w:tcPr>
          <w:p w14:paraId="5CD8ED7F" w14:textId="77777777" w:rsidR="00BA49F5" w:rsidRDefault="00BA49F5">
            <w:pPr>
              <w:rPr>
                <w:rFonts w:ascii="宋体"/>
              </w:rPr>
            </w:pPr>
          </w:p>
        </w:tc>
        <w:tc>
          <w:tcPr>
            <w:tcW w:w="50" w:type="pct"/>
            <w:shd w:val="clear" w:color="auto" w:fill="auto"/>
            <w:vAlign w:val="bottom"/>
          </w:tcPr>
          <w:p w14:paraId="5CD8ED80" w14:textId="77777777" w:rsidR="00BA49F5" w:rsidRDefault="00BA49F5">
            <w:pPr>
              <w:rPr>
                <w:rFonts w:ascii="宋体"/>
              </w:rPr>
            </w:pPr>
          </w:p>
        </w:tc>
        <w:tc>
          <w:tcPr>
            <w:tcW w:w="577" w:type="pct"/>
            <w:shd w:val="clear" w:color="auto" w:fill="auto"/>
            <w:vAlign w:val="bottom"/>
          </w:tcPr>
          <w:p w14:paraId="5CD8ED81" w14:textId="77777777" w:rsidR="00BA49F5" w:rsidRDefault="00BA49F5">
            <w:pPr>
              <w:rPr>
                <w:rFonts w:ascii="宋体"/>
              </w:rPr>
            </w:pPr>
          </w:p>
        </w:tc>
        <w:tc>
          <w:tcPr>
            <w:tcW w:w="5" w:type="pct"/>
            <w:shd w:val="clear" w:color="auto" w:fill="auto"/>
            <w:vAlign w:val="bottom"/>
          </w:tcPr>
          <w:p w14:paraId="5CD8ED82" w14:textId="77777777" w:rsidR="00BA49F5" w:rsidRDefault="00BA49F5">
            <w:pPr>
              <w:rPr>
                <w:rFonts w:ascii="宋体"/>
              </w:rPr>
            </w:pPr>
          </w:p>
        </w:tc>
      </w:tr>
      <w:tr w:rsidR="00BA49F5" w14:paraId="5CD8ED86" w14:textId="77777777">
        <w:tc>
          <w:tcPr>
            <w:tcW w:w="0" w:type="auto"/>
            <w:gridSpan w:val="3"/>
            <w:shd w:val="clear" w:color="auto" w:fill="auto"/>
            <w:tcMar>
              <w:top w:w="0" w:type="dxa"/>
              <w:left w:w="20" w:type="dxa"/>
              <w:bottom w:w="0" w:type="dxa"/>
              <w:right w:w="20" w:type="dxa"/>
            </w:tcMar>
            <w:vAlign w:val="bottom"/>
          </w:tcPr>
          <w:p w14:paraId="5CD8ED84"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ED85" w14:textId="77777777" w:rsidR="00BA49F5" w:rsidRDefault="007E5E49">
            <w:pPr>
              <w:jc w:val="center"/>
              <w:textAlignment w:val="bottom"/>
            </w:pPr>
            <w:r>
              <w:rPr>
                <w:rFonts w:ascii="Times New Roman" w:eastAsia="宋体" w:hAnsi="Times New Roman"/>
                <w:b/>
                <w:bCs/>
                <w:color w:val="000000"/>
                <w:sz w:val="16"/>
                <w:szCs w:val="16"/>
              </w:rPr>
              <w:t>Year Ended December 31,</w:t>
            </w:r>
          </w:p>
        </w:tc>
      </w:tr>
      <w:tr w:rsidR="00BA49F5" w14:paraId="5CD8ED8D" w14:textId="77777777">
        <w:tc>
          <w:tcPr>
            <w:tcW w:w="0" w:type="auto"/>
            <w:gridSpan w:val="3"/>
            <w:shd w:val="clear" w:color="auto" w:fill="auto"/>
            <w:tcMar>
              <w:top w:w="0" w:type="dxa"/>
              <w:left w:w="20" w:type="dxa"/>
              <w:bottom w:w="0" w:type="dxa"/>
              <w:right w:w="20" w:type="dxa"/>
            </w:tcMar>
            <w:vAlign w:val="bottom"/>
          </w:tcPr>
          <w:p w14:paraId="5CD8ED8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88"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8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8A"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D8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D8C"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ED9A" w14:textId="77777777">
        <w:tc>
          <w:tcPr>
            <w:tcW w:w="0" w:type="auto"/>
            <w:gridSpan w:val="3"/>
            <w:shd w:val="clear" w:color="auto" w:fill="CCEEFF"/>
            <w:tcMar>
              <w:top w:w="40" w:type="dxa"/>
              <w:left w:w="20" w:type="dxa"/>
              <w:bottom w:w="40" w:type="dxa"/>
              <w:right w:w="20" w:type="dxa"/>
            </w:tcMar>
            <w:vAlign w:val="bottom"/>
          </w:tcPr>
          <w:p w14:paraId="5CD8ED8E" w14:textId="77777777" w:rsidR="00BA49F5" w:rsidRDefault="007E5E49">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ED8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D90" w14:textId="77777777" w:rsidR="00BA49F5" w:rsidRDefault="007E5E49">
            <w:pPr>
              <w:jc w:val="right"/>
              <w:textAlignment w:val="bottom"/>
            </w:pPr>
            <w:r>
              <w:rPr>
                <w:rFonts w:ascii="Times New Roman" w:eastAsia="宋体" w:hAnsi="Times New Roman"/>
                <w:color w:val="000000"/>
                <w:sz w:val="20"/>
                <w:szCs w:val="20"/>
              </w:rPr>
              <w:t>50,475 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D9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92"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D9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D94" w14:textId="77777777" w:rsidR="00BA49F5" w:rsidRDefault="007E5E49">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D9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96"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D9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D98" w14:textId="77777777" w:rsidR="00BA49F5" w:rsidRDefault="007E5E49">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D99" w14:textId="77777777" w:rsidR="00BA49F5" w:rsidRDefault="00BA49F5">
            <w:pPr>
              <w:jc w:val="right"/>
              <w:rPr>
                <w:rFonts w:ascii="宋体"/>
              </w:rPr>
            </w:pPr>
          </w:p>
        </w:tc>
      </w:tr>
      <w:tr w:rsidR="00BA49F5" w14:paraId="5CD8EDA7" w14:textId="77777777">
        <w:tc>
          <w:tcPr>
            <w:tcW w:w="0" w:type="auto"/>
            <w:gridSpan w:val="3"/>
            <w:shd w:val="clear" w:color="auto" w:fill="FFFFFF"/>
            <w:tcMar>
              <w:top w:w="40" w:type="dxa"/>
              <w:left w:w="20" w:type="dxa"/>
              <w:bottom w:w="40" w:type="dxa"/>
              <w:right w:w="20" w:type="dxa"/>
            </w:tcMar>
            <w:vAlign w:val="bottom"/>
          </w:tcPr>
          <w:p w14:paraId="5CD8ED9B" w14:textId="77777777" w:rsidR="00BA49F5" w:rsidRDefault="007E5E49">
            <w:pPr>
              <w:textAlignment w:val="bottom"/>
            </w:pPr>
            <w:r>
              <w:rPr>
                <w:rFonts w:ascii="Times New Roman" w:eastAsia="宋体" w:hAnsi="Times New Roman"/>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5CD8ED9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D9D" w14:textId="77777777" w:rsidR="00BA49F5" w:rsidRDefault="007E5E49">
            <w:pPr>
              <w:jc w:val="right"/>
              <w:textAlignment w:val="bottom"/>
            </w:pPr>
            <w:r>
              <w:rPr>
                <w:rFonts w:ascii="Times New Roman" w:eastAsia="宋体" w:hAnsi="Times New Roman"/>
                <w:color w:val="000000"/>
                <w:sz w:val="20"/>
                <w:szCs w:val="20"/>
              </w:rPr>
              <w:t>(28,970)</w:t>
            </w:r>
          </w:p>
        </w:tc>
        <w:tc>
          <w:tcPr>
            <w:tcW w:w="0" w:type="auto"/>
            <w:shd w:val="clear" w:color="auto" w:fill="FFFFFF"/>
            <w:tcMar>
              <w:top w:w="40" w:type="dxa"/>
              <w:left w:w="0" w:type="dxa"/>
              <w:bottom w:w="40" w:type="dxa"/>
              <w:right w:w="20" w:type="dxa"/>
            </w:tcMar>
            <w:vAlign w:val="bottom"/>
          </w:tcPr>
          <w:p w14:paraId="5CD8ED9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D9F"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DA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DA1" w14:textId="77777777" w:rsidR="00BA49F5" w:rsidRDefault="007E5E49">
            <w:pPr>
              <w:jc w:val="right"/>
              <w:textAlignment w:val="bottom"/>
            </w:pPr>
            <w:r>
              <w:rPr>
                <w:rFonts w:ascii="Times New Roman" w:eastAsia="宋体" w:hAnsi="Times New Roman"/>
                <w:color w:val="000000"/>
                <w:sz w:val="20"/>
                <w:szCs w:val="20"/>
              </w:rPr>
              <w:t>(7,570)</w:t>
            </w:r>
          </w:p>
        </w:tc>
        <w:tc>
          <w:tcPr>
            <w:tcW w:w="0" w:type="auto"/>
            <w:shd w:val="clear" w:color="auto" w:fill="FFFFFF"/>
            <w:tcMar>
              <w:top w:w="40" w:type="dxa"/>
              <w:left w:w="0" w:type="dxa"/>
              <w:bottom w:w="40" w:type="dxa"/>
              <w:right w:w="20" w:type="dxa"/>
            </w:tcMar>
            <w:vAlign w:val="bottom"/>
          </w:tcPr>
          <w:p w14:paraId="5CD8EDA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DA3"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DA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DA5" w14:textId="77777777" w:rsidR="00BA49F5" w:rsidRDefault="007E5E49">
            <w:pPr>
              <w:jc w:val="right"/>
              <w:textAlignment w:val="bottom"/>
            </w:pPr>
            <w:r>
              <w:rPr>
                <w:rFonts w:ascii="Times New Roman" w:eastAsia="宋体" w:hAnsi="Times New Roman"/>
                <w:color w:val="000000"/>
                <w:sz w:val="20"/>
                <w:szCs w:val="20"/>
              </w:rPr>
              <w:t>(30,059)</w:t>
            </w:r>
          </w:p>
        </w:tc>
        <w:tc>
          <w:tcPr>
            <w:tcW w:w="0" w:type="auto"/>
            <w:shd w:val="clear" w:color="auto" w:fill="FFFFFF"/>
            <w:tcMar>
              <w:top w:w="40" w:type="dxa"/>
              <w:left w:w="0" w:type="dxa"/>
              <w:bottom w:w="40" w:type="dxa"/>
              <w:right w:w="20" w:type="dxa"/>
            </w:tcMar>
            <w:vAlign w:val="bottom"/>
          </w:tcPr>
          <w:p w14:paraId="5CD8EDA6" w14:textId="77777777" w:rsidR="00BA49F5" w:rsidRDefault="00BA49F5">
            <w:pPr>
              <w:jc w:val="right"/>
              <w:rPr>
                <w:rFonts w:ascii="宋体"/>
              </w:rPr>
            </w:pPr>
          </w:p>
        </w:tc>
      </w:tr>
      <w:tr w:rsidR="00BA49F5" w14:paraId="5CD8EDB4" w14:textId="77777777">
        <w:tc>
          <w:tcPr>
            <w:tcW w:w="0" w:type="auto"/>
            <w:gridSpan w:val="3"/>
            <w:shd w:val="clear" w:color="auto" w:fill="CCEEFF"/>
            <w:tcMar>
              <w:top w:w="40" w:type="dxa"/>
              <w:left w:w="20" w:type="dxa"/>
              <w:bottom w:w="40" w:type="dxa"/>
              <w:right w:w="20" w:type="dxa"/>
            </w:tcMar>
            <w:vAlign w:val="bottom"/>
          </w:tcPr>
          <w:p w14:paraId="5CD8EDA8" w14:textId="77777777" w:rsidR="00BA49F5" w:rsidRDefault="007E5E49">
            <w:pPr>
              <w:textAlignment w:val="bottom"/>
            </w:pPr>
            <w:r>
              <w:rPr>
                <w:rFonts w:ascii="Times New Roman" w:eastAsia="宋体" w:hAnsi="Times New Roman"/>
                <w:color w:val="000000"/>
                <w:sz w:val="20"/>
                <w:szCs w:val="20"/>
              </w:rPr>
              <w:t>Net cash used in financing activities</w:t>
            </w:r>
          </w:p>
        </w:tc>
        <w:tc>
          <w:tcPr>
            <w:tcW w:w="0" w:type="auto"/>
            <w:shd w:val="clear" w:color="auto" w:fill="CCEEFF"/>
            <w:tcMar>
              <w:top w:w="40" w:type="dxa"/>
              <w:left w:w="20" w:type="dxa"/>
              <w:bottom w:w="40" w:type="dxa"/>
              <w:right w:w="0" w:type="dxa"/>
            </w:tcMar>
            <w:vAlign w:val="bottom"/>
          </w:tcPr>
          <w:p w14:paraId="5CD8EDA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AA" w14:textId="77777777" w:rsidR="00BA49F5" w:rsidRDefault="007E5E49">
            <w:pPr>
              <w:jc w:val="right"/>
              <w:textAlignment w:val="bottom"/>
            </w:pPr>
            <w:r>
              <w:rPr>
                <w:rFonts w:ascii="Times New Roman" w:eastAsia="宋体" w:hAnsi="Times New Roman"/>
                <w:color w:val="000000"/>
                <w:sz w:val="20"/>
                <w:szCs w:val="20"/>
              </w:rPr>
              <w:t>(22,136)</w:t>
            </w:r>
          </w:p>
        </w:tc>
        <w:tc>
          <w:tcPr>
            <w:tcW w:w="0" w:type="auto"/>
            <w:shd w:val="clear" w:color="auto" w:fill="CCEEFF"/>
            <w:tcMar>
              <w:top w:w="40" w:type="dxa"/>
              <w:left w:w="0" w:type="dxa"/>
              <w:bottom w:w="40" w:type="dxa"/>
              <w:right w:w="20" w:type="dxa"/>
            </w:tcMar>
            <w:vAlign w:val="bottom"/>
          </w:tcPr>
          <w:p w14:paraId="5CD8EDA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A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DA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AE" w14:textId="77777777" w:rsidR="00BA49F5" w:rsidRDefault="007E5E49">
            <w:pPr>
              <w:jc w:val="right"/>
              <w:textAlignment w:val="bottom"/>
            </w:pPr>
            <w:r>
              <w:rPr>
                <w:rFonts w:ascii="Times New Roman" w:eastAsia="宋体" w:hAnsi="Times New Roman"/>
                <w:color w:val="000000"/>
                <w:sz w:val="20"/>
                <w:szCs w:val="20"/>
              </w:rPr>
              <w:t>(50,728)</w:t>
            </w:r>
          </w:p>
        </w:tc>
        <w:tc>
          <w:tcPr>
            <w:tcW w:w="0" w:type="auto"/>
            <w:shd w:val="clear" w:color="auto" w:fill="CCEEFF"/>
            <w:tcMar>
              <w:top w:w="40" w:type="dxa"/>
              <w:left w:w="0" w:type="dxa"/>
              <w:bottom w:w="40" w:type="dxa"/>
              <w:right w:w="20" w:type="dxa"/>
            </w:tcMar>
            <w:vAlign w:val="bottom"/>
          </w:tcPr>
          <w:p w14:paraId="5CD8EDA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DB0"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DB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DB2" w14:textId="77777777" w:rsidR="00BA49F5" w:rsidRDefault="007E5E49">
            <w:pPr>
              <w:jc w:val="right"/>
              <w:textAlignment w:val="bottom"/>
            </w:pPr>
            <w:r>
              <w:rPr>
                <w:rFonts w:ascii="Times New Roman" w:eastAsia="宋体" w:hAnsi="Times New Roman"/>
                <w:color w:val="000000"/>
                <w:sz w:val="20"/>
                <w:szCs w:val="20"/>
              </w:rPr>
              <w:t>(10,292)</w:t>
            </w:r>
          </w:p>
        </w:tc>
        <w:tc>
          <w:tcPr>
            <w:tcW w:w="0" w:type="auto"/>
            <w:shd w:val="clear" w:color="auto" w:fill="CCEEFF"/>
            <w:tcMar>
              <w:top w:w="40" w:type="dxa"/>
              <w:left w:w="0" w:type="dxa"/>
              <w:bottom w:w="40" w:type="dxa"/>
              <w:right w:w="20" w:type="dxa"/>
            </w:tcMar>
            <w:vAlign w:val="bottom"/>
          </w:tcPr>
          <w:p w14:paraId="5CD8EDB3" w14:textId="77777777" w:rsidR="00BA49F5" w:rsidRDefault="00BA49F5">
            <w:pPr>
              <w:jc w:val="right"/>
              <w:rPr>
                <w:rFonts w:ascii="宋体"/>
              </w:rPr>
            </w:pPr>
          </w:p>
        </w:tc>
      </w:tr>
      <w:tr w:rsidR="00BA49F5" w14:paraId="5CD8EDBB" w14:textId="77777777">
        <w:trPr>
          <w:hidden/>
        </w:trPr>
        <w:tc>
          <w:tcPr>
            <w:tcW w:w="0" w:type="auto"/>
            <w:gridSpan w:val="3"/>
            <w:shd w:val="clear" w:color="auto" w:fill="auto"/>
            <w:vAlign w:val="bottom"/>
          </w:tcPr>
          <w:p w14:paraId="5CD8EDB5" w14:textId="77777777" w:rsidR="00BA49F5" w:rsidRDefault="00BA49F5">
            <w:pPr>
              <w:rPr>
                <w:rFonts w:ascii="宋体"/>
                <w:vanish/>
              </w:rPr>
            </w:pPr>
          </w:p>
        </w:tc>
        <w:tc>
          <w:tcPr>
            <w:tcW w:w="0" w:type="auto"/>
            <w:gridSpan w:val="3"/>
            <w:shd w:val="clear" w:color="auto" w:fill="auto"/>
            <w:vAlign w:val="bottom"/>
          </w:tcPr>
          <w:p w14:paraId="5CD8EDB6" w14:textId="77777777" w:rsidR="00BA49F5" w:rsidRDefault="00BA49F5">
            <w:pPr>
              <w:rPr>
                <w:rFonts w:ascii="宋体"/>
                <w:vanish/>
              </w:rPr>
            </w:pPr>
          </w:p>
        </w:tc>
        <w:tc>
          <w:tcPr>
            <w:tcW w:w="0" w:type="auto"/>
            <w:gridSpan w:val="3"/>
            <w:shd w:val="clear" w:color="auto" w:fill="auto"/>
            <w:vAlign w:val="bottom"/>
          </w:tcPr>
          <w:p w14:paraId="5CD8EDB7" w14:textId="77777777" w:rsidR="00BA49F5" w:rsidRDefault="00BA49F5">
            <w:pPr>
              <w:rPr>
                <w:rFonts w:ascii="宋体"/>
                <w:vanish/>
              </w:rPr>
            </w:pPr>
          </w:p>
        </w:tc>
        <w:tc>
          <w:tcPr>
            <w:tcW w:w="0" w:type="auto"/>
            <w:gridSpan w:val="3"/>
            <w:shd w:val="clear" w:color="auto" w:fill="auto"/>
            <w:vAlign w:val="bottom"/>
          </w:tcPr>
          <w:p w14:paraId="5CD8EDB8" w14:textId="77777777" w:rsidR="00BA49F5" w:rsidRDefault="00BA49F5">
            <w:pPr>
              <w:rPr>
                <w:rFonts w:ascii="宋体"/>
                <w:vanish/>
              </w:rPr>
            </w:pPr>
          </w:p>
        </w:tc>
        <w:tc>
          <w:tcPr>
            <w:tcW w:w="0" w:type="auto"/>
            <w:gridSpan w:val="3"/>
            <w:shd w:val="clear" w:color="auto" w:fill="auto"/>
            <w:vAlign w:val="bottom"/>
          </w:tcPr>
          <w:p w14:paraId="5CD8EDB9" w14:textId="77777777" w:rsidR="00BA49F5" w:rsidRDefault="00BA49F5">
            <w:pPr>
              <w:rPr>
                <w:rFonts w:ascii="宋体"/>
                <w:vanish/>
              </w:rPr>
            </w:pPr>
          </w:p>
        </w:tc>
        <w:tc>
          <w:tcPr>
            <w:tcW w:w="0" w:type="auto"/>
            <w:gridSpan w:val="3"/>
            <w:shd w:val="clear" w:color="auto" w:fill="auto"/>
            <w:vAlign w:val="bottom"/>
          </w:tcPr>
          <w:p w14:paraId="5CD8EDBA" w14:textId="77777777" w:rsidR="00BA49F5" w:rsidRDefault="00BA49F5">
            <w:pPr>
              <w:rPr>
                <w:rFonts w:ascii="宋体"/>
                <w:vanish/>
              </w:rPr>
            </w:pPr>
          </w:p>
        </w:tc>
      </w:tr>
      <w:tr w:rsidR="00BA49F5" w14:paraId="5CD8EDC2" w14:textId="77777777">
        <w:trPr>
          <w:hidden/>
        </w:trPr>
        <w:tc>
          <w:tcPr>
            <w:tcW w:w="0" w:type="auto"/>
            <w:gridSpan w:val="3"/>
            <w:shd w:val="clear" w:color="auto" w:fill="auto"/>
            <w:vAlign w:val="bottom"/>
          </w:tcPr>
          <w:p w14:paraId="5CD8EDBC" w14:textId="77777777" w:rsidR="00BA49F5" w:rsidRDefault="00BA49F5">
            <w:pPr>
              <w:rPr>
                <w:rFonts w:ascii="宋体"/>
                <w:vanish/>
              </w:rPr>
            </w:pPr>
          </w:p>
        </w:tc>
        <w:tc>
          <w:tcPr>
            <w:tcW w:w="0" w:type="auto"/>
            <w:gridSpan w:val="3"/>
            <w:shd w:val="clear" w:color="auto" w:fill="auto"/>
            <w:vAlign w:val="bottom"/>
          </w:tcPr>
          <w:p w14:paraId="5CD8EDBD" w14:textId="77777777" w:rsidR="00BA49F5" w:rsidRDefault="00BA49F5">
            <w:pPr>
              <w:rPr>
                <w:rFonts w:ascii="宋体"/>
                <w:vanish/>
              </w:rPr>
            </w:pPr>
          </w:p>
        </w:tc>
        <w:tc>
          <w:tcPr>
            <w:tcW w:w="0" w:type="auto"/>
            <w:gridSpan w:val="3"/>
            <w:shd w:val="clear" w:color="auto" w:fill="auto"/>
            <w:vAlign w:val="bottom"/>
          </w:tcPr>
          <w:p w14:paraId="5CD8EDBE" w14:textId="77777777" w:rsidR="00BA49F5" w:rsidRDefault="00BA49F5">
            <w:pPr>
              <w:rPr>
                <w:rFonts w:ascii="宋体"/>
                <w:vanish/>
              </w:rPr>
            </w:pPr>
          </w:p>
        </w:tc>
        <w:tc>
          <w:tcPr>
            <w:tcW w:w="0" w:type="auto"/>
            <w:gridSpan w:val="3"/>
            <w:shd w:val="clear" w:color="auto" w:fill="auto"/>
            <w:vAlign w:val="bottom"/>
          </w:tcPr>
          <w:p w14:paraId="5CD8EDBF" w14:textId="77777777" w:rsidR="00BA49F5" w:rsidRDefault="00BA49F5">
            <w:pPr>
              <w:rPr>
                <w:rFonts w:ascii="宋体"/>
                <w:vanish/>
              </w:rPr>
            </w:pPr>
          </w:p>
        </w:tc>
        <w:tc>
          <w:tcPr>
            <w:tcW w:w="0" w:type="auto"/>
            <w:gridSpan w:val="3"/>
            <w:shd w:val="clear" w:color="auto" w:fill="auto"/>
            <w:vAlign w:val="bottom"/>
          </w:tcPr>
          <w:p w14:paraId="5CD8EDC0" w14:textId="77777777" w:rsidR="00BA49F5" w:rsidRDefault="00BA49F5">
            <w:pPr>
              <w:rPr>
                <w:rFonts w:ascii="宋体"/>
                <w:vanish/>
              </w:rPr>
            </w:pPr>
          </w:p>
        </w:tc>
        <w:tc>
          <w:tcPr>
            <w:tcW w:w="0" w:type="auto"/>
            <w:gridSpan w:val="3"/>
            <w:shd w:val="clear" w:color="auto" w:fill="auto"/>
            <w:vAlign w:val="bottom"/>
          </w:tcPr>
          <w:p w14:paraId="5CD8EDC1" w14:textId="77777777" w:rsidR="00BA49F5" w:rsidRDefault="00BA49F5">
            <w:pPr>
              <w:rPr>
                <w:rFonts w:ascii="宋体"/>
                <w:vanish/>
              </w:rPr>
            </w:pPr>
          </w:p>
        </w:tc>
      </w:tr>
      <w:tr w:rsidR="00BA49F5" w14:paraId="5CD8EDC9" w14:textId="77777777">
        <w:trPr>
          <w:hidden/>
        </w:trPr>
        <w:tc>
          <w:tcPr>
            <w:tcW w:w="0" w:type="auto"/>
            <w:gridSpan w:val="3"/>
            <w:shd w:val="clear" w:color="auto" w:fill="auto"/>
            <w:vAlign w:val="bottom"/>
          </w:tcPr>
          <w:p w14:paraId="5CD8EDC3" w14:textId="77777777" w:rsidR="00BA49F5" w:rsidRDefault="00BA49F5">
            <w:pPr>
              <w:rPr>
                <w:rFonts w:ascii="宋体"/>
                <w:vanish/>
              </w:rPr>
            </w:pPr>
          </w:p>
        </w:tc>
        <w:tc>
          <w:tcPr>
            <w:tcW w:w="0" w:type="auto"/>
            <w:gridSpan w:val="3"/>
            <w:shd w:val="clear" w:color="auto" w:fill="auto"/>
            <w:vAlign w:val="bottom"/>
          </w:tcPr>
          <w:p w14:paraId="5CD8EDC4" w14:textId="77777777" w:rsidR="00BA49F5" w:rsidRDefault="00BA49F5">
            <w:pPr>
              <w:rPr>
                <w:rFonts w:ascii="宋体"/>
                <w:vanish/>
              </w:rPr>
            </w:pPr>
          </w:p>
        </w:tc>
        <w:tc>
          <w:tcPr>
            <w:tcW w:w="0" w:type="auto"/>
            <w:gridSpan w:val="3"/>
            <w:shd w:val="clear" w:color="auto" w:fill="auto"/>
            <w:vAlign w:val="bottom"/>
          </w:tcPr>
          <w:p w14:paraId="5CD8EDC5" w14:textId="77777777" w:rsidR="00BA49F5" w:rsidRDefault="00BA49F5">
            <w:pPr>
              <w:rPr>
                <w:rFonts w:ascii="宋体"/>
                <w:vanish/>
              </w:rPr>
            </w:pPr>
          </w:p>
        </w:tc>
        <w:tc>
          <w:tcPr>
            <w:tcW w:w="0" w:type="auto"/>
            <w:gridSpan w:val="3"/>
            <w:shd w:val="clear" w:color="auto" w:fill="auto"/>
            <w:vAlign w:val="bottom"/>
          </w:tcPr>
          <w:p w14:paraId="5CD8EDC6" w14:textId="77777777" w:rsidR="00BA49F5" w:rsidRDefault="00BA49F5">
            <w:pPr>
              <w:rPr>
                <w:rFonts w:ascii="宋体"/>
                <w:vanish/>
              </w:rPr>
            </w:pPr>
          </w:p>
        </w:tc>
        <w:tc>
          <w:tcPr>
            <w:tcW w:w="0" w:type="auto"/>
            <w:gridSpan w:val="3"/>
            <w:shd w:val="clear" w:color="auto" w:fill="auto"/>
            <w:vAlign w:val="bottom"/>
          </w:tcPr>
          <w:p w14:paraId="5CD8EDC7" w14:textId="77777777" w:rsidR="00BA49F5" w:rsidRDefault="00BA49F5">
            <w:pPr>
              <w:rPr>
                <w:rFonts w:ascii="宋体"/>
                <w:vanish/>
              </w:rPr>
            </w:pPr>
          </w:p>
        </w:tc>
        <w:tc>
          <w:tcPr>
            <w:tcW w:w="0" w:type="auto"/>
            <w:gridSpan w:val="3"/>
            <w:shd w:val="clear" w:color="auto" w:fill="auto"/>
            <w:vAlign w:val="bottom"/>
          </w:tcPr>
          <w:p w14:paraId="5CD8EDC8" w14:textId="77777777" w:rsidR="00BA49F5" w:rsidRDefault="00BA49F5">
            <w:pPr>
              <w:rPr>
                <w:rFonts w:ascii="宋体"/>
                <w:vanish/>
              </w:rPr>
            </w:pPr>
          </w:p>
        </w:tc>
      </w:tr>
      <w:tr w:rsidR="00BA49F5" w14:paraId="5CD8EDD0" w14:textId="77777777">
        <w:trPr>
          <w:hidden/>
        </w:trPr>
        <w:tc>
          <w:tcPr>
            <w:tcW w:w="0" w:type="auto"/>
            <w:gridSpan w:val="3"/>
            <w:shd w:val="clear" w:color="auto" w:fill="auto"/>
            <w:vAlign w:val="bottom"/>
          </w:tcPr>
          <w:p w14:paraId="5CD8EDCA" w14:textId="77777777" w:rsidR="00BA49F5" w:rsidRDefault="00BA49F5">
            <w:pPr>
              <w:rPr>
                <w:rFonts w:ascii="宋体"/>
                <w:vanish/>
              </w:rPr>
            </w:pPr>
          </w:p>
        </w:tc>
        <w:tc>
          <w:tcPr>
            <w:tcW w:w="0" w:type="auto"/>
            <w:gridSpan w:val="3"/>
            <w:shd w:val="clear" w:color="auto" w:fill="auto"/>
            <w:vAlign w:val="bottom"/>
          </w:tcPr>
          <w:p w14:paraId="5CD8EDCB" w14:textId="77777777" w:rsidR="00BA49F5" w:rsidRDefault="00BA49F5">
            <w:pPr>
              <w:rPr>
                <w:rFonts w:ascii="宋体"/>
                <w:vanish/>
              </w:rPr>
            </w:pPr>
          </w:p>
        </w:tc>
        <w:tc>
          <w:tcPr>
            <w:tcW w:w="0" w:type="auto"/>
            <w:gridSpan w:val="3"/>
            <w:shd w:val="clear" w:color="auto" w:fill="auto"/>
            <w:vAlign w:val="bottom"/>
          </w:tcPr>
          <w:p w14:paraId="5CD8EDCC" w14:textId="77777777" w:rsidR="00BA49F5" w:rsidRDefault="00BA49F5">
            <w:pPr>
              <w:rPr>
                <w:rFonts w:ascii="宋体"/>
                <w:vanish/>
              </w:rPr>
            </w:pPr>
          </w:p>
        </w:tc>
        <w:tc>
          <w:tcPr>
            <w:tcW w:w="0" w:type="auto"/>
            <w:gridSpan w:val="3"/>
            <w:shd w:val="clear" w:color="auto" w:fill="auto"/>
            <w:vAlign w:val="bottom"/>
          </w:tcPr>
          <w:p w14:paraId="5CD8EDCD" w14:textId="77777777" w:rsidR="00BA49F5" w:rsidRDefault="00BA49F5">
            <w:pPr>
              <w:rPr>
                <w:rFonts w:ascii="宋体"/>
                <w:vanish/>
              </w:rPr>
            </w:pPr>
          </w:p>
        </w:tc>
        <w:tc>
          <w:tcPr>
            <w:tcW w:w="0" w:type="auto"/>
            <w:gridSpan w:val="3"/>
            <w:shd w:val="clear" w:color="auto" w:fill="auto"/>
            <w:vAlign w:val="bottom"/>
          </w:tcPr>
          <w:p w14:paraId="5CD8EDCE" w14:textId="77777777" w:rsidR="00BA49F5" w:rsidRDefault="00BA49F5">
            <w:pPr>
              <w:rPr>
                <w:rFonts w:ascii="宋体"/>
                <w:vanish/>
              </w:rPr>
            </w:pPr>
          </w:p>
        </w:tc>
        <w:tc>
          <w:tcPr>
            <w:tcW w:w="0" w:type="auto"/>
            <w:gridSpan w:val="3"/>
            <w:shd w:val="clear" w:color="auto" w:fill="auto"/>
            <w:vAlign w:val="bottom"/>
          </w:tcPr>
          <w:p w14:paraId="5CD8EDCF" w14:textId="77777777" w:rsidR="00BA49F5" w:rsidRDefault="00BA49F5">
            <w:pPr>
              <w:rPr>
                <w:rFonts w:ascii="宋体"/>
                <w:vanish/>
              </w:rPr>
            </w:pPr>
          </w:p>
        </w:tc>
      </w:tr>
    </w:tbl>
    <w:p w14:paraId="5CD8EDD1" w14:textId="77777777" w:rsidR="00BA49F5" w:rsidRDefault="00BA49F5">
      <w:pPr>
        <w:ind w:firstLine="540"/>
        <w:jc w:val="both"/>
      </w:pPr>
    </w:p>
    <w:p w14:paraId="5CD8EDD2" w14:textId="77777777" w:rsidR="00BA49F5" w:rsidRDefault="007E5E49">
      <w:pPr>
        <w:ind w:firstLine="540"/>
        <w:jc w:val="both"/>
      </w:pPr>
      <w:r>
        <w:rPr>
          <w:rFonts w:ascii="Times New Roman" w:eastAsia="宋体" w:hAnsi="Times New Roman"/>
          <w:b/>
          <w:bCs/>
          <w:i/>
          <w:iCs/>
          <w:color w:val="000000"/>
          <w:sz w:val="20"/>
          <w:szCs w:val="20"/>
        </w:rPr>
        <w:t>Cash Provided by Operating Activities</w:t>
      </w:r>
    </w:p>
    <w:p w14:paraId="5CD8EDD3" w14:textId="77777777" w:rsidR="00BA49F5" w:rsidRDefault="00BA49F5">
      <w:pPr>
        <w:jc w:val="both"/>
      </w:pPr>
    </w:p>
    <w:p w14:paraId="5CD8EDD4" w14:textId="77777777" w:rsidR="00BA49F5" w:rsidRDefault="007E5E49">
      <w:pPr>
        <w:ind w:firstLine="540"/>
        <w:jc w:val="both"/>
      </w:pPr>
      <w:r>
        <w:rPr>
          <w:rFonts w:ascii="Times New Roman" w:eastAsia="宋体" w:hAnsi="Times New Roman"/>
          <w:color w:val="000000"/>
          <w:sz w:val="20"/>
          <w:szCs w:val="20"/>
        </w:rPr>
        <w:t xml:space="preserve">Cash provided by operating activities during 2022 mostly consisted of net income adjusted for certain non-cash items, such as $11.99 billion of share-based </w:t>
      </w:r>
      <w:r>
        <w:rPr>
          <w:rFonts w:ascii="Times New Roman" w:eastAsia="宋体" w:hAnsi="Times New Roman"/>
          <w:color w:val="000000"/>
          <w:sz w:val="20"/>
          <w:szCs w:val="20"/>
        </w:rPr>
        <w:t>compensation expense, $8.69 billion of depreciation and amortization, and $3.56 billion of impairment for leases, leasehold improvements, and abandonment charges for data center assets related to our restructuring efforts. The decrease in cash flows from o</w:t>
      </w:r>
      <w:r>
        <w:rPr>
          <w:rFonts w:ascii="Times New Roman" w:eastAsia="宋体" w:hAnsi="Times New Roman"/>
          <w:color w:val="000000"/>
          <w:sz w:val="20"/>
          <w:szCs w:val="20"/>
        </w:rPr>
        <w:t>perating activities during 2022 compared to 2021 was mainly</w:t>
      </w:r>
      <w:r>
        <w:rPr>
          <w:rFonts w:ascii="Times New Roman" w:eastAsia="宋体" w:hAnsi="Times New Roman"/>
          <w:color w:val="000000"/>
          <w:sz w:val="20"/>
          <w:szCs w:val="20"/>
          <w:shd w:val="clear" w:color="auto" w:fill="FFFFFF"/>
        </w:rPr>
        <w:t xml:space="preserve"> du</w:t>
      </w:r>
      <w:r>
        <w:rPr>
          <w:rFonts w:ascii="Times New Roman" w:eastAsia="宋体" w:hAnsi="Times New Roman"/>
          <w:color w:val="000000"/>
          <w:sz w:val="20"/>
          <w:szCs w:val="20"/>
        </w:rPr>
        <w:t>e to a decrease in net income as adjusted for the aforementioned non-cash items, partially offset by changes in working capital.</w:t>
      </w:r>
    </w:p>
    <w:p w14:paraId="5CD8EDD5" w14:textId="77777777" w:rsidR="00BA49F5" w:rsidRDefault="00BA49F5">
      <w:pPr>
        <w:ind w:firstLine="540"/>
        <w:jc w:val="both"/>
      </w:pPr>
    </w:p>
    <w:p w14:paraId="5CD8EDD6" w14:textId="77777777" w:rsidR="00BA49F5" w:rsidRDefault="007E5E49">
      <w:pPr>
        <w:ind w:firstLine="540"/>
        <w:jc w:val="both"/>
      </w:pPr>
      <w:r>
        <w:rPr>
          <w:rFonts w:ascii="Times New Roman" w:eastAsia="宋体" w:hAnsi="Times New Roman"/>
          <w:b/>
          <w:bCs/>
          <w:i/>
          <w:iCs/>
          <w:color w:val="000000"/>
          <w:sz w:val="20"/>
          <w:szCs w:val="20"/>
        </w:rPr>
        <w:t>Cash Used in Investing Activities</w:t>
      </w:r>
    </w:p>
    <w:p w14:paraId="5CD8EDD7" w14:textId="77777777" w:rsidR="00BA49F5" w:rsidRDefault="00BA49F5">
      <w:pPr>
        <w:jc w:val="both"/>
      </w:pPr>
    </w:p>
    <w:p w14:paraId="5CD8EDD8" w14:textId="77777777" w:rsidR="00BA49F5" w:rsidRDefault="007E5E49">
      <w:pPr>
        <w:ind w:firstLine="540"/>
        <w:jc w:val="both"/>
      </w:pPr>
      <w:r>
        <w:rPr>
          <w:rFonts w:ascii="Times New Roman" w:eastAsia="宋体" w:hAnsi="Times New Roman"/>
          <w:color w:val="000000"/>
          <w:sz w:val="20"/>
          <w:szCs w:val="20"/>
        </w:rPr>
        <w:t xml:space="preserve">Cash used in </w:t>
      </w:r>
      <w:r>
        <w:rPr>
          <w:rFonts w:ascii="Times New Roman" w:eastAsia="宋体" w:hAnsi="Times New Roman"/>
          <w:color w:val="000000"/>
          <w:sz w:val="20"/>
          <w:szCs w:val="20"/>
        </w:rPr>
        <w:t>investing activities during 2022 mostly consisted of $31.19 billion of net purchases of property and equipment as we continued to invest in servers, data centers, and network infrastructure, partially offset by $3.53 billion proceeds from net sales and mat</w:t>
      </w:r>
      <w:r>
        <w:rPr>
          <w:rFonts w:ascii="Times New Roman" w:eastAsia="宋体" w:hAnsi="Times New Roman"/>
          <w:color w:val="000000"/>
          <w:sz w:val="20"/>
          <w:szCs w:val="20"/>
        </w:rPr>
        <w:t>urities of marketable debt securities. The increase in cash used in investing activities during 2022 compared to 2021 was mostly due to an increase in net purchases of property and equipment, and a decrease in proceeds from net sales and maturities of mark</w:t>
      </w:r>
      <w:r>
        <w:rPr>
          <w:rFonts w:ascii="Times New Roman" w:eastAsia="宋体" w:hAnsi="Times New Roman"/>
          <w:color w:val="000000"/>
          <w:sz w:val="20"/>
          <w:szCs w:val="20"/>
        </w:rPr>
        <w:t>etable debt securities.</w:t>
      </w:r>
    </w:p>
    <w:p w14:paraId="5CD8EDD9" w14:textId="77777777" w:rsidR="00BA49F5" w:rsidRDefault="00BA49F5">
      <w:pPr>
        <w:ind w:firstLine="540"/>
        <w:jc w:val="both"/>
      </w:pPr>
    </w:p>
    <w:p w14:paraId="5CD8EDDA" w14:textId="77777777" w:rsidR="00BA49F5" w:rsidRDefault="007E5E49">
      <w:pPr>
        <w:ind w:firstLine="540"/>
        <w:jc w:val="both"/>
      </w:pPr>
      <w:r>
        <w:rPr>
          <w:rFonts w:ascii="Times New Roman" w:eastAsia="宋体" w:hAnsi="Times New Roman"/>
          <w:color w:val="000000"/>
          <w:sz w:val="20"/>
          <w:szCs w:val="20"/>
        </w:rPr>
        <w:t>We anticipate making capital expenditures of approximately $30 billion to $33 billion in 2023.</w:t>
      </w:r>
    </w:p>
    <w:p w14:paraId="5CD8EDDB" w14:textId="77777777" w:rsidR="00BA49F5" w:rsidRDefault="00BA49F5">
      <w:pPr>
        <w:ind w:firstLine="540"/>
        <w:jc w:val="both"/>
      </w:pPr>
    </w:p>
    <w:p w14:paraId="5CD8EDDC" w14:textId="77777777" w:rsidR="00BA49F5" w:rsidRDefault="007E5E49">
      <w:pPr>
        <w:ind w:firstLine="540"/>
        <w:jc w:val="both"/>
      </w:pPr>
      <w:r>
        <w:rPr>
          <w:rFonts w:ascii="Times New Roman" w:eastAsia="宋体" w:hAnsi="Times New Roman"/>
          <w:b/>
          <w:bCs/>
          <w:i/>
          <w:iCs/>
          <w:color w:val="000000"/>
          <w:sz w:val="20"/>
          <w:szCs w:val="20"/>
        </w:rPr>
        <w:t>Cash Used in Financing Activities</w:t>
      </w:r>
    </w:p>
    <w:p w14:paraId="5CD8EDDD" w14:textId="77777777" w:rsidR="00BA49F5" w:rsidRDefault="00BA49F5">
      <w:pPr>
        <w:jc w:val="both"/>
      </w:pPr>
    </w:p>
    <w:p w14:paraId="5CD8EDDE" w14:textId="77777777" w:rsidR="00BA49F5" w:rsidRDefault="007E5E49">
      <w:pPr>
        <w:ind w:firstLine="540"/>
        <w:jc w:val="both"/>
      </w:pPr>
      <w:r>
        <w:rPr>
          <w:rFonts w:ascii="Times New Roman" w:eastAsia="宋体" w:hAnsi="Times New Roman"/>
          <w:color w:val="000000"/>
          <w:sz w:val="20"/>
          <w:szCs w:val="20"/>
        </w:rPr>
        <w:t xml:space="preserve">Cash used in financing activities during 2022 mostly consisted of $27.96 billion for </w:t>
      </w:r>
      <w:r>
        <w:rPr>
          <w:rFonts w:ascii="Times New Roman" w:eastAsia="宋体" w:hAnsi="Times New Roman"/>
          <w:color w:val="000000"/>
          <w:sz w:val="20"/>
          <w:szCs w:val="20"/>
        </w:rPr>
        <w:t>repurchases of our Class A common stock and $3.60 billion of taxes paid related to net share settlement of RSUs, partially offset by $9.92 billion proceeds from the issuance of the Notes. The decrease in cash used in financing activities during 2022 compar</w:t>
      </w:r>
      <w:r>
        <w:rPr>
          <w:rFonts w:ascii="Times New Roman" w:eastAsia="宋体" w:hAnsi="Times New Roman"/>
          <w:color w:val="000000"/>
          <w:sz w:val="20"/>
          <w:szCs w:val="20"/>
        </w:rPr>
        <w:t>ed to 2021 was mostly due to a decrease in repurchases of our Class A common stock and proceeds from the issuance of the Notes.</w:t>
      </w:r>
    </w:p>
    <w:p w14:paraId="5CD8EDDF" w14:textId="77777777" w:rsidR="00BA49F5" w:rsidRDefault="00BA49F5">
      <w:pPr>
        <w:ind w:firstLine="495"/>
        <w:jc w:val="both"/>
      </w:pPr>
    </w:p>
    <w:p w14:paraId="5CD8EDE0" w14:textId="77777777" w:rsidR="00BA49F5" w:rsidRDefault="007E5E49">
      <w:pPr>
        <w:jc w:val="center"/>
      </w:pPr>
      <w:r>
        <w:rPr>
          <w:rFonts w:ascii="Times New Roman" w:eastAsia="宋体" w:hAnsi="Times New Roman"/>
          <w:color w:val="000000"/>
          <w:sz w:val="20"/>
          <w:szCs w:val="20"/>
        </w:rPr>
        <w:t>75</w:t>
      </w:r>
    </w:p>
    <w:p w14:paraId="5CD8EDE1" w14:textId="77777777" w:rsidR="00BA49F5" w:rsidRDefault="007E5E49">
      <w:r>
        <w:pict w14:anchorId="5CD90D40">
          <v:rect id="_x0000_i1099" style="width:415.3pt;height:1.5pt" o:hralign="center" o:hrstd="t" o:hr="t" fillcolor="#a0a0a0" stroked="f"/>
        </w:pict>
      </w:r>
    </w:p>
    <w:p w14:paraId="5CD8EDE2" w14:textId="77777777" w:rsidR="00BA49F5" w:rsidRDefault="00BA49F5"/>
    <w:p w14:paraId="5CD8EDE3" w14:textId="77777777" w:rsidR="00BA49F5" w:rsidRDefault="00BA49F5"/>
    <w:p w14:paraId="5CD8EDE4" w14:textId="77777777" w:rsidR="00BA49F5" w:rsidRDefault="007E5E49">
      <w:hyperlink r:id="rId230" w:anchor="i6df229dad1864210ab76200083e26819_7" w:history="1">
        <w:r>
          <w:rPr>
            <w:rStyle w:val="a5"/>
            <w:rFonts w:ascii="Times New Roman" w:eastAsia="宋体" w:hAnsi="Times New Roman"/>
            <w:sz w:val="20"/>
            <w:szCs w:val="20"/>
          </w:rPr>
          <w:t>T</w:t>
        </w:r>
      </w:hyperlink>
      <w:hyperlink r:id="rId231" w:anchor="i6df229dad1864210ab76200083e26819_7" w:history="1">
        <w:r>
          <w:rPr>
            <w:rStyle w:val="a5"/>
            <w:rFonts w:ascii="Times New Roman" w:eastAsia="宋体" w:hAnsi="Times New Roman"/>
            <w:sz w:val="20"/>
            <w:szCs w:val="20"/>
          </w:rPr>
          <w:t>able of Contents</w:t>
        </w:r>
      </w:hyperlink>
    </w:p>
    <w:p w14:paraId="5CD8EDE5" w14:textId="77777777" w:rsidR="00BA49F5" w:rsidRDefault="007E5E49">
      <w:pPr>
        <w:ind w:firstLine="540"/>
        <w:jc w:val="both"/>
      </w:pPr>
      <w:r>
        <w:rPr>
          <w:rFonts w:ascii="Times New Roman" w:eastAsia="宋体" w:hAnsi="Times New Roman"/>
          <w:b/>
          <w:bCs/>
          <w:i/>
          <w:iCs/>
          <w:color w:val="000000"/>
          <w:sz w:val="20"/>
          <w:szCs w:val="20"/>
        </w:rPr>
        <w:t xml:space="preserve">Free Cash Flow </w:t>
      </w:r>
    </w:p>
    <w:p w14:paraId="5CD8EDE6" w14:textId="77777777" w:rsidR="00BA49F5" w:rsidRDefault="00BA49F5">
      <w:pPr>
        <w:ind w:firstLine="540"/>
        <w:jc w:val="both"/>
      </w:pPr>
    </w:p>
    <w:p w14:paraId="5CD8EDE7" w14:textId="77777777" w:rsidR="00BA49F5" w:rsidRDefault="007E5E49">
      <w:pPr>
        <w:ind w:firstLine="540"/>
        <w:jc w:val="both"/>
      </w:pPr>
      <w:r>
        <w:rPr>
          <w:rFonts w:ascii="Times New Roman" w:eastAsia="宋体" w:hAnsi="Times New Roman"/>
          <w:color w:val="000000"/>
          <w:sz w:val="20"/>
          <w:szCs w:val="20"/>
        </w:rPr>
        <w:t>In addition to other financial meas</w:t>
      </w:r>
      <w:r>
        <w:rPr>
          <w:rFonts w:ascii="Times New Roman" w:eastAsia="宋体" w:hAnsi="Times New Roman"/>
          <w:color w:val="000000"/>
          <w:sz w:val="20"/>
          <w:szCs w:val="20"/>
        </w:rPr>
        <w:t>ures presented in accordance with U.S. GAAP, we monitor free cash flow (FCF) as a non-GAAP measure to manage our business, make planning decisions, evaluate our performance, and allocate resources. We define FCF as net cash provided by operating activities</w:t>
      </w:r>
      <w:r>
        <w:rPr>
          <w:rFonts w:ascii="Times New Roman" w:eastAsia="宋体" w:hAnsi="Times New Roman"/>
          <w:color w:val="000000"/>
          <w:sz w:val="20"/>
          <w:szCs w:val="20"/>
        </w:rPr>
        <w:t xml:space="preserve"> reduced by net purchases of property and equipment and principal payments on finance leases.</w:t>
      </w:r>
    </w:p>
    <w:p w14:paraId="5CD8EDE8" w14:textId="77777777" w:rsidR="00BA49F5" w:rsidRDefault="00BA49F5">
      <w:pPr>
        <w:ind w:firstLine="540"/>
        <w:jc w:val="both"/>
      </w:pPr>
    </w:p>
    <w:p w14:paraId="5CD8EDE9" w14:textId="77777777" w:rsidR="00BA49F5" w:rsidRDefault="007E5E49">
      <w:pPr>
        <w:ind w:firstLine="540"/>
        <w:jc w:val="both"/>
      </w:pPr>
      <w:r>
        <w:rPr>
          <w:rFonts w:ascii="Times New Roman" w:eastAsia="宋体" w:hAnsi="Times New Roman"/>
          <w:color w:val="000000"/>
          <w:sz w:val="20"/>
          <w:szCs w:val="20"/>
        </w:rPr>
        <w:t>We believe that FCF is one of the key financial indicators of our business performance over the long term and provides useful information regarding how cash prov</w:t>
      </w:r>
      <w:r>
        <w:rPr>
          <w:rFonts w:ascii="Times New Roman" w:eastAsia="宋体" w:hAnsi="Times New Roman"/>
          <w:color w:val="000000"/>
          <w:sz w:val="20"/>
          <w:szCs w:val="20"/>
        </w:rPr>
        <w:t xml:space="preserve">ided by operating activities compares to the property and equipment investments required to maintain and grow our business. </w:t>
      </w:r>
    </w:p>
    <w:p w14:paraId="5CD8EDEA" w14:textId="77777777" w:rsidR="00BA49F5" w:rsidRDefault="00BA49F5">
      <w:pPr>
        <w:ind w:firstLine="495"/>
        <w:jc w:val="both"/>
      </w:pPr>
    </w:p>
    <w:p w14:paraId="5CD8EDEB" w14:textId="77777777" w:rsidR="00BA49F5" w:rsidRDefault="007E5E49">
      <w:pPr>
        <w:ind w:firstLine="540"/>
        <w:jc w:val="both"/>
      </w:pPr>
      <w:r>
        <w:rPr>
          <w:rFonts w:ascii="Times New Roman" w:eastAsia="宋体" w:hAnsi="Times New Roman"/>
          <w:color w:val="000000"/>
          <w:sz w:val="20"/>
          <w:szCs w:val="20"/>
        </w:rPr>
        <w:t>We have chosen our definition for FCF because we believe that this methodology can provide useful supplemental information to help</w:t>
      </w:r>
      <w:r>
        <w:rPr>
          <w:rFonts w:ascii="Times New Roman" w:eastAsia="宋体" w:hAnsi="Times New Roman"/>
          <w:color w:val="000000"/>
          <w:sz w:val="20"/>
          <w:szCs w:val="20"/>
        </w:rPr>
        <w:t xml:space="preserve"> investors better understand underlying trends in our business. We use FCF in discussions with our senior management and board of directors.</w:t>
      </w:r>
    </w:p>
    <w:p w14:paraId="5CD8EDEC" w14:textId="77777777" w:rsidR="00BA49F5" w:rsidRDefault="00BA49F5">
      <w:pPr>
        <w:ind w:firstLine="540"/>
        <w:jc w:val="both"/>
      </w:pPr>
    </w:p>
    <w:p w14:paraId="5CD8EDED" w14:textId="77777777" w:rsidR="00BA49F5" w:rsidRDefault="007E5E49">
      <w:pPr>
        <w:ind w:firstLine="540"/>
        <w:jc w:val="both"/>
      </w:pPr>
      <w:r>
        <w:rPr>
          <w:rFonts w:ascii="Times New Roman" w:eastAsia="宋体" w:hAnsi="Times New Roman"/>
          <w:color w:val="000000"/>
          <w:sz w:val="20"/>
          <w:szCs w:val="20"/>
        </w:rPr>
        <w:t>FCF has limitations as an analytical tool, and you should not consider it in isolation or as a substitute for anal</w:t>
      </w:r>
      <w:r>
        <w:rPr>
          <w:rFonts w:ascii="Times New Roman" w:eastAsia="宋体" w:hAnsi="Times New Roman"/>
          <w:color w:val="000000"/>
          <w:sz w:val="20"/>
          <w:szCs w:val="20"/>
        </w:rPr>
        <w:t>ysis of other GAAP financial measures, such as net cash provided by operating activities. FCF is not intended to represent our residual cash flow available for discretionary expenses. Some of the limitations of FCF are:</w:t>
      </w:r>
    </w:p>
    <w:p w14:paraId="5CD8EDEE" w14:textId="77777777" w:rsidR="00BA49F5" w:rsidRDefault="00BA49F5">
      <w:pPr>
        <w:ind w:firstLine="540"/>
        <w:jc w:val="both"/>
      </w:pPr>
    </w:p>
    <w:p w14:paraId="5CD8EDEF" w14:textId="77777777" w:rsidR="00BA49F5" w:rsidRDefault="007E5E49">
      <w:pPr>
        <w:ind w:hanging="450"/>
        <w:jc w:val="both"/>
      </w:pPr>
      <w:r>
        <w:rPr>
          <w:rFonts w:ascii="Times New Roman" w:eastAsia="宋体" w:hAnsi="Times New Roman"/>
          <w:color w:val="000000"/>
          <w:sz w:val="20"/>
          <w:szCs w:val="20"/>
        </w:rPr>
        <w:t>•FCF does not reflect our future co</w:t>
      </w:r>
      <w:r>
        <w:rPr>
          <w:rFonts w:ascii="Times New Roman" w:eastAsia="宋体" w:hAnsi="Times New Roman"/>
          <w:color w:val="000000"/>
          <w:sz w:val="20"/>
          <w:szCs w:val="20"/>
        </w:rPr>
        <w:t>ntractual commitments; and</w:t>
      </w:r>
    </w:p>
    <w:p w14:paraId="5CD8EDF0" w14:textId="77777777" w:rsidR="00BA49F5" w:rsidRDefault="007E5E49">
      <w:pPr>
        <w:ind w:hanging="450"/>
        <w:jc w:val="both"/>
      </w:pPr>
      <w:r>
        <w:rPr>
          <w:rFonts w:ascii="Times New Roman" w:eastAsia="宋体" w:hAnsi="Times New Roman"/>
          <w:color w:val="000000"/>
          <w:sz w:val="20"/>
          <w:szCs w:val="20"/>
        </w:rPr>
        <w:t>•other companies in our industry present similarly titled measures differently than we do, limiting their usefulness as comparative measures.</w:t>
      </w:r>
    </w:p>
    <w:p w14:paraId="5CD8EDF1" w14:textId="77777777" w:rsidR="00BA49F5" w:rsidRDefault="00BA49F5">
      <w:pPr>
        <w:jc w:val="both"/>
      </w:pPr>
    </w:p>
    <w:p w14:paraId="5CD8EDF2" w14:textId="77777777" w:rsidR="00BA49F5" w:rsidRDefault="007E5E49">
      <w:pPr>
        <w:ind w:firstLine="540"/>
        <w:jc w:val="both"/>
      </w:pPr>
      <w:r>
        <w:rPr>
          <w:rFonts w:ascii="Times New Roman" w:eastAsia="宋体" w:hAnsi="Times New Roman"/>
          <w:color w:val="000000"/>
          <w:sz w:val="20"/>
          <w:szCs w:val="20"/>
        </w:rPr>
        <w:t>Management compensates for the inherent limitations associated with using the FCF meas</w:t>
      </w:r>
      <w:r>
        <w:rPr>
          <w:rFonts w:ascii="Times New Roman" w:eastAsia="宋体" w:hAnsi="Times New Roman"/>
          <w:color w:val="000000"/>
          <w:sz w:val="20"/>
          <w:szCs w:val="20"/>
        </w:rPr>
        <w:t>ure through disclosure of such limitations, presentation of our financial statements in accordance with GAAP, and reconciliation of FCF to the most directly comparable GAAP measure, net cash provided by operating activities, as presented below.</w:t>
      </w:r>
    </w:p>
    <w:p w14:paraId="5CD8EDF3" w14:textId="77777777" w:rsidR="00BA49F5" w:rsidRDefault="00BA49F5">
      <w:pPr>
        <w:ind w:firstLine="540"/>
        <w:jc w:val="both"/>
      </w:pPr>
    </w:p>
    <w:p w14:paraId="5CD8EDF4" w14:textId="77777777" w:rsidR="00BA49F5" w:rsidRDefault="007E5E49">
      <w:pPr>
        <w:ind w:firstLine="540"/>
        <w:jc w:val="both"/>
      </w:pPr>
      <w:r>
        <w:rPr>
          <w:rFonts w:ascii="Times New Roman" w:eastAsia="宋体" w:hAnsi="Times New Roman"/>
          <w:color w:val="000000"/>
          <w:sz w:val="20"/>
          <w:szCs w:val="20"/>
        </w:rPr>
        <w:t>The follow</w:t>
      </w:r>
      <w:r>
        <w:rPr>
          <w:rFonts w:ascii="Times New Roman" w:eastAsia="宋体" w:hAnsi="Times New Roman"/>
          <w:color w:val="000000"/>
          <w:sz w:val="20"/>
          <w:szCs w:val="20"/>
        </w:rPr>
        <w:t>ing is a reconciliation of FCF to the most comparable GAAP measure, net cash provided by operating activities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0"/>
        <w:gridCol w:w="940"/>
        <w:gridCol w:w="36"/>
        <w:gridCol w:w="36"/>
        <w:gridCol w:w="36"/>
        <w:gridCol w:w="36"/>
        <w:gridCol w:w="120"/>
        <w:gridCol w:w="902"/>
        <w:gridCol w:w="36"/>
        <w:gridCol w:w="36"/>
        <w:gridCol w:w="36"/>
        <w:gridCol w:w="36"/>
        <w:gridCol w:w="120"/>
        <w:gridCol w:w="902"/>
        <w:gridCol w:w="36"/>
      </w:tblGrid>
      <w:tr w:rsidR="00BA49F5" w14:paraId="5CD8EE07" w14:textId="77777777">
        <w:tc>
          <w:tcPr>
            <w:tcW w:w="50" w:type="pct"/>
            <w:shd w:val="clear" w:color="auto" w:fill="auto"/>
            <w:vAlign w:val="bottom"/>
          </w:tcPr>
          <w:p w14:paraId="5CD8EDF5" w14:textId="77777777" w:rsidR="00BA49F5" w:rsidRDefault="00BA49F5">
            <w:pPr>
              <w:rPr>
                <w:rFonts w:ascii="宋体"/>
              </w:rPr>
            </w:pPr>
          </w:p>
        </w:tc>
        <w:tc>
          <w:tcPr>
            <w:tcW w:w="2928" w:type="pct"/>
            <w:shd w:val="clear" w:color="auto" w:fill="auto"/>
            <w:vAlign w:val="bottom"/>
          </w:tcPr>
          <w:p w14:paraId="5CD8EDF6" w14:textId="77777777" w:rsidR="00BA49F5" w:rsidRDefault="00BA49F5">
            <w:pPr>
              <w:rPr>
                <w:rFonts w:ascii="宋体"/>
              </w:rPr>
            </w:pPr>
          </w:p>
        </w:tc>
        <w:tc>
          <w:tcPr>
            <w:tcW w:w="5" w:type="pct"/>
            <w:shd w:val="clear" w:color="auto" w:fill="auto"/>
            <w:vAlign w:val="bottom"/>
          </w:tcPr>
          <w:p w14:paraId="5CD8EDF7" w14:textId="77777777" w:rsidR="00BA49F5" w:rsidRDefault="00BA49F5">
            <w:pPr>
              <w:rPr>
                <w:rFonts w:ascii="宋体"/>
              </w:rPr>
            </w:pPr>
          </w:p>
        </w:tc>
        <w:tc>
          <w:tcPr>
            <w:tcW w:w="50" w:type="pct"/>
            <w:shd w:val="clear" w:color="auto" w:fill="auto"/>
            <w:vAlign w:val="bottom"/>
          </w:tcPr>
          <w:p w14:paraId="5CD8EDF8" w14:textId="77777777" w:rsidR="00BA49F5" w:rsidRDefault="00BA49F5">
            <w:pPr>
              <w:rPr>
                <w:rFonts w:ascii="宋体"/>
              </w:rPr>
            </w:pPr>
          </w:p>
        </w:tc>
        <w:tc>
          <w:tcPr>
            <w:tcW w:w="592" w:type="pct"/>
            <w:shd w:val="clear" w:color="auto" w:fill="auto"/>
            <w:vAlign w:val="bottom"/>
          </w:tcPr>
          <w:p w14:paraId="5CD8EDF9" w14:textId="77777777" w:rsidR="00BA49F5" w:rsidRDefault="00BA49F5">
            <w:pPr>
              <w:rPr>
                <w:rFonts w:ascii="宋体"/>
              </w:rPr>
            </w:pPr>
          </w:p>
        </w:tc>
        <w:tc>
          <w:tcPr>
            <w:tcW w:w="5" w:type="pct"/>
            <w:shd w:val="clear" w:color="auto" w:fill="auto"/>
            <w:vAlign w:val="bottom"/>
          </w:tcPr>
          <w:p w14:paraId="5CD8EDFA" w14:textId="77777777" w:rsidR="00BA49F5" w:rsidRDefault="00BA49F5">
            <w:pPr>
              <w:rPr>
                <w:rFonts w:ascii="宋体"/>
              </w:rPr>
            </w:pPr>
          </w:p>
        </w:tc>
        <w:tc>
          <w:tcPr>
            <w:tcW w:w="5" w:type="pct"/>
            <w:shd w:val="clear" w:color="auto" w:fill="auto"/>
            <w:vAlign w:val="bottom"/>
          </w:tcPr>
          <w:p w14:paraId="5CD8EDFB" w14:textId="77777777" w:rsidR="00BA49F5" w:rsidRDefault="00BA49F5">
            <w:pPr>
              <w:rPr>
                <w:rFonts w:ascii="宋体"/>
              </w:rPr>
            </w:pPr>
          </w:p>
        </w:tc>
        <w:tc>
          <w:tcPr>
            <w:tcW w:w="27" w:type="pct"/>
            <w:shd w:val="clear" w:color="auto" w:fill="auto"/>
            <w:vAlign w:val="bottom"/>
          </w:tcPr>
          <w:p w14:paraId="5CD8EDFC" w14:textId="77777777" w:rsidR="00BA49F5" w:rsidRDefault="00BA49F5">
            <w:pPr>
              <w:rPr>
                <w:rFonts w:ascii="宋体"/>
              </w:rPr>
            </w:pPr>
          </w:p>
        </w:tc>
        <w:tc>
          <w:tcPr>
            <w:tcW w:w="5" w:type="pct"/>
            <w:shd w:val="clear" w:color="auto" w:fill="auto"/>
            <w:vAlign w:val="bottom"/>
          </w:tcPr>
          <w:p w14:paraId="5CD8EDFD" w14:textId="77777777" w:rsidR="00BA49F5" w:rsidRDefault="00BA49F5">
            <w:pPr>
              <w:rPr>
                <w:rFonts w:ascii="宋体"/>
              </w:rPr>
            </w:pPr>
          </w:p>
        </w:tc>
        <w:tc>
          <w:tcPr>
            <w:tcW w:w="50" w:type="pct"/>
            <w:shd w:val="clear" w:color="auto" w:fill="auto"/>
            <w:vAlign w:val="bottom"/>
          </w:tcPr>
          <w:p w14:paraId="5CD8EDFE" w14:textId="77777777" w:rsidR="00BA49F5" w:rsidRDefault="00BA49F5">
            <w:pPr>
              <w:rPr>
                <w:rFonts w:ascii="宋体"/>
              </w:rPr>
            </w:pPr>
          </w:p>
        </w:tc>
        <w:tc>
          <w:tcPr>
            <w:tcW w:w="592" w:type="pct"/>
            <w:shd w:val="clear" w:color="auto" w:fill="auto"/>
            <w:vAlign w:val="bottom"/>
          </w:tcPr>
          <w:p w14:paraId="5CD8EDFF" w14:textId="77777777" w:rsidR="00BA49F5" w:rsidRDefault="00BA49F5">
            <w:pPr>
              <w:rPr>
                <w:rFonts w:ascii="宋体"/>
              </w:rPr>
            </w:pPr>
          </w:p>
        </w:tc>
        <w:tc>
          <w:tcPr>
            <w:tcW w:w="5" w:type="pct"/>
            <w:shd w:val="clear" w:color="auto" w:fill="auto"/>
            <w:vAlign w:val="bottom"/>
          </w:tcPr>
          <w:p w14:paraId="5CD8EE00" w14:textId="77777777" w:rsidR="00BA49F5" w:rsidRDefault="00BA49F5">
            <w:pPr>
              <w:rPr>
                <w:rFonts w:ascii="宋体"/>
              </w:rPr>
            </w:pPr>
          </w:p>
        </w:tc>
        <w:tc>
          <w:tcPr>
            <w:tcW w:w="5" w:type="pct"/>
            <w:shd w:val="clear" w:color="auto" w:fill="auto"/>
            <w:vAlign w:val="bottom"/>
          </w:tcPr>
          <w:p w14:paraId="5CD8EE01" w14:textId="77777777" w:rsidR="00BA49F5" w:rsidRDefault="00BA49F5">
            <w:pPr>
              <w:rPr>
                <w:rFonts w:ascii="宋体"/>
              </w:rPr>
            </w:pPr>
          </w:p>
        </w:tc>
        <w:tc>
          <w:tcPr>
            <w:tcW w:w="27" w:type="pct"/>
            <w:shd w:val="clear" w:color="auto" w:fill="auto"/>
            <w:vAlign w:val="bottom"/>
          </w:tcPr>
          <w:p w14:paraId="5CD8EE02" w14:textId="77777777" w:rsidR="00BA49F5" w:rsidRDefault="00BA49F5">
            <w:pPr>
              <w:rPr>
                <w:rFonts w:ascii="宋体"/>
              </w:rPr>
            </w:pPr>
          </w:p>
        </w:tc>
        <w:tc>
          <w:tcPr>
            <w:tcW w:w="5" w:type="pct"/>
            <w:shd w:val="clear" w:color="auto" w:fill="auto"/>
            <w:vAlign w:val="bottom"/>
          </w:tcPr>
          <w:p w14:paraId="5CD8EE03" w14:textId="77777777" w:rsidR="00BA49F5" w:rsidRDefault="00BA49F5">
            <w:pPr>
              <w:rPr>
                <w:rFonts w:ascii="宋体"/>
              </w:rPr>
            </w:pPr>
          </w:p>
        </w:tc>
        <w:tc>
          <w:tcPr>
            <w:tcW w:w="50" w:type="pct"/>
            <w:shd w:val="clear" w:color="auto" w:fill="auto"/>
            <w:vAlign w:val="bottom"/>
          </w:tcPr>
          <w:p w14:paraId="5CD8EE04" w14:textId="77777777" w:rsidR="00BA49F5" w:rsidRDefault="00BA49F5">
            <w:pPr>
              <w:rPr>
                <w:rFonts w:ascii="宋体"/>
              </w:rPr>
            </w:pPr>
          </w:p>
        </w:tc>
        <w:tc>
          <w:tcPr>
            <w:tcW w:w="592" w:type="pct"/>
            <w:shd w:val="clear" w:color="auto" w:fill="auto"/>
            <w:vAlign w:val="bottom"/>
          </w:tcPr>
          <w:p w14:paraId="5CD8EE05" w14:textId="77777777" w:rsidR="00BA49F5" w:rsidRDefault="00BA49F5">
            <w:pPr>
              <w:rPr>
                <w:rFonts w:ascii="宋体"/>
              </w:rPr>
            </w:pPr>
          </w:p>
        </w:tc>
        <w:tc>
          <w:tcPr>
            <w:tcW w:w="5" w:type="pct"/>
            <w:shd w:val="clear" w:color="auto" w:fill="auto"/>
            <w:vAlign w:val="bottom"/>
          </w:tcPr>
          <w:p w14:paraId="5CD8EE06" w14:textId="77777777" w:rsidR="00BA49F5" w:rsidRDefault="00BA49F5">
            <w:pPr>
              <w:rPr>
                <w:rFonts w:ascii="宋体"/>
              </w:rPr>
            </w:pPr>
          </w:p>
        </w:tc>
      </w:tr>
      <w:tr w:rsidR="00BA49F5" w14:paraId="5CD8EE0A" w14:textId="77777777">
        <w:tc>
          <w:tcPr>
            <w:tcW w:w="0" w:type="auto"/>
            <w:gridSpan w:val="3"/>
            <w:shd w:val="clear" w:color="auto" w:fill="auto"/>
            <w:tcMar>
              <w:top w:w="0" w:type="dxa"/>
              <w:left w:w="20" w:type="dxa"/>
              <w:bottom w:w="0" w:type="dxa"/>
              <w:right w:w="20" w:type="dxa"/>
            </w:tcMar>
            <w:vAlign w:val="bottom"/>
          </w:tcPr>
          <w:p w14:paraId="5CD8EE08" w14:textId="77777777" w:rsidR="00BA49F5" w:rsidRDefault="00BA49F5">
            <w:pPr>
              <w:rPr>
                <w:rFonts w:ascii="宋体"/>
              </w:rPr>
            </w:pPr>
          </w:p>
        </w:tc>
        <w:tc>
          <w:tcPr>
            <w:tcW w:w="0" w:type="auto"/>
            <w:gridSpan w:val="15"/>
            <w:shd w:val="clear" w:color="auto" w:fill="auto"/>
            <w:tcMar>
              <w:top w:w="40" w:type="dxa"/>
              <w:left w:w="132" w:type="dxa"/>
              <w:bottom w:w="40" w:type="dxa"/>
              <w:right w:w="132" w:type="dxa"/>
            </w:tcMar>
            <w:vAlign w:val="bottom"/>
          </w:tcPr>
          <w:p w14:paraId="5CD8EE09" w14:textId="77777777" w:rsidR="00BA49F5" w:rsidRDefault="007E5E49">
            <w:pPr>
              <w:jc w:val="center"/>
              <w:textAlignment w:val="bottom"/>
            </w:pPr>
            <w:r>
              <w:rPr>
                <w:rFonts w:ascii="Times New Roman" w:eastAsia="宋体" w:hAnsi="Times New Roman"/>
                <w:b/>
                <w:bCs/>
                <w:color w:val="000000"/>
                <w:sz w:val="16"/>
                <w:szCs w:val="16"/>
              </w:rPr>
              <w:t>Year Ended December 31,</w:t>
            </w:r>
          </w:p>
        </w:tc>
      </w:tr>
      <w:tr w:rsidR="00BA49F5" w14:paraId="5CD8EE11" w14:textId="77777777">
        <w:tc>
          <w:tcPr>
            <w:tcW w:w="0" w:type="auto"/>
            <w:gridSpan w:val="3"/>
            <w:shd w:val="clear" w:color="auto" w:fill="auto"/>
            <w:tcMar>
              <w:top w:w="0" w:type="dxa"/>
              <w:left w:w="20" w:type="dxa"/>
              <w:bottom w:w="0" w:type="dxa"/>
              <w:right w:w="20" w:type="dxa"/>
            </w:tcMar>
            <w:vAlign w:val="bottom"/>
          </w:tcPr>
          <w:p w14:paraId="5CD8EE0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5CD8EE0C"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E0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5CD8EE0E"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E0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5CD8EE10"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EE1E" w14:textId="77777777">
        <w:tc>
          <w:tcPr>
            <w:tcW w:w="0" w:type="auto"/>
            <w:gridSpan w:val="3"/>
            <w:shd w:val="clear" w:color="auto" w:fill="CCEEFF"/>
            <w:tcMar>
              <w:top w:w="40" w:type="dxa"/>
              <w:left w:w="20" w:type="dxa"/>
              <w:bottom w:w="40" w:type="dxa"/>
              <w:right w:w="20" w:type="dxa"/>
            </w:tcMar>
            <w:vAlign w:val="bottom"/>
          </w:tcPr>
          <w:p w14:paraId="5CD8EE12" w14:textId="77777777" w:rsidR="00BA49F5" w:rsidRDefault="007E5E49">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EE1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E14" w14:textId="77777777" w:rsidR="00BA49F5" w:rsidRDefault="007E5E49">
            <w:pPr>
              <w:jc w:val="right"/>
              <w:textAlignment w:val="bottom"/>
            </w:pPr>
            <w:r>
              <w:rPr>
                <w:rFonts w:ascii="Times New Roman" w:eastAsia="宋体" w:hAnsi="Times New Roman"/>
                <w:color w:val="000000"/>
                <w:sz w:val="20"/>
                <w:szCs w:val="20"/>
              </w:rPr>
              <w:t>50,475 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E1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E16"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E1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E18" w14:textId="77777777" w:rsidR="00BA49F5" w:rsidRDefault="007E5E49">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E1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E1A"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EE1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EE1C" w14:textId="77777777" w:rsidR="00BA49F5" w:rsidRDefault="007E5E49">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E1D" w14:textId="77777777" w:rsidR="00BA49F5" w:rsidRDefault="00BA49F5">
            <w:pPr>
              <w:jc w:val="right"/>
              <w:rPr>
                <w:rFonts w:ascii="宋体"/>
              </w:rPr>
            </w:pPr>
          </w:p>
        </w:tc>
      </w:tr>
      <w:tr w:rsidR="00BA49F5" w14:paraId="5CD8EE28" w14:textId="77777777">
        <w:tc>
          <w:tcPr>
            <w:tcW w:w="0" w:type="auto"/>
            <w:gridSpan w:val="3"/>
            <w:shd w:val="clear" w:color="auto" w:fill="FFFFFF"/>
            <w:tcMar>
              <w:top w:w="40" w:type="dxa"/>
              <w:left w:w="200" w:type="dxa"/>
              <w:bottom w:w="40" w:type="dxa"/>
              <w:right w:w="20" w:type="dxa"/>
            </w:tcMar>
            <w:vAlign w:val="bottom"/>
          </w:tcPr>
          <w:p w14:paraId="5CD8EE1F" w14:textId="77777777" w:rsidR="00BA49F5" w:rsidRDefault="007E5E49">
            <w:pPr>
              <w:textAlignment w:val="bottom"/>
            </w:pPr>
            <w:r>
              <w:rPr>
                <w:rFonts w:ascii="Times New Roman" w:eastAsia="宋体" w:hAnsi="Times New Roman"/>
                <w:color w:val="000000"/>
                <w:sz w:val="20"/>
                <w:szCs w:val="20"/>
              </w:rPr>
              <w:t>Purchases of property and equipment, net</w:t>
            </w:r>
          </w:p>
        </w:tc>
        <w:tc>
          <w:tcPr>
            <w:tcW w:w="0" w:type="auto"/>
            <w:gridSpan w:val="2"/>
            <w:shd w:val="clear" w:color="auto" w:fill="FFFFFF"/>
            <w:tcMar>
              <w:top w:w="40" w:type="dxa"/>
              <w:left w:w="20" w:type="dxa"/>
              <w:bottom w:w="40" w:type="dxa"/>
              <w:right w:w="0" w:type="dxa"/>
            </w:tcMar>
            <w:vAlign w:val="bottom"/>
          </w:tcPr>
          <w:p w14:paraId="5CD8EE20" w14:textId="77777777" w:rsidR="00BA49F5" w:rsidRDefault="007E5E49">
            <w:pPr>
              <w:jc w:val="right"/>
              <w:textAlignment w:val="bottom"/>
            </w:pPr>
            <w:r>
              <w:rPr>
                <w:rFonts w:ascii="Times New Roman" w:eastAsia="宋体" w:hAnsi="Times New Roman"/>
                <w:color w:val="000000"/>
                <w:sz w:val="20"/>
                <w:szCs w:val="20"/>
              </w:rPr>
              <w:t>(31,186)</w:t>
            </w:r>
          </w:p>
        </w:tc>
        <w:tc>
          <w:tcPr>
            <w:tcW w:w="0" w:type="auto"/>
            <w:shd w:val="clear" w:color="auto" w:fill="FFFFFF"/>
            <w:tcMar>
              <w:top w:w="40" w:type="dxa"/>
              <w:left w:w="0" w:type="dxa"/>
              <w:bottom w:w="40" w:type="dxa"/>
              <w:right w:w="20" w:type="dxa"/>
            </w:tcMar>
            <w:vAlign w:val="bottom"/>
          </w:tcPr>
          <w:p w14:paraId="5CD8EE2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E2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E23" w14:textId="77777777" w:rsidR="00BA49F5" w:rsidRDefault="007E5E49">
            <w:pPr>
              <w:jc w:val="right"/>
              <w:textAlignment w:val="bottom"/>
            </w:pPr>
            <w:r>
              <w:rPr>
                <w:rFonts w:ascii="Times New Roman" w:eastAsia="宋体" w:hAnsi="Times New Roman"/>
                <w:color w:val="000000"/>
                <w:sz w:val="20"/>
                <w:szCs w:val="20"/>
              </w:rPr>
              <w:t>(18,567)</w:t>
            </w:r>
          </w:p>
        </w:tc>
        <w:tc>
          <w:tcPr>
            <w:tcW w:w="0" w:type="auto"/>
            <w:shd w:val="clear" w:color="auto" w:fill="FFFFFF"/>
            <w:tcMar>
              <w:top w:w="40" w:type="dxa"/>
              <w:left w:w="0" w:type="dxa"/>
              <w:bottom w:w="40" w:type="dxa"/>
              <w:right w:w="20" w:type="dxa"/>
            </w:tcMar>
            <w:vAlign w:val="bottom"/>
          </w:tcPr>
          <w:p w14:paraId="5CD8EE2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E25" w14:textId="77777777" w:rsidR="00BA49F5" w:rsidRDefault="00BA49F5">
            <w:pPr>
              <w:rPr>
                <w:rFonts w:ascii="宋体"/>
              </w:rPr>
            </w:pPr>
          </w:p>
        </w:tc>
        <w:tc>
          <w:tcPr>
            <w:tcW w:w="0" w:type="auto"/>
            <w:gridSpan w:val="2"/>
            <w:shd w:val="clear" w:color="auto" w:fill="auto"/>
            <w:tcMar>
              <w:top w:w="40" w:type="dxa"/>
              <w:left w:w="20" w:type="dxa"/>
              <w:bottom w:w="40" w:type="dxa"/>
              <w:right w:w="0" w:type="dxa"/>
            </w:tcMar>
            <w:vAlign w:val="bottom"/>
          </w:tcPr>
          <w:p w14:paraId="5CD8EE26" w14:textId="77777777" w:rsidR="00BA49F5" w:rsidRDefault="007E5E49">
            <w:pPr>
              <w:jc w:val="right"/>
              <w:textAlignment w:val="bottom"/>
            </w:pPr>
            <w:r>
              <w:rPr>
                <w:rFonts w:ascii="Times New Roman" w:eastAsia="宋体" w:hAnsi="Times New Roman"/>
                <w:color w:val="000000"/>
                <w:sz w:val="20"/>
                <w:szCs w:val="20"/>
              </w:rPr>
              <w:t>(15,115)</w:t>
            </w:r>
          </w:p>
        </w:tc>
        <w:tc>
          <w:tcPr>
            <w:tcW w:w="0" w:type="auto"/>
            <w:shd w:val="clear" w:color="auto" w:fill="auto"/>
            <w:tcMar>
              <w:top w:w="40" w:type="dxa"/>
              <w:left w:w="0" w:type="dxa"/>
              <w:bottom w:w="40" w:type="dxa"/>
              <w:right w:w="20" w:type="dxa"/>
            </w:tcMar>
            <w:vAlign w:val="bottom"/>
          </w:tcPr>
          <w:p w14:paraId="5CD8EE27" w14:textId="77777777" w:rsidR="00BA49F5" w:rsidRDefault="00BA49F5">
            <w:pPr>
              <w:jc w:val="right"/>
              <w:rPr>
                <w:rFonts w:ascii="宋体"/>
              </w:rPr>
            </w:pPr>
          </w:p>
        </w:tc>
      </w:tr>
      <w:tr w:rsidR="00BA49F5" w14:paraId="5CD8EE32" w14:textId="77777777">
        <w:tc>
          <w:tcPr>
            <w:tcW w:w="0" w:type="auto"/>
            <w:gridSpan w:val="3"/>
            <w:shd w:val="clear" w:color="auto" w:fill="CCEEFF"/>
            <w:tcMar>
              <w:top w:w="40" w:type="dxa"/>
              <w:left w:w="200" w:type="dxa"/>
              <w:bottom w:w="40" w:type="dxa"/>
              <w:right w:w="20" w:type="dxa"/>
            </w:tcMar>
            <w:vAlign w:val="bottom"/>
          </w:tcPr>
          <w:p w14:paraId="5CD8EE29" w14:textId="77777777" w:rsidR="00BA49F5" w:rsidRDefault="007E5E49">
            <w:pPr>
              <w:textAlignment w:val="bottom"/>
            </w:pPr>
            <w:r>
              <w:rPr>
                <w:rFonts w:ascii="Times New Roman" w:eastAsia="宋体" w:hAnsi="Times New Roman"/>
                <w:color w:val="000000"/>
                <w:sz w:val="20"/>
                <w:szCs w:val="20"/>
              </w:rPr>
              <w:t>Principal payments on finance leases</w:t>
            </w:r>
          </w:p>
        </w:tc>
        <w:tc>
          <w:tcPr>
            <w:tcW w:w="0" w:type="auto"/>
            <w:gridSpan w:val="2"/>
            <w:shd w:val="clear" w:color="auto" w:fill="CCEEFF"/>
            <w:tcMar>
              <w:top w:w="40" w:type="dxa"/>
              <w:left w:w="20" w:type="dxa"/>
              <w:bottom w:w="40" w:type="dxa"/>
              <w:right w:w="0" w:type="dxa"/>
            </w:tcMar>
            <w:vAlign w:val="bottom"/>
          </w:tcPr>
          <w:p w14:paraId="5CD8EE2A" w14:textId="77777777" w:rsidR="00BA49F5" w:rsidRDefault="007E5E49">
            <w:pPr>
              <w:jc w:val="right"/>
              <w:textAlignment w:val="bottom"/>
            </w:pPr>
            <w:r>
              <w:rPr>
                <w:rFonts w:ascii="Times New Roman" w:eastAsia="宋体" w:hAnsi="Times New Roman"/>
                <w:color w:val="000000"/>
                <w:sz w:val="20"/>
                <w:szCs w:val="20"/>
              </w:rPr>
              <w:t>(850)</w:t>
            </w:r>
          </w:p>
        </w:tc>
        <w:tc>
          <w:tcPr>
            <w:tcW w:w="0" w:type="auto"/>
            <w:shd w:val="clear" w:color="auto" w:fill="CCEEFF"/>
            <w:tcMar>
              <w:top w:w="40" w:type="dxa"/>
              <w:left w:w="0" w:type="dxa"/>
              <w:bottom w:w="40" w:type="dxa"/>
              <w:right w:w="20" w:type="dxa"/>
            </w:tcMar>
            <w:vAlign w:val="bottom"/>
          </w:tcPr>
          <w:p w14:paraId="5CD8EE2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E2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E2D" w14:textId="77777777" w:rsidR="00BA49F5" w:rsidRDefault="007E5E49">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5CD8EE2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E2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E30" w14:textId="77777777" w:rsidR="00BA49F5" w:rsidRDefault="007E5E49">
            <w:pPr>
              <w:jc w:val="right"/>
              <w:textAlignment w:val="bottom"/>
            </w:pPr>
            <w:r>
              <w:rPr>
                <w:rFonts w:ascii="Times New Roman" w:eastAsia="宋体" w:hAnsi="Times New Roman"/>
                <w:color w:val="000000"/>
                <w:sz w:val="20"/>
                <w:szCs w:val="20"/>
              </w:rPr>
              <w:t>(604)</w:t>
            </w:r>
          </w:p>
        </w:tc>
        <w:tc>
          <w:tcPr>
            <w:tcW w:w="0" w:type="auto"/>
            <w:shd w:val="clear" w:color="auto" w:fill="CCEEFF"/>
            <w:tcMar>
              <w:top w:w="40" w:type="dxa"/>
              <w:left w:w="0" w:type="dxa"/>
              <w:bottom w:w="40" w:type="dxa"/>
              <w:right w:w="20" w:type="dxa"/>
            </w:tcMar>
            <w:vAlign w:val="bottom"/>
          </w:tcPr>
          <w:p w14:paraId="5CD8EE31" w14:textId="77777777" w:rsidR="00BA49F5" w:rsidRDefault="00BA49F5">
            <w:pPr>
              <w:jc w:val="right"/>
              <w:rPr>
                <w:rFonts w:ascii="宋体"/>
              </w:rPr>
            </w:pPr>
          </w:p>
        </w:tc>
      </w:tr>
      <w:tr w:rsidR="00BA49F5" w14:paraId="5CD8EE3F" w14:textId="77777777">
        <w:tc>
          <w:tcPr>
            <w:tcW w:w="0" w:type="auto"/>
            <w:gridSpan w:val="3"/>
            <w:shd w:val="clear" w:color="auto" w:fill="FFFFFF"/>
            <w:tcMar>
              <w:top w:w="40" w:type="dxa"/>
              <w:left w:w="380" w:type="dxa"/>
              <w:bottom w:w="40" w:type="dxa"/>
              <w:right w:w="20" w:type="dxa"/>
            </w:tcMar>
            <w:vAlign w:val="bottom"/>
          </w:tcPr>
          <w:p w14:paraId="5CD8EE33" w14:textId="77777777" w:rsidR="00BA49F5" w:rsidRDefault="007E5E49">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E3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E35" w14:textId="77777777" w:rsidR="00BA49F5" w:rsidRDefault="007E5E49">
            <w:pPr>
              <w:jc w:val="right"/>
              <w:textAlignment w:val="bottom"/>
            </w:pPr>
            <w:r>
              <w:rPr>
                <w:rFonts w:ascii="Times New Roman" w:eastAsia="宋体" w:hAnsi="Times New Roman"/>
                <w:color w:val="000000"/>
                <w:sz w:val="20"/>
                <w:szCs w:val="20"/>
              </w:rPr>
              <w:t>18,439 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E3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E37"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E3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E39" w14:textId="77777777" w:rsidR="00BA49F5" w:rsidRDefault="007E5E49">
            <w:pPr>
              <w:jc w:val="right"/>
              <w:textAlignment w:val="bottom"/>
            </w:pPr>
            <w:r>
              <w:rPr>
                <w:rFonts w:ascii="Times New Roman" w:eastAsia="宋体" w:hAnsi="Times New Roman"/>
                <w:color w:val="000000"/>
                <w:sz w:val="20"/>
                <w:szCs w:val="20"/>
              </w:rPr>
              <w:t>38,439 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E3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E3B"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EE3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EE3D" w14:textId="77777777" w:rsidR="00BA49F5" w:rsidRDefault="007E5E49">
            <w:pPr>
              <w:jc w:val="right"/>
              <w:textAlignment w:val="bottom"/>
            </w:pPr>
            <w:r>
              <w:rPr>
                <w:rFonts w:ascii="Times New Roman" w:eastAsia="宋体" w:hAnsi="Times New Roman"/>
                <w:color w:val="000000"/>
                <w:sz w:val="20"/>
                <w:szCs w:val="20"/>
              </w:rPr>
              <w:t>23,028 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EE3E" w14:textId="77777777" w:rsidR="00BA49F5" w:rsidRDefault="00BA49F5">
            <w:pPr>
              <w:jc w:val="right"/>
              <w:rPr>
                <w:rFonts w:ascii="宋体"/>
              </w:rPr>
            </w:pPr>
          </w:p>
        </w:tc>
      </w:tr>
    </w:tbl>
    <w:p w14:paraId="5CD8EE40" w14:textId="77777777" w:rsidR="00BA49F5" w:rsidRDefault="00BA49F5"/>
    <w:p w14:paraId="5CD8EE41" w14:textId="77777777" w:rsidR="00BA49F5" w:rsidRDefault="007E5E49">
      <w:pPr>
        <w:jc w:val="both"/>
      </w:pPr>
      <w:r>
        <w:rPr>
          <w:rFonts w:ascii="Times New Roman" w:eastAsia="宋体" w:hAnsi="Times New Roman"/>
          <w:b/>
          <w:bCs/>
          <w:color w:val="000000"/>
          <w:sz w:val="20"/>
          <w:szCs w:val="20"/>
        </w:rPr>
        <w:t>Material Cash Requirements</w:t>
      </w:r>
    </w:p>
    <w:p w14:paraId="5CD8EE42" w14:textId="77777777" w:rsidR="00BA49F5" w:rsidRDefault="00BA49F5">
      <w:pPr>
        <w:jc w:val="both"/>
      </w:pPr>
    </w:p>
    <w:p w14:paraId="5CD8EE43" w14:textId="77777777" w:rsidR="00BA49F5" w:rsidRDefault="007E5E49">
      <w:pPr>
        <w:ind w:firstLine="540"/>
        <w:jc w:val="both"/>
      </w:pPr>
      <w:r>
        <w:rPr>
          <w:rFonts w:ascii="Times New Roman" w:eastAsia="宋体" w:hAnsi="Times New Roman"/>
          <w:color w:val="000000"/>
          <w:sz w:val="20"/>
          <w:szCs w:val="20"/>
        </w:rPr>
        <w:t>We currently anticipate that our available funds and cash flow from operations and financing activities will be sufficient to meet our operational cash needs and fund o</w:t>
      </w:r>
      <w:r>
        <w:rPr>
          <w:rFonts w:ascii="Times New Roman" w:eastAsia="宋体" w:hAnsi="Times New Roman"/>
          <w:color w:val="000000"/>
          <w:sz w:val="20"/>
          <w:szCs w:val="20"/>
        </w:rPr>
        <w:t>ur share repurchase program for at least the next 12 months and thereafter for the foreseeable future. We continuously evaluate our liquidity and capital resources, including our access to external capital, to ensure we can finance our future capital requi</w:t>
      </w:r>
      <w:r>
        <w:rPr>
          <w:rFonts w:ascii="Times New Roman" w:eastAsia="宋体" w:hAnsi="Times New Roman"/>
          <w:color w:val="000000"/>
          <w:sz w:val="20"/>
          <w:szCs w:val="20"/>
        </w:rPr>
        <w:t>rements.</w:t>
      </w:r>
    </w:p>
    <w:p w14:paraId="5CD8EE44" w14:textId="77777777" w:rsidR="00BA49F5" w:rsidRDefault="00BA49F5">
      <w:pPr>
        <w:ind w:firstLine="540"/>
        <w:jc w:val="both"/>
      </w:pPr>
    </w:p>
    <w:p w14:paraId="5CD8EE45" w14:textId="77777777" w:rsidR="00BA49F5" w:rsidRDefault="007E5E49">
      <w:pPr>
        <w:ind w:firstLine="540"/>
        <w:jc w:val="both"/>
      </w:pPr>
      <w:r>
        <w:rPr>
          <w:rFonts w:ascii="Times New Roman" w:eastAsia="宋体" w:hAnsi="Times New Roman"/>
          <w:b/>
          <w:bCs/>
          <w:i/>
          <w:iCs/>
          <w:color w:val="000000"/>
          <w:sz w:val="20"/>
          <w:szCs w:val="20"/>
        </w:rPr>
        <w:t>Leases and Contractual Commitments</w:t>
      </w:r>
    </w:p>
    <w:p w14:paraId="5CD8EE46" w14:textId="77777777" w:rsidR="00BA49F5" w:rsidRDefault="00BA49F5">
      <w:pPr>
        <w:ind w:firstLine="540"/>
        <w:jc w:val="both"/>
      </w:pPr>
    </w:p>
    <w:p w14:paraId="5CD8EE47" w14:textId="77777777" w:rsidR="00BA49F5" w:rsidRDefault="007E5E49">
      <w:pPr>
        <w:ind w:firstLine="540"/>
        <w:jc w:val="both"/>
      </w:pPr>
      <w:r>
        <w:rPr>
          <w:rFonts w:ascii="Times New Roman" w:eastAsia="宋体" w:hAnsi="Times New Roman"/>
          <w:color w:val="000000"/>
          <w:sz w:val="20"/>
          <w:szCs w:val="20"/>
        </w:rPr>
        <w:t>Our operating lease obligations mostly include, among others, offices, data centers, colocations, and land. Our finance lease obligations mostly include certain network infrastructure. Our restructuring efforts to sublease, early terminate or abandon sever</w:t>
      </w:r>
      <w:r>
        <w:rPr>
          <w:rFonts w:ascii="Times New Roman" w:eastAsia="宋体" w:hAnsi="Times New Roman"/>
          <w:color w:val="000000"/>
          <w:sz w:val="20"/>
          <w:szCs w:val="20"/>
        </w:rPr>
        <w:t xml:space="preserve">al office buildings under operating leases did not materially change our operating lease obligations. </w:t>
      </w:r>
    </w:p>
    <w:p w14:paraId="5CD8EE48" w14:textId="77777777" w:rsidR="00BA49F5" w:rsidRDefault="00BA49F5">
      <w:pPr>
        <w:ind w:firstLine="540"/>
        <w:jc w:val="both"/>
      </w:pPr>
    </w:p>
    <w:p w14:paraId="5CD8EE49" w14:textId="77777777" w:rsidR="00BA49F5" w:rsidRDefault="007E5E49">
      <w:pPr>
        <w:ind w:firstLine="540"/>
      </w:pPr>
      <w:r>
        <w:rPr>
          <w:rFonts w:ascii="Times New Roman" w:eastAsia="宋体" w:hAnsi="Times New Roman"/>
          <w:color w:val="000000"/>
          <w:sz w:val="20"/>
          <w:szCs w:val="20"/>
        </w:rPr>
        <w:t xml:space="preserve">Our contractual commitments are primarily related to our investments in network infrastructure, servers, and consumer hardware products in Reality Labs. </w:t>
      </w:r>
    </w:p>
    <w:p w14:paraId="5CD8EE4A" w14:textId="77777777" w:rsidR="00BA49F5" w:rsidRDefault="00BA49F5">
      <w:pPr>
        <w:ind w:firstLine="540"/>
        <w:jc w:val="both"/>
      </w:pPr>
    </w:p>
    <w:p w14:paraId="5CD8EE4B" w14:textId="77777777" w:rsidR="00BA49F5" w:rsidRDefault="007E5E49">
      <w:pPr>
        <w:jc w:val="center"/>
      </w:pPr>
      <w:r>
        <w:rPr>
          <w:rFonts w:ascii="Times New Roman" w:eastAsia="宋体" w:hAnsi="Times New Roman"/>
          <w:color w:val="000000"/>
          <w:sz w:val="20"/>
          <w:szCs w:val="20"/>
        </w:rPr>
        <w:t>76</w:t>
      </w:r>
    </w:p>
    <w:p w14:paraId="5CD8EE4C" w14:textId="77777777" w:rsidR="00BA49F5" w:rsidRDefault="007E5E49">
      <w:r>
        <w:pict w14:anchorId="5CD90D41">
          <v:rect id="_x0000_i1100" style="width:415.3pt;height:1.5pt" o:hralign="center" o:hrstd="t" o:hr="t" fillcolor="#a0a0a0" stroked="f"/>
        </w:pict>
      </w:r>
    </w:p>
    <w:p w14:paraId="5CD8EE4D" w14:textId="77777777" w:rsidR="00BA49F5" w:rsidRDefault="00BA49F5"/>
    <w:p w14:paraId="5CD8EE4E" w14:textId="77777777" w:rsidR="00BA49F5" w:rsidRDefault="00BA49F5"/>
    <w:p w14:paraId="5CD8EE4F" w14:textId="77777777" w:rsidR="00BA49F5" w:rsidRDefault="007E5E49">
      <w:hyperlink r:id="rId232" w:anchor="i6df229dad1864210ab76200083e26819_7" w:history="1">
        <w:r>
          <w:rPr>
            <w:rStyle w:val="a5"/>
            <w:rFonts w:ascii="Times New Roman" w:eastAsia="宋体" w:hAnsi="Times New Roman"/>
            <w:sz w:val="20"/>
            <w:szCs w:val="20"/>
          </w:rPr>
          <w:t>T</w:t>
        </w:r>
      </w:hyperlink>
      <w:hyperlink r:id="rId233" w:anchor="i6df229dad1864210ab76200083e26819_7" w:history="1">
        <w:r>
          <w:rPr>
            <w:rStyle w:val="a5"/>
            <w:rFonts w:ascii="Times New Roman" w:eastAsia="宋体" w:hAnsi="Times New Roman"/>
            <w:sz w:val="20"/>
            <w:szCs w:val="20"/>
          </w:rPr>
          <w:t>able of Contents</w:t>
        </w:r>
      </w:hyperlink>
    </w:p>
    <w:p w14:paraId="5CD8EE50" w14:textId="77777777" w:rsidR="00BA49F5" w:rsidRDefault="007E5E49">
      <w:pPr>
        <w:ind w:firstLine="540"/>
        <w:jc w:val="both"/>
      </w:pPr>
      <w:r>
        <w:rPr>
          <w:rFonts w:ascii="Times New Roman" w:eastAsia="宋体" w:hAnsi="Times New Roman"/>
          <w:b/>
          <w:bCs/>
          <w:i/>
          <w:iCs/>
          <w:color w:val="000000"/>
          <w:sz w:val="20"/>
          <w:szCs w:val="20"/>
        </w:rPr>
        <w:t>Long-term Debt</w:t>
      </w:r>
    </w:p>
    <w:p w14:paraId="5CD8EE51" w14:textId="77777777" w:rsidR="00BA49F5" w:rsidRDefault="00BA49F5">
      <w:pPr>
        <w:ind w:firstLine="540"/>
        <w:jc w:val="both"/>
      </w:pPr>
    </w:p>
    <w:p w14:paraId="5CD8EE52" w14:textId="77777777" w:rsidR="00BA49F5" w:rsidRDefault="007E5E49">
      <w:pPr>
        <w:ind w:firstLine="540"/>
        <w:jc w:val="both"/>
      </w:pPr>
      <w:r>
        <w:rPr>
          <w:rFonts w:ascii="Times New Roman" w:eastAsia="宋体" w:hAnsi="Times New Roman"/>
          <w:color w:val="000000"/>
          <w:sz w:val="20"/>
          <w:szCs w:val="20"/>
        </w:rPr>
        <w:t xml:space="preserve">In August </w:t>
      </w:r>
      <w:r>
        <w:rPr>
          <w:rFonts w:ascii="Times New Roman" w:eastAsia="宋体" w:hAnsi="Times New Roman"/>
          <w:color w:val="000000"/>
          <w:sz w:val="20"/>
          <w:szCs w:val="20"/>
        </w:rPr>
        <w:t>2022, we issued an aggregate of $10.0 billion principal amount of the Notes. The Notes were issued in four series, which mature from 2027 through 2062. Short-term and long-term future interest payments obligations as of December 31, 2022 are $411 million a</w:t>
      </w:r>
      <w:r>
        <w:rPr>
          <w:rFonts w:ascii="Times New Roman" w:eastAsia="宋体" w:hAnsi="Times New Roman"/>
          <w:color w:val="000000"/>
          <w:sz w:val="20"/>
          <w:szCs w:val="20"/>
        </w:rPr>
        <w:t>nd $7.69 billion, respectively. We intend to use the net proceeds from the offering for general corporate purposes, which may include, but are not limited to, capital expenditures, repurchases of outstanding shares of our common stock, acquisitions, or inv</w:t>
      </w:r>
      <w:r>
        <w:rPr>
          <w:rFonts w:ascii="Times New Roman" w:eastAsia="宋体" w:hAnsi="Times New Roman"/>
          <w:color w:val="000000"/>
          <w:sz w:val="20"/>
          <w:szCs w:val="20"/>
        </w:rPr>
        <w:t>estments.</w:t>
      </w:r>
    </w:p>
    <w:p w14:paraId="5CD8EE53" w14:textId="77777777" w:rsidR="00BA49F5" w:rsidRDefault="00BA49F5">
      <w:pPr>
        <w:ind w:firstLine="540"/>
        <w:jc w:val="both"/>
      </w:pPr>
    </w:p>
    <w:p w14:paraId="5CD8EE54" w14:textId="77777777" w:rsidR="00BA49F5" w:rsidRDefault="007E5E49">
      <w:pPr>
        <w:ind w:firstLine="540"/>
        <w:jc w:val="both"/>
      </w:pPr>
      <w:r>
        <w:rPr>
          <w:rFonts w:ascii="Times New Roman" w:eastAsia="宋体" w:hAnsi="Times New Roman"/>
          <w:b/>
          <w:bCs/>
          <w:i/>
          <w:iCs/>
          <w:color w:val="000000"/>
          <w:sz w:val="20"/>
          <w:szCs w:val="20"/>
        </w:rPr>
        <w:t>Taxes</w:t>
      </w:r>
    </w:p>
    <w:p w14:paraId="5CD8EE55" w14:textId="77777777" w:rsidR="00BA49F5" w:rsidRDefault="00BA49F5">
      <w:pPr>
        <w:ind w:firstLine="540"/>
        <w:jc w:val="both"/>
      </w:pPr>
    </w:p>
    <w:p w14:paraId="5CD8EE56" w14:textId="77777777" w:rsidR="00BA49F5" w:rsidRDefault="007E5E49">
      <w:pPr>
        <w:ind w:firstLine="540"/>
        <w:jc w:val="both"/>
      </w:pPr>
      <w:r>
        <w:rPr>
          <w:rFonts w:ascii="Times New Roman" w:eastAsia="宋体" w:hAnsi="Times New Roman"/>
          <w:color w:val="000000"/>
          <w:sz w:val="20"/>
          <w:szCs w:val="20"/>
        </w:rPr>
        <w:t>As of December 31, 2022, we had taxes payable of $1.51 billion related to a one-time transition tax payable incurred as a result of the Tax Act, of which $361 million is due within one year. As permitted by the Tax Act, we will pay the tr</w:t>
      </w:r>
      <w:r>
        <w:rPr>
          <w:rFonts w:ascii="Times New Roman" w:eastAsia="宋体" w:hAnsi="Times New Roman"/>
          <w:color w:val="000000"/>
          <w:sz w:val="20"/>
          <w:szCs w:val="20"/>
        </w:rPr>
        <w:t xml:space="preserve">ansition tax in annual interest-free installments through 2025. Our other liabilities also include $5.49 billion related to the uncertain tax positions as of December 31, 2022. Due to uncertainties in the timing of the completion of tax audits, the timing </w:t>
      </w:r>
      <w:r>
        <w:rPr>
          <w:rFonts w:ascii="Times New Roman" w:eastAsia="宋体" w:hAnsi="Times New Roman"/>
          <w:color w:val="000000"/>
          <w:sz w:val="20"/>
          <w:szCs w:val="20"/>
        </w:rPr>
        <w:t>of the resolution of these positions is uncertain and we are unable to make a reasonably reliable estimate of the timing of payments.</w:t>
      </w:r>
    </w:p>
    <w:p w14:paraId="5CD8EE57" w14:textId="77777777" w:rsidR="00BA49F5" w:rsidRDefault="00BA49F5">
      <w:pPr>
        <w:ind w:firstLine="540"/>
        <w:jc w:val="both"/>
      </w:pPr>
    </w:p>
    <w:p w14:paraId="5CD8EE58" w14:textId="77777777" w:rsidR="00BA49F5" w:rsidRDefault="007E5E49">
      <w:pPr>
        <w:ind w:firstLine="540"/>
        <w:jc w:val="both"/>
      </w:pPr>
      <w:r>
        <w:rPr>
          <w:rFonts w:ascii="Times New Roman" w:eastAsia="宋体" w:hAnsi="Times New Roman"/>
          <w:b/>
          <w:bCs/>
          <w:i/>
          <w:iCs/>
          <w:color w:val="000000"/>
          <w:sz w:val="20"/>
          <w:szCs w:val="20"/>
        </w:rPr>
        <w:t>Contingencies</w:t>
      </w:r>
    </w:p>
    <w:p w14:paraId="5CD8EE59" w14:textId="77777777" w:rsidR="00BA49F5" w:rsidRDefault="00BA49F5">
      <w:pPr>
        <w:ind w:firstLine="540"/>
        <w:jc w:val="both"/>
      </w:pPr>
    </w:p>
    <w:p w14:paraId="5CD8EE5A" w14:textId="77777777" w:rsidR="00BA49F5" w:rsidRDefault="007E5E49">
      <w:pPr>
        <w:ind w:firstLine="540"/>
        <w:jc w:val="both"/>
      </w:pPr>
      <w:r>
        <w:rPr>
          <w:rFonts w:ascii="Times New Roman" w:eastAsia="宋体" w:hAnsi="Times New Roman"/>
          <w:color w:val="000000"/>
          <w:sz w:val="20"/>
          <w:szCs w:val="20"/>
        </w:rPr>
        <w:t>We are involved in legal proceedings, claims, and regulatory, tax or government inquiries and investigatio</w:t>
      </w:r>
      <w:r>
        <w:rPr>
          <w:rFonts w:ascii="Times New Roman" w:eastAsia="宋体" w:hAnsi="Times New Roman"/>
          <w:color w:val="000000"/>
          <w:sz w:val="20"/>
          <w:szCs w:val="20"/>
        </w:rPr>
        <w:t>ns. We record a liability when we believe that it is both probable that a liability has been incurred, and that the amount can be reasonably estimated. If we determine there is a reasonable possibility that we may incur a loss and the loss or range of loss</w:t>
      </w:r>
      <w:r>
        <w:rPr>
          <w:rFonts w:ascii="Times New Roman" w:eastAsia="宋体" w:hAnsi="Times New Roman"/>
          <w:color w:val="000000"/>
          <w:sz w:val="20"/>
          <w:szCs w:val="20"/>
        </w:rPr>
        <w:t xml:space="preserve"> can be estimated, we disclose the possible loss in the accompanying notes to the consolidated financial statements to the extent material. Significant judgment is required to determine both probability and the estimated amount of loss. Such matters are in</w:t>
      </w:r>
      <w:r>
        <w:rPr>
          <w:rFonts w:ascii="Times New Roman" w:eastAsia="宋体" w:hAnsi="Times New Roman"/>
          <w:color w:val="000000"/>
          <w:sz w:val="20"/>
          <w:szCs w:val="20"/>
        </w:rPr>
        <w:t>herently unpredictable and subject to significant uncertainties, some of which are beyond our control. Should any of these estimates and assumptions change or prove to be incorrect, it could have a material impact on our results of operations, financial po</w:t>
      </w:r>
      <w:r>
        <w:rPr>
          <w:rFonts w:ascii="Times New Roman" w:eastAsia="宋体" w:hAnsi="Times New Roman"/>
          <w:color w:val="000000"/>
          <w:sz w:val="20"/>
          <w:szCs w:val="20"/>
        </w:rPr>
        <w:t>sition, and cash flows.</w:t>
      </w:r>
    </w:p>
    <w:p w14:paraId="5CD8EE5B" w14:textId="77777777" w:rsidR="00BA49F5" w:rsidRDefault="00BA49F5">
      <w:pPr>
        <w:ind w:firstLine="540"/>
        <w:jc w:val="both"/>
      </w:pPr>
    </w:p>
    <w:p w14:paraId="5CD8EE5C" w14:textId="77777777" w:rsidR="00BA49F5" w:rsidRDefault="007E5E49">
      <w:pPr>
        <w:ind w:firstLine="540"/>
        <w:jc w:val="both"/>
      </w:pPr>
      <w:r>
        <w:rPr>
          <w:rFonts w:ascii="Times New Roman" w:eastAsia="宋体" w:hAnsi="Times New Roman"/>
          <w:color w:val="000000"/>
          <w:sz w:val="20"/>
          <w:szCs w:val="20"/>
        </w:rPr>
        <w:t>See Note 9 — Leases, Note 11 — Long-term Debt, Note 13 — Commitments and Contingencies, and Note 16 — Income Taxes in the notes to the consolidated financial statements included in Part II, Item 8, and "Legal Proceedings" contained</w:t>
      </w:r>
      <w:r>
        <w:rPr>
          <w:rFonts w:ascii="Times New Roman" w:eastAsia="宋体" w:hAnsi="Times New Roman"/>
          <w:color w:val="000000"/>
          <w:sz w:val="20"/>
          <w:szCs w:val="20"/>
        </w:rPr>
        <w:t xml:space="preserve"> in Part I, Item 3 of this Annual Report on Form 10-K for additional information regarding leases and contractual commitments, long-term debt, taxes, and contingencies.</w:t>
      </w:r>
    </w:p>
    <w:p w14:paraId="5CD8EE5D" w14:textId="77777777" w:rsidR="00BA49F5" w:rsidRDefault="00BA49F5">
      <w:pPr>
        <w:ind w:firstLine="540"/>
        <w:jc w:val="both"/>
      </w:pPr>
    </w:p>
    <w:p w14:paraId="5CD8EE5E" w14:textId="77777777" w:rsidR="00BA49F5" w:rsidRDefault="007E5E49">
      <w:pPr>
        <w:jc w:val="both"/>
      </w:pPr>
      <w:r>
        <w:rPr>
          <w:rFonts w:ascii="Times New Roman" w:eastAsia="宋体" w:hAnsi="Times New Roman"/>
          <w:b/>
          <w:bCs/>
          <w:color w:val="000000"/>
          <w:sz w:val="20"/>
          <w:szCs w:val="20"/>
        </w:rPr>
        <w:t xml:space="preserve">Recently Issued Accounting Pronouncements </w:t>
      </w:r>
    </w:p>
    <w:p w14:paraId="5CD8EE5F" w14:textId="77777777" w:rsidR="00BA49F5" w:rsidRDefault="00BA49F5">
      <w:pPr>
        <w:ind w:firstLine="540"/>
        <w:jc w:val="both"/>
      </w:pPr>
    </w:p>
    <w:p w14:paraId="5CD8EE60" w14:textId="77777777" w:rsidR="00BA49F5" w:rsidRDefault="007E5E49">
      <w:pPr>
        <w:ind w:firstLine="540"/>
        <w:jc w:val="both"/>
      </w:pPr>
      <w:r>
        <w:rPr>
          <w:rFonts w:ascii="Times New Roman" w:eastAsia="宋体" w:hAnsi="Times New Roman"/>
          <w:color w:val="000000"/>
          <w:sz w:val="20"/>
          <w:szCs w:val="20"/>
        </w:rPr>
        <w:t>For information on recently issued account</w:t>
      </w:r>
      <w:r>
        <w:rPr>
          <w:rFonts w:ascii="Times New Roman" w:eastAsia="宋体" w:hAnsi="Times New Roman"/>
          <w:color w:val="000000"/>
          <w:sz w:val="20"/>
          <w:szCs w:val="20"/>
        </w:rPr>
        <w:t>ing pronouncements, see Note 1 — Summary of Significant Accounting Policies in the accompanying notes to consolidated financial statements included in Part II, Item 8, "Financial Statements and Supplementary Data" of this Annual Report on Form 10-K.</w:t>
      </w:r>
    </w:p>
    <w:p w14:paraId="5CD8EE61" w14:textId="77777777" w:rsidR="00BA49F5" w:rsidRDefault="007E5E49">
      <w:pPr>
        <w:jc w:val="center"/>
      </w:pPr>
      <w:r>
        <w:rPr>
          <w:rFonts w:ascii="Times New Roman" w:eastAsia="宋体" w:hAnsi="Times New Roman"/>
          <w:color w:val="000000"/>
          <w:sz w:val="20"/>
          <w:szCs w:val="20"/>
        </w:rPr>
        <w:t>77</w:t>
      </w:r>
    </w:p>
    <w:p w14:paraId="5CD8EE62" w14:textId="77777777" w:rsidR="00BA49F5" w:rsidRDefault="007E5E49">
      <w:r>
        <w:pict w14:anchorId="5CD90D42">
          <v:rect id="_x0000_i1101" style="width:415.3pt;height:1.5pt" o:hralign="center" o:hrstd="t" o:hr="t" fillcolor="#a0a0a0" stroked="f"/>
        </w:pict>
      </w:r>
    </w:p>
    <w:p w14:paraId="5CD8EE63" w14:textId="77777777" w:rsidR="00BA49F5" w:rsidRDefault="00BA49F5"/>
    <w:p w14:paraId="5CD8EE64" w14:textId="77777777" w:rsidR="00BA49F5" w:rsidRDefault="00BA49F5"/>
    <w:p w14:paraId="5CD8EE65" w14:textId="77777777" w:rsidR="00BA49F5" w:rsidRDefault="007E5E49">
      <w:hyperlink r:id="rId234" w:anchor="i6df229dad1864210ab76200083e26819_7" w:history="1">
        <w:r>
          <w:rPr>
            <w:rStyle w:val="a5"/>
            <w:rFonts w:ascii="Times New Roman" w:eastAsia="宋体" w:hAnsi="Times New Roman"/>
            <w:sz w:val="20"/>
            <w:szCs w:val="20"/>
          </w:rPr>
          <w:t>T</w:t>
        </w:r>
      </w:hyperlink>
      <w:hyperlink r:id="rId235" w:anchor="i6df229dad1864210ab76200083e26819_7" w:history="1">
        <w:r>
          <w:rPr>
            <w:rStyle w:val="a5"/>
            <w:rFonts w:ascii="Times New Roman" w:eastAsia="宋体" w:hAnsi="Times New Roman"/>
            <w:sz w:val="20"/>
            <w:szCs w:val="20"/>
          </w:rPr>
          <w:t>able of Contents</w:t>
        </w:r>
      </w:hyperlink>
    </w:p>
    <w:p w14:paraId="5CD8EE66" w14:textId="77777777" w:rsidR="00BA49F5" w:rsidRDefault="007E5E49">
      <w:pPr>
        <w:ind w:hanging="810"/>
        <w:jc w:val="both"/>
      </w:pPr>
      <w:r>
        <w:rPr>
          <w:rFonts w:ascii="Times New Roman" w:eastAsia="宋体" w:hAnsi="Times New Roman"/>
          <w:b/>
          <w:bCs/>
          <w:color w:val="000000"/>
          <w:sz w:val="20"/>
          <w:szCs w:val="20"/>
        </w:rPr>
        <w:t>Item 7A.Quantitative and Qualitative Disclosures About Market Risk</w:t>
      </w:r>
    </w:p>
    <w:p w14:paraId="5CD8EE67" w14:textId="77777777" w:rsidR="00BA49F5" w:rsidRDefault="00BA49F5">
      <w:pPr>
        <w:ind w:firstLine="540"/>
        <w:jc w:val="both"/>
      </w:pPr>
    </w:p>
    <w:p w14:paraId="5CD8EE68" w14:textId="77777777" w:rsidR="00BA49F5" w:rsidRDefault="007E5E49">
      <w:pPr>
        <w:ind w:firstLine="540"/>
        <w:jc w:val="both"/>
      </w:pPr>
      <w:r>
        <w:rPr>
          <w:rFonts w:ascii="Times New Roman" w:eastAsia="宋体" w:hAnsi="Times New Roman"/>
          <w:color w:val="000000"/>
          <w:sz w:val="20"/>
          <w:szCs w:val="20"/>
        </w:rPr>
        <w:t xml:space="preserve">We are exposed to market risks, including changes to foreign currency exchange rates, interest rates, and equity </w:t>
      </w:r>
      <w:r>
        <w:rPr>
          <w:rFonts w:ascii="Times New Roman" w:eastAsia="宋体" w:hAnsi="Times New Roman"/>
          <w:color w:val="000000"/>
          <w:sz w:val="20"/>
          <w:szCs w:val="20"/>
        </w:rPr>
        <w:t>price risk.</w:t>
      </w:r>
    </w:p>
    <w:p w14:paraId="5CD8EE69" w14:textId="77777777" w:rsidR="00BA49F5" w:rsidRDefault="00BA49F5"/>
    <w:p w14:paraId="5CD8EE6A" w14:textId="77777777" w:rsidR="00BA49F5" w:rsidRDefault="007E5E49">
      <w:r>
        <w:rPr>
          <w:rFonts w:ascii="Times New Roman" w:eastAsia="宋体" w:hAnsi="Times New Roman"/>
          <w:b/>
          <w:bCs/>
          <w:color w:val="000000"/>
          <w:sz w:val="20"/>
          <w:szCs w:val="20"/>
        </w:rPr>
        <w:t>Foreign Currency Exchange Risk</w:t>
      </w:r>
    </w:p>
    <w:p w14:paraId="5CD8EE6B" w14:textId="77777777" w:rsidR="00BA49F5" w:rsidRDefault="00BA49F5">
      <w:pPr>
        <w:ind w:firstLine="540"/>
        <w:jc w:val="both"/>
      </w:pPr>
    </w:p>
    <w:p w14:paraId="5CD8EE6C" w14:textId="77777777" w:rsidR="00BA49F5" w:rsidRDefault="007E5E49">
      <w:pPr>
        <w:ind w:firstLine="540"/>
        <w:jc w:val="both"/>
      </w:pPr>
      <w:r>
        <w:rPr>
          <w:rFonts w:ascii="Times New Roman" w:eastAsia="宋体" w:hAnsi="Times New Roman"/>
          <w:color w:val="000000"/>
          <w:sz w:val="20"/>
          <w:szCs w:val="20"/>
        </w:rPr>
        <w:t xml:space="preserve">We have foreign currency risks related to our revenue and operating expenses denominated in currencies other than the U.S. dollar, primarily the Euro. Accordingly, changes in exchange rates, and in particular a </w:t>
      </w:r>
      <w:r>
        <w:rPr>
          <w:rFonts w:ascii="Times New Roman" w:eastAsia="宋体" w:hAnsi="Times New Roman"/>
          <w:color w:val="000000"/>
          <w:sz w:val="20"/>
          <w:szCs w:val="20"/>
        </w:rPr>
        <w:t>strengthening of the U.S. dollar, have negatively affected, and may continue to negatively affect, our revenue and other operating results as expressed in U.S. dollars. See Management's Discussion and Analysis of Financial Condition and Results of Operatio</w:t>
      </w:r>
      <w:r>
        <w:rPr>
          <w:rFonts w:ascii="Times New Roman" w:eastAsia="宋体" w:hAnsi="Times New Roman"/>
          <w:color w:val="000000"/>
          <w:sz w:val="20"/>
          <w:szCs w:val="20"/>
        </w:rPr>
        <w:t>ns — Foreign Exchange Impact on Revenue section included in Part II, Item 7 of this Annual Report on Form 10-K for additional information.</w:t>
      </w:r>
    </w:p>
    <w:p w14:paraId="5CD8EE6D" w14:textId="77777777" w:rsidR="00BA49F5" w:rsidRDefault="00BA49F5">
      <w:pPr>
        <w:ind w:firstLine="540"/>
        <w:jc w:val="both"/>
      </w:pPr>
    </w:p>
    <w:p w14:paraId="5CD8EE6E" w14:textId="77777777" w:rsidR="00BA49F5" w:rsidRDefault="007E5E49">
      <w:pPr>
        <w:ind w:firstLine="540"/>
        <w:jc w:val="both"/>
      </w:pPr>
      <w:r>
        <w:rPr>
          <w:rFonts w:ascii="Times New Roman" w:eastAsia="宋体" w:hAnsi="Times New Roman"/>
          <w:color w:val="000000"/>
          <w:sz w:val="20"/>
          <w:szCs w:val="20"/>
        </w:rPr>
        <w:t xml:space="preserve">We have experienced and will continue to experience fluctuations in our net income as a result of transaction gains </w:t>
      </w:r>
      <w:r>
        <w:rPr>
          <w:rFonts w:ascii="Times New Roman" w:eastAsia="宋体" w:hAnsi="Times New Roman"/>
          <w:color w:val="000000"/>
          <w:sz w:val="20"/>
          <w:szCs w:val="20"/>
        </w:rPr>
        <w:t>or losses related to revaluing monetary asset and liability balances that are denominated in currencies other than the functional currency of the entities in which they are recorded. At this time, we have not entered into, but in the future we may enter in</w:t>
      </w:r>
      <w:r>
        <w:rPr>
          <w:rFonts w:ascii="Times New Roman" w:eastAsia="宋体" w:hAnsi="Times New Roman"/>
          <w:color w:val="000000"/>
          <w:sz w:val="20"/>
          <w:szCs w:val="20"/>
        </w:rPr>
        <w:t>to, derivatives or other financial instruments in an attempt to hedge our foreign currency exchange risk. It is difficult to predict the effect hedging activities would have on our results of operations. Foreign currency exchange net losses of $81 million,</w:t>
      </w:r>
      <w:r>
        <w:rPr>
          <w:rFonts w:ascii="Times New Roman" w:eastAsia="宋体" w:hAnsi="Times New Roman"/>
          <w:color w:val="000000"/>
          <w:sz w:val="20"/>
          <w:szCs w:val="20"/>
        </w:rPr>
        <w:t xml:space="preserve"> $140 million, and $129 million were recognized in 2022, 2021, and 2020, respectively.</w:t>
      </w:r>
    </w:p>
    <w:p w14:paraId="5CD8EE6F" w14:textId="77777777" w:rsidR="00BA49F5" w:rsidRDefault="00BA49F5">
      <w:pPr>
        <w:ind w:firstLine="540"/>
        <w:jc w:val="both"/>
      </w:pPr>
    </w:p>
    <w:p w14:paraId="5CD8EE70" w14:textId="77777777" w:rsidR="00BA49F5" w:rsidRDefault="007E5E49">
      <w:r>
        <w:rPr>
          <w:rFonts w:ascii="Times New Roman" w:eastAsia="宋体" w:hAnsi="Times New Roman"/>
          <w:b/>
          <w:bCs/>
          <w:color w:val="000000"/>
          <w:sz w:val="20"/>
          <w:szCs w:val="20"/>
        </w:rPr>
        <w:t>Interest Rate Sensitivity</w:t>
      </w:r>
    </w:p>
    <w:p w14:paraId="5CD8EE71" w14:textId="77777777" w:rsidR="00BA49F5" w:rsidRDefault="00BA49F5"/>
    <w:p w14:paraId="5CD8EE72" w14:textId="77777777" w:rsidR="00BA49F5" w:rsidRDefault="007E5E49">
      <w:pPr>
        <w:ind w:firstLine="540"/>
        <w:jc w:val="both"/>
      </w:pPr>
      <w:r>
        <w:rPr>
          <w:rFonts w:ascii="Times New Roman" w:eastAsia="宋体" w:hAnsi="Times New Roman"/>
          <w:color w:val="000000"/>
          <w:sz w:val="20"/>
          <w:szCs w:val="20"/>
        </w:rPr>
        <w:t>Our exposure to changes in interest rates relates primarily to interest income and market value of our cash equivalents, marketable debt secu</w:t>
      </w:r>
      <w:r>
        <w:rPr>
          <w:rFonts w:ascii="Times New Roman" w:eastAsia="宋体" w:hAnsi="Times New Roman"/>
          <w:color w:val="000000"/>
          <w:sz w:val="20"/>
          <w:szCs w:val="20"/>
        </w:rPr>
        <w:t>rities, and the fair value of our long-term debt.</w:t>
      </w:r>
    </w:p>
    <w:p w14:paraId="5CD8EE73" w14:textId="77777777" w:rsidR="00BA49F5" w:rsidRDefault="00BA49F5">
      <w:pPr>
        <w:ind w:firstLine="540"/>
        <w:jc w:val="both"/>
      </w:pPr>
    </w:p>
    <w:p w14:paraId="5CD8EE74" w14:textId="77777777" w:rsidR="00BA49F5" w:rsidRDefault="007E5E49">
      <w:pPr>
        <w:ind w:firstLine="540"/>
        <w:jc w:val="both"/>
      </w:pPr>
      <w:r>
        <w:rPr>
          <w:rFonts w:ascii="Times New Roman" w:eastAsia="宋体" w:hAnsi="Times New Roman"/>
          <w:color w:val="000000"/>
          <w:sz w:val="20"/>
          <w:szCs w:val="20"/>
        </w:rPr>
        <w:t>Our cash, cash equivalents, and marketable debt securities consist of cash, certificates of deposit, time deposits, money market funds, U.S. government securities, U.S. government agency securities, and in</w:t>
      </w:r>
      <w:r>
        <w:rPr>
          <w:rFonts w:ascii="Times New Roman" w:eastAsia="宋体" w:hAnsi="Times New Roman"/>
          <w:color w:val="000000"/>
          <w:sz w:val="20"/>
          <w:szCs w:val="20"/>
        </w:rPr>
        <w:t>vestment grade corporate debt securities. Our investment policy and strategy are focused on preservation of capital and supporting our liquidity requirements. Changes in U.S. interest rates affect the interest earned on our cash, cash equivalents, and mark</w:t>
      </w:r>
      <w:r>
        <w:rPr>
          <w:rFonts w:ascii="Times New Roman" w:eastAsia="宋体" w:hAnsi="Times New Roman"/>
          <w:color w:val="000000"/>
          <w:sz w:val="20"/>
          <w:szCs w:val="20"/>
        </w:rPr>
        <w:t>etable securities, and the market value of those securities. A hypothetical 100 basis point increase in market interest rates would have resulted in a decrease of $558 million and $714 million in the market value of our available-for-sale debt securities a</w:t>
      </w:r>
      <w:r>
        <w:rPr>
          <w:rFonts w:ascii="Times New Roman" w:eastAsia="宋体" w:hAnsi="Times New Roman"/>
          <w:color w:val="000000"/>
          <w:sz w:val="20"/>
          <w:szCs w:val="20"/>
        </w:rPr>
        <w:t>nd cash equivalents as of December 31, 2022 and 2021, respectively. Any realized gains or losses resulting from such interest rate changes and from the current unrealized losses</w:t>
      </w:r>
      <w:r>
        <w:rPr>
          <w:rFonts w:ascii="Times New Roman" w:eastAsia="宋体" w:hAnsi="Times New Roman"/>
          <w:color w:val="000000"/>
        </w:rPr>
        <w:t xml:space="preserve"> </w:t>
      </w:r>
      <w:r>
        <w:rPr>
          <w:rFonts w:ascii="Times New Roman" w:eastAsia="宋体" w:hAnsi="Times New Roman"/>
          <w:color w:val="000000"/>
          <w:sz w:val="20"/>
          <w:szCs w:val="20"/>
        </w:rPr>
        <w:t>would only occur if we sold the investments prior to maturity.</w:t>
      </w:r>
    </w:p>
    <w:p w14:paraId="5CD8EE75" w14:textId="77777777" w:rsidR="00BA49F5" w:rsidRDefault="00BA49F5">
      <w:pPr>
        <w:ind w:firstLine="540"/>
        <w:jc w:val="both"/>
      </w:pPr>
    </w:p>
    <w:p w14:paraId="5CD8EE76" w14:textId="77777777" w:rsidR="00BA49F5" w:rsidRDefault="007E5E49">
      <w:pPr>
        <w:ind w:firstLine="540"/>
        <w:jc w:val="both"/>
      </w:pPr>
      <w:r>
        <w:rPr>
          <w:rFonts w:ascii="Times New Roman" w:eastAsia="宋体" w:hAnsi="Times New Roman"/>
          <w:color w:val="000000"/>
          <w:sz w:val="20"/>
          <w:szCs w:val="20"/>
        </w:rPr>
        <w:t>As of December</w:t>
      </w:r>
      <w:r>
        <w:rPr>
          <w:rFonts w:ascii="Times New Roman" w:eastAsia="宋体" w:hAnsi="Times New Roman"/>
          <w:color w:val="000000"/>
          <w:sz w:val="20"/>
          <w:szCs w:val="20"/>
        </w:rPr>
        <w:t> 31, 2022, we also had $10.0 billion aggregate principal amount of fixed-rate senior notes (the "Notes") outstanding. Since our Notes bear interest at fixed rates and are carried at amortized cost, fluctuations in interest rates do not have any impact on o</w:t>
      </w:r>
      <w:r>
        <w:rPr>
          <w:rFonts w:ascii="Times New Roman" w:eastAsia="宋体" w:hAnsi="Times New Roman"/>
          <w:color w:val="000000"/>
          <w:sz w:val="20"/>
          <w:szCs w:val="20"/>
        </w:rPr>
        <w:t xml:space="preserve">ur consolidated financial statements. However, the fair value of the Notes will fluctuate with movements in market interest rates, increasing in periods of declining interest rates and declining in periods of increasing interest rates. </w:t>
      </w:r>
    </w:p>
    <w:p w14:paraId="5CD8EE77" w14:textId="77777777" w:rsidR="00BA49F5" w:rsidRDefault="00BA49F5">
      <w:pPr>
        <w:ind w:firstLine="540"/>
      </w:pPr>
    </w:p>
    <w:p w14:paraId="5CD8EE78" w14:textId="77777777" w:rsidR="00BA49F5" w:rsidRDefault="007E5E49">
      <w:r>
        <w:rPr>
          <w:rFonts w:ascii="Times New Roman" w:eastAsia="宋体" w:hAnsi="Times New Roman"/>
          <w:b/>
          <w:bCs/>
          <w:color w:val="000000"/>
          <w:sz w:val="20"/>
          <w:szCs w:val="20"/>
        </w:rPr>
        <w:t>Equity Price Risk</w:t>
      </w:r>
    </w:p>
    <w:p w14:paraId="5CD8EE79" w14:textId="77777777" w:rsidR="00BA49F5" w:rsidRDefault="00BA49F5">
      <w:pPr>
        <w:ind w:firstLine="540"/>
        <w:jc w:val="both"/>
      </w:pPr>
    </w:p>
    <w:p w14:paraId="5CD8EE7A" w14:textId="77777777" w:rsidR="00BA49F5" w:rsidRDefault="007E5E49">
      <w:pPr>
        <w:ind w:firstLine="540"/>
        <w:jc w:val="both"/>
      </w:pPr>
      <w:r>
        <w:rPr>
          <w:rFonts w:ascii="Times New Roman" w:eastAsia="宋体" w:hAnsi="Times New Roman"/>
          <w:color w:val="000000"/>
          <w:sz w:val="20"/>
          <w:szCs w:val="20"/>
        </w:rPr>
        <w:t>Our equity investments are substantially all in non-marketable equity securities and are subject to equity price risks that could have a material impact on the carrying value of our holdings.</w:t>
      </w:r>
    </w:p>
    <w:p w14:paraId="5CD8EE7B" w14:textId="77777777" w:rsidR="00BA49F5" w:rsidRDefault="00BA49F5">
      <w:pPr>
        <w:ind w:firstLine="540"/>
        <w:jc w:val="both"/>
      </w:pPr>
    </w:p>
    <w:p w14:paraId="5CD8EE7C" w14:textId="77777777" w:rsidR="00BA49F5" w:rsidRDefault="007E5E49">
      <w:pPr>
        <w:ind w:firstLine="540"/>
        <w:jc w:val="both"/>
      </w:pPr>
      <w:r>
        <w:rPr>
          <w:rFonts w:ascii="Times New Roman" w:eastAsia="宋体" w:hAnsi="Times New Roman"/>
          <w:color w:val="000000"/>
          <w:sz w:val="20"/>
          <w:szCs w:val="20"/>
        </w:rPr>
        <w:t>Our non-marketable equity securities are investments in privately-held companies without readily determinable fair values. We elected to account for most of our non-marketable equity securities using the measurement alternative, which is cost, less any imp</w:t>
      </w:r>
      <w:r>
        <w:rPr>
          <w:rFonts w:ascii="Times New Roman" w:eastAsia="宋体" w:hAnsi="Times New Roman"/>
          <w:color w:val="000000"/>
          <w:sz w:val="20"/>
          <w:szCs w:val="20"/>
        </w:rPr>
        <w:t>airment, adjusted for changes in fair value resulting from observable transactions for identical or similar investments of the same issuer. We perform a qualitative assessment at each reporting date to determine whether there are triggering events for impa</w:t>
      </w:r>
      <w:r>
        <w:rPr>
          <w:rFonts w:ascii="Times New Roman" w:eastAsia="宋体" w:hAnsi="Times New Roman"/>
          <w:color w:val="000000"/>
          <w:sz w:val="20"/>
          <w:szCs w:val="20"/>
        </w:rPr>
        <w:t>irment. The qualitative assessment considers factors such as, but not limited to, the investee's financial condition and business outlook; industry and sector performance; economic or technological environment; and other relevant events and factors affecti</w:t>
      </w:r>
      <w:r>
        <w:rPr>
          <w:rFonts w:ascii="Times New Roman" w:eastAsia="宋体" w:hAnsi="Times New Roman"/>
          <w:color w:val="000000"/>
          <w:sz w:val="20"/>
          <w:szCs w:val="20"/>
        </w:rPr>
        <w:t>ng the investee. Valuations of our non-marketable equity securities are complex due to the lack of readily available market data and observable transactions. Uncertainties in the global economic climate and financial markets could adversely impact the valu</w:t>
      </w:r>
      <w:r>
        <w:rPr>
          <w:rFonts w:ascii="Times New Roman" w:eastAsia="宋体" w:hAnsi="Times New Roman"/>
          <w:color w:val="000000"/>
          <w:sz w:val="20"/>
          <w:szCs w:val="20"/>
        </w:rPr>
        <w:t xml:space="preserve">ation of these companies we invest in and, therefore, result in a material impairment or downward adjustment in our investments. Our total non-marketable equity securities had a carrying value of $6.20 billion and $6.78 billion as of December 31, 2022 and </w:t>
      </w:r>
      <w:r>
        <w:rPr>
          <w:rFonts w:ascii="Times New Roman" w:eastAsia="宋体" w:hAnsi="Times New Roman"/>
          <w:color w:val="000000"/>
          <w:sz w:val="20"/>
          <w:szCs w:val="20"/>
        </w:rPr>
        <w:t xml:space="preserve">2021, respectively. </w:t>
      </w:r>
    </w:p>
    <w:p w14:paraId="5CD8EE7D" w14:textId="77777777" w:rsidR="00BA49F5" w:rsidRDefault="00BA49F5">
      <w:pPr>
        <w:ind w:firstLine="540"/>
        <w:jc w:val="both"/>
      </w:pPr>
    </w:p>
    <w:p w14:paraId="5CD8EE7E" w14:textId="77777777" w:rsidR="00BA49F5" w:rsidRDefault="007E5E49">
      <w:pPr>
        <w:jc w:val="center"/>
      </w:pPr>
      <w:r>
        <w:rPr>
          <w:rFonts w:ascii="Times New Roman" w:eastAsia="宋体" w:hAnsi="Times New Roman"/>
          <w:color w:val="000000"/>
          <w:sz w:val="20"/>
          <w:szCs w:val="20"/>
        </w:rPr>
        <w:t>78</w:t>
      </w:r>
    </w:p>
    <w:p w14:paraId="5CD8EE7F" w14:textId="77777777" w:rsidR="00BA49F5" w:rsidRDefault="007E5E49">
      <w:r>
        <w:pict w14:anchorId="5CD90D43">
          <v:rect id="_x0000_i1102" style="width:415.3pt;height:1.5pt" o:hralign="center" o:hrstd="t" o:hr="t" fillcolor="#a0a0a0" stroked="f"/>
        </w:pict>
      </w:r>
    </w:p>
    <w:p w14:paraId="5CD8EE80" w14:textId="77777777" w:rsidR="00BA49F5" w:rsidRDefault="00BA49F5"/>
    <w:p w14:paraId="5CD8EE81" w14:textId="77777777" w:rsidR="00BA49F5" w:rsidRDefault="00BA49F5"/>
    <w:p w14:paraId="5CD8EE82" w14:textId="77777777" w:rsidR="00BA49F5" w:rsidRDefault="007E5E49">
      <w:hyperlink r:id="rId236" w:anchor="i6df229dad1864210ab76200083e26819_7" w:history="1">
        <w:r>
          <w:rPr>
            <w:rStyle w:val="a5"/>
            <w:rFonts w:ascii="Times New Roman" w:eastAsia="宋体" w:hAnsi="Times New Roman"/>
            <w:sz w:val="20"/>
            <w:szCs w:val="20"/>
          </w:rPr>
          <w:t>T</w:t>
        </w:r>
      </w:hyperlink>
      <w:hyperlink r:id="rId237" w:anchor="i6df229dad1864210ab76200083e26819_7" w:history="1">
        <w:r>
          <w:rPr>
            <w:rStyle w:val="a5"/>
            <w:rFonts w:ascii="Times New Roman" w:eastAsia="宋体" w:hAnsi="Times New Roman"/>
            <w:sz w:val="20"/>
            <w:szCs w:val="20"/>
          </w:rPr>
          <w:t>able of Contents</w:t>
        </w:r>
      </w:hyperlink>
    </w:p>
    <w:p w14:paraId="5CD8EE83" w14:textId="77777777" w:rsidR="00BA49F5" w:rsidRDefault="007E5E49">
      <w:pPr>
        <w:ind w:firstLine="540"/>
        <w:jc w:val="both"/>
      </w:pPr>
      <w:r>
        <w:rPr>
          <w:rFonts w:ascii="Times New Roman" w:eastAsia="宋体" w:hAnsi="Times New Roman"/>
          <w:color w:val="000000"/>
          <w:sz w:val="20"/>
          <w:szCs w:val="20"/>
        </w:rPr>
        <w:t>For additional information, see Note 1 — Summary of Significant Accounting Policies, Note 6 — Non-marketable Equity Securities, Note 7 — Fair Value Measurement</w:t>
      </w:r>
      <w:r>
        <w:rPr>
          <w:rFonts w:ascii="Times New Roman" w:eastAsia="宋体" w:hAnsi="Times New Roman"/>
          <w:color w:val="000000"/>
          <w:sz w:val="20"/>
          <w:szCs w:val="20"/>
        </w:rPr>
        <w:t xml:space="preserve">s, and Note 11 — Long-term Debt in the notes to the consolidated financial statements included in Part II, Item 8, "Financial Statements and Supplementary Data" and Part II, Item 7, "Management’s Discussion and Analysis of Financial Conditions and Results </w:t>
      </w:r>
      <w:r>
        <w:rPr>
          <w:rFonts w:ascii="Times New Roman" w:eastAsia="宋体" w:hAnsi="Times New Roman"/>
          <w:color w:val="000000"/>
          <w:sz w:val="20"/>
          <w:szCs w:val="20"/>
        </w:rPr>
        <w:t xml:space="preserve">of Operations — Critical Accounting Policies and Estimates" contained in this Annual Report on Form 10-K. </w:t>
      </w:r>
    </w:p>
    <w:p w14:paraId="5CD8EE84" w14:textId="77777777" w:rsidR="00BA49F5" w:rsidRDefault="007E5E49">
      <w:pPr>
        <w:jc w:val="center"/>
      </w:pPr>
      <w:r>
        <w:rPr>
          <w:rFonts w:ascii="Times New Roman" w:eastAsia="宋体" w:hAnsi="Times New Roman"/>
          <w:color w:val="000000"/>
          <w:sz w:val="20"/>
          <w:szCs w:val="20"/>
        </w:rPr>
        <w:t>79</w:t>
      </w:r>
    </w:p>
    <w:p w14:paraId="5CD8EE85" w14:textId="77777777" w:rsidR="00BA49F5" w:rsidRDefault="007E5E49">
      <w:r>
        <w:pict w14:anchorId="5CD90D44">
          <v:rect id="_x0000_i1103" style="width:415.3pt;height:1.5pt" o:hralign="center" o:hrstd="t" o:hr="t" fillcolor="#a0a0a0" stroked="f"/>
        </w:pict>
      </w:r>
    </w:p>
    <w:p w14:paraId="5CD8EE86" w14:textId="77777777" w:rsidR="00BA49F5" w:rsidRDefault="00BA49F5"/>
    <w:p w14:paraId="5CD8EE87" w14:textId="77777777" w:rsidR="00BA49F5" w:rsidRDefault="00BA49F5"/>
    <w:p w14:paraId="5CD8EE88" w14:textId="77777777" w:rsidR="00BA49F5" w:rsidRDefault="007E5E49">
      <w:hyperlink r:id="rId238" w:anchor="i6df229dad1864210ab76200083e26819_7" w:history="1">
        <w:r>
          <w:rPr>
            <w:rStyle w:val="a5"/>
            <w:rFonts w:ascii="Times New Roman" w:eastAsia="宋体" w:hAnsi="Times New Roman"/>
            <w:sz w:val="20"/>
            <w:szCs w:val="20"/>
          </w:rPr>
          <w:t>T</w:t>
        </w:r>
      </w:hyperlink>
      <w:hyperlink r:id="rId239" w:anchor="i6df229dad1864210ab76200083e26819_7" w:history="1">
        <w:r>
          <w:rPr>
            <w:rStyle w:val="a5"/>
            <w:rFonts w:ascii="Times New Roman" w:eastAsia="宋体" w:hAnsi="Times New Roman"/>
            <w:sz w:val="20"/>
            <w:szCs w:val="20"/>
          </w:rPr>
          <w:t>able of Contents</w:t>
        </w:r>
      </w:hyperlink>
    </w:p>
    <w:p w14:paraId="5CD8EE89" w14:textId="77777777" w:rsidR="00BA49F5" w:rsidRDefault="007E5E49">
      <w:pPr>
        <w:ind w:hanging="720"/>
        <w:jc w:val="both"/>
      </w:pPr>
      <w:r>
        <w:rPr>
          <w:rFonts w:ascii="Times New Roman" w:eastAsia="宋体" w:hAnsi="Times New Roman"/>
          <w:b/>
          <w:bCs/>
          <w:color w:val="000000"/>
          <w:sz w:val="20"/>
          <w:szCs w:val="20"/>
        </w:rPr>
        <w:t>Item 8.Financial Statements and Supplementary Data</w:t>
      </w:r>
    </w:p>
    <w:p w14:paraId="5CD8EE8A" w14:textId="77777777" w:rsidR="00BA49F5" w:rsidRDefault="00BA49F5">
      <w:pPr>
        <w:jc w:val="center"/>
      </w:pPr>
    </w:p>
    <w:p w14:paraId="5CD8EE8B" w14:textId="77777777" w:rsidR="00BA49F5" w:rsidRDefault="007E5E49">
      <w:pPr>
        <w:jc w:val="center"/>
      </w:pPr>
      <w:r>
        <w:rPr>
          <w:rFonts w:ascii="Times New Roman" w:eastAsia="宋体" w:hAnsi="Times New Roman"/>
          <w:b/>
          <w:bCs/>
          <w:color w:val="000000"/>
          <w:sz w:val="20"/>
          <w:szCs w:val="20"/>
        </w:rPr>
        <w:t xml:space="preserve">META PLATFORMS, INC. </w:t>
      </w:r>
    </w:p>
    <w:p w14:paraId="5CD8EE8C" w14:textId="77777777" w:rsidR="00BA49F5" w:rsidRDefault="007E5E49">
      <w:pPr>
        <w:jc w:val="center"/>
      </w:pPr>
      <w:r>
        <w:rPr>
          <w:rFonts w:ascii="Times New Roman" w:eastAsia="宋体" w:hAnsi="Times New Roman"/>
          <w:b/>
          <w:bCs/>
          <w:color w:val="000000"/>
          <w:sz w:val="20"/>
          <w:szCs w:val="20"/>
        </w:rPr>
        <w:t> </w:t>
      </w:r>
    </w:p>
    <w:p w14:paraId="5CD8EE8D" w14:textId="77777777" w:rsidR="00BA49F5" w:rsidRDefault="007E5E49">
      <w:pPr>
        <w:jc w:val="center"/>
      </w:pPr>
      <w:r>
        <w:rPr>
          <w:rFonts w:ascii="Times New Roman" w:eastAsia="宋体" w:hAnsi="Times New Roman"/>
          <w:b/>
          <w:bCs/>
          <w:color w:val="000000"/>
          <w:sz w:val="20"/>
          <w:szCs w:val="20"/>
        </w:rPr>
        <w:t>INDEX TO C</w:t>
      </w:r>
      <w:r>
        <w:rPr>
          <w:rFonts w:ascii="Times New Roman" w:eastAsia="宋体" w:hAnsi="Times New Roman"/>
          <w:b/>
          <w:bCs/>
          <w:color w:val="000000"/>
          <w:sz w:val="20"/>
          <w:szCs w:val="20"/>
        </w:rPr>
        <w:t xml:space="preserve">ONSOLIDATED FINANCIAL STATEMENTS </w:t>
      </w:r>
    </w:p>
    <w:p w14:paraId="5CD8EE8E" w14:textId="77777777" w:rsidR="00BA49F5" w:rsidRDefault="007E5E49">
      <w:r>
        <w:rPr>
          <w:rFonts w:ascii="Times New Roman" w:eastAsia="宋体" w:hAnsi="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475"/>
        <w:gridCol w:w="38"/>
        <w:gridCol w:w="69"/>
        <w:gridCol w:w="650"/>
        <w:gridCol w:w="36"/>
      </w:tblGrid>
      <w:tr w:rsidR="00BA49F5" w14:paraId="5CD8EE95" w14:textId="77777777">
        <w:tc>
          <w:tcPr>
            <w:tcW w:w="50" w:type="pct"/>
            <w:shd w:val="clear" w:color="auto" w:fill="auto"/>
            <w:vAlign w:val="bottom"/>
          </w:tcPr>
          <w:p w14:paraId="5CD8EE8F" w14:textId="77777777" w:rsidR="00BA49F5" w:rsidRDefault="00BA49F5">
            <w:pPr>
              <w:rPr>
                <w:rFonts w:ascii="宋体"/>
              </w:rPr>
            </w:pPr>
          </w:p>
        </w:tc>
        <w:tc>
          <w:tcPr>
            <w:tcW w:w="4491" w:type="pct"/>
            <w:shd w:val="clear" w:color="auto" w:fill="auto"/>
            <w:vAlign w:val="bottom"/>
          </w:tcPr>
          <w:p w14:paraId="5CD8EE90" w14:textId="77777777" w:rsidR="00BA49F5" w:rsidRDefault="00BA49F5">
            <w:pPr>
              <w:rPr>
                <w:rFonts w:ascii="宋体"/>
              </w:rPr>
            </w:pPr>
          </w:p>
        </w:tc>
        <w:tc>
          <w:tcPr>
            <w:tcW w:w="5" w:type="pct"/>
            <w:shd w:val="clear" w:color="auto" w:fill="auto"/>
            <w:vAlign w:val="bottom"/>
          </w:tcPr>
          <w:p w14:paraId="5CD8EE91" w14:textId="77777777" w:rsidR="00BA49F5" w:rsidRDefault="00BA49F5">
            <w:pPr>
              <w:rPr>
                <w:rFonts w:ascii="宋体"/>
              </w:rPr>
            </w:pPr>
          </w:p>
        </w:tc>
        <w:tc>
          <w:tcPr>
            <w:tcW w:w="50" w:type="pct"/>
            <w:shd w:val="clear" w:color="auto" w:fill="auto"/>
            <w:vAlign w:val="bottom"/>
          </w:tcPr>
          <w:p w14:paraId="5CD8EE92" w14:textId="77777777" w:rsidR="00BA49F5" w:rsidRDefault="00BA49F5">
            <w:pPr>
              <w:rPr>
                <w:rFonts w:ascii="宋体"/>
              </w:rPr>
            </w:pPr>
          </w:p>
        </w:tc>
        <w:tc>
          <w:tcPr>
            <w:tcW w:w="398" w:type="pct"/>
            <w:shd w:val="clear" w:color="auto" w:fill="auto"/>
            <w:vAlign w:val="bottom"/>
          </w:tcPr>
          <w:p w14:paraId="5CD8EE93" w14:textId="77777777" w:rsidR="00BA49F5" w:rsidRDefault="00BA49F5">
            <w:pPr>
              <w:rPr>
                <w:rFonts w:ascii="宋体"/>
              </w:rPr>
            </w:pPr>
          </w:p>
        </w:tc>
        <w:tc>
          <w:tcPr>
            <w:tcW w:w="5" w:type="pct"/>
            <w:shd w:val="clear" w:color="auto" w:fill="auto"/>
            <w:vAlign w:val="bottom"/>
          </w:tcPr>
          <w:p w14:paraId="5CD8EE94" w14:textId="77777777" w:rsidR="00BA49F5" w:rsidRDefault="00BA49F5">
            <w:pPr>
              <w:rPr>
                <w:rFonts w:ascii="宋体"/>
              </w:rPr>
            </w:pPr>
          </w:p>
        </w:tc>
      </w:tr>
      <w:tr w:rsidR="00BA49F5" w14:paraId="5CD8EE98" w14:textId="77777777">
        <w:tc>
          <w:tcPr>
            <w:tcW w:w="0" w:type="auto"/>
            <w:gridSpan w:val="3"/>
            <w:shd w:val="clear" w:color="auto" w:fill="auto"/>
            <w:tcMar>
              <w:top w:w="0" w:type="dxa"/>
              <w:left w:w="20" w:type="dxa"/>
              <w:bottom w:w="0" w:type="dxa"/>
              <w:right w:w="20" w:type="dxa"/>
            </w:tcMar>
            <w:vAlign w:val="bottom"/>
          </w:tcPr>
          <w:p w14:paraId="5CD8EE9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8EE97" w14:textId="77777777" w:rsidR="00BA49F5" w:rsidRDefault="007E5E49">
            <w:pPr>
              <w:ind w:firstLine="135"/>
              <w:jc w:val="center"/>
              <w:textAlignment w:val="top"/>
            </w:pPr>
            <w:r>
              <w:rPr>
                <w:rFonts w:ascii="Times New Roman" w:eastAsia="宋体" w:hAnsi="Times New Roman"/>
                <w:color w:val="000000"/>
                <w:sz w:val="20"/>
                <w:szCs w:val="20"/>
              </w:rPr>
              <w:t>Page</w:t>
            </w:r>
          </w:p>
        </w:tc>
      </w:tr>
      <w:tr w:rsidR="00BA49F5" w14:paraId="5CD8EE9B" w14:textId="77777777">
        <w:tc>
          <w:tcPr>
            <w:tcW w:w="0" w:type="auto"/>
            <w:gridSpan w:val="3"/>
            <w:shd w:val="clear" w:color="auto" w:fill="auto"/>
            <w:tcMar>
              <w:top w:w="40" w:type="dxa"/>
              <w:left w:w="20" w:type="dxa"/>
              <w:bottom w:w="40" w:type="dxa"/>
              <w:right w:w="20" w:type="dxa"/>
            </w:tcMar>
          </w:tcPr>
          <w:p w14:paraId="5CD8EE99" w14:textId="77777777" w:rsidR="00BA49F5" w:rsidRDefault="007E5E49">
            <w:pPr>
              <w:ind w:hanging="180"/>
              <w:textAlignment w:val="top"/>
            </w:pPr>
            <w:hyperlink r:id="rId240" w:anchor="i6df229dad1864210ab76200083e26819_82" w:history="1">
              <w:r>
                <w:rPr>
                  <w:rStyle w:val="a5"/>
                  <w:rFonts w:ascii="Times New Roman" w:eastAsia="宋体" w:hAnsi="Times New Roman"/>
                  <w:sz w:val="20"/>
                  <w:szCs w:val="20"/>
                </w:rPr>
                <w:t xml:space="preserve">Reports of Independent Registered Public Accounting Firm (PCAOB ID No. </w:t>
              </w:r>
            </w:hyperlink>
            <w:r>
              <w:rPr>
                <w:rFonts w:ascii="Times New Roman" w:eastAsia="宋体" w:hAnsi="Times New Roman"/>
                <w:color w:val="000000"/>
                <w:sz w:val="20"/>
                <w:szCs w:val="20"/>
              </w:rPr>
              <w:t>42</w:t>
            </w:r>
            <w:hyperlink r:id="rId241" w:anchor="i6df229dad1864210ab76200083e26819_82" w:history="1">
              <w:r>
                <w:rPr>
                  <w:rStyle w:val="a5"/>
                  <w:rFonts w:ascii="Times New Roman" w:eastAsia="宋体" w:hAnsi="Times New Roman"/>
                  <w:sz w:val="20"/>
                  <w:szCs w:val="20"/>
                </w:rPr>
                <w:t>)</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E9A" w14:textId="77777777" w:rsidR="00BA49F5" w:rsidRDefault="007E5E49">
            <w:pPr>
              <w:jc w:val="center"/>
              <w:textAlignment w:val="bottom"/>
            </w:pPr>
            <w:hyperlink r:id="rId242" w:anchor="i6df229dad1864210ab76200083e26819_82" w:history="1">
              <w:r>
                <w:rPr>
                  <w:rStyle w:val="a5"/>
                  <w:rFonts w:ascii="Times New Roman" w:eastAsia="宋体" w:hAnsi="Times New Roman"/>
                  <w:sz w:val="20"/>
                  <w:szCs w:val="20"/>
                </w:rPr>
                <w:t>81</w:t>
              </w:r>
            </w:hyperlink>
          </w:p>
        </w:tc>
      </w:tr>
      <w:tr w:rsidR="00BA49F5" w14:paraId="5CD8EE9E" w14:textId="77777777">
        <w:tc>
          <w:tcPr>
            <w:tcW w:w="0" w:type="auto"/>
            <w:gridSpan w:val="3"/>
            <w:shd w:val="clear" w:color="auto" w:fill="auto"/>
            <w:tcMar>
              <w:top w:w="40" w:type="dxa"/>
              <w:left w:w="20" w:type="dxa"/>
              <w:bottom w:w="40" w:type="dxa"/>
              <w:right w:w="20" w:type="dxa"/>
            </w:tcMar>
          </w:tcPr>
          <w:p w14:paraId="5CD8EE9C" w14:textId="77777777" w:rsidR="00BA49F5" w:rsidRDefault="007E5E49">
            <w:pPr>
              <w:ind w:hanging="180"/>
              <w:textAlignment w:val="top"/>
            </w:pPr>
            <w:r>
              <w:rPr>
                <w:rFonts w:ascii="Times New Roman" w:eastAsia="宋体" w:hAnsi="Times New Roman"/>
                <w:color w:val="000000"/>
                <w:sz w:val="20"/>
                <w:szCs w:val="20"/>
              </w:rPr>
              <w:t>Consolidated Financial Statements:</w:t>
            </w:r>
          </w:p>
        </w:tc>
        <w:tc>
          <w:tcPr>
            <w:tcW w:w="0" w:type="auto"/>
            <w:gridSpan w:val="3"/>
            <w:shd w:val="clear" w:color="auto" w:fill="auto"/>
            <w:tcMar>
              <w:top w:w="0" w:type="dxa"/>
              <w:left w:w="20" w:type="dxa"/>
              <w:bottom w:w="0" w:type="dxa"/>
              <w:right w:w="20" w:type="dxa"/>
            </w:tcMar>
            <w:vAlign w:val="bottom"/>
          </w:tcPr>
          <w:p w14:paraId="5CD8EE9D" w14:textId="77777777" w:rsidR="00BA49F5" w:rsidRDefault="00BA49F5">
            <w:pPr>
              <w:rPr>
                <w:rFonts w:ascii="宋体"/>
              </w:rPr>
            </w:pPr>
          </w:p>
        </w:tc>
      </w:tr>
      <w:tr w:rsidR="00BA49F5" w14:paraId="5CD8EEA1" w14:textId="77777777">
        <w:tc>
          <w:tcPr>
            <w:tcW w:w="0" w:type="auto"/>
            <w:gridSpan w:val="3"/>
            <w:shd w:val="clear" w:color="auto" w:fill="auto"/>
            <w:tcMar>
              <w:top w:w="40" w:type="dxa"/>
              <w:left w:w="20" w:type="dxa"/>
              <w:bottom w:w="40" w:type="dxa"/>
              <w:right w:w="20" w:type="dxa"/>
            </w:tcMar>
          </w:tcPr>
          <w:p w14:paraId="5CD8EE9F" w14:textId="77777777" w:rsidR="00BA49F5" w:rsidRDefault="007E5E49">
            <w:pPr>
              <w:ind w:hanging="180"/>
              <w:textAlignment w:val="top"/>
            </w:pPr>
            <w:hyperlink r:id="rId243" w:anchor="i6df229dad1864210ab76200083e26819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5CD8EEA0" w14:textId="77777777" w:rsidR="00BA49F5" w:rsidRDefault="007E5E49">
            <w:pPr>
              <w:jc w:val="center"/>
              <w:textAlignment w:val="bottom"/>
            </w:pPr>
            <w:hyperlink r:id="rId244" w:anchor="i6df229dad1864210ab76200083e26819_85" w:history="1">
              <w:r>
                <w:rPr>
                  <w:rStyle w:val="a5"/>
                  <w:rFonts w:ascii="Times New Roman" w:eastAsia="宋体" w:hAnsi="Times New Roman"/>
                  <w:sz w:val="20"/>
                  <w:szCs w:val="20"/>
                </w:rPr>
                <w:t>85</w:t>
              </w:r>
            </w:hyperlink>
          </w:p>
        </w:tc>
      </w:tr>
      <w:tr w:rsidR="00BA49F5" w14:paraId="5CD8EEA4" w14:textId="77777777">
        <w:tc>
          <w:tcPr>
            <w:tcW w:w="0" w:type="auto"/>
            <w:gridSpan w:val="3"/>
            <w:shd w:val="clear" w:color="auto" w:fill="auto"/>
            <w:tcMar>
              <w:top w:w="40" w:type="dxa"/>
              <w:left w:w="20" w:type="dxa"/>
              <w:bottom w:w="40" w:type="dxa"/>
              <w:right w:w="20" w:type="dxa"/>
            </w:tcMar>
          </w:tcPr>
          <w:p w14:paraId="5CD8EEA2" w14:textId="77777777" w:rsidR="00BA49F5" w:rsidRDefault="007E5E49">
            <w:pPr>
              <w:ind w:hanging="180"/>
              <w:textAlignment w:val="top"/>
            </w:pPr>
            <w:hyperlink r:id="rId245" w:anchor="i6df229dad1864210ab76200083e26819_88" w:history="1">
              <w:r>
                <w:rPr>
                  <w:rStyle w:val="a5"/>
                  <w:rFonts w:ascii="Times New Roman" w:eastAsia="宋体" w:hAnsi="Times New Roman"/>
                  <w:sz w:val="20"/>
                  <w:szCs w:val="20"/>
                </w:rPr>
                <w:t>Consolidated Statements of Income</w:t>
              </w:r>
            </w:hyperlink>
          </w:p>
        </w:tc>
        <w:tc>
          <w:tcPr>
            <w:tcW w:w="0" w:type="auto"/>
            <w:gridSpan w:val="3"/>
            <w:shd w:val="clear" w:color="auto" w:fill="auto"/>
            <w:tcMar>
              <w:top w:w="40" w:type="dxa"/>
              <w:left w:w="20" w:type="dxa"/>
              <w:bottom w:w="40" w:type="dxa"/>
              <w:right w:w="20" w:type="dxa"/>
            </w:tcMar>
            <w:vAlign w:val="bottom"/>
          </w:tcPr>
          <w:p w14:paraId="5CD8EEA3" w14:textId="77777777" w:rsidR="00BA49F5" w:rsidRDefault="007E5E49">
            <w:pPr>
              <w:jc w:val="center"/>
              <w:textAlignment w:val="bottom"/>
            </w:pPr>
            <w:hyperlink r:id="rId246" w:anchor="i6df229dad1864210ab76200083e26819_88" w:history="1">
              <w:r>
                <w:rPr>
                  <w:rStyle w:val="a5"/>
                  <w:rFonts w:ascii="Times New Roman" w:eastAsia="宋体" w:hAnsi="Times New Roman"/>
                  <w:sz w:val="20"/>
                  <w:szCs w:val="20"/>
                </w:rPr>
                <w:t>86</w:t>
              </w:r>
            </w:hyperlink>
          </w:p>
        </w:tc>
      </w:tr>
      <w:tr w:rsidR="00BA49F5" w14:paraId="5CD8EEA7" w14:textId="77777777">
        <w:tc>
          <w:tcPr>
            <w:tcW w:w="0" w:type="auto"/>
            <w:gridSpan w:val="3"/>
            <w:shd w:val="clear" w:color="auto" w:fill="auto"/>
            <w:tcMar>
              <w:top w:w="40" w:type="dxa"/>
              <w:left w:w="20" w:type="dxa"/>
              <w:bottom w:w="40" w:type="dxa"/>
              <w:right w:w="20" w:type="dxa"/>
            </w:tcMar>
          </w:tcPr>
          <w:p w14:paraId="5CD8EEA5" w14:textId="77777777" w:rsidR="00BA49F5" w:rsidRDefault="007E5E49">
            <w:pPr>
              <w:ind w:hanging="180"/>
              <w:textAlignment w:val="top"/>
            </w:pPr>
            <w:hyperlink r:id="rId247" w:anchor="i6df229dad1864210ab76200083e26819_91"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5CD8EEA6" w14:textId="77777777" w:rsidR="00BA49F5" w:rsidRDefault="007E5E49">
            <w:pPr>
              <w:jc w:val="center"/>
              <w:textAlignment w:val="bottom"/>
            </w:pPr>
            <w:hyperlink r:id="rId248" w:anchor="i6df229dad1864210ab76200083e26819_91" w:history="1">
              <w:r>
                <w:rPr>
                  <w:rStyle w:val="a5"/>
                  <w:rFonts w:ascii="Times New Roman" w:eastAsia="宋体" w:hAnsi="Times New Roman"/>
                  <w:sz w:val="20"/>
                  <w:szCs w:val="20"/>
                </w:rPr>
                <w:t>87</w:t>
              </w:r>
            </w:hyperlink>
          </w:p>
        </w:tc>
      </w:tr>
      <w:tr w:rsidR="00BA49F5" w14:paraId="5CD8EEAA" w14:textId="77777777">
        <w:tc>
          <w:tcPr>
            <w:tcW w:w="0" w:type="auto"/>
            <w:gridSpan w:val="3"/>
            <w:shd w:val="clear" w:color="auto" w:fill="auto"/>
            <w:tcMar>
              <w:top w:w="40" w:type="dxa"/>
              <w:left w:w="20" w:type="dxa"/>
              <w:bottom w:w="40" w:type="dxa"/>
              <w:right w:w="20" w:type="dxa"/>
            </w:tcMar>
          </w:tcPr>
          <w:p w14:paraId="5CD8EEA8" w14:textId="77777777" w:rsidR="00BA49F5" w:rsidRDefault="007E5E49">
            <w:pPr>
              <w:ind w:hanging="180"/>
              <w:textAlignment w:val="top"/>
            </w:pPr>
            <w:hyperlink r:id="rId249" w:anchor="i6df229dad1864210ab76200083e26819_94" w:history="1">
              <w:r>
                <w:rPr>
                  <w:rStyle w:val="a5"/>
                  <w:rFonts w:ascii="Times New Roman" w:eastAsia="宋体" w:hAnsi="Times New Roman"/>
                  <w:sz w:val="20"/>
                  <w:szCs w:val="20"/>
                </w:rPr>
                <w:t>C</w:t>
              </w:r>
              <w:r>
                <w:rPr>
                  <w:rStyle w:val="a5"/>
                  <w:rFonts w:ascii="Times New Roman" w:eastAsia="宋体" w:hAnsi="Times New Roman"/>
                  <w:sz w:val="20"/>
                  <w:szCs w:val="20"/>
                </w:rPr>
                <w:t>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5CD8EEA9" w14:textId="77777777" w:rsidR="00BA49F5" w:rsidRDefault="007E5E49">
            <w:pPr>
              <w:jc w:val="center"/>
              <w:textAlignment w:val="bottom"/>
            </w:pPr>
            <w:hyperlink r:id="rId250" w:anchor="i6df229dad1864210ab76200083e26819_94" w:history="1">
              <w:r>
                <w:rPr>
                  <w:rStyle w:val="a5"/>
                  <w:rFonts w:ascii="Times New Roman" w:eastAsia="宋体" w:hAnsi="Times New Roman"/>
                  <w:sz w:val="20"/>
                  <w:szCs w:val="20"/>
                </w:rPr>
                <w:t>88</w:t>
              </w:r>
            </w:hyperlink>
          </w:p>
        </w:tc>
      </w:tr>
      <w:tr w:rsidR="00BA49F5" w14:paraId="5CD8EEAD" w14:textId="77777777">
        <w:tc>
          <w:tcPr>
            <w:tcW w:w="0" w:type="auto"/>
            <w:gridSpan w:val="3"/>
            <w:shd w:val="clear" w:color="auto" w:fill="auto"/>
            <w:tcMar>
              <w:top w:w="40" w:type="dxa"/>
              <w:left w:w="20" w:type="dxa"/>
              <w:bottom w:w="40" w:type="dxa"/>
              <w:right w:w="20" w:type="dxa"/>
            </w:tcMar>
          </w:tcPr>
          <w:p w14:paraId="5CD8EEAB" w14:textId="77777777" w:rsidR="00BA49F5" w:rsidRDefault="007E5E49">
            <w:pPr>
              <w:ind w:hanging="180"/>
              <w:textAlignment w:val="top"/>
            </w:pPr>
            <w:hyperlink r:id="rId251" w:anchor="i6df229dad1864210ab76200083e26819_97"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5CD8EEAC" w14:textId="77777777" w:rsidR="00BA49F5" w:rsidRDefault="007E5E49">
            <w:pPr>
              <w:jc w:val="center"/>
              <w:textAlignment w:val="bottom"/>
            </w:pPr>
            <w:hyperlink r:id="rId252" w:anchor="i6df229dad1864210ab76200083e26819_97" w:history="1">
              <w:r>
                <w:rPr>
                  <w:rStyle w:val="a5"/>
                  <w:rFonts w:ascii="Times New Roman" w:eastAsia="宋体" w:hAnsi="Times New Roman"/>
                  <w:sz w:val="20"/>
                  <w:szCs w:val="20"/>
                </w:rPr>
                <w:t>89</w:t>
              </w:r>
            </w:hyperlink>
          </w:p>
        </w:tc>
      </w:tr>
      <w:tr w:rsidR="00BA49F5" w14:paraId="5CD8EEB0" w14:textId="77777777">
        <w:tc>
          <w:tcPr>
            <w:tcW w:w="0" w:type="auto"/>
            <w:gridSpan w:val="3"/>
            <w:shd w:val="clear" w:color="auto" w:fill="auto"/>
            <w:tcMar>
              <w:top w:w="40" w:type="dxa"/>
              <w:left w:w="20" w:type="dxa"/>
              <w:bottom w:w="40" w:type="dxa"/>
              <w:right w:w="20" w:type="dxa"/>
            </w:tcMar>
          </w:tcPr>
          <w:p w14:paraId="5CD8EEAE" w14:textId="77777777" w:rsidR="00BA49F5" w:rsidRDefault="007E5E49">
            <w:pPr>
              <w:ind w:hanging="180"/>
              <w:textAlignment w:val="top"/>
            </w:pPr>
            <w:hyperlink r:id="rId253" w:anchor="i6df229dad1864210ab76200083e26819_100"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5CD8EEAF" w14:textId="77777777" w:rsidR="00BA49F5" w:rsidRDefault="007E5E49">
            <w:pPr>
              <w:jc w:val="center"/>
              <w:textAlignment w:val="bottom"/>
            </w:pPr>
            <w:hyperlink r:id="rId254" w:anchor="i6df229dad1864210ab76200083e26819_100" w:history="1">
              <w:r>
                <w:rPr>
                  <w:rStyle w:val="a5"/>
                  <w:rFonts w:ascii="Times New Roman" w:eastAsia="宋体" w:hAnsi="Times New Roman"/>
                  <w:sz w:val="20"/>
                  <w:szCs w:val="20"/>
                </w:rPr>
                <w:t>91</w:t>
              </w:r>
            </w:hyperlink>
          </w:p>
        </w:tc>
      </w:tr>
    </w:tbl>
    <w:p w14:paraId="5CD8EEB1" w14:textId="77777777" w:rsidR="00BA49F5" w:rsidRDefault="007E5E49">
      <w:pPr>
        <w:jc w:val="both"/>
      </w:pPr>
      <w:r>
        <w:rPr>
          <w:rFonts w:ascii="Times New Roman" w:eastAsia="宋体" w:hAnsi="Times New Roman"/>
          <w:color w:val="000000"/>
          <w:sz w:val="2"/>
          <w:szCs w:val="2"/>
        </w:rPr>
        <w:t> </w:t>
      </w:r>
    </w:p>
    <w:p w14:paraId="5CD8EEB2" w14:textId="77777777" w:rsidR="00BA49F5" w:rsidRDefault="00BA49F5">
      <w:pPr>
        <w:jc w:val="both"/>
      </w:pPr>
    </w:p>
    <w:p w14:paraId="5CD8EEB3" w14:textId="77777777" w:rsidR="00BA49F5" w:rsidRDefault="00BA49F5">
      <w:pPr>
        <w:jc w:val="both"/>
      </w:pPr>
    </w:p>
    <w:p w14:paraId="5CD8EEB4" w14:textId="77777777" w:rsidR="00BA49F5" w:rsidRDefault="007E5E49">
      <w:pPr>
        <w:jc w:val="center"/>
      </w:pPr>
      <w:r>
        <w:rPr>
          <w:rFonts w:ascii="Times New Roman" w:eastAsia="宋体" w:hAnsi="Times New Roman"/>
          <w:color w:val="000000"/>
          <w:sz w:val="20"/>
          <w:szCs w:val="20"/>
        </w:rPr>
        <w:t>80</w:t>
      </w:r>
    </w:p>
    <w:p w14:paraId="5CD8EEB5" w14:textId="77777777" w:rsidR="00BA49F5" w:rsidRDefault="007E5E49">
      <w:r>
        <w:pict w14:anchorId="5CD90D45">
          <v:rect id="_x0000_i1104" style="width:415.3pt;height:1.5pt" o:hralign="center" o:hrstd="t" o:hr="t" fillcolor="#a0a0a0" stroked="f"/>
        </w:pict>
      </w:r>
    </w:p>
    <w:p w14:paraId="5CD8EEB6" w14:textId="77777777" w:rsidR="00BA49F5" w:rsidRDefault="00BA49F5"/>
    <w:p w14:paraId="5CD8EEB7" w14:textId="77777777" w:rsidR="00BA49F5" w:rsidRDefault="00BA49F5"/>
    <w:p w14:paraId="5CD8EEB8" w14:textId="77777777" w:rsidR="00BA49F5" w:rsidRDefault="007E5E49">
      <w:hyperlink r:id="rId255" w:anchor="i6df229dad1864210ab76200083e26819_7" w:history="1">
        <w:r>
          <w:rPr>
            <w:rStyle w:val="a5"/>
            <w:rFonts w:ascii="Times New Roman" w:eastAsia="宋体" w:hAnsi="Times New Roman"/>
            <w:sz w:val="20"/>
            <w:szCs w:val="20"/>
          </w:rPr>
          <w:t>T</w:t>
        </w:r>
      </w:hyperlink>
      <w:hyperlink r:id="rId256" w:anchor="i6df229dad1864210ab76200083e26819_7" w:history="1">
        <w:r>
          <w:rPr>
            <w:rStyle w:val="a5"/>
            <w:rFonts w:ascii="Times New Roman" w:eastAsia="宋体" w:hAnsi="Times New Roman"/>
            <w:sz w:val="20"/>
            <w:szCs w:val="20"/>
          </w:rPr>
          <w:t>able of Contents</w:t>
        </w:r>
      </w:hyperlink>
    </w:p>
    <w:p w14:paraId="5CD8EEB9" w14:textId="77777777" w:rsidR="00BA49F5" w:rsidRDefault="00BA49F5">
      <w:pPr>
        <w:jc w:val="center"/>
      </w:pPr>
    </w:p>
    <w:p w14:paraId="5CD8EEBA" w14:textId="77777777" w:rsidR="00BA49F5" w:rsidRDefault="007E5E49">
      <w:pPr>
        <w:jc w:val="center"/>
      </w:pPr>
      <w:r>
        <w:rPr>
          <w:rFonts w:ascii="Times New Roman" w:eastAsia="宋体" w:hAnsi="Times New Roman"/>
          <w:b/>
          <w:bCs/>
          <w:color w:val="000000"/>
          <w:sz w:val="20"/>
          <w:szCs w:val="20"/>
        </w:rPr>
        <w:t>Report of Independent Registered Public Accounting Firm</w:t>
      </w:r>
    </w:p>
    <w:p w14:paraId="5CD8EEBB" w14:textId="77777777" w:rsidR="00BA49F5" w:rsidRDefault="00BA49F5">
      <w:pPr>
        <w:ind w:hanging="180"/>
        <w:jc w:val="both"/>
      </w:pPr>
    </w:p>
    <w:p w14:paraId="5CD8EEBC" w14:textId="77777777" w:rsidR="00BA49F5" w:rsidRDefault="007E5E49">
      <w:pPr>
        <w:ind w:hanging="180"/>
        <w:jc w:val="both"/>
      </w:pPr>
      <w:r>
        <w:rPr>
          <w:rFonts w:ascii="Times New Roman" w:eastAsia="宋体" w:hAnsi="Times New Roman"/>
          <w:color w:val="000000"/>
          <w:sz w:val="20"/>
          <w:szCs w:val="20"/>
        </w:rPr>
        <w:t>To the Stockholders and the Board of Directors of Meta Platforms, Inc.</w:t>
      </w:r>
    </w:p>
    <w:p w14:paraId="5CD8EEBD" w14:textId="77777777" w:rsidR="00BA49F5" w:rsidRDefault="00BA49F5">
      <w:pPr>
        <w:ind w:hanging="180"/>
        <w:jc w:val="both"/>
      </w:pPr>
    </w:p>
    <w:p w14:paraId="5CD8EEBE" w14:textId="77777777" w:rsidR="00BA49F5" w:rsidRDefault="007E5E49">
      <w:r>
        <w:rPr>
          <w:rFonts w:ascii="Times New Roman" w:eastAsia="宋体" w:hAnsi="Times New Roman"/>
          <w:b/>
          <w:bCs/>
          <w:color w:val="000000"/>
          <w:sz w:val="20"/>
          <w:szCs w:val="20"/>
        </w:rPr>
        <w:t>Opinion on the Financial Statements</w:t>
      </w:r>
    </w:p>
    <w:p w14:paraId="5CD8EEBF" w14:textId="77777777" w:rsidR="00BA49F5" w:rsidRDefault="00BA49F5"/>
    <w:p w14:paraId="5CD8EEC0" w14:textId="77777777" w:rsidR="00BA49F5" w:rsidRDefault="007E5E49">
      <w:pPr>
        <w:jc w:val="both"/>
      </w:pPr>
      <w:r>
        <w:rPr>
          <w:rFonts w:ascii="Times New Roman" w:eastAsia="宋体" w:hAnsi="Times New Roman"/>
          <w:color w:val="000000"/>
          <w:sz w:val="20"/>
          <w:szCs w:val="20"/>
        </w:rPr>
        <w:t>We have audited the accompanying consolidated balance sheets of Meta Platforms, Inc. (the Company) as of December 31, 2022 and 2021, the related consolidated statements of income, comprehensive income, stockholders' equity and cash flows for each of the th</w:t>
      </w:r>
      <w:r>
        <w:rPr>
          <w:rFonts w:ascii="Times New Roman" w:eastAsia="宋体" w:hAnsi="Times New Roman"/>
          <w:color w:val="000000"/>
          <w:sz w:val="20"/>
          <w:szCs w:val="20"/>
        </w:rPr>
        <w:t>ree years in the period ended December 31, 2022, and the related notes (collectively referred to as the "consolidated financial statements"). In our opinion, the consolidated financial statements present fairly, in all material respects, the financial posi</w:t>
      </w:r>
      <w:r>
        <w:rPr>
          <w:rFonts w:ascii="Times New Roman" w:eastAsia="宋体" w:hAnsi="Times New Roman"/>
          <w:color w:val="000000"/>
          <w:sz w:val="20"/>
          <w:szCs w:val="20"/>
        </w:rPr>
        <w:t xml:space="preserve">tion of the Company at December 31, 2022 and 2021, and the results of its operations and its cash flows for each of the three years in the period ended December 31, 2022, in conformity with U.S. generally accepted accounting principles. </w:t>
      </w:r>
    </w:p>
    <w:p w14:paraId="5CD8EEC1" w14:textId="77777777" w:rsidR="00BA49F5" w:rsidRDefault="00BA49F5">
      <w:pPr>
        <w:jc w:val="both"/>
      </w:pPr>
    </w:p>
    <w:p w14:paraId="5CD8EEC2" w14:textId="77777777" w:rsidR="00BA49F5" w:rsidRDefault="007E5E49">
      <w:pPr>
        <w:jc w:val="both"/>
      </w:pPr>
      <w:r>
        <w:rPr>
          <w:rFonts w:ascii="Times New Roman" w:eastAsia="宋体" w:hAnsi="Times New Roman"/>
          <w:color w:val="000000"/>
          <w:sz w:val="20"/>
          <w:szCs w:val="20"/>
        </w:rPr>
        <w:t>We also have audi</w:t>
      </w:r>
      <w:r>
        <w:rPr>
          <w:rFonts w:ascii="Times New Roman" w:eastAsia="宋体" w:hAnsi="Times New Roman"/>
          <w:color w:val="000000"/>
          <w:sz w:val="20"/>
          <w:szCs w:val="20"/>
        </w:rPr>
        <w:t xml:space="preserve">ted, in accordance with the standards of the Public Company Accounting Oversight Board (United States) (PCAOB), the Company's internal control over financial reporting as of December 31, 2022, based on criteria established in Internal Control – Integrated </w:t>
      </w:r>
      <w:r>
        <w:rPr>
          <w:rFonts w:ascii="Times New Roman" w:eastAsia="宋体" w:hAnsi="Times New Roman"/>
          <w:color w:val="000000"/>
          <w:sz w:val="20"/>
          <w:szCs w:val="20"/>
        </w:rPr>
        <w:t>Framework issued by the Committee of Sponsoring Organizations of the Treadway Commission (2013 framework), and our report dated February 1, 2023, expressed an unqualified opinion thereon.</w:t>
      </w:r>
    </w:p>
    <w:p w14:paraId="5CD8EEC3" w14:textId="77777777" w:rsidR="00BA49F5" w:rsidRDefault="00BA49F5">
      <w:pPr>
        <w:jc w:val="both"/>
      </w:pPr>
    </w:p>
    <w:p w14:paraId="5CD8EEC4" w14:textId="77777777" w:rsidR="00BA49F5" w:rsidRDefault="007E5E49">
      <w:r>
        <w:rPr>
          <w:rFonts w:ascii="Times New Roman" w:eastAsia="宋体" w:hAnsi="Times New Roman"/>
          <w:b/>
          <w:bCs/>
          <w:color w:val="000000"/>
          <w:sz w:val="20"/>
          <w:szCs w:val="20"/>
        </w:rPr>
        <w:t>Basis for Opinion</w:t>
      </w:r>
    </w:p>
    <w:p w14:paraId="5CD8EEC5" w14:textId="77777777" w:rsidR="00BA49F5" w:rsidRDefault="00BA49F5"/>
    <w:p w14:paraId="5CD8EEC6" w14:textId="77777777" w:rsidR="00BA49F5" w:rsidRDefault="007E5E49">
      <w:pPr>
        <w:jc w:val="both"/>
      </w:pPr>
      <w:r>
        <w:rPr>
          <w:rFonts w:ascii="Times New Roman" w:eastAsia="宋体" w:hAnsi="Times New Roman"/>
          <w:color w:val="000000"/>
          <w:sz w:val="20"/>
          <w:szCs w:val="20"/>
        </w:rPr>
        <w:t>These financial statements are the responsibilit</w:t>
      </w:r>
      <w:r>
        <w:rPr>
          <w:rFonts w:ascii="Times New Roman" w:eastAsia="宋体" w:hAnsi="Times New Roman"/>
          <w:color w:val="000000"/>
          <w:sz w:val="20"/>
          <w:szCs w:val="20"/>
        </w:rPr>
        <w:t>y of the Company's management. Our responsibility is to express an opinion on the Company's financial statements based on our audits. We are a public accounting firm registered with the PCAOB and are required to be independent with respect to the Company i</w:t>
      </w:r>
      <w:r>
        <w:rPr>
          <w:rFonts w:ascii="Times New Roman" w:eastAsia="宋体" w:hAnsi="Times New Roman"/>
          <w:color w:val="000000"/>
          <w:sz w:val="20"/>
          <w:szCs w:val="20"/>
        </w:rPr>
        <w:t>n accordance with the U.S. federal securities laws and the applicable rules and regulations of the Securities and Exchange Commission and the PCAOB.</w:t>
      </w:r>
    </w:p>
    <w:p w14:paraId="5CD8EEC7" w14:textId="77777777" w:rsidR="00BA49F5" w:rsidRDefault="00BA49F5">
      <w:pPr>
        <w:jc w:val="both"/>
      </w:pPr>
    </w:p>
    <w:p w14:paraId="5CD8EEC8" w14:textId="77777777" w:rsidR="00BA49F5" w:rsidRDefault="007E5E49">
      <w:pPr>
        <w:jc w:val="both"/>
      </w:pPr>
      <w:r>
        <w:rPr>
          <w:rFonts w:ascii="Times New Roman" w:eastAsia="宋体" w:hAnsi="Times New Roman"/>
          <w:color w:val="000000"/>
          <w:sz w:val="20"/>
          <w:szCs w:val="20"/>
        </w:rPr>
        <w:t>We conducted our audits in accordance with the standards of the PCAOB. Those standards require that we pla</w:t>
      </w:r>
      <w:r>
        <w:rPr>
          <w:rFonts w:ascii="Times New Roman" w:eastAsia="宋体" w:hAnsi="Times New Roman"/>
          <w:color w:val="000000"/>
          <w:sz w:val="20"/>
          <w:szCs w:val="20"/>
        </w:rPr>
        <w:t>n and perform the audit to obtain reasonable assurance about whether the financial statements are free of material misstatement, whether due to error or fraud. Our audits included performing procedures to assess the risks of material misstatement of the fi</w:t>
      </w:r>
      <w:r>
        <w:rPr>
          <w:rFonts w:ascii="Times New Roman" w:eastAsia="宋体" w:hAnsi="Times New Roman"/>
          <w:color w:val="000000"/>
          <w:sz w:val="20"/>
          <w:szCs w:val="20"/>
        </w:rPr>
        <w:t>nancial statements, whether due to error or fraud, and performing procedures that respond to those risks. Such procedures included examining, on a test basis, evidence regarding the amounts and disclosures in the financial statements. Our audits also inclu</w:t>
      </w:r>
      <w:r>
        <w:rPr>
          <w:rFonts w:ascii="Times New Roman" w:eastAsia="宋体" w:hAnsi="Times New Roman"/>
          <w:color w:val="000000"/>
          <w:sz w:val="20"/>
          <w:szCs w:val="20"/>
        </w:rPr>
        <w:t xml:space="preserve">ded evaluating the accounting principles used and significant estimates made by management, as well as evaluating the overall presentation of the financial statements. We believe that our audits provide a reasonable basis for our opinion. </w:t>
      </w:r>
    </w:p>
    <w:p w14:paraId="5CD8EEC9" w14:textId="77777777" w:rsidR="00BA49F5" w:rsidRDefault="00BA49F5">
      <w:pPr>
        <w:jc w:val="both"/>
      </w:pPr>
    </w:p>
    <w:p w14:paraId="5CD8EECA" w14:textId="77777777" w:rsidR="00BA49F5" w:rsidRDefault="007E5E49">
      <w:r>
        <w:rPr>
          <w:rFonts w:ascii="Times New Roman" w:eastAsia="宋体" w:hAnsi="Times New Roman"/>
          <w:b/>
          <w:bCs/>
          <w:color w:val="000000"/>
          <w:sz w:val="20"/>
          <w:szCs w:val="20"/>
        </w:rPr>
        <w:t xml:space="preserve">Critical Audit </w:t>
      </w:r>
      <w:r>
        <w:rPr>
          <w:rFonts w:ascii="Times New Roman" w:eastAsia="宋体" w:hAnsi="Times New Roman"/>
          <w:b/>
          <w:bCs/>
          <w:color w:val="000000"/>
          <w:sz w:val="20"/>
          <w:szCs w:val="20"/>
        </w:rPr>
        <w:t>Matters</w:t>
      </w:r>
    </w:p>
    <w:p w14:paraId="5CD8EECB" w14:textId="77777777" w:rsidR="00BA49F5" w:rsidRDefault="00BA49F5"/>
    <w:p w14:paraId="5CD8EECC" w14:textId="77777777" w:rsidR="00BA49F5" w:rsidRDefault="007E5E49">
      <w:pPr>
        <w:spacing w:after="200"/>
        <w:jc w:val="both"/>
      </w:pPr>
      <w:r>
        <w:rPr>
          <w:rFonts w:ascii="Times New Roman" w:eastAsia="宋体" w:hAnsi="Times New Roman"/>
          <w:color w:val="000000"/>
          <w:sz w:val="20"/>
          <w:szCs w:val="20"/>
        </w:rPr>
        <w:t>The critical audit matters communicated below are matters arising from the current period audit of the financial statements that were communicated or required to be communicated to the Audit &amp; Risk Oversight Committee and that: (1) relate to accou</w:t>
      </w:r>
      <w:r>
        <w:rPr>
          <w:rFonts w:ascii="Times New Roman" w:eastAsia="宋体" w:hAnsi="Times New Roman"/>
          <w:color w:val="000000"/>
          <w:sz w:val="20"/>
          <w:szCs w:val="20"/>
        </w:rPr>
        <w:t>nts or disclosures that are material to the financial statements and (2) involved our especially challenging, subjective or complex judgments. The communication of critical audit matters does not alter in any way our opinion on the consolidated financial s</w:t>
      </w:r>
      <w:r>
        <w:rPr>
          <w:rFonts w:ascii="Times New Roman" w:eastAsia="宋体" w:hAnsi="Times New Roman"/>
          <w:color w:val="000000"/>
          <w:sz w:val="20"/>
          <w:szCs w:val="20"/>
        </w:rPr>
        <w:t>tatements, taken as a whole, and we are not, by communicating the critical audit matters below, providing separate opinions on the critical audit matters or on the accounts or disclosures to which they relate.</w:t>
      </w:r>
    </w:p>
    <w:p w14:paraId="5CD8EECD" w14:textId="77777777" w:rsidR="00BA49F5" w:rsidRDefault="007E5E49">
      <w:pPr>
        <w:jc w:val="center"/>
      </w:pPr>
      <w:r>
        <w:rPr>
          <w:rFonts w:ascii="Times New Roman" w:eastAsia="宋体" w:hAnsi="Times New Roman"/>
          <w:color w:val="000000"/>
          <w:sz w:val="20"/>
          <w:szCs w:val="20"/>
        </w:rPr>
        <w:t>81</w:t>
      </w:r>
    </w:p>
    <w:p w14:paraId="5CD8EECE" w14:textId="77777777" w:rsidR="00BA49F5" w:rsidRDefault="007E5E49">
      <w:r>
        <w:pict w14:anchorId="5CD90D46">
          <v:rect id="_x0000_i1105" style="width:415.3pt;height:1.5pt" o:hralign="center" o:hrstd="t" o:hr="t" fillcolor="#a0a0a0" stroked="f"/>
        </w:pict>
      </w:r>
    </w:p>
    <w:p w14:paraId="5CD8EECF" w14:textId="77777777" w:rsidR="00BA49F5" w:rsidRDefault="00BA49F5"/>
    <w:p w14:paraId="5CD8EED0" w14:textId="77777777" w:rsidR="00BA49F5" w:rsidRDefault="00BA49F5"/>
    <w:p w14:paraId="5CD8EED1" w14:textId="77777777" w:rsidR="00BA49F5" w:rsidRDefault="007E5E49">
      <w:hyperlink r:id="rId257" w:anchor="i6df229dad1864210ab76200083e26819_7" w:history="1">
        <w:r>
          <w:rPr>
            <w:rStyle w:val="a5"/>
            <w:rFonts w:ascii="Times New Roman" w:eastAsia="宋体" w:hAnsi="Times New Roman"/>
            <w:sz w:val="20"/>
            <w:szCs w:val="20"/>
          </w:rPr>
          <w:t>T</w:t>
        </w:r>
      </w:hyperlink>
      <w:hyperlink r:id="rId258" w:anchor="i6df229dad1864210ab76200083e26819_7" w:history="1">
        <w:r>
          <w:rPr>
            <w:rStyle w:val="a5"/>
            <w:rFonts w:ascii="Times New Roman" w:eastAsia="宋体" w:hAnsi="Times New Roman"/>
            <w:sz w:val="20"/>
            <w:szCs w:val="20"/>
          </w:rPr>
          <w: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381"/>
        <w:gridCol w:w="36"/>
        <w:gridCol w:w="70"/>
        <w:gridCol w:w="6744"/>
        <w:gridCol w:w="36"/>
      </w:tblGrid>
      <w:tr w:rsidR="00BA49F5" w14:paraId="5CD8EED8" w14:textId="77777777">
        <w:trPr>
          <w:jc w:val="center"/>
        </w:trPr>
        <w:tc>
          <w:tcPr>
            <w:tcW w:w="50" w:type="pct"/>
            <w:shd w:val="clear" w:color="auto" w:fill="auto"/>
            <w:vAlign w:val="bottom"/>
          </w:tcPr>
          <w:p w14:paraId="5CD8EED2" w14:textId="77777777" w:rsidR="00BA49F5" w:rsidRDefault="00BA49F5">
            <w:pPr>
              <w:rPr>
                <w:rFonts w:ascii="宋体"/>
              </w:rPr>
            </w:pPr>
          </w:p>
        </w:tc>
        <w:tc>
          <w:tcPr>
            <w:tcW w:w="837" w:type="pct"/>
            <w:shd w:val="clear" w:color="auto" w:fill="auto"/>
            <w:vAlign w:val="bottom"/>
          </w:tcPr>
          <w:p w14:paraId="5CD8EED3" w14:textId="77777777" w:rsidR="00BA49F5" w:rsidRDefault="00BA49F5">
            <w:pPr>
              <w:rPr>
                <w:rFonts w:ascii="宋体"/>
              </w:rPr>
            </w:pPr>
          </w:p>
        </w:tc>
        <w:tc>
          <w:tcPr>
            <w:tcW w:w="5" w:type="pct"/>
            <w:shd w:val="clear" w:color="auto" w:fill="auto"/>
            <w:vAlign w:val="bottom"/>
          </w:tcPr>
          <w:p w14:paraId="5CD8EED4" w14:textId="77777777" w:rsidR="00BA49F5" w:rsidRDefault="00BA49F5">
            <w:pPr>
              <w:rPr>
                <w:rFonts w:ascii="宋体"/>
              </w:rPr>
            </w:pPr>
          </w:p>
        </w:tc>
        <w:tc>
          <w:tcPr>
            <w:tcW w:w="50" w:type="pct"/>
            <w:shd w:val="clear" w:color="auto" w:fill="auto"/>
            <w:vAlign w:val="bottom"/>
          </w:tcPr>
          <w:p w14:paraId="5CD8EED5" w14:textId="77777777" w:rsidR="00BA49F5" w:rsidRDefault="00BA49F5">
            <w:pPr>
              <w:rPr>
                <w:rFonts w:ascii="宋体"/>
              </w:rPr>
            </w:pPr>
          </w:p>
        </w:tc>
        <w:tc>
          <w:tcPr>
            <w:tcW w:w="4052" w:type="pct"/>
            <w:shd w:val="clear" w:color="auto" w:fill="auto"/>
            <w:vAlign w:val="bottom"/>
          </w:tcPr>
          <w:p w14:paraId="5CD8EED6" w14:textId="77777777" w:rsidR="00BA49F5" w:rsidRDefault="00BA49F5">
            <w:pPr>
              <w:rPr>
                <w:rFonts w:ascii="宋体"/>
              </w:rPr>
            </w:pPr>
          </w:p>
        </w:tc>
        <w:tc>
          <w:tcPr>
            <w:tcW w:w="5" w:type="pct"/>
            <w:shd w:val="clear" w:color="auto" w:fill="auto"/>
            <w:vAlign w:val="bottom"/>
          </w:tcPr>
          <w:p w14:paraId="5CD8EED7" w14:textId="77777777" w:rsidR="00BA49F5" w:rsidRDefault="00BA49F5">
            <w:pPr>
              <w:rPr>
                <w:rFonts w:ascii="宋体"/>
              </w:rPr>
            </w:pPr>
          </w:p>
        </w:tc>
      </w:tr>
      <w:tr w:rsidR="00BA49F5" w14:paraId="5CD8EEDB" w14:textId="77777777">
        <w:trPr>
          <w:jc w:val="center"/>
        </w:trPr>
        <w:tc>
          <w:tcPr>
            <w:tcW w:w="0" w:type="auto"/>
            <w:gridSpan w:val="3"/>
            <w:shd w:val="clear" w:color="auto" w:fill="auto"/>
            <w:tcMar>
              <w:top w:w="0" w:type="dxa"/>
              <w:left w:w="20" w:type="dxa"/>
              <w:bottom w:w="0" w:type="dxa"/>
              <w:right w:w="20" w:type="dxa"/>
            </w:tcMar>
            <w:vAlign w:val="bottom"/>
          </w:tcPr>
          <w:p w14:paraId="5CD8EED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8EEDA" w14:textId="77777777" w:rsidR="00BA49F5" w:rsidRDefault="007E5E49">
            <w:pPr>
              <w:spacing w:after="200"/>
              <w:textAlignment w:val="top"/>
            </w:pPr>
            <w:r>
              <w:rPr>
                <w:rFonts w:ascii="Times New Roman" w:eastAsia="宋体" w:hAnsi="Times New Roman"/>
                <w:b/>
                <w:bCs/>
                <w:color w:val="000000"/>
                <w:sz w:val="20"/>
                <w:szCs w:val="20"/>
              </w:rPr>
              <w:t>Loss Contingencies</w:t>
            </w:r>
          </w:p>
        </w:tc>
      </w:tr>
      <w:tr w:rsidR="00BA49F5" w14:paraId="5CD8EEDF" w14:textId="77777777">
        <w:trPr>
          <w:jc w:val="center"/>
        </w:trPr>
        <w:tc>
          <w:tcPr>
            <w:tcW w:w="0" w:type="auto"/>
            <w:gridSpan w:val="3"/>
            <w:shd w:val="clear" w:color="auto" w:fill="auto"/>
            <w:tcMar>
              <w:top w:w="40" w:type="dxa"/>
              <w:left w:w="20" w:type="dxa"/>
              <w:bottom w:w="40" w:type="dxa"/>
              <w:right w:w="20" w:type="dxa"/>
            </w:tcMar>
          </w:tcPr>
          <w:p w14:paraId="5CD8EEDC" w14:textId="77777777" w:rsidR="00BA49F5" w:rsidRDefault="007E5E49">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5CD8EEDD" w14:textId="77777777" w:rsidR="00BA49F5" w:rsidRDefault="007E5E49">
            <w:pPr>
              <w:spacing w:after="200"/>
              <w:jc w:val="both"/>
              <w:textAlignment w:val="top"/>
            </w:pPr>
            <w:r>
              <w:rPr>
                <w:rFonts w:ascii="Times New Roman" w:eastAsia="宋体" w:hAnsi="Times New Roman"/>
                <w:color w:val="000000"/>
                <w:sz w:val="20"/>
                <w:szCs w:val="20"/>
              </w:rPr>
              <w:t xml:space="preserve">As described in Note 13 to the consolidated financial statements, the Company is party to various legal proceedings, claims, and </w:t>
            </w:r>
            <w:r>
              <w:rPr>
                <w:rFonts w:ascii="Times New Roman" w:eastAsia="宋体" w:hAnsi="Times New Roman"/>
                <w:color w:val="000000"/>
                <w:sz w:val="20"/>
                <w:szCs w:val="20"/>
              </w:rPr>
              <w:t xml:space="preserve">regulatory or government inquiries and investigations. The Company accrues a liability when it believes a loss is probable and the amount can be reasonably estimated. In addition, the Company believes it is reasonably possible that it will incur a loss in </w:t>
            </w:r>
            <w:r>
              <w:rPr>
                <w:rFonts w:ascii="Times New Roman" w:eastAsia="宋体" w:hAnsi="Times New Roman"/>
                <w:color w:val="000000"/>
                <w:sz w:val="20"/>
                <w:szCs w:val="20"/>
              </w:rPr>
              <w:t>some of these cases, actions or inquiries described above. When applicable, the Company discloses an estimate of the amount of loss or range of possible loss that may be incurred. However, for certain other matters, the Company discloses that the amount of</w:t>
            </w:r>
            <w:r>
              <w:rPr>
                <w:rFonts w:ascii="Times New Roman" w:eastAsia="宋体" w:hAnsi="Times New Roman"/>
                <w:color w:val="000000"/>
                <w:sz w:val="20"/>
                <w:szCs w:val="20"/>
              </w:rPr>
              <w:t xml:space="preserve"> such losses or a range of possible losses cannot be reasonably estimated at this time.</w:t>
            </w:r>
          </w:p>
          <w:p w14:paraId="5CD8EEDE" w14:textId="77777777" w:rsidR="00BA49F5" w:rsidRDefault="007E5E49">
            <w:pPr>
              <w:spacing w:after="200"/>
              <w:jc w:val="both"/>
              <w:textAlignment w:val="top"/>
            </w:pPr>
            <w:r>
              <w:rPr>
                <w:rFonts w:ascii="Times New Roman" w:eastAsia="宋体" w:hAnsi="Times New Roman"/>
                <w:color w:val="000000"/>
                <w:sz w:val="20"/>
                <w:szCs w:val="20"/>
              </w:rPr>
              <w:t>Auditing the Company's accounting for, and disclosure of, these loss contingencies was especially challenging due to the significant judgment required to evaluate manag</w:t>
            </w:r>
            <w:r>
              <w:rPr>
                <w:rFonts w:ascii="Times New Roman" w:eastAsia="宋体" w:hAnsi="Times New Roman"/>
                <w:color w:val="000000"/>
                <w:sz w:val="20"/>
                <w:szCs w:val="20"/>
              </w:rPr>
              <w:t>ement's assessments of the likelihood of a loss, and their estimate of the potential amount or range of such losses.</w:t>
            </w:r>
          </w:p>
        </w:tc>
      </w:tr>
      <w:tr w:rsidR="00BA49F5" w14:paraId="5CD8EEE3" w14:textId="77777777">
        <w:trPr>
          <w:jc w:val="center"/>
        </w:trPr>
        <w:tc>
          <w:tcPr>
            <w:tcW w:w="0" w:type="auto"/>
            <w:gridSpan w:val="3"/>
            <w:shd w:val="clear" w:color="auto" w:fill="auto"/>
            <w:tcMar>
              <w:top w:w="40" w:type="dxa"/>
              <w:left w:w="20" w:type="dxa"/>
              <w:bottom w:w="40" w:type="dxa"/>
              <w:right w:w="20" w:type="dxa"/>
            </w:tcMar>
          </w:tcPr>
          <w:p w14:paraId="5CD8EEE0" w14:textId="77777777" w:rsidR="00BA49F5" w:rsidRDefault="007E5E49">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tcPr>
          <w:p w14:paraId="5CD8EEE1" w14:textId="77777777" w:rsidR="00BA49F5" w:rsidRDefault="007E5E49">
            <w:pPr>
              <w:spacing w:after="200"/>
              <w:jc w:val="both"/>
              <w:textAlignment w:val="top"/>
            </w:pPr>
            <w:r>
              <w:rPr>
                <w:rFonts w:ascii="Times New Roman" w:eastAsia="宋体" w:hAnsi="Times New Roman"/>
                <w:color w:val="000000"/>
                <w:sz w:val="20"/>
                <w:szCs w:val="20"/>
              </w:rPr>
              <w:t>We obtained an understanding, evaluated the design and tested the operating effectiveness of controls over the identification and evaluation of these matters, including controls relating to the Company's assessment of the likelihood that a loss will be rea</w:t>
            </w:r>
            <w:r>
              <w:rPr>
                <w:rFonts w:ascii="Times New Roman" w:eastAsia="宋体" w:hAnsi="Times New Roman"/>
                <w:color w:val="000000"/>
                <w:sz w:val="20"/>
                <w:szCs w:val="20"/>
              </w:rPr>
              <w:t xml:space="preserve">lized and their ability to reasonably estimate the potential range of possible losses. </w:t>
            </w:r>
          </w:p>
          <w:p w14:paraId="5CD8EEE2" w14:textId="77777777" w:rsidR="00BA49F5" w:rsidRDefault="007E5E49">
            <w:pPr>
              <w:spacing w:after="200"/>
              <w:jc w:val="both"/>
              <w:textAlignment w:val="top"/>
            </w:pPr>
            <w:r>
              <w:rPr>
                <w:rFonts w:ascii="Times New Roman" w:eastAsia="宋体" w:hAnsi="Times New Roman"/>
                <w:color w:val="000000"/>
                <w:sz w:val="20"/>
                <w:szCs w:val="20"/>
              </w:rPr>
              <w:t xml:space="preserve">To test the Company's assessment of the probability of incurrence of a loss, whether the loss was reasonably estimable, and the conclusion and disclosure </w:t>
            </w:r>
            <w:r>
              <w:rPr>
                <w:rFonts w:ascii="Times New Roman" w:eastAsia="宋体" w:hAnsi="Times New Roman"/>
                <w:color w:val="000000"/>
                <w:sz w:val="20"/>
                <w:szCs w:val="20"/>
              </w:rPr>
              <w:t>regarding any range of possible losses, including when the Company believes it cannot be reasonably estimated at this time, we read the minutes or a summary of the meetings of the committees of the board of directors, read the proceedings, claims, and regu</w:t>
            </w:r>
            <w:r>
              <w:rPr>
                <w:rFonts w:ascii="Times New Roman" w:eastAsia="宋体" w:hAnsi="Times New Roman"/>
                <w:color w:val="000000"/>
                <w:sz w:val="20"/>
                <w:szCs w:val="20"/>
              </w:rPr>
              <w:t>latory, or government inquiries and investigations, or summaries as we deemed appropriate, requested and received internal and external legal counsel confirmation letters, met with internal and external legal counsel to discuss the nature of the various ma</w:t>
            </w:r>
            <w:r>
              <w:rPr>
                <w:rFonts w:ascii="Times New Roman" w:eastAsia="宋体" w:hAnsi="Times New Roman"/>
                <w:color w:val="000000"/>
                <w:sz w:val="20"/>
                <w:szCs w:val="20"/>
              </w:rPr>
              <w:t>tters, and obtained representations from management. We also evaluated the appropriateness of the related disclosures included in Note 13 to the consolidated financial statements.</w:t>
            </w:r>
          </w:p>
        </w:tc>
      </w:tr>
      <w:tr w:rsidR="00BA49F5" w14:paraId="5CD8EEE6" w14:textId="77777777">
        <w:trPr>
          <w:trHeight w:val="300"/>
          <w:jc w:val="center"/>
        </w:trPr>
        <w:tc>
          <w:tcPr>
            <w:tcW w:w="0" w:type="auto"/>
            <w:gridSpan w:val="3"/>
            <w:shd w:val="clear" w:color="auto" w:fill="auto"/>
            <w:tcMar>
              <w:top w:w="0" w:type="dxa"/>
              <w:left w:w="20" w:type="dxa"/>
              <w:bottom w:w="0" w:type="dxa"/>
              <w:right w:w="20" w:type="dxa"/>
            </w:tcMar>
            <w:vAlign w:val="bottom"/>
          </w:tcPr>
          <w:p w14:paraId="5CD8EEE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8EEE5" w14:textId="77777777" w:rsidR="00BA49F5" w:rsidRDefault="00BA49F5">
            <w:pPr>
              <w:rPr>
                <w:rFonts w:ascii="宋体"/>
              </w:rPr>
            </w:pPr>
          </w:p>
        </w:tc>
      </w:tr>
    </w:tbl>
    <w:p w14:paraId="5CD8EEE7" w14:textId="77777777" w:rsidR="00BA49F5" w:rsidRDefault="007E5E49">
      <w:pPr>
        <w:jc w:val="center"/>
      </w:pPr>
      <w:r>
        <w:rPr>
          <w:rFonts w:ascii="Times New Roman" w:eastAsia="宋体" w:hAnsi="Times New Roman"/>
          <w:color w:val="000000"/>
          <w:sz w:val="20"/>
          <w:szCs w:val="20"/>
        </w:rPr>
        <w:t>82</w:t>
      </w:r>
    </w:p>
    <w:p w14:paraId="5CD8EEE8" w14:textId="77777777" w:rsidR="00BA49F5" w:rsidRDefault="007E5E49">
      <w:r>
        <w:pict w14:anchorId="5CD90D47">
          <v:rect id="_x0000_i1106" style="width:415.3pt;height:1.5pt" o:hralign="center" o:hrstd="t" o:hr="t" fillcolor="#a0a0a0" stroked="f"/>
        </w:pict>
      </w:r>
    </w:p>
    <w:p w14:paraId="5CD8EEE9" w14:textId="77777777" w:rsidR="00BA49F5" w:rsidRDefault="00BA49F5"/>
    <w:p w14:paraId="5CD8EEEA" w14:textId="77777777" w:rsidR="00BA49F5" w:rsidRDefault="00BA49F5"/>
    <w:p w14:paraId="5CD8EEEB" w14:textId="77777777" w:rsidR="00BA49F5" w:rsidRDefault="007E5E49">
      <w:hyperlink r:id="rId259" w:anchor="i6df229dad1864210ab76200083e26819_7" w:history="1">
        <w:r>
          <w:rPr>
            <w:rStyle w:val="a5"/>
            <w:rFonts w:ascii="Times New Roman" w:eastAsia="宋体" w:hAnsi="Times New Roman"/>
            <w:sz w:val="20"/>
            <w:szCs w:val="20"/>
          </w:rPr>
          <w:t>T</w:t>
        </w:r>
      </w:hyperlink>
      <w:hyperlink r:id="rId260" w:anchor="i6df229dad1864210ab76200083e26819_7" w:history="1">
        <w:r>
          <w:rPr>
            <w:rStyle w:val="a5"/>
            <w:rFonts w:ascii="Times New Roman" w:eastAsia="宋体" w:hAnsi="Times New Roman"/>
            <w:sz w:val="20"/>
            <w:szCs w:val="20"/>
          </w:rPr>
          <w: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381"/>
        <w:gridCol w:w="36"/>
        <w:gridCol w:w="69"/>
        <w:gridCol w:w="6744"/>
        <w:gridCol w:w="37"/>
      </w:tblGrid>
      <w:tr w:rsidR="00BA49F5" w14:paraId="5CD8EEF2" w14:textId="77777777">
        <w:trPr>
          <w:jc w:val="center"/>
        </w:trPr>
        <w:tc>
          <w:tcPr>
            <w:tcW w:w="50" w:type="pct"/>
            <w:shd w:val="clear" w:color="auto" w:fill="auto"/>
            <w:vAlign w:val="bottom"/>
          </w:tcPr>
          <w:p w14:paraId="5CD8EEEC" w14:textId="77777777" w:rsidR="00BA49F5" w:rsidRDefault="00BA49F5">
            <w:pPr>
              <w:rPr>
                <w:rFonts w:ascii="宋体"/>
              </w:rPr>
            </w:pPr>
          </w:p>
        </w:tc>
        <w:tc>
          <w:tcPr>
            <w:tcW w:w="837" w:type="pct"/>
            <w:shd w:val="clear" w:color="auto" w:fill="auto"/>
            <w:vAlign w:val="bottom"/>
          </w:tcPr>
          <w:p w14:paraId="5CD8EEED" w14:textId="77777777" w:rsidR="00BA49F5" w:rsidRDefault="00BA49F5">
            <w:pPr>
              <w:rPr>
                <w:rFonts w:ascii="宋体"/>
              </w:rPr>
            </w:pPr>
          </w:p>
        </w:tc>
        <w:tc>
          <w:tcPr>
            <w:tcW w:w="5" w:type="pct"/>
            <w:shd w:val="clear" w:color="auto" w:fill="auto"/>
            <w:vAlign w:val="bottom"/>
          </w:tcPr>
          <w:p w14:paraId="5CD8EEEE" w14:textId="77777777" w:rsidR="00BA49F5" w:rsidRDefault="00BA49F5">
            <w:pPr>
              <w:rPr>
                <w:rFonts w:ascii="宋体"/>
              </w:rPr>
            </w:pPr>
          </w:p>
        </w:tc>
        <w:tc>
          <w:tcPr>
            <w:tcW w:w="50" w:type="pct"/>
            <w:shd w:val="clear" w:color="auto" w:fill="auto"/>
            <w:vAlign w:val="bottom"/>
          </w:tcPr>
          <w:p w14:paraId="5CD8EEEF" w14:textId="77777777" w:rsidR="00BA49F5" w:rsidRDefault="00BA49F5">
            <w:pPr>
              <w:rPr>
                <w:rFonts w:ascii="宋体"/>
              </w:rPr>
            </w:pPr>
          </w:p>
        </w:tc>
        <w:tc>
          <w:tcPr>
            <w:tcW w:w="4052" w:type="pct"/>
            <w:shd w:val="clear" w:color="auto" w:fill="auto"/>
            <w:vAlign w:val="bottom"/>
          </w:tcPr>
          <w:p w14:paraId="5CD8EEF0" w14:textId="77777777" w:rsidR="00BA49F5" w:rsidRDefault="00BA49F5">
            <w:pPr>
              <w:rPr>
                <w:rFonts w:ascii="宋体"/>
              </w:rPr>
            </w:pPr>
          </w:p>
        </w:tc>
        <w:tc>
          <w:tcPr>
            <w:tcW w:w="5" w:type="pct"/>
            <w:shd w:val="clear" w:color="auto" w:fill="auto"/>
            <w:vAlign w:val="bottom"/>
          </w:tcPr>
          <w:p w14:paraId="5CD8EEF1" w14:textId="77777777" w:rsidR="00BA49F5" w:rsidRDefault="00BA49F5">
            <w:pPr>
              <w:rPr>
                <w:rFonts w:ascii="宋体"/>
              </w:rPr>
            </w:pPr>
          </w:p>
        </w:tc>
      </w:tr>
      <w:tr w:rsidR="00BA49F5" w14:paraId="5CD8EEF5" w14:textId="77777777">
        <w:trPr>
          <w:jc w:val="center"/>
        </w:trPr>
        <w:tc>
          <w:tcPr>
            <w:tcW w:w="0" w:type="auto"/>
            <w:gridSpan w:val="3"/>
            <w:shd w:val="clear" w:color="auto" w:fill="auto"/>
            <w:tcMar>
              <w:top w:w="0" w:type="dxa"/>
              <w:left w:w="20" w:type="dxa"/>
              <w:bottom w:w="0" w:type="dxa"/>
              <w:right w:w="20" w:type="dxa"/>
            </w:tcMar>
            <w:vAlign w:val="bottom"/>
          </w:tcPr>
          <w:p w14:paraId="5CD8EEF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8EEF4" w14:textId="77777777" w:rsidR="00BA49F5" w:rsidRDefault="007E5E49">
            <w:pPr>
              <w:jc w:val="both"/>
              <w:textAlignment w:val="top"/>
            </w:pPr>
            <w:r>
              <w:rPr>
                <w:rFonts w:ascii="Times New Roman" w:eastAsia="宋体" w:hAnsi="Times New Roman"/>
                <w:b/>
                <w:bCs/>
                <w:color w:val="000000"/>
                <w:sz w:val="20"/>
                <w:szCs w:val="20"/>
              </w:rPr>
              <w:t>Uncertain Tax Positions</w:t>
            </w:r>
          </w:p>
        </w:tc>
      </w:tr>
      <w:tr w:rsidR="00BA49F5" w14:paraId="5CD8EEF9" w14:textId="77777777">
        <w:trPr>
          <w:jc w:val="center"/>
        </w:trPr>
        <w:tc>
          <w:tcPr>
            <w:tcW w:w="0" w:type="auto"/>
            <w:gridSpan w:val="3"/>
            <w:shd w:val="clear" w:color="auto" w:fill="auto"/>
            <w:tcMar>
              <w:top w:w="40" w:type="dxa"/>
              <w:left w:w="20" w:type="dxa"/>
              <w:bottom w:w="40" w:type="dxa"/>
              <w:right w:w="20" w:type="dxa"/>
            </w:tcMar>
          </w:tcPr>
          <w:p w14:paraId="5CD8EEF6" w14:textId="77777777" w:rsidR="00BA49F5" w:rsidRDefault="007E5E49">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5CD8EEF7" w14:textId="77777777" w:rsidR="00BA49F5" w:rsidRDefault="007E5E49">
            <w:pPr>
              <w:spacing w:after="200"/>
              <w:jc w:val="both"/>
              <w:textAlignment w:val="top"/>
            </w:pPr>
            <w:r>
              <w:rPr>
                <w:rFonts w:ascii="Times New Roman" w:eastAsia="宋体" w:hAnsi="Times New Roman"/>
                <w:color w:val="000000"/>
                <w:sz w:val="20"/>
                <w:szCs w:val="20"/>
              </w:rPr>
              <w:t xml:space="preserve">As discussed in Note 16 to the consolidated financial statements, the Company has received certain notices from the Internal Revenue Service (IRS) related to transfer pricing </w:t>
            </w:r>
            <w:r>
              <w:rPr>
                <w:rFonts w:ascii="Times New Roman" w:eastAsia="宋体" w:hAnsi="Times New Roman"/>
                <w:color w:val="000000"/>
                <w:sz w:val="20"/>
                <w:szCs w:val="20"/>
              </w:rPr>
              <w:t>agreements with the Company's foreign subsidiaries for certain periods examined. The IRS has stated that it will also apply its position to tax years subsequent to those examined. If the IRS prevails in its position, it could result in an additional federa</w:t>
            </w:r>
            <w:r>
              <w:rPr>
                <w:rFonts w:ascii="Times New Roman" w:eastAsia="宋体" w:hAnsi="Times New Roman"/>
                <w:color w:val="000000"/>
                <w:sz w:val="20"/>
                <w:szCs w:val="20"/>
              </w:rPr>
              <w:t>l tax liability, plus interest and any penalties asserted. The Company uses judgment to (1) determine whether a tax position's technical merits are more-likely-than-not to be sustained and (2) measure the amount of tax benefit that qualifies for recognitio</w:t>
            </w:r>
            <w:r>
              <w:rPr>
                <w:rFonts w:ascii="Times New Roman" w:eastAsia="宋体" w:hAnsi="Times New Roman"/>
                <w:color w:val="000000"/>
                <w:sz w:val="20"/>
                <w:szCs w:val="20"/>
              </w:rPr>
              <w:t>n.</w:t>
            </w:r>
          </w:p>
          <w:p w14:paraId="5CD8EEF8" w14:textId="77777777" w:rsidR="00BA49F5" w:rsidRDefault="007E5E49">
            <w:pPr>
              <w:spacing w:after="200"/>
              <w:jc w:val="both"/>
              <w:textAlignment w:val="top"/>
            </w:pPr>
            <w:r>
              <w:rPr>
                <w:rFonts w:ascii="Times New Roman" w:eastAsia="宋体" w:hAnsi="Times New Roman"/>
                <w:color w:val="000000"/>
                <w:sz w:val="20"/>
                <w:szCs w:val="20"/>
              </w:rPr>
              <w:t>Auditing the Company's accounting for, and disclosure of, these uncertain tax positions was especially challenging due to the significant judgment required to assess management's evaluation of technical merits and the measurement of the tax position bas</w:t>
            </w:r>
            <w:r>
              <w:rPr>
                <w:rFonts w:ascii="Times New Roman" w:eastAsia="宋体" w:hAnsi="Times New Roman"/>
                <w:color w:val="000000"/>
                <w:sz w:val="20"/>
                <w:szCs w:val="20"/>
              </w:rPr>
              <w:t>ed on interpretations of tax laws and legal rulings.</w:t>
            </w:r>
          </w:p>
        </w:tc>
      </w:tr>
      <w:tr w:rsidR="00BA49F5" w14:paraId="5CD8EEFD" w14:textId="77777777">
        <w:trPr>
          <w:jc w:val="center"/>
        </w:trPr>
        <w:tc>
          <w:tcPr>
            <w:tcW w:w="0" w:type="auto"/>
            <w:gridSpan w:val="3"/>
            <w:shd w:val="clear" w:color="auto" w:fill="auto"/>
            <w:tcMar>
              <w:top w:w="40" w:type="dxa"/>
              <w:left w:w="20" w:type="dxa"/>
              <w:bottom w:w="40" w:type="dxa"/>
              <w:right w:w="20" w:type="dxa"/>
            </w:tcMar>
          </w:tcPr>
          <w:p w14:paraId="5CD8EEFA" w14:textId="77777777" w:rsidR="00BA49F5" w:rsidRDefault="007E5E49">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tcPr>
          <w:p w14:paraId="5CD8EEFB" w14:textId="77777777" w:rsidR="00BA49F5" w:rsidRDefault="007E5E49">
            <w:pPr>
              <w:spacing w:after="200"/>
              <w:jc w:val="both"/>
              <w:textAlignment w:val="top"/>
            </w:pPr>
            <w:r>
              <w:rPr>
                <w:rFonts w:ascii="Times New Roman" w:eastAsia="宋体" w:hAnsi="Times New Roman"/>
                <w:color w:val="000000"/>
                <w:sz w:val="20"/>
                <w:szCs w:val="20"/>
              </w:rPr>
              <w:t>We obtained an understanding, evaluated the design and tested the operating effectiveness of controls over the Company's process to assess the technical merits o</w:t>
            </w:r>
            <w:r>
              <w:rPr>
                <w:rFonts w:ascii="Times New Roman" w:eastAsia="宋体" w:hAnsi="Times New Roman"/>
                <w:color w:val="000000"/>
                <w:sz w:val="20"/>
                <w:szCs w:val="20"/>
              </w:rPr>
              <w:t xml:space="preserve">f tax positions related to these transfer pricing agreements and to measure the benefit of those tax positions. </w:t>
            </w:r>
          </w:p>
          <w:p w14:paraId="5CD8EEFC" w14:textId="77777777" w:rsidR="00BA49F5" w:rsidRDefault="007E5E49">
            <w:pPr>
              <w:spacing w:after="200"/>
              <w:jc w:val="both"/>
              <w:textAlignment w:val="top"/>
            </w:pPr>
            <w:r>
              <w:rPr>
                <w:rFonts w:ascii="Times New Roman" w:eastAsia="宋体" w:hAnsi="Times New Roman"/>
                <w:color w:val="000000"/>
                <w:sz w:val="20"/>
                <w:szCs w:val="20"/>
              </w:rPr>
              <w:t>As part of our audit procedures over the Company's accounting for these positions, we involved our tax professionals to assist with our assessm</w:t>
            </w:r>
            <w:r>
              <w:rPr>
                <w:rFonts w:ascii="Times New Roman" w:eastAsia="宋体" w:hAnsi="Times New Roman"/>
                <w:color w:val="000000"/>
                <w:sz w:val="20"/>
                <w:szCs w:val="20"/>
              </w:rPr>
              <w:t>ent of the technical merits of the Company's tax positions. This included assessing the Company's correspondence with the relevant tax authorities, evaluating income tax opinions or other third-party advice obtained by the Company, and requesting and recei</w:t>
            </w:r>
            <w:r>
              <w:rPr>
                <w:rFonts w:ascii="Times New Roman" w:eastAsia="宋体" w:hAnsi="Times New Roman"/>
                <w:color w:val="000000"/>
                <w:sz w:val="20"/>
                <w:szCs w:val="20"/>
              </w:rPr>
              <w:t>ving confirmation letters from third-party advisors. We also used our knowledge of, and experience with, the application of international and local income tax laws by the relevant income tax authorities to evaluate the Company's accounting for those tax po</w:t>
            </w:r>
            <w:r>
              <w:rPr>
                <w:rFonts w:ascii="Times New Roman" w:eastAsia="宋体" w:hAnsi="Times New Roman"/>
                <w:color w:val="000000"/>
                <w:sz w:val="20"/>
                <w:szCs w:val="20"/>
              </w:rPr>
              <w:t xml:space="preserve">sitions. We analyzed the Company's assumptions and data used to determine the amount of the federal tax liability recognized and tested the mathematical accuracy of the underlying data and calculations. We also evaluated the appropriateness of the related </w:t>
            </w:r>
            <w:r>
              <w:rPr>
                <w:rFonts w:ascii="Times New Roman" w:eastAsia="宋体" w:hAnsi="Times New Roman"/>
                <w:color w:val="000000"/>
                <w:sz w:val="20"/>
                <w:szCs w:val="20"/>
              </w:rPr>
              <w:t>disclosures included in Note 16 to the consolidated financial statements in relation to these matters.</w:t>
            </w:r>
          </w:p>
        </w:tc>
      </w:tr>
    </w:tbl>
    <w:p w14:paraId="5CD8EEFE" w14:textId="77777777" w:rsidR="00BA49F5" w:rsidRDefault="00BA49F5">
      <w:pPr>
        <w:spacing w:before="100"/>
        <w:jc w:val="center"/>
      </w:pPr>
    </w:p>
    <w:p w14:paraId="5CD8EEFF" w14:textId="77777777" w:rsidR="00BA49F5" w:rsidRDefault="00BA49F5"/>
    <w:p w14:paraId="5CD8EF00" w14:textId="77777777" w:rsidR="00BA49F5" w:rsidRDefault="007E5E49">
      <w:r>
        <w:rPr>
          <w:rFonts w:ascii="Times New Roman" w:eastAsia="宋体" w:hAnsi="Times New Roman"/>
          <w:color w:val="000000"/>
          <w:sz w:val="20"/>
          <w:szCs w:val="20"/>
        </w:rPr>
        <w:t xml:space="preserve">/s/ Ernst &amp; Young LLP </w:t>
      </w:r>
    </w:p>
    <w:p w14:paraId="5CD8EF01" w14:textId="77777777" w:rsidR="00BA49F5" w:rsidRDefault="00BA49F5"/>
    <w:p w14:paraId="5CD8EF02" w14:textId="77777777" w:rsidR="00BA49F5" w:rsidRDefault="007E5E49">
      <w:r>
        <w:rPr>
          <w:rFonts w:ascii="Times New Roman" w:eastAsia="宋体" w:hAnsi="Times New Roman"/>
          <w:color w:val="000000"/>
          <w:sz w:val="20"/>
          <w:szCs w:val="20"/>
        </w:rPr>
        <w:t>We have served as the Company's auditor since 2007.</w:t>
      </w:r>
    </w:p>
    <w:p w14:paraId="5CD8EF03" w14:textId="77777777" w:rsidR="00BA49F5" w:rsidRDefault="00BA49F5"/>
    <w:p w14:paraId="5CD8EF04" w14:textId="77777777" w:rsidR="00BA49F5" w:rsidRDefault="007E5E49">
      <w:r>
        <w:rPr>
          <w:rFonts w:ascii="Times New Roman" w:eastAsia="宋体" w:hAnsi="Times New Roman"/>
          <w:color w:val="000000"/>
          <w:sz w:val="20"/>
          <w:szCs w:val="20"/>
        </w:rPr>
        <w:t xml:space="preserve">San Mateo, California </w:t>
      </w:r>
    </w:p>
    <w:p w14:paraId="5CD8EF05" w14:textId="77777777" w:rsidR="00BA49F5" w:rsidRDefault="007E5E49">
      <w:r>
        <w:rPr>
          <w:rFonts w:ascii="Times New Roman" w:eastAsia="宋体" w:hAnsi="Times New Roman"/>
          <w:color w:val="000000"/>
          <w:sz w:val="20"/>
          <w:szCs w:val="20"/>
        </w:rPr>
        <w:t xml:space="preserve">February 1, 2023 </w:t>
      </w:r>
    </w:p>
    <w:p w14:paraId="5CD8EF06" w14:textId="77777777" w:rsidR="00BA49F5" w:rsidRDefault="007E5E49">
      <w:pPr>
        <w:jc w:val="center"/>
      </w:pPr>
      <w:r>
        <w:rPr>
          <w:rFonts w:ascii="Times New Roman" w:eastAsia="宋体" w:hAnsi="Times New Roman"/>
          <w:color w:val="000000"/>
          <w:sz w:val="20"/>
          <w:szCs w:val="20"/>
        </w:rPr>
        <w:t>83</w:t>
      </w:r>
    </w:p>
    <w:p w14:paraId="5CD8EF07" w14:textId="77777777" w:rsidR="00BA49F5" w:rsidRDefault="007E5E49">
      <w:r>
        <w:pict w14:anchorId="5CD90D48">
          <v:rect id="_x0000_i1107" style="width:415.3pt;height:1.5pt" o:hralign="center" o:hrstd="t" o:hr="t" fillcolor="#a0a0a0" stroked="f"/>
        </w:pict>
      </w:r>
    </w:p>
    <w:p w14:paraId="5CD8EF08" w14:textId="77777777" w:rsidR="00BA49F5" w:rsidRDefault="00BA49F5"/>
    <w:p w14:paraId="5CD8EF09" w14:textId="77777777" w:rsidR="00BA49F5" w:rsidRDefault="00BA49F5"/>
    <w:p w14:paraId="5CD8EF0A" w14:textId="77777777" w:rsidR="00BA49F5" w:rsidRDefault="007E5E49">
      <w:hyperlink r:id="rId261" w:anchor="i6df229dad1864210ab76200083e26819_7" w:history="1">
        <w:r>
          <w:rPr>
            <w:rStyle w:val="a5"/>
            <w:rFonts w:ascii="Times New Roman" w:eastAsia="宋体" w:hAnsi="Times New Roman"/>
            <w:sz w:val="20"/>
            <w:szCs w:val="20"/>
          </w:rPr>
          <w:t>T</w:t>
        </w:r>
      </w:hyperlink>
      <w:hyperlink r:id="rId262" w:anchor="i6df229dad1864210ab76200083e26819_7" w:history="1">
        <w:r>
          <w:rPr>
            <w:rStyle w:val="a5"/>
            <w:rFonts w:ascii="Times New Roman" w:eastAsia="宋体" w:hAnsi="Times New Roman"/>
            <w:sz w:val="20"/>
            <w:szCs w:val="20"/>
          </w:rPr>
          <w:t>able of Contents</w:t>
        </w:r>
      </w:hyperlink>
    </w:p>
    <w:p w14:paraId="5CD8EF0B" w14:textId="77777777" w:rsidR="00BA49F5" w:rsidRDefault="007E5E49">
      <w:pPr>
        <w:jc w:val="center"/>
      </w:pPr>
      <w:r>
        <w:rPr>
          <w:rFonts w:ascii="Times New Roman" w:eastAsia="宋体" w:hAnsi="Times New Roman"/>
          <w:b/>
          <w:bCs/>
          <w:color w:val="000000"/>
          <w:sz w:val="20"/>
          <w:szCs w:val="20"/>
        </w:rPr>
        <w:t>Report of Independent Registered Public Accounting Firm</w:t>
      </w:r>
    </w:p>
    <w:p w14:paraId="5CD8EF0C" w14:textId="77777777" w:rsidR="00BA49F5" w:rsidRDefault="00BA49F5">
      <w:pPr>
        <w:ind w:hanging="180"/>
        <w:jc w:val="both"/>
      </w:pPr>
    </w:p>
    <w:p w14:paraId="5CD8EF0D" w14:textId="77777777" w:rsidR="00BA49F5" w:rsidRDefault="007E5E49">
      <w:pPr>
        <w:jc w:val="both"/>
      </w:pPr>
      <w:r>
        <w:rPr>
          <w:rFonts w:ascii="Times New Roman" w:eastAsia="宋体" w:hAnsi="Times New Roman"/>
          <w:color w:val="000000"/>
          <w:sz w:val="20"/>
          <w:szCs w:val="20"/>
        </w:rPr>
        <w:t>To the Stockholders and the Board of Directors of Meta Platforms, Inc.</w:t>
      </w:r>
    </w:p>
    <w:p w14:paraId="5CD8EF0E" w14:textId="77777777" w:rsidR="00BA49F5" w:rsidRDefault="00BA49F5"/>
    <w:p w14:paraId="5CD8EF0F" w14:textId="77777777" w:rsidR="00BA49F5" w:rsidRDefault="007E5E49">
      <w:r>
        <w:rPr>
          <w:rFonts w:ascii="Times New Roman" w:eastAsia="宋体" w:hAnsi="Times New Roman"/>
          <w:b/>
          <w:bCs/>
          <w:color w:val="000000"/>
          <w:sz w:val="20"/>
          <w:szCs w:val="20"/>
        </w:rPr>
        <w:t>Opinion on Internal Control over Financial Reporting</w:t>
      </w:r>
    </w:p>
    <w:p w14:paraId="5CD8EF10" w14:textId="77777777" w:rsidR="00BA49F5" w:rsidRDefault="00BA49F5"/>
    <w:p w14:paraId="5CD8EF11" w14:textId="77777777" w:rsidR="00BA49F5" w:rsidRDefault="007E5E49">
      <w:pPr>
        <w:jc w:val="both"/>
      </w:pPr>
      <w:r>
        <w:rPr>
          <w:rFonts w:ascii="Times New Roman" w:eastAsia="宋体" w:hAnsi="Times New Roman"/>
          <w:color w:val="000000"/>
          <w:sz w:val="20"/>
          <w:szCs w:val="20"/>
        </w:rPr>
        <w:t>We ha</w:t>
      </w:r>
      <w:r>
        <w:rPr>
          <w:rFonts w:ascii="Times New Roman" w:eastAsia="宋体" w:hAnsi="Times New Roman"/>
          <w:color w:val="000000"/>
          <w:sz w:val="20"/>
          <w:szCs w:val="20"/>
        </w:rPr>
        <w:t>ve audited Meta Platforms, Inc.'s internal control over financial reporting as of December 31, 2022, based on criteria established in Internal Control – Integrated Framework issued by the Committee of Sponsoring Organizations of the Treadway Commission (20</w:t>
      </w:r>
      <w:r>
        <w:rPr>
          <w:rFonts w:ascii="Times New Roman" w:eastAsia="宋体" w:hAnsi="Times New Roman"/>
          <w:color w:val="000000"/>
          <w:sz w:val="20"/>
          <w:szCs w:val="20"/>
        </w:rPr>
        <w:t>13 framework), (the COSO criteria). In our opinion, Meta Platforms, Inc. (the Company) maintained, in all material respects, effective internal control over financial reporting as of December 31, 2022, based on the COSO criteria.</w:t>
      </w:r>
    </w:p>
    <w:p w14:paraId="5CD8EF12" w14:textId="77777777" w:rsidR="00BA49F5" w:rsidRDefault="00BA49F5">
      <w:pPr>
        <w:jc w:val="both"/>
      </w:pPr>
    </w:p>
    <w:p w14:paraId="5CD8EF13" w14:textId="77777777" w:rsidR="00BA49F5" w:rsidRDefault="007E5E49">
      <w:pPr>
        <w:jc w:val="both"/>
      </w:pPr>
      <w:r>
        <w:rPr>
          <w:rFonts w:ascii="Times New Roman" w:eastAsia="宋体" w:hAnsi="Times New Roman"/>
          <w:color w:val="000000"/>
          <w:sz w:val="20"/>
          <w:szCs w:val="20"/>
        </w:rPr>
        <w:t xml:space="preserve">We also have audited, in </w:t>
      </w:r>
      <w:r>
        <w:rPr>
          <w:rFonts w:ascii="Times New Roman" w:eastAsia="宋体" w:hAnsi="Times New Roman"/>
          <w:color w:val="000000"/>
          <w:sz w:val="20"/>
          <w:szCs w:val="20"/>
        </w:rPr>
        <w:t>accordance with the standards of the Public Company Accounting Oversight Board (United States) (PCAOB), the consolidated balance sheets of the Company as of December 31, 2022 and 2021, the related consolidated statements of income, comprehensive income, st</w:t>
      </w:r>
      <w:r>
        <w:rPr>
          <w:rFonts w:ascii="Times New Roman" w:eastAsia="宋体" w:hAnsi="Times New Roman"/>
          <w:color w:val="000000"/>
          <w:sz w:val="20"/>
          <w:szCs w:val="20"/>
        </w:rPr>
        <w:t>ockholders' equity and cash flows for each of the three years in the period ended December 31, 2022, and the related notes and our report dated February 1, 2023 expressed an unqualified opinion thereon.</w:t>
      </w:r>
    </w:p>
    <w:p w14:paraId="5CD8EF14" w14:textId="77777777" w:rsidR="00BA49F5" w:rsidRDefault="00BA49F5"/>
    <w:p w14:paraId="5CD8EF15" w14:textId="77777777" w:rsidR="00BA49F5" w:rsidRDefault="007E5E49">
      <w:r>
        <w:rPr>
          <w:rFonts w:ascii="Times New Roman" w:eastAsia="宋体" w:hAnsi="Times New Roman"/>
          <w:b/>
          <w:bCs/>
          <w:color w:val="000000"/>
          <w:sz w:val="20"/>
          <w:szCs w:val="20"/>
        </w:rPr>
        <w:t xml:space="preserve">Basis for Opinion </w:t>
      </w:r>
    </w:p>
    <w:p w14:paraId="5CD8EF16" w14:textId="77777777" w:rsidR="00BA49F5" w:rsidRDefault="00BA49F5">
      <w:pPr>
        <w:jc w:val="both"/>
      </w:pPr>
    </w:p>
    <w:p w14:paraId="5CD8EF17" w14:textId="77777777" w:rsidR="00BA49F5" w:rsidRDefault="007E5E49">
      <w:pPr>
        <w:jc w:val="both"/>
      </w:pPr>
      <w:r>
        <w:rPr>
          <w:rFonts w:ascii="Times New Roman" w:eastAsia="宋体" w:hAnsi="Times New Roman"/>
          <w:color w:val="000000"/>
          <w:sz w:val="20"/>
          <w:szCs w:val="20"/>
        </w:rPr>
        <w:t>The Company's management is resp</w:t>
      </w:r>
      <w:r>
        <w:rPr>
          <w:rFonts w:ascii="Times New Roman" w:eastAsia="宋体" w:hAnsi="Times New Roman"/>
          <w:color w:val="000000"/>
          <w:sz w:val="20"/>
          <w:szCs w:val="20"/>
        </w:rPr>
        <w:t>onsible for maintaining effective internal control over financial reporting and for its assessment of the effectiveness of internal control over financial reporting included in the accompanying Management's Report on Internal Control over Financial Reporti</w:t>
      </w:r>
      <w:r>
        <w:rPr>
          <w:rFonts w:ascii="Times New Roman" w:eastAsia="宋体" w:hAnsi="Times New Roman"/>
          <w:color w:val="000000"/>
          <w:sz w:val="20"/>
          <w:szCs w:val="20"/>
        </w:rPr>
        <w:t>ng. Our responsibility is to express an opinion on the Company's internal control over financial reporting based on our audit. We are a public accounting firm registered with the PCAOB and are required to be independent with respect to the Company in accor</w:t>
      </w:r>
      <w:r>
        <w:rPr>
          <w:rFonts w:ascii="Times New Roman" w:eastAsia="宋体" w:hAnsi="Times New Roman"/>
          <w:color w:val="000000"/>
          <w:sz w:val="20"/>
          <w:szCs w:val="20"/>
        </w:rPr>
        <w:t>dance with the U.S. federal securities laws and the applicable rules and regulations of the Securities and Exchange Commission and the PCAOB.</w:t>
      </w:r>
    </w:p>
    <w:p w14:paraId="5CD8EF18" w14:textId="77777777" w:rsidR="00BA49F5" w:rsidRDefault="00BA49F5">
      <w:pPr>
        <w:jc w:val="both"/>
      </w:pPr>
    </w:p>
    <w:p w14:paraId="5CD8EF19" w14:textId="77777777" w:rsidR="00BA49F5" w:rsidRDefault="007E5E49">
      <w:pPr>
        <w:jc w:val="both"/>
      </w:pPr>
      <w:r>
        <w:rPr>
          <w:rFonts w:ascii="Times New Roman" w:eastAsia="宋体" w:hAnsi="Times New Roman"/>
          <w:color w:val="000000"/>
          <w:sz w:val="20"/>
          <w:szCs w:val="20"/>
        </w:rPr>
        <w:t xml:space="preserve">We conducted our audit in accordance with the standards of the PCAOB. Those standards require that we plan and </w:t>
      </w:r>
      <w:r>
        <w:rPr>
          <w:rFonts w:ascii="Times New Roman" w:eastAsia="宋体" w:hAnsi="Times New Roman"/>
          <w:color w:val="000000"/>
          <w:sz w:val="20"/>
          <w:szCs w:val="20"/>
        </w:rPr>
        <w:t>perform the audit to obtain reasonable assurance about whether effective internal control over financial reporting was maintained in all material respects.</w:t>
      </w:r>
    </w:p>
    <w:p w14:paraId="5CD8EF1A" w14:textId="77777777" w:rsidR="00BA49F5" w:rsidRDefault="00BA49F5">
      <w:pPr>
        <w:jc w:val="both"/>
      </w:pPr>
    </w:p>
    <w:p w14:paraId="5CD8EF1B" w14:textId="77777777" w:rsidR="00BA49F5" w:rsidRDefault="007E5E49">
      <w:pPr>
        <w:jc w:val="both"/>
      </w:pPr>
      <w:r>
        <w:rPr>
          <w:rFonts w:ascii="Times New Roman" w:eastAsia="宋体" w:hAnsi="Times New Roman"/>
          <w:color w:val="000000"/>
          <w:sz w:val="20"/>
          <w:szCs w:val="20"/>
        </w:rPr>
        <w:t>Our audit included obtaining an understanding of internal control over financial reporting, assessi</w:t>
      </w:r>
      <w:r>
        <w:rPr>
          <w:rFonts w:ascii="Times New Roman" w:eastAsia="宋体" w:hAnsi="Times New Roman"/>
          <w:color w:val="000000"/>
          <w:sz w:val="20"/>
          <w:szCs w:val="20"/>
        </w:rPr>
        <w:t>ng the risk that a material weakness exists, testing and evaluating the design and operating effectiveness of internal control based on the assessed risk, and performing such other procedures as we considered necessary in the circumstances. We believe that</w:t>
      </w:r>
      <w:r>
        <w:rPr>
          <w:rFonts w:ascii="Times New Roman" w:eastAsia="宋体" w:hAnsi="Times New Roman"/>
          <w:color w:val="000000"/>
          <w:sz w:val="20"/>
          <w:szCs w:val="20"/>
        </w:rPr>
        <w:t xml:space="preserve"> our audit provides a reasonable basis for our opinion.</w:t>
      </w:r>
    </w:p>
    <w:p w14:paraId="5CD8EF1C" w14:textId="77777777" w:rsidR="00BA49F5" w:rsidRDefault="00BA49F5">
      <w:pPr>
        <w:jc w:val="both"/>
      </w:pPr>
    </w:p>
    <w:p w14:paraId="5CD8EF1D" w14:textId="77777777" w:rsidR="00BA49F5" w:rsidRDefault="007E5E49">
      <w:r>
        <w:rPr>
          <w:rFonts w:ascii="Times New Roman" w:eastAsia="宋体" w:hAnsi="Times New Roman"/>
          <w:b/>
          <w:bCs/>
          <w:color w:val="000000"/>
          <w:sz w:val="20"/>
          <w:szCs w:val="20"/>
        </w:rPr>
        <w:t xml:space="preserve">Definition and Limitations of Internal Control Over Financial Reporting </w:t>
      </w:r>
    </w:p>
    <w:p w14:paraId="5CD8EF1E" w14:textId="77777777" w:rsidR="00BA49F5" w:rsidRDefault="00BA49F5"/>
    <w:p w14:paraId="5CD8EF1F" w14:textId="77777777" w:rsidR="00BA49F5" w:rsidRDefault="007E5E49">
      <w:pPr>
        <w:jc w:val="both"/>
      </w:pPr>
      <w:r>
        <w:rPr>
          <w:rFonts w:ascii="Times New Roman" w:eastAsia="宋体" w:hAnsi="Times New Roman"/>
          <w:color w:val="000000"/>
          <w:sz w:val="20"/>
          <w:szCs w:val="20"/>
        </w:rPr>
        <w:t>A company's internal control over financial reporting is a process designed to provide reasonable assurance regarding the rel</w:t>
      </w:r>
      <w:r>
        <w:rPr>
          <w:rFonts w:ascii="Times New Roman" w:eastAsia="宋体" w:hAnsi="Times New Roman"/>
          <w:color w:val="000000"/>
          <w:sz w:val="20"/>
          <w:szCs w:val="20"/>
        </w:rPr>
        <w:t>iability of financial reporting and the preparation of financial statements for external purposes in accordance with generally accepted accounting principles. A company's internal control over financial reporting includes those policies and procedures that</w:t>
      </w:r>
      <w:r>
        <w:rPr>
          <w:rFonts w:ascii="Times New Roman" w:eastAsia="宋体" w:hAnsi="Times New Roman"/>
          <w:color w:val="000000"/>
          <w:sz w:val="20"/>
          <w:szCs w:val="20"/>
        </w:rPr>
        <w:t xml:space="preserve"> (1) pertain to the maintenance of records that, in reasonable detail, accurately and fairly reflect the transactions and dispositions of the assets of the company; (2) provide reasonable assurance that transactions are recorded as necessary to permit prep</w:t>
      </w:r>
      <w:r>
        <w:rPr>
          <w:rFonts w:ascii="Times New Roman" w:eastAsia="宋体" w:hAnsi="Times New Roman"/>
          <w:color w:val="000000"/>
          <w:sz w:val="20"/>
          <w:szCs w:val="20"/>
        </w:rPr>
        <w:t>aration of financial statements in accordance with generally accepted accounting principles, and that receipts and expenditures of the company are being made only in accordance with authorizations of management and directors of the company; and (3) provide</w:t>
      </w:r>
      <w:r>
        <w:rPr>
          <w:rFonts w:ascii="Times New Roman" w:eastAsia="宋体" w:hAnsi="Times New Roman"/>
          <w:color w:val="000000"/>
          <w:sz w:val="20"/>
          <w:szCs w:val="20"/>
        </w:rPr>
        <w:t xml:space="preserve"> reasonable assurance regarding prevention or timely detection of unauthorized acquisition, use, or disposition of the company's assets that could have a material effect on the financial statements.</w:t>
      </w:r>
    </w:p>
    <w:p w14:paraId="5CD8EF20" w14:textId="77777777" w:rsidR="00BA49F5" w:rsidRDefault="00BA49F5">
      <w:pPr>
        <w:jc w:val="both"/>
      </w:pPr>
    </w:p>
    <w:p w14:paraId="5CD8EF21" w14:textId="77777777" w:rsidR="00BA49F5" w:rsidRDefault="007E5E49">
      <w:pPr>
        <w:jc w:val="both"/>
      </w:pPr>
      <w:r>
        <w:rPr>
          <w:rFonts w:ascii="Times New Roman" w:eastAsia="宋体" w:hAnsi="Times New Roman"/>
          <w:color w:val="000000"/>
          <w:sz w:val="20"/>
          <w:szCs w:val="20"/>
        </w:rPr>
        <w:t>Because of its inherent limitations, internal control ov</w:t>
      </w:r>
      <w:r>
        <w:rPr>
          <w:rFonts w:ascii="Times New Roman" w:eastAsia="宋体" w:hAnsi="Times New Roman"/>
          <w:color w:val="000000"/>
          <w:sz w:val="20"/>
          <w:szCs w:val="20"/>
        </w:rPr>
        <w:t>er financial reporting may not prevent or detect misstatements. Also, projections of any evaluation of effectiveness to future periods are subject to the risk that controls may become inadequate because of changes in conditions, or that the degree of compl</w:t>
      </w:r>
      <w:r>
        <w:rPr>
          <w:rFonts w:ascii="Times New Roman" w:eastAsia="宋体" w:hAnsi="Times New Roman"/>
          <w:color w:val="000000"/>
          <w:sz w:val="20"/>
          <w:szCs w:val="20"/>
        </w:rPr>
        <w:t>iance with the policies or procedures may deteriorate.</w:t>
      </w:r>
    </w:p>
    <w:p w14:paraId="5CD8EF22" w14:textId="77777777" w:rsidR="00BA49F5" w:rsidRDefault="00BA49F5">
      <w:pPr>
        <w:jc w:val="both"/>
      </w:pPr>
    </w:p>
    <w:p w14:paraId="5CD8EF23" w14:textId="77777777" w:rsidR="00BA49F5" w:rsidRDefault="007E5E49">
      <w:r>
        <w:rPr>
          <w:rFonts w:ascii="Times New Roman" w:eastAsia="宋体" w:hAnsi="Times New Roman"/>
          <w:color w:val="000000"/>
          <w:sz w:val="20"/>
          <w:szCs w:val="20"/>
        </w:rPr>
        <w:t xml:space="preserve">/s/ Ernst &amp; Young LLP </w:t>
      </w:r>
    </w:p>
    <w:p w14:paraId="5CD8EF24" w14:textId="77777777" w:rsidR="00BA49F5" w:rsidRDefault="00BA49F5"/>
    <w:p w14:paraId="5CD8EF25" w14:textId="77777777" w:rsidR="00BA49F5" w:rsidRDefault="007E5E49">
      <w:pPr>
        <w:jc w:val="both"/>
      </w:pPr>
      <w:r>
        <w:rPr>
          <w:rFonts w:ascii="Times New Roman" w:eastAsia="宋体" w:hAnsi="Times New Roman"/>
          <w:color w:val="000000"/>
          <w:sz w:val="20"/>
          <w:szCs w:val="20"/>
        </w:rPr>
        <w:t xml:space="preserve">San Mateo, California </w:t>
      </w:r>
    </w:p>
    <w:p w14:paraId="5CD8EF26" w14:textId="77777777" w:rsidR="00BA49F5" w:rsidRDefault="007E5E49">
      <w:pPr>
        <w:jc w:val="both"/>
      </w:pPr>
      <w:r>
        <w:rPr>
          <w:rFonts w:ascii="Times New Roman" w:eastAsia="宋体" w:hAnsi="Times New Roman"/>
          <w:color w:val="000000"/>
          <w:sz w:val="20"/>
          <w:szCs w:val="20"/>
        </w:rPr>
        <w:t>February 1, 2023</w:t>
      </w:r>
    </w:p>
    <w:p w14:paraId="5CD8EF27" w14:textId="77777777" w:rsidR="00BA49F5" w:rsidRDefault="00BA49F5">
      <w:pPr>
        <w:ind w:hanging="180"/>
        <w:jc w:val="both"/>
      </w:pPr>
    </w:p>
    <w:p w14:paraId="5CD8EF28" w14:textId="77777777" w:rsidR="00BA49F5" w:rsidRDefault="007E5E49">
      <w:pPr>
        <w:jc w:val="center"/>
      </w:pPr>
      <w:r>
        <w:rPr>
          <w:rFonts w:ascii="Times New Roman" w:eastAsia="宋体" w:hAnsi="Times New Roman"/>
          <w:color w:val="000000"/>
          <w:sz w:val="20"/>
          <w:szCs w:val="20"/>
        </w:rPr>
        <w:t>84</w:t>
      </w:r>
    </w:p>
    <w:p w14:paraId="5CD8EF29" w14:textId="77777777" w:rsidR="00BA49F5" w:rsidRDefault="007E5E49">
      <w:r>
        <w:pict w14:anchorId="5CD90D49">
          <v:rect id="_x0000_i1108" style="width:415.3pt;height:1.5pt" o:hralign="center" o:hrstd="t" o:hr="t" fillcolor="#a0a0a0" stroked="f"/>
        </w:pict>
      </w:r>
    </w:p>
    <w:p w14:paraId="5CD8EF2A" w14:textId="77777777" w:rsidR="00BA49F5" w:rsidRDefault="00BA49F5"/>
    <w:p w14:paraId="5CD8EF2B" w14:textId="77777777" w:rsidR="00BA49F5" w:rsidRDefault="00BA49F5"/>
    <w:p w14:paraId="5CD8EF2C" w14:textId="77777777" w:rsidR="00BA49F5" w:rsidRDefault="007E5E49">
      <w:hyperlink r:id="rId263" w:anchor="i6df229dad1864210ab76200083e26819_7" w:history="1">
        <w:r>
          <w:rPr>
            <w:rStyle w:val="a5"/>
            <w:rFonts w:ascii="Times New Roman" w:eastAsia="宋体" w:hAnsi="Times New Roman"/>
            <w:sz w:val="20"/>
            <w:szCs w:val="20"/>
          </w:rPr>
          <w:t>T</w:t>
        </w:r>
      </w:hyperlink>
      <w:hyperlink r:id="rId264" w:anchor="i6df229dad1864210ab76200083e26819_7" w:history="1">
        <w:r>
          <w:rPr>
            <w:rStyle w:val="a5"/>
            <w:rFonts w:ascii="Times New Roman" w:eastAsia="宋体" w:hAnsi="Times New Roman"/>
            <w:sz w:val="20"/>
            <w:szCs w:val="20"/>
          </w:rPr>
          <w:t>able of Contents</w:t>
        </w:r>
      </w:hyperlink>
    </w:p>
    <w:p w14:paraId="5CD8EF2D" w14:textId="77777777" w:rsidR="00BA49F5" w:rsidRDefault="007E5E49">
      <w:pPr>
        <w:jc w:val="center"/>
      </w:pPr>
      <w:r>
        <w:rPr>
          <w:rFonts w:ascii="Times New Roman" w:eastAsia="宋体" w:hAnsi="Times New Roman"/>
          <w:b/>
          <w:bCs/>
          <w:color w:val="000000"/>
          <w:sz w:val="20"/>
          <w:szCs w:val="20"/>
        </w:rPr>
        <w:t xml:space="preserve">META PLATFORMS, INC. </w:t>
      </w:r>
    </w:p>
    <w:p w14:paraId="5CD8EF2E" w14:textId="77777777" w:rsidR="00BA49F5" w:rsidRDefault="007E5E49">
      <w:pPr>
        <w:jc w:val="center"/>
      </w:pPr>
      <w:r>
        <w:rPr>
          <w:rFonts w:ascii="Times New Roman" w:eastAsia="宋体" w:hAnsi="Times New Roman"/>
          <w:b/>
          <w:bCs/>
          <w:color w:val="000000"/>
          <w:sz w:val="20"/>
          <w:szCs w:val="20"/>
        </w:rPr>
        <w:t xml:space="preserve">CONSOLIDATED BALANCE SHEETS </w:t>
      </w:r>
    </w:p>
    <w:p w14:paraId="5CD8EF2F" w14:textId="77777777" w:rsidR="00BA49F5" w:rsidRDefault="007E5E49">
      <w:pPr>
        <w:jc w:val="center"/>
      </w:pPr>
      <w:r>
        <w:rPr>
          <w:rFonts w:ascii="Times New Roman" w:eastAsia="宋体" w:hAnsi="Times New Roman"/>
          <w:i/>
          <w:iCs/>
          <w:color w:val="000000"/>
          <w:sz w:val="20"/>
          <w:szCs w:val="20"/>
        </w:rPr>
        <w:t>(In millions, except for number of shares and par value)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81"/>
        <w:gridCol w:w="39"/>
        <w:gridCol w:w="120"/>
        <w:gridCol w:w="944"/>
        <w:gridCol w:w="36"/>
        <w:gridCol w:w="36"/>
        <w:gridCol w:w="36"/>
        <w:gridCol w:w="36"/>
        <w:gridCol w:w="120"/>
        <w:gridCol w:w="911"/>
        <w:gridCol w:w="36"/>
      </w:tblGrid>
      <w:tr w:rsidR="00BA49F5" w14:paraId="5CD8EF3C" w14:textId="77777777">
        <w:trPr>
          <w:jc w:val="center"/>
        </w:trPr>
        <w:tc>
          <w:tcPr>
            <w:tcW w:w="50" w:type="pct"/>
            <w:shd w:val="clear" w:color="auto" w:fill="auto"/>
            <w:vAlign w:val="bottom"/>
          </w:tcPr>
          <w:p w14:paraId="5CD8EF30" w14:textId="77777777" w:rsidR="00BA49F5" w:rsidRDefault="00BA49F5">
            <w:pPr>
              <w:rPr>
                <w:rFonts w:ascii="宋体"/>
              </w:rPr>
            </w:pPr>
          </w:p>
        </w:tc>
        <w:tc>
          <w:tcPr>
            <w:tcW w:w="3613" w:type="pct"/>
            <w:shd w:val="clear" w:color="auto" w:fill="auto"/>
            <w:vAlign w:val="bottom"/>
          </w:tcPr>
          <w:p w14:paraId="5CD8EF31" w14:textId="77777777" w:rsidR="00BA49F5" w:rsidRDefault="00BA49F5">
            <w:pPr>
              <w:rPr>
                <w:rFonts w:ascii="宋体"/>
              </w:rPr>
            </w:pPr>
          </w:p>
        </w:tc>
        <w:tc>
          <w:tcPr>
            <w:tcW w:w="5" w:type="pct"/>
            <w:shd w:val="clear" w:color="auto" w:fill="auto"/>
            <w:vAlign w:val="bottom"/>
          </w:tcPr>
          <w:p w14:paraId="5CD8EF32" w14:textId="77777777" w:rsidR="00BA49F5" w:rsidRDefault="00BA49F5">
            <w:pPr>
              <w:rPr>
                <w:rFonts w:ascii="宋体"/>
              </w:rPr>
            </w:pPr>
          </w:p>
        </w:tc>
        <w:tc>
          <w:tcPr>
            <w:tcW w:w="50" w:type="pct"/>
            <w:shd w:val="clear" w:color="auto" w:fill="auto"/>
            <w:vAlign w:val="bottom"/>
          </w:tcPr>
          <w:p w14:paraId="5CD8EF33" w14:textId="77777777" w:rsidR="00BA49F5" w:rsidRDefault="00BA49F5">
            <w:pPr>
              <w:rPr>
                <w:rFonts w:ascii="宋体"/>
              </w:rPr>
            </w:pPr>
          </w:p>
        </w:tc>
        <w:tc>
          <w:tcPr>
            <w:tcW w:w="592" w:type="pct"/>
            <w:shd w:val="clear" w:color="auto" w:fill="auto"/>
            <w:vAlign w:val="bottom"/>
          </w:tcPr>
          <w:p w14:paraId="5CD8EF34" w14:textId="77777777" w:rsidR="00BA49F5" w:rsidRDefault="00BA49F5">
            <w:pPr>
              <w:rPr>
                <w:rFonts w:ascii="宋体"/>
              </w:rPr>
            </w:pPr>
          </w:p>
        </w:tc>
        <w:tc>
          <w:tcPr>
            <w:tcW w:w="5" w:type="pct"/>
            <w:shd w:val="clear" w:color="auto" w:fill="auto"/>
            <w:vAlign w:val="bottom"/>
          </w:tcPr>
          <w:p w14:paraId="5CD8EF35" w14:textId="77777777" w:rsidR="00BA49F5" w:rsidRDefault="00BA49F5">
            <w:pPr>
              <w:rPr>
                <w:rFonts w:ascii="宋体"/>
              </w:rPr>
            </w:pPr>
          </w:p>
        </w:tc>
        <w:tc>
          <w:tcPr>
            <w:tcW w:w="5" w:type="pct"/>
            <w:shd w:val="clear" w:color="auto" w:fill="auto"/>
            <w:vAlign w:val="bottom"/>
          </w:tcPr>
          <w:p w14:paraId="5CD8EF36" w14:textId="77777777" w:rsidR="00BA49F5" w:rsidRDefault="00BA49F5">
            <w:pPr>
              <w:rPr>
                <w:rFonts w:ascii="宋体"/>
              </w:rPr>
            </w:pPr>
          </w:p>
        </w:tc>
        <w:tc>
          <w:tcPr>
            <w:tcW w:w="27" w:type="pct"/>
            <w:shd w:val="clear" w:color="auto" w:fill="auto"/>
            <w:vAlign w:val="bottom"/>
          </w:tcPr>
          <w:p w14:paraId="5CD8EF37" w14:textId="77777777" w:rsidR="00BA49F5" w:rsidRDefault="00BA49F5">
            <w:pPr>
              <w:rPr>
                <w:rFonts w:ascii="宋体"/>
              </w:rPr>
            </w:pPr>
          </w:p>
        </w:tc>
        <w:tc>
          <w:tcPr>
            <w:tcW w:w="5" w:type="pct"/>
            <w:shd w:val="clear" w:color="auto" w:fill="auto"/>
            <w:vAlign w:val="bottom"/>
          </w:tcPr>
          <w:p w14:paraId="5CD8EF38" w14:textId="77777777" w:rsidR="00BA49F5" w:rsidRDefault="00BA49F5">
            <w:pPr>
              <w:rPr>
                <w:rFonts w:ascii="宋体"/>
              </w:rPr>
            </w:pPr>
          </w:p>
        </w:tc>
        <w:tc>
          <w:tcPr>
            <w:tcW w:w="50" w:type="pct"/>
            <w:shd w:val="clear" w:color="auto" w:fill="auto"/>
            <w:vAlign w:val="bottom"/>
          </w:tcPr>
          <w:p w14:paraId="5CD8EF39" w14:textId="77777777" w:rsidR="00BA49F5" w:rsidRDefault="00BA49F5">
            <w:pPr>
              <w:rPr>
                <w:rFonts w:ascii="宋体"/>
              </w:rPr>
            </w:pPr>
          </w:p>
        </w:tc>
        <w:tc>
          <w:tcPr>
            <w:tcW w:w="592" w:type="pct"/>
            <w:shd w:val="clear" w:color="auto" w:fill="auto"/>
            <w:vAlign w:val="bottom"/>
          </w:tcPr>
          <w:p w14:paraId="5CD8EF3A" w14:textId="77777777" w:rsidR="00BA49F5" w:rsidRDefault="00BA49F5">
            <w:pPr>
              <w:rPr>
                <w:rFonts w:ascii="宋体"/>
              </w:rPr>
            </w:pPr>
          </w:p>
        </w:tc>
        <w:tc>
          <w:tcPr>
            <w:tcW w:w="5" w:type="pct"/>
            <w:shd w:val="clear" w:color="auto" w:fill="auto"/>
            <w:vAlign w:val="bottom"/>
          </w:tcPr>
          <w:p w14:paraId="5CD8EF3B" w14:textId="77777777" w:rsidR="00BA49F5" w:rsidRDefault="00BA49F5">
            <w:pPr>
              <w:rPr>
                <w:rFonts w:ascii="宋体"/>
              </w:rPr>
            </w:pPr>
          </w:p>
        </w:tc>
      </w:tr>
      <w:tr w:rsidR="00BA49F5" w14:paraId="5CD8EF3F" w14:textId="77777777">
        <w:trPr>
          <w:jc w:val="center"/>
        </w:trPr>
        <w:tc>
          <w:tcPr>
            <w:tcW w:w="0" w:type="auto"/>
            <w:gridSpan w:val="3"/>
            <w:shd w:val="clear" w:color="auto" w:fill="auto"/>
            <w:tcMar>
              <w:top w:w="0" w:type="dxa"/>
              <w:left w:w="20" w:type="dxa"/>
              <w:bottom w:w="0" w:type="dxa"/>
              <w:right w:w="20" w:type="dxa"/>
            </w:tcMar>
            <w:vAlign w:val="bottom"/>
          </w:tcPr>
          <w:p w14:paraId="5CD8EF3D"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8EF3E"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8EF44" w14:textId="77777777">
        <w:trPr>
          <w:jc w:val="center"/>
        </w:trPr>
        <w:tc>
          <w:tcPr>
            <w:tcW w:w="0" w:type="auto"/>
            <w:gridSpan w:val="3"/>
            <w:shd w:val="clear" w:color="auto" w:fill="auto"/>
            <w:tcMar>
              <w:top w:w="40" w:type="dxa"/>
              <w:left w:w="20" w:type="dxa"/>
              <w:bottom w:w="40" w:type="dxa"/>
              <w:right w:w="20" w:type="dxa"/>
            </w:tcMar>
            <w:vAlign w:val="bottom"/>
          </w:tcPr>
          <w:p w14:paraId="5CD8EF40"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F41"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EF42"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EF43"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8EF49" w14:textId="77777777">
        <w:trPr>
          <w:jc w:val="center"/>
        </w:trPr>
        <w:tc>
          <w:tcPr>
            <w:tcW w:w="0" w:type="auto"/>
            <w:gridSpan w:val="3"/>
            <w:shd w:val="clear" w:color="auto" w:fill="CCEEFF"/>
            <w:tcMar>
              <w:top w:w="40" w:type="dxa"/>
              <w:left w:w="20" w:type="dxa"/>
              <w:bottom w:w="40" w:type="dxa"/>
              <w:right w:w="20" w:type="dxa"/>
            </w:tcMar>
            <w:vAlign w:val="bottom"/>
          </w:tcPr>
          <w:p w14:paraId="5CD8EF45" w14:textId="77777777" w:rsidR="00BA49F5" w:rsidRDefault="007E5E49">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EF46"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EF47"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EF48" w14:textId="77777777" w:rsidR="00BA49F5" w:rsidRDefault="007E5E49">
            <w:pPr>
              <w:textAlignment w:val="bottom"/>
            </w:pPr>
            <w:r>
              <w:rPr>
                <w:rFonts w:ascii="Times New Roman" w:eastAsia="宋体" w:hAnsi="Times New Roman"/>
                <w:color w:val="000000"/>
                <w:sz w:val="8"/>
                <w:szCs w:val="8"/>
              </w:rPr>
              <w:t> </w:t>
            </w:r>
          </w:p>
        </w:tc>
      </w:tr>
      <w:tr w:rsidR="00BA49F5" w14:paraId="5CD8EF4E" w14:textId="77777777">
        <w:trPr>
          <w:jc w:val="center"/>
        </w:trPr>
        <w:tc>
          <w:tcPr>
            <w:tcW w:w="0" w:type="auto"/>
            <w:gridSpan w:val="3"/>
            <w:shd w:val="clear" w:color="auto" w:fill="FFFFFF"/>
            <w:tcMar>
              <w:top w:w="40" w:type="dxa"/>
              <w:left w:w="20" w:type="dxa"/>
              <w:bottom w:w="40" w:type="dxa"/>
              <w:right w:w="20" w:type="dxa"/>
            </w:tcMar>
            <w:vAlign w:val="bottom"/>
          </w:tcPr>
          <w:p w14:paraId="5CD8EF4A" w14:textId="77777777" w:rsidR="00BA49F5" w:rsidRDefault="007E5E49">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5CD8EF4B"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5CD8EF4C"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F4D" w14:textId="77777777" w:rsidR="00BA49F5" w:rsidRDefault="007E5E49">
            <w:pPr>
              <w:textAlignment w:val="bottom"/>
            </w:pPr>
            <w:r>
              <w:rPr>
                <w:rFonts w:ascii="Times New Roman" w:eastAsia="宋体" w:hAnsi="Times New Roman"/>
                <w:color w:val="000000"/>
                <w:sz w:val="8"/>
                <w:szCs w:val="8"/>
              </w:rPr>
              <w:t> </w:t>
            </w:r>
          </w:p>
        </w:tc>
      </w:tr>
      <w:tr w:rsidR="00BA49F5" w14:paraId="5CD8EF57" w14:textId="77777777">
        <w:trPr>
          <w:jc w:val="center"/>
        </w:trPr>
        <w:tc>
          <w:tcPr>
            <w:tcW w:w="0" w:type="auto"/>
            <w:gridSpan w:val="3"/>
            <w:shd w:val="clear" w:color="auto" w:fill="CCEEFF"/>
            <w:tcMar>
              <w:top w:w="40" w:type="dxa"/>
              <w:left w:w="200" w:type="dxa"/>
              <w:bottom w:w="40" w:type="dxa"/>
              <w:right w:w="20" w:type="dxa"/>
            </w:tcMar>
            <w:vAlign w:val="bottom"/>
          </w:tcPr>
          <w:p w14:paraId="5CD8EF4F" w14:textId="77777777" w:rsidR="00BA49F5" w:rsidRDefault="007E5E49">
            <w:pPr>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5CD8EF5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F51" w14:textId="77777777" w:rsidR="00BA49F5" w:rsidRDefault="007E5E49">
            <w:pPr>
              <w:jc w:val="right"/>
              <w:textAlignment w:val="bottom"/>
            </w:pPr>
            <w:r>
              <w:rPr>
                <w:rFonts w:ascii="Times New Roman" w:eastAsia="宋体" w:hAnsi="Times New Roman"/>
                <w:color w:val="000000"/>
                <w:sz w:val="20"/>
                <w:szCs w:val="20"/>
              </w:rPr>
              <w:t>14,681 </w:t>
            </w:r>
          </w:p>
        </w:tc>
        <w:tc>
          <w:tcPr>
            <w:tcW w:w="0" w:type="auto"/>
            <w:shd w:val="clear" w:color="auto" w:fill="CCEEFF"/>
            <w:tcMar>
              <w:top w:w="40" w:type="dxa"/>
              <w:left w:w="0" w:type="dxa"/>
              <w:bottom w:w="40" w:type="dxa"/>
              <w:right w:w="20" w:type="dxa"/>
            </w:tcMar>
            <w:vAlign w:val="bottom"/>
          </w:tcPr>
          <w:p w14:paraId="5CD8EF5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53"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EF5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EF55" w14:textId="77777777" w:rsidR="00BA49F5" w:rsidRDefault="007E5E49">
            <w:pPr>
              <w:jc w:val="right"/>
              <w:textAlignment w:val="bottom"/>
            </w:pPr>
            <w:r>
              <w:rPr>
                <w:rFonts w:ascii="Times New Roman" w:eastAsia="宋体" w:hAnsi="Times New Roman"/>
                <w:color w:val="000000"/>
                <w:sz w:val="20"/>
                <w:szCs w:val="20"/>
              </w:rPr>
              <w:t>16,601 </w:t>
            </w:r>
          </w:p>
        </w:tc>
        <w:tc>
          <w:tcPr>
            <w:tcW w:w="0" w:type="auto"/>
            <w:shd w:val="clear" w:color="auto" w:fill="CCEEFF"/>
            <w:tcMar>
              <w:top w:w="40" w:type="dxa"/>
              <w:left w:w="0" w:type="dxa"/>
              <w:bottom w:w="40" w:type="dxa"/>
              <w:right w:w="20" w:type="dxa"/>
            </w:tcMar>
            <w:vAlign w:val="bottom"/>
          </w:tcPr>
          <w:p w14:paraId="5CD8EF56" w14:textId="77777777" w:rsidR="00BA49F5" w:rsidRDefault="00BA49F5">
            <w:pPr>
              <w:jc w:val="right"/>
              <w:rPr>
                <w:rFonts w:ascii="宋体"/>
              </w:rPr>
            </w:pPr>
          </w:p>
        </w:tc>
      </w:tr>
      <w:tr w:rsidR="00BA49F5" w14:paraId="5CD8EF5E" w14:textId="77777777">
        <w:trPr>
          <w:jc w:val="center"/>
        </w:trPr>
        <w:tc>
          <w:tcPr>
            <w:tcW w:w="0" w:type="auto"/>
            <w:gridSpan w:val="3"/>
            <w:shd w:val="clear" w:color="auto" w:fill="FFFFFF"/>
            <w:tcMar>
              <w:top w:w="40" w:type="dxa"/>
              <w:left w:w="200" w:type="dxa"/>
              <w:bottom w:w="40" w:type="dxa"/>
              <w:right w:w="20" w:type="dxa"/>
            </w:tcMar>
            <w:vAlign w:val="bottom"/>
          </w:tcPr>
          <w:p w14:paraId="5CD8EF58" w14:textId="77777777" w:rsidR="00BA49F5" w:rsidRDefault="007E5E49">
            <w:pPr>
              <w:textAlignment w:val="bottom"/>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5CD8EF59" w14:textId="77777777" w:rsidR="00BA49F5" w:rsidRDefault="007E5E49">
            <w:pPr>
              <w:jc w:val="right"/>
              <w:textAlignment w:val="bottom"/>
            </w:pPr>
            <w:r>
              <w:rPr>
                <w:rFonts w:ascii="Times New Roman" w:eastAsia="宋体" w:hAnsi="Times New Roman"/>
                <w:color w:val="000000"/>
                <w:sz w:val="20"/>
                <w:szCs w:val="20"/>
              </w:rPr>
              <w:t>26,057 </w:t>
            </w:r>
          </w:p>
        </w:tc>
        <w:tc>
          <w:tcPr>
            <w:tcW w:w="0" w:type="auto"/>
            <w:shd w:val="clear" w:color="auto" w:fill="FFFFFF"/>
            <w:tcMar>
              <w:top w:w="40" w:type="dxa"/>
              <w:left w:w="0" w:type="dxa"/>
              <w:bottom w:w="40" w:type="dxa"/>
              <w:right w:w="20" w:type="dxa"/>
            </w:tcMar>
            <w:vAlign w:val="bottom"/>
          </w:tcPr>
          <w:p w14:paraId="5CD8EF5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5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5C" w14:textId="77777777" w:rsidR="00BA49F5" w:rsidRDefault="007E5E49">
            <w:pPr>
              <w:jc w:val="right"/>
              <w:textAlignment w:val="bottom"/>
            </w:pPr>
            <w:r>
              <w:rPr>
                <w:rFonts w:ascii="Times New Roman" w:eastAsia="宋体" w:hAnsi="Times New Roman"/>
                <w:color w:val="000000"/>
                <w:sz w:val="20"/>
                <w:szCs w:val="20"/>
              </w:rPr>
              <w:t>31,397 </w:t>
            </w:r>
          </w:p>
        </w:tc>
        <w:tc>
          <w:tcPr>
            <w:tcW w:w="0" w:type="auto"/>
            <w:shd w:val="clear" w:color="auto" w:fill="FFFFFF"/>
            <w:tcMar>
              <w:top w:w="40" w:type="dxa"/>
              <w:left w:w="0" w:type="dxa"/>
              <w:bottom w:w="40" w:type="dxa"/>
              <w:right w:w="20" w:type="dxa"/>
            </w:tcMar>
            <w:vAlign w:val="bottom"/>
          </w:tcPr>
          <w:p w14:paraId="5CD8EF5D" w14:textId="77777777" w:rsidR="00BA49F5" w:rsidRDefault="00BA49F5">
            <w:pPr>
              <w:jc w:val="right"/>
              <w:rPr>
                <w:rFonts w:ascii="宋体"/>
              </w:rPr>
            </w:pPr>
          </w:p>
        </w:tc>
      </w:tr>
      <w:tr w:rsidR="00BA49F5" w14:paraId="5CD8EF65" w14:textId="77777777">
        <w:trPr>
          <w:jc w:val="center"/>
        </w:trPr>
        <w:tc>
          <w:tcPr>
            <w:tcW w:w="0" w:type="auto"/>
            <w:gridSpan w:val="3"/>
            <w:shd w:val="clear" w:color="auto" w:fill="CCEEFF"/>
            <w:tcMar>
              <w:top w:w="40" w:type="dxa"/>
              <w:left w:w="200" w:type="dxa"/>
              <w:bottom w:w="40" w:type="dxa"/>
              <w:right w:w="20" w:type="dxa"/>
            </w:tcMar>
            <w:vAlign w:val="bottom"/>
          </w:tcPr>
          <w:p w14:paraId="5CD8EF5F" w14:textId="77777777" w:rsidR="00BA49F5" w:rsidRDefault="007E5E49">
            <w:pPr>
              <w:textAlignment w:val="bottom"/>
            </w:pPr>
            <w:r>
              <w:rPr>
                <w:rFonts w:ascii="Times New Roman" w:eastAsia="宋体" w:hAnsi="Times New Roman"/>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5CD8EF60" w14:textId="77777777" w:rsidR="00BA49F5" w:rsidRDefault="007E5E49">
            <w:pPr>
              <w:jc w:val="right"/>
              <w:textAlignment w:val="bottom"/>
            </w:pPr>
            <w:r>
              <w:rPr>
                <w:rFonts w:ascii="Times New Roman" w:eastAsia="宋体" w:hAnsi="Times New Roman"/>
                <w:color w:val="000000"/>
                <w:sz w:val="20"/>
                <w:szCs w:val="20"/>
              </w:rPr>
              <w:t>13,466 </w:t>
            </w:r>
          </w:p>
        </w:tc>
        <w:tc>
          <w:tcPr>
            <w:tcW w:w="0" w:type="auto"/>
            <w:shd w:val="clear" w:color="auto" w:fill="CCEEFF"/>
            <w:tcMar>
              <w:top w:w="40" w:type="dxa"/>
              <w:left w:w="0" w:type="dxa"/>
              <w:bottom w:w="40" w:type="dxa"/>
              <w:right w:w="20" w:type="dxa"/>
            </w:tcMar>
            <w:vAlign w:val="bottom"/>
          </w:tcPr>
          <w:p w14:paraId="5CD8EF6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6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63" w14:textId="77777777" w:rsidR="00BA49F5" w:rsidRDefault="007E5E49">
            <w:pPr>
              <w:jc w:val="right"/>
              <w:textAlignment w:val="bottom"/>
            </w:pPr>
            <w:r>
              <w:rPr>
                <w:rFonts w:ascii="Times New Roman" w:eastAsia="宋体" w:hAnsi="Times New Roman"/>
                <w:color w:val="000000"/>
                <w:sz w:val="20"/>
                <w:szCs w:val="20"/>
              </w:rPr>
              <w:t>14,039 </w:t>
            </w:r>
          </w:p>
        </w:tc>
        <w:tc>
          <w:tcPr>
            <w:tcW w:w="0" w:type="auto"/>
            <w:shd w:val="clear" w:color="auto" w:fill="CCEEFF"/>
            <w:tcMar>
              <w:top w:w="40" w:type="dxa"/>
              <w:left w:w="0" w:type="dxa"/>
              <w:bottom w:w="40" w:type="dxa"/>
              <w:right w:w="20" w:type="dxa"/>
            </w:tcMar>
            <w:vAlign w:val="bottom"/>
          </w:tcPr>
          <w:p w14:paraId="5CD8EF64" w14:textId="77777777" w:rsidR="00BA49F5" w:rsidRDefault="00BA49F5">
            <w:pPr>
              <w:jc w:val="right"/>
              <w:rPr>
                <w:rFonts w:ascii="宋体"/>
              </w:rPr>
            </w:pPr>
          </w:p>
        </w:tc>
      </w:tr>
      <w:tr w:rsidR="00BA49F5" w14:paraId="5CD8EF6C" w14:textId="77777777">
        <w:trPr>
          <w:jc w:val="center"/>
        </w:trPr>
        <w:tc>
          <w:tcPr>
            <w:tcW w:w="0" w:type="auto"/>
            <w:gridSpan w:val="3"/>
            <w:shd w:val="clear" w:color="auto" w:fill="FFFFFF"/>
            <w:tcMar>
              <w:top w:w="40" w:type="dxa"/>
              <w:left w:w="200" w:type="dxa"/>
              <w:bottom w:w="40" w:type="dxa"/>
              <w:right w:w="20" w:type="dxa"/>
            </w:tcMar>
            <w:vAlign w:val="bottom"/>
          </w:tcPr>
          <w:p w14:paraId="5CD8EF66" w14:textId="77777777" w:rsidR="00BA49F5" w:rsidRDefault="007E5E49">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5CD8EF67" w14:textId="77777777" w:rsidR="00BA49F5" w:rsidRDefault="007E5E49">
            <w:pPr>
              <w:jc w:val="right"/>
              <w:textAlignment w:val="bottom"/>
            </w:pPr>
            <w:r>
              <w:rPr>
                <w:rFonts w:ascii="Times New Roman" w:eastAsia="宋体" w:hAnsi="Times New Roman"/>
                <w:color w:val="000000"/>
                <w:sz w:val="20"/>
                <w:szCs w:val="20"/>
              </w:rPr>
              <w:t>5,345 </w:t>
            </w:r>
          </w:p>
        </w:tc>
        <w:tc>
          <w:tcPr>
            <w:tcW w:w="0" w:type="auto"/>
            <w:shd w:val="clear" w:color="auto" w:fill="FFFFFF"/>
            <w:tcMar>
              <w:top w:w="40" w:type="dxa"/>
              <w:left w:w="0" w:type="dxa"/>
              <w:bottom w:w="40" w:type="dxa"/>
              <w:right w:w="20" w:type="dxa"/>
            </w:tcMar>
            <w:vAlign w:val="bottom"/>
          </w:tcPr>
          <w:p w14:paraId="5CD8EF6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6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6A" w14:textId="77777777" w:rsidR="00BA49F5" w:rsidRDefault="007E5E49">
            <w:pPr>
              <w:jc w:val="right"/>
              <w:textAlignment w:val="bottom"/>
            </w:pPr>
            <w:r>
              <w:rPr>
                <w:rFonts w:ascii="Times New Roman" w:eastAsia="宋体" w:hAnsi="Times New Roman"/>
                <w:color w:val="000000"/>
                <w:sz w:val="20"/>
                <w:szCs w:val="20"/>
              </w:rPr>
              <w:t>4,629 </w:t>
            </w:r>
          </w:p>
        </w:tc>
        <w:tc>
          <w:tcPr>
            <w:tcW w:w="0" w:type="auto"/>
            <w:shd w:val="clear" w:color="auto" w:fill="FFFFFF"/>
            <w:tcMar>
              <w:top w:w="40" w:type="dxa"/>
              <w:left w:w="0" w:type="dxa"/>
              <w:bottom w:w="40" w:type="dxa"/>
              <w:right w:w="20" w:type="dxa"/>
            </w:tcMar>
            <w:vAlign w:val="bottom"/>
          </w:tcPr>
          <w:p w14:paraId="5CD8EF6B" w14:textId="77777777" w:rsidR="00BA49F5" w:rsidRDefault="00BA49F5">
            <w:pPr>
              <w:jc w:val="right"/>
              <w:rPr>
                <w:rFonts w:ascii="宋体"/>
              </w:rPr>
            </w:pPr>
          </w:p>
        </w:tc>
      </w:tr>
      <w:tr w:rsidR="00BA49F5" w14:paraId="5CD8EF73" w14:textId="77777777">
        <w:trPr>
          <w:jc w:val="center"/>
        </w:trPr>
        <w:tc>
          <w:tcPr>
            <w:tcW w:w="0" w:type="auto"/>
            <w:gridSpan w:val="3"/>
            <w:shd w:val="clear" w:color="auto" w:fill="CCEEFF"/>
            <w:tcMar>
              <w:top w:w="40" w:type="dxa"/>
              <w:left w:w="380" w:type="dxa"/>
              <w:bottom w:w="40" w:type="dxa"/>
              <w:right w:w="20" w:type="dxa"/>
            </w:tcMar>
            <w:vAlign w:val="bottom"/>
          </w:tcPr>
          <w:p w14:paraId="5CD8EF6D" w14:textId="77777777" w:rsidR="00BA49F5" w:rsidRDefault="007E5E49">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F6E" w14:textId="77777777" w:rsidR="00BA49F5" w:rsidRDefault="007E5E49">
            <w:pPr>
              <w:jc w:val="right"/>
              <w:textAlignment w:val="bottom"/>
            </w:pPr>
            <w:r>
              <w:rPr>
                <w:rFonts w:ascii="Times New Roman" w:eastAsia="宋体" w:hAnsi="Times New Roman"/>
                <w:color w:val="000000"/>
                <w:sz w:val="20"/>
                <w:szCs w:val="20"/>
              </w:rPr>
              <w:t>59,549 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F6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7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EF71" w14:textId="77777777" w:rsidR="00BA49F5" w:rsidRDefault="007E5E49">
            <w:pPr>
              <w:jc w:val="right"/>
              <w:textAlignment w:val="bottom"/>
            </w:pPr>
            <w:r>
              <w:rPr>
                <w:rFonts w:ascii="Times New Roman" w:eastAsia="宋体" w:hAnsi="Times New Roman"/>
                <w:color w:val="000000"/>
                <w:sz w:val="20"/>
                <w:szCs w:val="20"/>
              </w:rPr>
              <w:t>66,666 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EF72" w14:textId="77777777" w:rsidR="00BA49F5" w:rsidRDefault="00BA49F5">
            <w:pPr>
              <w:jc w:val="right"/>
              <w:rPr>
                <w:rFonts w:ascii="宋体"/>
              </w:rPr>
            </w:pPr>
          </w:p>
        </w:tc>
      </w:tr>
      <w:tr w:rsidR="00BA49F5" w14:paraId="5CD8EF7A" w14:textId="77777777">
        <w:trPr>
          <w:jc w:val="center"/>
        </w:trPr>
        <w:tc>
          <w:tcPr>
            <w:tcW w:w="0" w:type="auto"/>
            <w:gridSpan w:val="3"/>
            <w:shd w:val="clear" w:color="auto" w:fill="FFFFFF"/>
            <w:tcMar>
              <w:top w:w="40" w:type="dxa"/>
              <w:left w:w="20" w:type="dxa"/>
              <w:bottom w:w="40" w:type="dxa"/>
              <w:right w:w="20" w:type="dxa"/>
            </w:tcMar>
            <w:vAlign w:val="bottom"/>
          </w:tcPr>
          <w:p w14:paraId="5CD8EF74" w14:textId="77777777" w:rsidR="00BA49F5" w:rsidRDefault="007E5E49">
            <w:pPr>
              <w:textAlignment w:val="bottom"/>
            </w:pPr>
            <w:r>
              <w:rPr>
                <w:rFonts w:ascii="Times New Roman" w:eastAsia="宋体" w:hAnsi="Times New Roman"/>
                <w:color w:val="000000"/>
                <w:sz w:val="20"/>
                <w:szCs w:val="20"/>
              </w:rPr>
              <w:t>Non-marketable equity securities</w:t>
            </w:r>
          </w:p>
        </w:tc>
        <w:tc>
          <w:tcPr>
            <w:tcW w:w="0" w:type="auto"/>
            <w:gridSpan w:val="2"/>
            <w:shd w:val="clear" w:color="auto" w:fill="FFFFFF"/>
            <w:tcMar>
              <w:top w:w="40" w:type="dxa"/>
              <w:left w:w="20" w:type="dxa"/>
              <w:bottom w:w="40" w:type="dxa"/>
              <w:right w:w="0" w:type="dxa"/>
            </w:tcMar>
            <w:vAlign w:val="bottom"/>
          </w:tcPr>
          <w:p w14:paraId="5CD8EF75" w14:textId="77777777" w:rsidR="00BA49F5" w:rsidRDefault="007E5E49">
            <w:pPr>
              <w:jc w:val="right"/>
              <w:textAlignment w:val="bottom"/>
            </w:pPr>
            <w:r>
              <w:rPr>
                <w:rFonts w:ascii="Times New Roman" w:eastAsia="宋体" w:hAnsi="Times New Roman"/>
                <w:color w:val="000000"/>
                <w:sz w:val="20"/>
                <w:szCs w:val="20"/>
              </w:rPr>
              <w:t>6,201 </w:t>
            </w:r>
          </w:p>
        </w:tc>
        <w:tc>
          <w:tcPr>
            <w:tcW w:w="0" w:type="auto"/>
            <w:shd w:val="clear" w:color="auto" w:fill="FFFFFF"/>
            <w:tcMar>
              <w:top w:w="40" w:type="dxa"/>
              <w:left w:w="0" w:type="dxa"/>
              <w:bottom w:w="40" w:type="dxa"/>
              <w:right w:w="20" w:type="dxa"/>
            </w:tcMar>
            <w:vAlign w:val="bottom"/>
          </w:tcPr>
          <w:p w14:paraId="5CD8EF7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7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78" w14:textId="77777777" w:rsidR="00BA49F5" w:rsidRDefault="007E5E49">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5CD8EF79" w14:textId="77777777" w:rsidR="00BA49F5" w:rsidRDefault="00BA49F5">
            <w:pPr>
              <w:jc w:val="right"/>
              <w:rPr>
                <w:rFonts w:ascii="宋体"/>
              </w:rPr>
            </w:pPr>
          </w:p>
        </w:tc>
      </w:tr>
      <w:tr w:rsidR="00BA49F5" w14:paraId="5CD8EF81" w14:textId="77777777">
        <w:trPr>
          <w:jc w:val="center"/>
        </w:trPr>
        <w:tc>
          <w:tcPr>
            <w:tcW w:w="0" w:type="auto"/>
            <w:gridSpan w:val="3"/>
            <w:shd w:val="clear" w:color="auto" w:fill="CCEEFF"/>
            <w:tcMar>
              <w:top w:w="40" w:type="dxa"/>
              <w:left w:w="20" w:type="dxa"/>
              <w:bottom w:w="40" w:type="dxa"/>
              <w:right w:w="20" w:type="dxa"/>
            </w:tcMar>
            <w:vAlign w:val="bottom"/>
          </w:tcPr>
          <w:p w14:paraId="5CD8EF7B" w14:textId="77777777" w:rsidR="00BA49F5" w:rsidRDefault="007E5E49">
            <w:pPr>
              <w:textAlignment w:val="bottom"/>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5CD8EF7C" w14:textId="77777777" w:rsidR="00BA49F5" w:rsidRDefault="007E5E49">
            <w:pPr>
              <w:jc w:val="right"/>
              <w:textAlignment w:val="bottom"/>
            </w:pPr>
            <w:r>
              <w:rPr>
                <w:rFonts w:ascii="Times New Roman" w:eastAsia="宋体" w:hAnsi="Times New Roman"/>
                <w:color w:val="000000"/>
                <w:sz w:val="20"/>
                <w:szCs w:val="20"/>
              </w:rPr>
              <w:t>79,518 </w:t>
            </w:r>
          </w:p>
        </w:tc>
        <w:tc>
          <w:tcPr>
            <w:tcW w:w="0" w:type="auto"/>
            <w:shd w:val="clear" w:color="auto" w:fill="CCEEFF"/>
            <w:tcMar>
              <w:top w:w="40" w:type="dxa"/>
              <w:left w:w="0" w:type="dxa"/>
              <w:bottom w:w="40" w:type="dxa"/>
              <w:right w:w="20" w:type="dxa"/>
            </w:tcMar>
            <w:vAlign w:val="bottom"/>
          </w:tcPr>
          <w:p w14:paraId="5CD8EF7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7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7F" w14:textId="77777777" w:rsidR="00BA49F5" w:rsidRDefault="007E5E49">
            <w:pPr>
              <w:jc w:val="right"/>
              <w:textAlignment w:val="bottom"/>
            </w:pPr>
            <w:r>
              <w:rPr>
                <w:rFonts w:ascii="Times New Roman" w:eastAsia="宋体" w:hAnsi="Times New Roman"/>
                <w:color w:val="000000"/>
                <w:sz w:val="20"/>
                <w:szCs w:val="20"/>
              </w:rPr>
              <w:t>57,809 </w:t>
            </w:r>
          </w:p>
        </w:tc>
        <w:tc>
          <w:tcPr>
            <w:tcW w:w="0" w:type="auto"/>
            <w:shd w:val="clear" w:color="auto" w:fill="CCEEFF"/>
            <w:tcMar>
              <w:top w:w="40" w:type="dxa"/>
              <w:left w:w="0" w:type="dxa"/>
              <w:bottom w:w="40" w:type="dxa"/>
              <w:right w:w="20" w:type="dxa"/>
            </w:tcMar>
            <w:vAlign w:val="bottom"/>
          </w:tcPr>
          <w:p w14:paraId="5CD8EF80" w14:textId="77777777" w:rsidR="00BA49F5" w:rsidRDefault="00BA49F5">
            <w:pPr>
              <w:jc w:val="right"/>
              <w:rPr>
                <w:rFonts w:ascii="宋体"/>
              </w:rPr>
            </w:pPr>
          </w:p>
        </w:tc>
      </w:tr>
      <w:tr w:rsidR="00BA49F5" w14:paraId="5CD8EF88" w14:textId="77777777">
        <w:trPr>
          <w:jc w:val="center"/>
        </w:trPr>
        <w:tc>
          <w:tcPr>
            <w:tcW w:w="0" w:type="auto"/>
            <w:gridSpan w:val="3"/>
            <w:shd w:val="clear" w:color="auto" w:fill="FFFFFF"/>
            <w:tcMar>
              <w:top w:w="40" w:type="dxa"/>
              <w:left w:w="20" w:type="dxa"/>
              <w:bottom w:w="40" w:type="dxa"/>
              <w:right w:w="20" w:type="dxa"/>
            </w:tcMar>
            <w:vAlign w:val="bottom"/>
          </w:tcPr>
          <w:p w14:paraId="5CD8EF82" w14:textId="77777777" w:rsidR="00BA49F5" w:rsidRDefault="007E5E49">
            <w:pPr>
              <w:textAlignment w:val="bottom"/>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5CD8EF83" w14:textId="77777777" w:rsidR="00BA49F5" w:rsidRDefault="007E5E49">
            <w:pPr>
              <w:jc w:val="right"/>
              <w:textAlignment w:val="bottom"/>
            </w:pPr>
            <w:r>
              <w:rPr>
                <w:rFonts w:ascii="Times New Roman" w:eastAsia="宋体" w:hAnsi="Times New Roman"/>
                <w:color w:val="000000"/>
                <w:sz w:val="20"/>
                <w:szCs w:val="20"/>
              </w:rPr>
              <w:t>12,673 </w:t>
            </w:r>
          </w:p>
        </w:tc>
        <w:tc>
          <w:tcPr>
            <w:tcW w:w="0" w:type="auto"/>
            <w:shd w:val="clear" w:color="auto" w:fill="FFFFFF"/>
            <w:tcMar>
              <w:top w:w="40" w:type="dxa"/>
              <w:left w:w="0" w:type="dxa"/>
              <w:bottom w:w="40" w:type="dxa"/>
              <w:right w:w="20" w:type="dxa"/>
            </w:tcMar>
            <w:vAlign w:val="bottom"/>
          </w:tcPr>
          <w:p w14:paraId="5CD8EF8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8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86" w14:textId="77777777" w:rsidR="00BA49F5" w:rsidRDefault="007E5E49">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5CD8EF87" w14:textId="77777777" w:rsidR="00BA49F5" w:rsidRDefault="00BA49F5">
            <w:pPr>
              <w:jc w:val="right"/>
              <w:rPr>
                <w:rFonts w:ascii="宋体"/>
              </w:rPr>
            </w:pPr>
          </w:p>
        </w:tc>
      </w:tr>
      <w:tr w:rsidR="00BA49F5" w14:paraId="5CD8EF8F" w14:textId="77777777">
        <w:trPr>
          <w:jc w:val="center"/>
        </w:trPr>
        <w:tc>
          <w:tcPr>
            <w:tcW w:w="0" w:type="auto"/>
            <w:gridSpan w:val="3"/>
            <w:shd w:val="clear" w:color="auto" w:fill="CCEEFF"/>
            <w:tcMar>
              <w:top w:w="40" w:type="dxa"/>
              <w:left w:w="20" w:type="dxa"/>
              <w:bottom w:w="40" w:type="dxa"/>
              <w:right w:w="20" w:type="dxa"/>
            </w:tcMar>
            <w:vAlign w:val="bottom"/>
          </w:tcPr>
          <w:p w14:paraId="5CD8EF89" w14:textId="77777777" w:rsidR="00BA49F5" w:rsidRDefault="007E5E49">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5CD8EF8A" w14:textId="77777777" w:rsidR="00BA49F5" w:rsidRDefault="007E5E49">
            <w:pPr>
              <w:jc w:val="right"/>
              <w:textAlignment w:val="bottom"/>
            </w:pPr>
            <w:r>
              <w:rPr>
                <w:rFonts w:ascii="Times New Roman" w:eastAsia="宋体" w:hAnsi="Times New Roman"/>
                <w:color w:val="000000"/>
                <w:sz w:val="20"/>
                <w:szCs w:val="20"/>
              </w:rPr>
              <w:t>897 </w:t>
            </w:r>
          </w:p>
        </w:tc>
        <w:tc>
          <w:tcPr>
            <w:tcW w:w="0" w:type="auto"/>
            <w:shd w:val="clear" w:color="auto" w:fill="CCEEFF"/>
            <w:tcMar>
              <w:top w:w="40" w:type="dxa"/>
              <w:left w:w="0" w:type="dxa"/>
              <w:bottom w:w="40" w:type="dxa"/>
              <w:right w:w="20" w:type="dxa"/>
            </w:tcMar>
            <w:vAlign w:val="bottom"/>
          </w:tcPr>
          <w:p w14:paraId="5CD8EF8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8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8D" w14:textId="77777777" w:rsidR="00BA49F5" w:rsidRDefault="007E5E49">
            <w:pPr>
              <w:jc w:val="right"/>
              <w:textAlignment w:val="bottom"/>
            </w:pPr>
            <w:r>
              <w:rPr>
                <w:rFonts w:ascii="Times New Roman" w:eastAsia="宋体" w:hAnsi="Times New Roman"/>
                <w:color w:val="000000"/>
                <w:sz w:val="20"/>
                <w:szCs w:val="20"/>
              </w:rPr>
              <w:t>634 </w:t>
            </w:r>
          </w:p>
        </w:tc>
        <w:tc>
          <w:tcPr>
            <w:tcW w:w="0" w:type="auto"/>
            <w:shd w:val="clear" w:color="auto" w:fill="CCEEFF"/>
            <w:tcMar>
              <w:top w:w="40" w:type="dxa"/>
              <w:left w:w="0" w:type="dxa"/>
              <w:bottom w:w="40" w:type="dxa"/>
              <w:right w:w="20" w:type="dxa"/>
            </w:tcMar>
            <w:vAlign w:val="bottom"/>
          </w:tcPr>
          <w:p w14:paraId="5CD8EF8E" w14:textId="77777777" w:rsidR="00BA49F5" w:rsidRDefault="00BA49F5">
            <w:pPr>
              <w:jc w:val="right"/>
              <w:rPr>
                <w:rFonts w:ascii="宋体"/>
              </w:rPr>
            </w:pPr>
          </w:p>
        </w:tc>
      </w:tr>
      <w:tr w:rsidR="00BA49F5" w14:paraId="5CD8EF96" w14:textId="77777777">
        <w:trPr>
          <w:jc w:val="center"/>
        </w:trPr>
        <w:tc>
          <w:tcPr>
            <w:tcW w:w="0" w:type="auto"/>
            <w:gridSpan w:val="3"/>
            <w:shd w:val="clear" w:color="auto" w:fill="FFFFFF"/>
            <w:tcMar>
              <w:top w:w="40" w:type="dxa"/>
              <w:left w:w="20" w:type="dxa"/>
              <w:bottom w:w="40" w:type="dxa"/>
              <w:right w:w="20" w:type="dxa"/>
            </w:tcMar>
            <w:vAlign w:val="bottom"/>
          </w:tcPr>
          <w:p w14:paraId="5CD8EF90" w14:textId="77777777" w:rsidR="00BA49F5" w:rsidRDefault="007E5E49">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5CD8EF91" w14:textId="77777777" w:rsidR="00BA49F5" w:rsidRDefault="007E5E49">
            <w:pPr>
              <w:jc w:val="right"/>
              <w:textAlignment w:val="bottom"/>
            </w:pPr>
            <w:r>
              <w:rPr>
                <w:rFonts w:ascii="Times New Roman" w:eastAsia="宋体" w:hAnsi="Times New Roman"/>
                <w:color w:val="000000"/>
                <w:sz w:val="20"/>
                <w:szCs w:val="20"/>
              </w:rPr>
              <w:t>20,306 </w:t>
            </w:r>
          </w:p>
        </w:tc>
        <w:tc>
          <w:tcPr>
            <w:tcW w:w="0" w:type="auto"/>
            <w:shd w:val="clear" w:color="auto" w:fill="FFFFFF"/>
            <w:tcMar>
              <w:top w:w="40" w:type="dxa"/>
              <w:left w:w="0" w:type="dxa"/>
              <w:bottom w:w="40" w:type="dxa"/>
              <w:right w:w="20" w:type="dxa"/>
            </w:tcMar>
            <w:vAlign w:val="bottom"/>
          </w:tcPr>
          <w:p w14:paraId="5CD8EF9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9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94" w14:textId="77777777" w:rsidR="00BA49F5" w:rsidRDefault="007E5E49">
            <w:pPr>
              <w:jc w:val="right"/>
              <w:textAlignment w:val="bottom"/>
            </w:pPr>
            <w:r>
              <w:rPr>
                <w:rFonts w:ascii="Times New Roman" w:eastAsia="宋体" w:hAnsi="Times New Roman"/>
                <w:color w:val="000000"/>
                <w:sz w:val="20"/>
                <w:szCs w:val="20"/>
              </w:rPr>
              <w:t>19,197 </w:t>
            </w:r>
          </w:p>
        </w:tc>
        <w:tc>
          <w:tcPr>
            <w:tcW w:w="0" w:type="auto"/>
            <w:shd w:val="clear" w:color="auto" w:fill="FFFFFF"/>
            <w:tcMar>
              <w:top w:w="40" w:type="dxa"/>
              <w:left w:w="0" w:type="dxa"/>
              <w:bottom w:w="40" w:type="dxa"/>
              <w:right w:w="20" w:type="dxa"/>
            </w:tcMar>
            <w:vAlign w:val="bottom"/>
          </w:tcPr>
          <w:p w14:paraId="5CD8EF95" w14:textId="77777777" w:rsidR="00BA49F5" w:rsidRDefault="00BA49F5">
            <w:pPr>
              <w:jc w:val="right"/>
              <w:rPr>
                <w:rFonts w:ascii="宋体"/>
              </w:rPr>
            </w:pPr>
          </w:p>
        </w:tc>
      </w:tr>
      <w:tr w:rsidR="00BA49F5" w14:paraId="5CD8EF9D" w14:textId="77777777">
        <w:trPr>
          <w:jc w:val="center"/>
        </w:trPr>
        <w:tc>
          <w:tcPr>
            <w:tcW w:w="0" w:type="auto"/>
            <w:gridSpan w:val="3"/>
            <w:shd w:val="clear" w:color="auto" w:fill="CCEEFF"/>
            <w:tcMar>
              <w:top w:w="40" w:type="dxa"/>
              <w:left w:w="20" w:type="dxa"/>
              <w:bottom w:w="40" w:type="dxa"/>
              <w:right w:w="20" w:type="dxa"/>
            </w:tcMar>
            <w:vAlign w:val="bottom"/>
          </w:tcPr>
          <w:p w14:paraId="5CD8EF97" w14:textId="77777777" w:rsidR="00BA49F5" w:rsidRDefault="007E5E49">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5CD8EF98" w14:textId="77777777" w:rsidR="00BA49F5" w:rsidRDefault="007E5E49">
            <w:pPr>
              <w:jc w:val="right"/>
              <w:textAlignment w:val="bottom"/>
            </w:pPr>
            <w:r>
              <w:rPr>
                <w:rFonts w:ascii="Times New Roman" w:eastAsia="宋体" w:hAnsi="Times New Roman"/>
                <w:color w:val="000000"/>
                <w:sz w:val="20"/>
                <w:szCs w:val="20"/>
              </w:rPr>
              <w:t>6,583 </w:t>
            </w:r>
          </w:p>
        </w:tc>
        <w:tc>
          <w:tcPr>
            <w:tcW w:w="0" w:type="auto"/>
            <w:shd w:val="clear" w:color="auto" w:fill="CCEEFF"/>
            <w:tcMar>
              <w:top w:w="40" w:type="dxa"/>
              <w:left w:w="0" w:type="dxa"/>
              <w:bottom w:w="40" w:type="dxa"/>
              <w:right w:w="20" w:type="dxa"/>
            </w:tcMar>
            <w:vAlign w:val="bottom"/>
          </w:tcPr>
          <w:p w14:paraId="5CD8EF9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9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9B" w14:textId="77777777" w:rsidR="00BA49F5" w:rsidRDefault="007E5E49">
            <w:pPr>
              <w:jc w:val="right"/>
              <w:textAlignment w:val="bottom"/>
            </w:pPr>
            <w:r>
              <w:rPr>
                <w:rFonts w:ascii="Times New Roman" w:eastAsia="宋体" w:hAnsi="Times New Roman"/>
                <w:color w:val="000000"/>
                <w:sz w:val="20"/>
                <w:szCs w:val="20"/>
              </w:rPr>
              <w:t>2,751 </w:t>
            </w:r>
          </w:p>
        </w:tc>
        <w:tc>
          <w:tcPr>
            <w:tcW w:w="0" w:type="auto"/>
            <w:shd w:val="clear" w:color="auto" w:fill="CCEEFF"/>
            <w:tcMar>
              <w:top w:w="40" w:type="dxa"/>
              <w:left w:w="0" w:type="dxa"/>
              <w:bottom w:w="40" w:type="dxa"/>
              <w:right w:w="20" w:type="dxa"/>
            </w:tcMar>
            <w:vAlign w:val="bottom"/>
          </w:tcPr>
          <w:p w14:paraId="5CD8EF9C" w14:textId="77777777" w:rsidR="00BA49F5" w:rsidRDefault="00BA49F5">
            <w:pPr>
              <w:jc w:val="right"/>
              <w:rPr>
                <w:rFonts w:ascii="宋体"/>
              </w:rPr>
            </w:pPr>
          </w:p>
        </w:tc>
      </w:tr>
      <w:tr w:rsidR="00BA49F5" w14:paraId="5CD8EFA6" w14:textId="77777777">
        <w:trPr>
          <w:jc w:val="center"/>
        </w:trPr>
        <w:tc>
          <w:tcPr>
            <w:tcW w:w="0" w:type="auto"/>
            <w:gridSpan w:val="3"/>
            <w:shd w:val="clear" w:color="auto" w:fill="FFFFFF"/>
            <w:tcMar>
              <w:top w:w="40" w:type="dxa"/>
              <w:left w:w="20" w:type="dxa"/>
              <w:bottom w:w="40" w:type="dxa"/>
              <w:right w:w="20" w:type="dxa"/>
            </w:tcMar>
            <w:vAlign w:val="bottom"/>
          </w:tcPr>
          <w:p w14:paraId="5CD8EF9E" w14:textId="77777777" w:rsidR="00BA49F5" w:rsidRDefault="007E5E49">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CD8EF9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EFA0" w14:textId="77777777" w:rsidR="00BA49F5" w:rsidRDefault="007E5E49">
            <w:pPr>
              <w:jc w:val="right"/>
              <w:textAlignment w:val="bottom"/>
            </w:pPr>
            <w:r>
              <w:rPr>
                <w:rFonts w:ascii="Times New Roman" w:eastAsia="宋体" w:hAnsi="Times New Roman"/>
                <w:color w:val="000000"/>
                <w:sz w:val="20"/>
                <w:szCs w:val="20"/>
              </w:rPr>
              <w:t>185,727 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A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A2"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EFA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EFA4" w14:textId="77777777" w:rsidR="00BA49F5" w:rsidRDefault="007E5E49">
            <w:pPr>
              <w:jc w:val="right"/>
              <w:textAlignment w:val="bottom"/>
            </w:pPr>
            <w:r>
              <w:rPr>
                <w:rFonts w:ascii="Times New Roman" w:eastAsia="宋体" w:hAnsi="Times New Roman"/>
                <w:color w:val="000000"/>
                <w:sz w:val="20"/>
                <w:szCs w:val="20"/>
              </w:rPr>
              <w:t>165,987 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A5" w14:textId="77777777" w:rsidR="00BA49F5" w:rsidRDefault="00BA49F5">
            <w:pPr>
              <w:jc w:val="right"/>
              <w:rPr>
                <w:rFonts w:ascii="宋体"/>
              </w:rPr>
            </w:pPr>
          </w:p>
        </w:tc>
      </w:tr>
      <w:tr w:rsidR="00BA49F5" w14:paraId="5CD8EFAB" w14:textId="77777777">
        <w:trPr>
          <w:trHeight w:val="300"/>
          <w:jc w:val="center"/>
        </w:trPr>
        <w:tc>
          <w:tcPr>
            <w:tcW w:w="0" w:type="auto"/>
            <w:gridSpan w:val="3"/>
            <w:shd w:val="clear" w:color="auto" w:fill="CCEEFF"/>
            <w:tcMar>
              <w:top w:w="0" w:type="dxa"/>
              <w:left w:w="20" w:type="dxa"/>
              <w:bottom w:w="0" w:type="dxa"/>
              <w:right w:w="20" w:type="dxa"/>
            </w:tcMar>
            <w:vAlign w:val="bottom"/>
          </w:tcPr>
          <w:p w14:paraId="5CD8EFA7"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EFA8"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EFA9"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EFAA" w14:textId="77777777" w:rsidR="00BA49F5" w:rsidRDefault="00BA49F5">
            <w:pPr>
              <w:rPr>
                <w:rFonts w:ascii="宋体"/>
              </w:rPr>
            </w:pPr>
          </w:p>
        </w:tc>
      </w:tr>
      <w:tr w:rsidR="00BA49F5" w14:paraId="5CD8EFB0" w14:textId="77777777">
        <w:trPr>
          <w:jc w:val="center"/>
        </w:trPr>
        <w:tc>
          <w:tcPr>
            <w:tcW w:w="0" w:type="auto"/>
            <w:gridSpan w:val="3"/>
            <w:shd w:val="clear" w:color="auto" w:fill="FFFFFF"/>
            <w:tcMar>
              <w:top w:w="40" w:type="dxa"/>
              <w:left w:w="20" w:type="dxa"/>
              <w:bottom w:w="40" w:type="dxa"/>
              <w:right w:w="20" w:type="dxa"/>
            </w:tcMar>
            <w:vAlign w:val="bottom"/>
          </w:tcPr>
          <w:p w14:paraId="5CD8EFAC" w14:textId="77777777" w:rsidR="00BA49F5" w:rsidRDefault="007E5E49">
            <w:pPr>
              <w:textAlignment w:val="bottom"/>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40" w:type="dxa"/>
              <w:left w:w="20" w:type="dxa"/>
              <w:bottom w:w="40" w:type="dxa"/>
              <w:right w:w="20" w:type="dxa"/>
            </w:tcMar>
            <w:vAlign w:val="bottom"/>
          </w:tcPr>
          <w:p w14:paraId="5CD8EFAD"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5CD8EFAE"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FAF" w14:textId="77777777" w:rsidR="00BA49F5" w:rsidRDefault="007E5E49">
            <w:pPr>
              <w:jc w:val="right"/>
              <w:textAlignment w:val="bottom"/>
            </w:pPr>
            <w:r>
              <w:rPr>
                <w:rFonts w:ascii="Times New Roman" w:eastAsia="宋体" w:hAnsi="Times New Roman"/>
                <w:color w:val="000000"/>
                <w:sz w:val="8"/>
                <w:szCs w:val="8"/>
              </w:rPr>
              <w:t> </w:t>
            </w:r>
          </w:p>
        </w:tc>
      </w:tr>
      <w:tr w:rsidR="00BA49F5" w14:paraId="5CD8EFB5" w14:textId="77777777">
        <w:trPr>
          <w:jc w:val="center"/>
        </w:trPr>
        <w:tc>
          <w:tcPr>
            <w:tcW w:w="0" w:type="auto"/>
            <w:gridSpan w:val="3"/>
            <w:shd w:val="clear" w:color="auto" w:fill="CCEEFF"/>
            <w:tcMar>
              <w:top w:w="40" w:type="dxa"/>
              <w:left w:w="20" w:type="dxa"/>
              <w:bottom w:w="40" w:type="dxa"/>
              <w:right w:w="20" w:type="dxa"/>
            </w:tcMar>
            <w:vAlign w:val="bottom"/>
          </w:tcPr>
          <w:p w14:paraId="5CD8EFB1" w14:textId="77777777" w:rsidR="00BA49F5" w:rsidRDefault="007E5E49">
            <w:pPr>
              <w:textAlignment w:val="bottom"/>
            </w:pPr>
            <w:r>
              <w:rPr>
                <w:rFonts w:ascii="Times New Roman" w:eastAsia="宋体" w:hAnsi="Times New Roman"/>
                <w:color w:val="000000"/>
                <w:sz w:val="20"/>
                <w:szCs w:val="20"/>
              </w:rPr>
              <w:t>Current liabilities:</w:t>
            </w:r>
          </w:p>
        </w:tc>
        <w:tc>
          <w:tcPr>
            <w:tcW w:w="0" w:type="auto"/>
            <w:gridSpan w:val="3"/>
            <w:shd w:val="clear" w:color="auto" w:fill="CCEEFF"/>
            <w:tcMar>
              <w:top w:w="40" w:type="dxa"/>
              <w:left w:w="20" w:type="dxa"/>
              <w:bottom w:w="40" w:type="dxa"/>
              <w:right w:w="20" w:type="dxa"/>
            </w:tcMar>
            <w:vAlign w:val="bottom"/>
          </w:tcPr>
          <w:p w14:paraId="5CD8EFB2"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EFB3"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EFB4" w14:textId="77777777" w:rsidR="00BA49F5" w:rsidRDefault="007E5E49">
            <w:pPr>
              <w:jc w:val="right"/>
              <w:textAlignment w:val="bottom"/>
            </w:pPr>
            <w:r>
              <w:rPr>
                <w:rFonts w:ascii="Times New Roman" w:eastAsia="宋体" w:hAnsi="Times New Roman"/>
                <w:color w:val="000000"/>
                <w:sz w:val="8"/>
                <w:szCs w:val="8"/>
              </w:rPr>
              <w:t> </w:t>
            </w:r>
          </w:p>
        </w:tc>
      </w:tr>
      <w:tr w:rsidR="00BA49F5" w14:paraId="5CD8EFBE" w14:textId="77777777">
        <w:trPr>
          <w:jc w:val="center"/>
        </w:trPr>
        <w:tc>
          <w:tcPr>
            <w:tcW w:w="0" w:type="auto"/>
            <w:gridSpan w:val="3"/>
            <w:shd w:val="clear" w:color="auto" w:fill="FFFFFF"/>
            <w:tcMar>
              <w:top w:w="40" w:type="dxa"/>
              <w:left w:w="200" w:type="dxa"/>
              <w:bottom w:w="40" w:type="dxa"/>
              <w:right w:w="20" w:type="dxa"/>
            </w:tcMar>
            <w:vAlign w:val="bottom"/>
          </w:tcPr>
          <w:p w14:paraId="5CD8EFB6" w14:textId="77777777" w:rsidR="00BA49F5" w:rsidRDefault="007E5E49">
            <w:pPr>
              <w:textAlignment w:val="bottom"/>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5CD8EFB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FB8" w14:textId="77777777" w:rsidR="00BA49F5" w:rsidRDefault="007E5E49">
            <w:pPr>
              <w:jc w:val="right"/>
              <w:textAlignment w:val="bottom"/>
            </w:pPr>
            <w:r>
              <w:rPr>
                <w:rFonts w:ascii="Times New Roman" w:eastAsia="宋体" w:hAnsi="Times New Roman"/>
                <w:color w:val="000000"/>
                <w:sz w:val="20"/>
                <w:szCs w:val="20"/>
              </w:rPr>
              <w:t>4,990 </w:t>
            </w:r>
          </w:p>
        </w:tc>
        <w:tc>
          <w:tcPr>
            <w:tcW w:w="0" w:type="auto"/>
            <w:shd w:val="clear" w:color="auto" w:fill="FFFFFF"/>
            <w:tcMar>
              <w:top w:w="40" w:type="dxa"/>
              <w:left w:w="0" w:type="dxa"/>
              <w:bottom w:w="40" w:type="dxa"/>
              <w:right w:w="20" w:type="dxa"/>
            </w:tcMar>
            <w:vAlign w:val="bottom"/>
          </w:tcPr>
          <w:p w14:paraId="5CD8EFB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BA"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EFB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EFBC" w14:textId="77777777" w:rsidR="00BA49F5" w:rsidRDefault="007E5E49">
            <w:pPr>
              <w:jc w:val="right"/>
              <w:textAlignment w:val="bottom"/>
            </w:pPr>
            <w:r>
              <w:rPr>
                <w:rFonts w:ascii="Times New Roman" w:eastAsia="宋体" w:hAnsi="Times New Roman"/>
                <w:color w:val="000000"/>
                <w:sz w:val="20"/>
                <w:szCs w:val="20"/>
              </w:rPr>
              <w:t>4,083 </w:t>
            </w:r>
          </w:p>
        </w:tc>
        <w:tc>
          <w:tcPr>
            <w:tcW w:w="0" w:type="auto"/>
            <w:shd w:val="clear" w:color="auto" w:fill="FFFFFF"/>
            <w:tcMar>
              <w:top w:w="40" w:type="dxa"/>
              <w:left w:w="0" w:type="dxa"/>
              <w:bottom w:w="40" w:type="dxa"/>
              <w:right w:w="20" w:type="dxa"/>
            </w:tcMar>
            <w:vAlign w:val="bottom"/>
          </w:tcPr>
          <w:p w14:paraId="5CD8EFBD" w14:textId="77777777" w:rsidR="00BA49F5" w:rsidRDefault="00BA49F5">
            <w:pPr>
              <w:jc w:val="right"/>
              <w:rPr>
                <w:rFonts w:ascii="宋体"/>
              </w:rPr>
            </w:pPr>
          </w:p>
        </w:tc>
      </w:tr>
      <w:tr w:rsidR="00BA49F5" w14:paraId="5CD8EFC5" w14:textId="77777777">
        <w:trPr>
          <w:jc w:val="center"/>
        </w:trPr>
        <w:tc>
          <w:tcPr>
            <w:tcW w:w="0" w:type="auto"/>
            <w:gridSpan w:val="3"/>
            <w:shd w:val="clear" w:color="auto" w:fill="CCEEFF"/>
            <w:tcMar>
              <w:top w:w="40" w:type="dxa"/>
              <w:left w:w="200" w:type="dxa"/>
              <w:bottom w:w="40" w:type="dxa"/>
              <w:right w:w="20" w:type="dxa"/>
            </w:tcMar>
            <w:vAlign w:val="bottom"/>
          </w:tcPr>
          <w:p w14:paraId="5CD8EFBF" w14:textId="77777777" w:rsidR="00BA49F5" w:rsidRDefault="007E5E49">
            <w:pPr>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5CD8EFC0" w14:textId="77777777" w:rsidR="00BA49F5" w:rsidRDefault="007E5E49">
            <w:pPr>
              <w:jc w:val="right"/>
              <w:textAlignment w:val="bottom"/>
            </w:pPr>
            <w:r>
              <w:rPr>
                <w:rFonts w:ascii="Times New Roman" w:eastAsia="宋体" w:hAnsi="Times New Roman"/>
                <w:color w:val="000000"/>
                <w:sz w:val="20"/>
                <w:szCs w:val="20"/>
              </w:rPr>
              <w:t>1,117 </w:t>
            </w:r>
          </w:p>
        </w:tc>
        <w:tc>
          <w:tcPr>
            <w:tcW w:w="0" w:type="auto"/>
            <w:shd w:val="clear" w:color="auto" w:fill="CCEEFF"/>
            <w:tcMar>
              <w:top w:w="40" w:type="dxa"/>
              <w:left w:w="0" w:type="dxa"/>
              <w:bottom w:w="40" w:type="dxa"/>
              <w:right w:w="20" w:type="dxa"/>
            </w:tcMar>
            <w:vAlign w:val="bottom"/>
          </w:tcPr>
          <w:p w14:paraId="5CD8EFC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C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C3" w14:textId="77777777" w:rsidR="00BA49F5" w:rsidRDefault="007E5E49">
            <w:pPr>
              <w:jc w:val="right"/>
              <w:textAlignment w:val="bottom"/>
            </w:pPr>
            <w:r>
              <w:rPr>
                <w:rFonts w:ascii="Times New Roman" w:eastAsia="宋体" w:hAnsi="Times New Roman"/>
                <w:color w:val="000000"/>
                <w:sz w:val="20"/>
                <w:szCs w:val="20"/>
              </w:rPr>
              <w:t>1,052 </w:t>
            </w:r>
          </w:p>
        </w:tc>
        <w:tc>
          <w:tcPr>
            <w:tcW w:w="0" w:type="auto"/>
            <w:shd w:val="clear" w:color="auto" w:fill="CCEEFF"/>
            <w:tcMar>
              <w:top w:w="40" w:type="dxa"/>
              <w:left w:w="0" w:type="dxa"/>
              <w:bottom w:w="40" w:type="dxa"/>
              <w:right w:w="20" w:type="dxa"/>
            </w:tcMar>
            <w:vAlign w:val="bottom"/>
          </w:tcPr>
          <w:p w14:paraId="5CD8EFC4" w14:textId="77777777" w:rsidR="00BA49F5" w:rsidRDefault="00BA49F5">
            <w:pPr>
              <w:jc w:val="right"/>
              <w:rPr>
                <w:rFonts w:ascii="宋体"/>
              </w:rPr>
            </w:pPr>
          </w:p>
        </w:tc>
      </w:tr>
      <w:tr w:rsidR="00BA49F5" w14:paraId="5CD8EFCC" w14:textId="77777777">
        <w:trPr>
          <w:jc w:val="center"/>
        </w:trPr>
        <w:tc>
          <w:tcPr>
            <w:tcW w:w="0" w:type="auto"/>
            <w:gridSpan w:val="3"/>
            <w:shd w:val="clear" w:color="auto" w:fill="FFFFFF"/>
            <w:tcMar>
              <w:top w:w="40" w:type="dxa"/>
              <w:left w:w="200" w:type="dxa"/>
              <w:bottom w:w="40" w:type="dxa"/>
              <w:right w:w="20" w:type="dxa"/>
            </w:tcMar>
            <w:vAlign w:val="bottom"/>
          </w:tcPr>
          <w:p w14:paraId="5CD8EFC6" w14:textId="77777777" w:rsidR="00BA49F5" w:rsidRDefault="007E5E49">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5CD8EFC7" w14:textId="77777777" w:rsidR="00BA49F5" w:rsidRDefault="007E5E49">
            <w:pPr>
              <w:jc w:val="right"/>
              <w:textAlignment w:val="bottom"/>
            </w:pPr>
            <w:r>
              <w:rPr>
                <w:rFonts w:ascii="Times New Roman" w:eastAsia="宋体" w:hAnsi="Times New Roman"/>
                <w:color w:val="000000"/>
                <w:sz w:val="20"/>
                <w:szCs w:val="20"/>
              </w:rPr>
              <w:t>1,367 </w:t>
            </w:r>
          </w:p>
        </w:tc>
        <w:tc>
          <w:tcPr>
            <w:tcW w:w="0" w:type="auto"/>
            <w:shd w:val="clear" w:color="auto" w:fill="FFFFFF"/>
            <w:tcMar>
              <w:top w:w="40" w:type="dxa"/>
              <w:left w:w="0" w:type="dxa"/>
              <w:bottom w:w="40" w:type="dxa"/>
              <w:right w:w="20" w:type="dxa"/>
            </w:tcMar>
            <w:vAlign w:val="bottom"/>
          </w:tcPr>
          <w:p w14:paraId="5CD8EFC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C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CA" w14:textId="77777777" w:rsidR="00BA49F5" w:rsidRDefault="007E5E49">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5CD8EFCB" w14:textId="77777777" w:rsidR="00BA49F5" w:rsidRDefault="00BA49F5">
            <w:pPr>
              <w:jc w:val="right"/>
              <w:rPr>
                <w:rFonts w:ascii="宋体"/>
              </w:rPr>
            </w:pPr>
          </w:p>
        </w:tc>
      </w:tr>
      <w:tr w:rsidR="00BA49F5" w14:paraId="5CD8EFD3" w14:textId="77777777">
        <w:trPr>
          <w:jc w:val="center"/>
        </w:trPr>
        <w:tc>
          <w:tcPr>
            <w:tcW w:w="0" w:type="auto"/>
            <w:gridSpan w:val="3"/>
            <w:shd w:val="clear" w:color="auto" w:fill="CCEEFF"/>
            <w:tcMar>
              <w:top w:w="40" w:type="dxa"/>
              <w:left w:w="200" w:type="dxa"/>
              <w:bottom w:w="40" w:type="dxa"/>
              <w:right w:w="20" w:type="dxa"/>
            </w:tcMar>
            <w:vAlign w:val="bottom"/>
          </w:tcPr>
          <w:p w14:paraId="5CD8EFCD" w14:textId="77777777" w:rsidR="00BA49F5" w:rsidRDefault="007E5E49">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5CD8EFCE" w14:textId="77777777" w:rsidR="00BA49F5" w:rsidRDefault="007E5E49">
            <w:pPr>
              <w:jc w:val="right"/>
              <w:textAlignment w:val="bottom"/>
            </w:pPr>
            <w:r>
              <w:rPr>
                <w:rFonts w:ascii="Times New Roman" w:eastAsia="宋体" w:hAnsi="Times New Roman"/>
                <w:color w:val="000000"/>
                <w:sz w:val="20"/>
                <w:szCs w:val="20"/>
              </w:rPr>
              <w:t>19,552 </w:t>
            </w:r>
          </w:p>
        </w:tc>
        <w:tc>
          <w:tcPr>
            <w:tcW w:w="0" w:type="auto"/>
            <w:shd w:val="clear" w:color="auto" w:fill="CCEEFF"/>
            <w:tcMar>
              <w:top w:w="40" w:type="dxa"/>
              <w:left w:w="0" w:type="dxa"/>
              <w:bottom w:w="40" w:type="dxa"/>
              <w:right w:w="20" w:type="dxa"/>
            </w:tcMar>
            <w:vAlign w:val="bottom"/>
          </w:tcPr>
          <w:p w14:paraId="5CD8EFC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D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D1" w14:textId="77777777" w:rsidR="00BA49F5" w:rsidRDefault="007E5E49">
            <w:pPr>
              <w:jc w:val="right"/>
              <w:textAlignment w:val="bottom"/>
            </w:pPr>
            <w:r>
              <w:rPr>
                <w:rFonts w:ascii="Times New Roman" w:eastAsia="宋体" w:hAnsi="Times New Roman"/>
                <w:color w:val="000000"/>
                <w:sz w:val="20"/>
                <w:szCs w:val="20"/>
              </w:rPr>
              <w:t>14,873 </w:t>
            </w:r>
          </w:p>
        </w:tc>
        <w:tc>
          <w:tcPr>
            <w:tcW w:w="0" w:type="auto"/>
            <w:shd w:val="clear" w:color="auto" w:fill="CCEEFF"/>
            <w:tcMar>
              <w:top w:w="40" w:type="dxa"/>
              <w:left w:w="0" w:type="dxa"/>
              <w:bottom w:w="40" w:type="dxa"/>
              <w:right w:w="20" w:type="dxa"/>
            </w:tcMar>
            <w:vAlign w:val="bottom"/>
          </w:tcPr>
          <w:p w14:paraId="5CD8EFD2" w14:textId="77777777" w:rsidR="00BA49F5" w:rsidRDefault="00BA49F5">
            <w:pPr>
              <w:jc w:val="right"/>
              <w:rPr>
                <w:rFonts w:ascii="宋体"/>
              </w:rPr>
            </w:pPr>
          </w:p>
        </w:tc>
      </w:tr>
      <w:tr w:rsidR="00BA49F5" w14:paraId="5CD8EFDA" w14:textId="77777777">
        <w:trPr>
          <w:jc w:val="center"/>
        </w:trPr>
        <w:tc>
          <w:tcPr>
            <w:tcW w:w="0" w:type="auto"/>
            <w:gridSpan w:val="3"/>
            <w:shd w:val="clear" w:color="auto" w:fill="FFFFFF"/>
            <w:tcMar>
              <w:top w:w="40" w:type="dxa"/>
              <w:left w:w="380" w:type="dxa"/>
              <w:bottom w:w="40" w:type="dxa"/>
              <w:right w:w="20" w:type="dxa"/>
            </w:tcMar>
            <w:vAlign w:val="bottom"/>
          </w:tcPr>
          <w:p w14:paraId="5CD8EFD4" w14:textId="77777777" w:rsidR="00BA49F5" w:rsidRDefault="007E5E49">
            <w:pPr>
              <w:textAlignment w:val="bottom"/>
            </w:pPr>
            <w:r>
              <w:rPr>
                <w:rFonts w:ascii="Times New Roman" w:eastAsia="宋体" w:hAnsi="Times New Roman"/>
                <w:color w:val="000000"/>
                <w:sz w:val="20"/>
                <w:szCs w:val="20"/>
              </w:rPr>
              <w:t xml:space="preserve">Total current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FD5" w14:textId="77777777" w:rsidR="00BA49F5" w:rsidRDefault="007E5E49">
            <w:pPr>
              <w:jc w:val="right"/>
              <w:textAlignment w:val="bottom"/>
            </w:pPr>
            <w:r>
              <w:rPr>
                <w:rFonts w:ascii="Times New Roman" w:eastAsia="宋体" w:hAnsi="Times New Roman"/>
                <w:color w:val="000000"/>
                <w:sz w:val="20"/>
                <w:szCs w:val="20"/>
              </w:rPr>
              <w:t>27,026 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D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D7"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FD8" w14:textId="77777777" w:rsidR="00BA49F5" w:rsidRDefault="007E5E49">
            <w:pPr>
              <w:jc w:val="right"/>
              <w:textAlignment w:val="bottom"/>
            </w:pPr>
            <w:r>
              <w:rPr>
                <w:rFonts w:ascii="Times New Roman" w:eastAsia="宋体" w:hAnsi="Times New Roman"/>
                <w:color w:val="000000"/>
                <w:sz w:val="20"/>
                <w:szCs w:val="20"/>
              </w:rPr>
              <w:t>21,135 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D9" w14:textId="77777777" w:rsidR="00BA49F5" w:rsidRDefault="00BA49F5">
            <w:pPr>
              <w:jc w:val="right"/>
              <w:rPr>
                <w:rFonts w:ascii="宋体"/>
              </w:rPr>
            </w:pPr>
          </w:p>
        </w:tc>
      </w:tr>
      <w:tr w:rsidR="00BA49F5" w14:paraId="5CD8EFE1" w14:textId="77777777">
        <w:trPr>
          <w:jc w:val="center"/>
        </w:trPr>
        <w:tc>
          <w:tcPr>
            <w:tcW w:w="0" w:type="auto"/>
            <w:gridSpan w:val="3"/>
            <w:shd w:val="clear" w:color="auto" w:fill="CCEEFF"/>
            <w:tcMar>
              <w:top w:w="40" w:type="dxa"/>
              <w:left w:w="20" w:type="dxa"/>
              <w:bottom w:w="40" w:type="dxa"/>
              <w:right w:w="20" w:type="dxa"/>
            </w:tcMar>
            <w:vAlign w:val="bottom"/>
          </w:tcPr>
          <w:p w14:paraId="5CD8EFDB" w14:textId="77777777" w:rsidR="00BA49F5" w:rsidRDefault="007E5E49">
            <w:pPr>
              <w:textAlignment w:val="bottom"/>
            </w:pPr>
            <w:r>
              <w:rPr>
                <w:rFonts w:ascii="Times New Roman" w:eastAsia="宋体" w:hAnsi="Times New Roman"/>
                <w:color w:val="000000"/>
                <w:sz w:val="20"/>
                <w:szCs w:val="20"/>
              </w:rPr>
              <w:t>Operating lease liabilities, non-current</w:t>
            </w:r>
          </w:p>
        </w:tc>
        <w:tc>
          <w:tcPr>
            <w:tcW w:w="0" w:type="auto"/>
            <w:gridSpan w:val="2"/>
            <w:shd w:val="clear" w:color="auto" w:fill="CCEEFF"/>
            <w:tcMar>
              <w:top w:w="40" w:type="dxa"/>
              <w:left w:w="20" w:type="dxa"/>
              <w:bottom w:w="40" w:type="dxa"/>
              <w:right w:w="0" w:type="dxa"/>
            </w:tcMar>
            <w:vAlign w:val="bottom"/>
          </w:tcPr>
          <w:p w14:paraId="5CD8EFDC" w14:textId="77777777" w:rsidR="00BA49F5" w:rsidRDefault="007E5E49">
            <w:pPr>
              <w:jc w:val="right"/>
              <w:textAlignment w:val="bottom"/>
            </w:pPr>
            <w:r>
              <w:rPr>
                <w:rFonts w:ascii="Times New Roman" w:eastAsia="宋体" w:hAnsi="Times New Roman"/>
                <w:color w:val="000000"/>
                <w:sz w:val="20"/>
                <w:szCs w:val="20"/>
              </w:rPr>
              <w:t>15,301 </w:t>
            </w:r>
          </w:p>
        </w:tc>
        <w:tc>
          <w:tcPr>
            <w:tcW w:w="0" w:type="auto"/>
            <w:shd w:val="clear" w:color="auto" w:fill="CCEEFF"/>
            <w:tcMar>
              <w:top w:w="40" w:type="dxa"/>
              <w:left w:w="0" w:type="dxa"/>
              <w:bottom w:w="40" w:type="dxa"/>
              <w:right w:w="20" w:type="dxa"/>
            </w:tcMar>
            <w:vAlign w:val="bottom"/>
          </w:tcPr>
          <w:p w14:paraId="5CD8EFD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D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DF" w14:textId="77777777" w:rsidR="00BA49F5" w:rsidRDefault="007E5E49">
            <w:pPr>
              <w:jc w:val="right"/>
              <w:textAlignment w:val="bottom"/>
            </w:pPr>
            <w:r>
              <w:rPr>
                <w:rFonts w:ascii="Times New Roman" w:eastAsia="宋体" w:hAnsi="Times New Roman"/>
                <w:color w:val="000000"/>
                <w:sz w:val="20"/>
                <w:szCs w:val="20"/>
              </w:rPr>
              <w:t>12,746 </w:t>
            </w:r>
          </w:p>
        </w:tc>
        <w:tc>
          <w:tcPr>
            <w:tcW w:w="0" w:type="auto"/>
            <w:shd w:val="clear" w:color="auto" w:fill="CCEEFF"/>
            <w:tcMar>
              <w:top w:w="40" w:type="dxa"/>
              <w:left w:w="0" w:type="dxa"/>
              <w:bottom w:w="40" w:type="dxa"/>
              <w:right w:w="20" w:type="dxa"/>
            </w:tcMar>
            <w:vAlign w:val="bottom"/>
          </w:tcPr>
          <w:p w14:paraId="5CD8EFE0" w14:textId="77777777" w:rsidR="00BA49F5" w:rsidRDefault="00BA49F5">
            <w:pPr>
              <w:jc w:val="right"/>
              <w:rPr>
                <w:rFonts w:ascii="宋体"/>
              </w:rPr>
            </w:pPr>
          </w:p>
        </w:tc>
      </w:tr>
      <w:tr w:rsidR="00BA49F5" w14:paraId="5CD8EFE8" w14:textId="77777777">
        <w:trPr>
          <w:jc w:val="center"/>
        </w:trPr>
        <w:tc>
          <w:tcPr>
            <w:tcW w:w="0" w:type="auto"/>
            <w:gridSpan w:val="3"/>
            <w:shd w:val="clear" w:color="auto" w:fill="FFFFFF"/>
            <w:tcMar>
              <w:top w:w="40" w:type="dxa"/>
              <w:left w:w="20" w:type="dxa"/>
              <w:bottom w:w="40" w:type="dxa"/>
              <w:right w:w="20" w:type="dxa"/>
            </w:tcMar>
            <w:vAlign w:val="bottom"/>
          </w:tcPr>
          <w:p w14:paraId="5CD8EFE2" w14:textId="77777777" w:rsidR="00BA49F5" w:rsidRDefault="007E5E49">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5CD8EFE3" w14:textId="77777777" w:rsidR="00BA49F5" w:rsidRDefault="007E5E49">
            <w:pPr>
              <w:jc w:val="right"/>
              <w:textAlignment w:val="bottom"/>
            </w:pPr>
            <w:r>
              <w:rPr>
                <w:rFonts w:ascii="Times New Roman" w:eastAsia="宋体" w:hAnsi="Times New Roman"/>
                <w:color w:val="000000"/>
                <w:sz w:val="20"/>
                <w:szCs w:val="20"/>
              </w:rPr>
              <w:t>9,923 </w:t>
            </w:r>
          </w:p>
        </w:tc>
        <w:tc>
          <w:tcPr>
            <w:tcW w:w="0" w:type="auto"/>
            <w:shd w:val="clear" w:color="auto" w:fill="FFFFFF"/>
            <w:tcMar>
              <w:top w:w="40" w:type="dxa"/>
              <w:left w:w="0" w:type="dxa"/>
              <w:bottom w:w="40" w:type="dxa"/>
              <w:right w:w="20" w:type="dxa"/>
            </w:tcMar>
            <w:vAlign w:val="bottom"/>
          </w:tcPr>
          <w:p w14:paraId="5CD8EFE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E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EFE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EFE7" w14:textId="77777777" w:rsidR="00BA49F5" w:rsidRDefault="00BA49F5">
            <w:pPr>
              <w:jc w:val="right"/>
              <w:rPr>
                <w:rFonts w:ascii="宋体"/>
              </w:rPr>
            </w:pPr>
          </w:p>
        </w:tc>
      </w:tr>
      <w:tr w:rsidR="00BA49F5" w14:paraId="5CD8EFEF" w14:textId="77777777">
        <w:trPr>
          <w:jc w:val="center"/>
        </w:trPr>
        <w:tc>
          <w:tcPr>
            <w:tcW w:w="0" w:type="auto"/>
            <w:gridSpan w:val="3"/>
            <w:shd w:val="clear" w:color="auto" w:fill="CCEEFF"/>
            <w:tcMar>
              <w:top w:w="40" w:type="dxa"/>
              <w:left w:w="20" w:type="dxa"/>
              <w:bottom w:w="40" w:type="dxa"/>
              <w:right w:w="20" w:type="dxa"/>
            </w:tcMar>
            <w:vAlign w:val="bottom"/>
          </w:tcPr>
          <w:p w14:paraId="5CD8EFE9" w14:textId="77777777" w:rsidR="00BA49F5" w:rsidRDefault="007E5E49">
            <w:pPr>
              <w:textAlignment w:val="bottom"/>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5CD8EFEA" w14:textId="77777777" w:rsidR="00BA49F5" w:rsidRDefault="007E5E49">
            <w:pPr>
              <w:jc w:val="right"/>
              <w:textAlignment w:val="bottom"/>
            </w:pPr>
            <w:r>
              <w:rPr>
                <w:rFonts w:ascii="Times New Roman" w:eastAsia="宋体" w:hAnsi="Times New Roman"/>
                <w:color w:val="000000"/>
                <w:sz w:val="20"/>
                <w:szCs w:val="20"/>
              </w:rPr>
              <w:t>7,764 </w:t>
            </w:r>
          </w:p>
        </w:tc>
        <w:tc>
          <w:tcPr>
            <w:tcW w:w="0" w:type="auto"/>
            <w:shd w:val="clear" w:color="auto" w:fill="CCEEFF"/>
            <w:tcMar>
              <w:top w:w="40" w:type="dxa"/>
              <w:left w:w="0" w:type="dxa"/>
              <w:bottom w:w="40" w:type="dxa"/>
              <w:right w:w="20" w:type="dxa"/>
            </w:tcMar>
            <w:vAlign w:val="bottom"/>
          </w:tcPr>
          <w:p w14:paraId="5CD8EFE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EFE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EFED" w14:textId="77777777" w:rsidR="00BA49F5" w:rsidRDefault="007E5E49">
            <w:pPr>
              <w:jc w:val="right"/>
              <w:textAlignment w:val="bottom"/>
            </w:pPr>
            <w:r>
              <w:rPr>
                <w:rFonts w:ascii="Times New Roman" w:eastAsia="宋体" w:hAnsi="Times New Roman"/>
                <w:color w:val="000000"/>
                <w:sz w:val="20"/>
                <w:szCs w:val="20"/>
              </w:rPr>
              <w:t>7,227 </w:t>
            </w:r>
          </w:p>
        </w:tc>
        <w:tc>
          <w:tcPr>
            <w:tcW w:w="0" w:type="auto"/>
            <w:shd w:val="clear" w:color="auto" w:fill="CCEEFF"/>
            <w:tcMar>
              <w:top w:w="40" w:type="dxa"/>
              <w:left w:w="0" w:type="dxa"/>
              <w:bottom w:w="40" w:type="dxa"/>
              <w:right w:w="20" w:type="dxa"/>
            </w:tcMar>
            <w:vAlign w:val="bottom"/>
          </w:tcPr>
          <w:p w14:paraId="5CD8EFEE" w14:textId="77777777" w:rsidR="00BA49F5" w:rsidRDefault="00BA49F5">
            <w:pPr>
              <w:jc w:val="right"/>
              <w:rPr>
                <w:rFonts w:ascii="宋体"/>
              </w:rPr>
            </w:pPr>
          </w:p>
        </w:tc>
      </w:tr>
      <w:tr w:rsidR="00BA49F5" w14:paraId="5CD8EFF6" w14:textId="77777777">
        <w:trPr>
          <w:jc w:val="center"/>
        </w:trPr>
        <w:tc>
          <w:tcPr>
            <w:tcW w:w="0" w:type="auto"/>
            <w:gridSpan w:val="3"/>
            <w:shd w:val="clear" w:color="auto" w:fill="FFFFFF"/>
            <w:tcMar>
              <w:top w:w="40" w:type="dxa"/>
              <w:left w:w="380" w:type="dxa"/>
              <w:bottom w:w="40" w:type="dxa"/>
              <w:right w:w="20" w:type="dxa"/>
            </w:tcMar>
            <w:vAlign w:val="bottom"/>
          </w:tcPr>
          <w:p w14:paraId="5CD8EFF0" w14:textId="77777777" w:rsidR="00BA49F5" w:rsidRDefault="007E5E49">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FF1" w14:textId="77777777" w:rsidR="00BA49F5" w:rsidRDefault="007E5E49">
            <w:pPr>
              <w:jc w:val="right"/>
              <w:textAlignment w:val="bottom"/>
            </w:pPr>
            <w:r>
              <w:rPr>
                <w:rFonts w:ascii="Times New Roman" w:eastAsia="宋体" w:hAnsi="Times New Roman"/>
                <w:color w:val="000000"/>
                <w:sz w:val="20"/>
                <w:szCs w:val="20"/>
              </w:rPr>
              <w:t>60,014 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F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EFF3"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EFF4" w14:textId="77777777" w:rsidR="00BA49F5" w:rsidRDefault="007E5E49">
            <w:pPr>
              <w:jc w:val="right"/>
              <w:textAlignment w:val="bottom"/>
            </w:pPr>
            <w:r>
              <w:rPr>
                <w:rFonts w:ascii="Times New Roman" w:eastAsia="宋体" w:hAnsi="Times New Roman"/>
                <w:color w:val="000000"/>
                <w:sz w:val="20"/>
                <w:szCs w:val="20"/>
              </w:rPr>
              <w:t>41,108 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EFF5" w14:textId="77777777" w:rsidR="00BA49F5" w:rsidRDefault="00BA49F5">
            <w:pPr>
              <w:jc w:val="right"/>
              <w:rPr>
                <w:rFonts w:ascii="宋体"/>
              </w:rPr>
            </w:pPr>
          </w:p>
        </w:tc>
      </w:tr>
      <w:tr w:rsidR="00BA49F5" w14:paraId="5CD8EFFB" w14:textId="77777777">
        <w:trPr>
          <w:jc w:val="center"/>
        </w:trPr>
        <w:tc>
          <w:tcPr>
            <w:tcW w:w="0" w:type="auto"/>
            <w:gridSpan w:val="3"/>
            <w:shd w:val="clear" w:color="auto" w:fill="CCEEFF"/>
            <w:tcMar>
              <w:top w:w="40" w:type="dxa"/>
              <w:left w:w="20" w:type="dxa"/>
              <w:bottom w:w="40" w:type="dxa"/>
              <w:right w:w="20" w:type="dxa"/>
            </w:tcMar>
            <w:vAlign w:val="bottom"/>
          </w:tcPr>
          <w:p w14:paraId="5CD8EFF7" w14:textId="77777777" w:rsidR="00BA49F5" w:rsidRDefault="007E5E49">
            <w:pPr>
              <w:textAlignment w:val="bottom"/>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EFF8"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EFF9"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EFFA" w14:textId="77777777" w:rsidR="00BA49F5" w:rsidRDefault="00BA49F5">
            <w:pPr>
              <w:rPr>
                <w:rFonts w:ascii="宋体"/>
              </w:rPr>
            </w:pPr>
          </w:p>
        </w:tc>
      </w:tr>
      <w:tr w:rsidR="00BA49F5" w14:paraId="5CD8F000" w14:textId="77777777">
        <w:trPr>
          <w:jc w:val="center"/>
        </w:trPr>
        <w:tc>
          <w:tcPr>
            <w:tcW w:w="0" w:type="auto"/>
            <w:gridSpan w:val="3"/>
            <w:shd w:val="clear" w:color="auto" w:fill="FFFFFF"/>
            <w:tcMar>
              <w:top w:w="40" w:type="dxa"/>
              <w:left w:w="20" w:type="dxa"/>
              <w:bottom w:w="40" w:type="dxa"/>
              <w:right w:w="20" w:type="dxa"/>
            </w:tcMar>
            <w:vAlign w:val="bottom"/>
          </w:tcPr>
          <w:p w14:paraId="5CD8EFFC" w14:textId="77777777" w:rsidR="00BA49F5" w:rsidRDefault="007E5E49">
            <w:pPr>
              <w:textAlignment w:val="bottom"/>
            </w:pPr>
            <w:r>
              <w:rPr>
                <w:rFonts w:ascii="Times New Roman" w:eastAsia="宋体" w:hAnsi="Times New Roman"/>
                <w:color w:val="000000"/>
                <w:sz w:val="20"/>
                <w:szCs w:val="20"/>
              </w:rPr>
              <w:t xml:space="preserve">Stockholders' </w:t>
            </w:r>
            <w:r>
              <w:rPr>
                <w:rFonts w:ascii="Times New Roman" w:eastAsia="宋体" w:hAnsi="Times New Roman"/>
                <w:color w:val="000000"/>
                <w:sz w:val="20"/>
                <w:szCs w:val="20"/>
              </w:rPr>
              <w:t>equity:</w:t>
            </w:r>
          </w:p>
        </w:tc>
        <w:tc>
          <w:tcPr>
            <w:tcW w:w="0" w:type="auto"/>
            <w:gridSpan w:val="3"/>
            <w:shd w:val="clear" w:color="auto" w:fill="FFFFFF"/>
            <w:tcMar>
              <w:top w:w="40" w:type="dxa"/>
              <w:left w:w="20" w:type="dxa"/>
              <w:bottom w:w="40" w:type="dxa"/>
              <w:right w:w="20" w:type="dxa"/>
            </w:tcMar>
            <w:vAlign w:val="bottom"/>
          </w:tcPr>
          <w:p w14:paraId="5CD8EFFD"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5CD8EFFE"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EFFF" w14:textId="77777777" w:rsidR="00BA49F5" w:rsidRDefault="007E5E49">
            <w:pPr>
              <w:jc w:val="right"/>
              <w:textAlignment w:val="bottom"/>
            </w:pPr>
            <w:r>
              <w:rPr>
                <w:rFonts w:ascii="Times New Roman" w:eastAsia="宋体" w:hAnsi="Times New Roman"/>
                <w:color w:val="000000"/>
                <w:sz w:val="8"/>
                <w:szCs w:val="8"/>
              </w:rPr>
              <w:t> </w:t>
            </w:r>
          </w:p>
        </w:tc>
      </w:tr>
      <w:tr w:rsidR="00BA49F5" w14:paraId="5CD8F007" w14:textId="77777777">
        <w:trPr>
          <w:jc w:val="center"/>
        </w:trPr>
        <w:tc>
          <w:tcPr>
            <w:tcW w:w="0" w:type="auto"/>
            <w:gridSpan w:val="3"/>
            <w:shd w:val="clear" w:color="auto" w:fill="CCEEFF"/>
            <w:tcMar>
              <w:top w:w="40" w:type="dxa"/>
              <w:left w:w="20" w:type="dxa"/>
              <w:bottom w:w="40" w:type="dxa"/>
              <w:right w:w="20" w:type="dxa"/>
            </w:tcMar>
            <w:vAlign w:val="bottom"/>
          </w:tcPr>
          <w:p w14:paraId="5CD8F001" w14:textId="77777777" w:rsidR="00BA49F5" w:rsidRDefault="007E5E49">
            <w:pPr>
              <w:textAlignment w:val="bottom"/>
            </w:pPr>
            <w:r>
              <w:rPr>
                <w:rFonts w:ascii="Times New Roman" w:eastAsia="宋体" w:hAnsi="Times New Roman"/>
                <w:color w:val="000000"/>
                <w:sz w:val="20"/>
                <w:szCs w:val="20"/>
              </w:rPr>
              <w:t xml:space="preserve">Common stock, $0.000006 par value; 5,000 million Class A shares authorized, 2,247 million and 2,328 million shares issued and outstanding, as of December 31, 2022 and 2021, respectively; 4,141 million Class B shares authorized, 367 </w:t>
            </w:r>
            <w:r>
              <w:rPr>
                <w:rFonts w:ascii="Times New Roman" w:eastAsia="宋体" w:hAnsi="Times New Roman"/>
                <w:color w:val="000000"/>
                <w:sz w:val="20"/>
                <w:szCs w:val="20"/>
              </w:rPr>
              <w:t>million and 413 million shares issued and outstanding, as of December 31, 2022 and 2021, respectively</w:t>
            </w:r>
          </w:p>
        </w:tc>
        <w:tc>
          <w:tcPr>
            <w:tcW w:w="0" w:type="auto"/>
            <w:gridSpan w:val="2"/>
            <w:shd w:val="clear" w:color="auto" w:fill="CCEEFF"/>
            <w:tcMar>
              <w:top w:w="40" w:type="dxa"/>
              <w:left w:w="20" w:type="dxa"/>
              <w:bottom w:w="40" w:type="dxa"/>
              <w:right w:w="0" w:type="dxa"/>
            </w:tcMar>
            <w:vAlign w:val="bottom"/>
          </w:tcPr>
          <w:p w14:paraId="5CD8F00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00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0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0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006" w14:textId="77777777" w:rsidR="00BA49F5" w:rsidRDefault="00BA49F5">
            <w:pPr>
              <w:jc w:val="right"/>
              <w:rPr>
                <w:rFonts w:ascii="宋体"/>
              </w:rPr>
            </w:pPr>
          </w:p>
        </w:tc>
      </w:tr>
      <w:tr w:rsidR="00BA49F5" w14:paraId="5CD8F00E" w14:textId="77777777">
        <w:trPr>
          <w:jc w:val="center"/>
        </w:trPr>
        <w:tc>
          <w:tcPr>
            <w:tcW w:w="0" w:type="auto"/>
            <w:gridSpan w:val="3"/>
            <w:shd w:val="clear" w:color="auto" w:fill="FFFFFF"/>
            <w:tcMar>
              <w:top w:w="40" w:type="dxa"/>
              <w:left w:w="200" w:type="dxa"/>
              <w:bottom w:w="40" w:type="dxa"/>
              <w:right w:w="20" w:type="dxa"/>
            </w:tcMar>
            <w:vAlign w:val="bottom"/>
          </w:tcPr>
          <w:p w14:paraId="5CD8F008" w14:textId="77777777" w:rsidR="00BA49F5" w:rsidRDefault="007E5E49">
            <w:pPr>
              <w:textAlignment w:val="bottom"/>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5CD8F009" w14:textId="77777777" w:rsidR="00BA49F5" w:rsidRDefault="007E5E49">
            <w:pPr>
              <w:jc w:val="right"/>
              <w:textAlignment w:val="bottom"/>
            </w:pPr>
            <w:r>
              <w:rPr>
                <w:rFonts w:ascii="Times New Roman" w:eastAsia="宋体" w:hAnsi="Times New Roman"/>
                <w:color w:val="000000"/>
                <w:sz w:val="20"/>
                <w:szCs w:val="20"/>
              </w:rPr>
              <w:t>64,444 </w:t>
            </w:r>
          </w:p>
        </w:tc>
        <w:tc>
          <w:tcPr>
            <w:tcW w:w="0" w:type="auto"/>
            <w:shd w:val="clear" w:color="auto" w:fill="FFFFFF"/>
            <w:tcMar>
              <w:top w:w="40" w:type="dxa"/>
              <w:left w:w="0" w:type="dxa"/>
              <w:bottom w:w="40" w:type="dxa"/>
              <w:right w:w="20" w:type="dxa"/>
            </w:tcMar>
            <w:vAlign w:val="bottom"/>
          </w:tcPr>
          <w:p w14:paraId="5CD8F00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0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0C" w14:textId="77777777" w:rsidR="00BA49F5" w:rsidRDefault="007E5E49">
            <w:pPr>
              <w:jc w:val="right"/>
              <w:textAlignment w:val="bottom"/>
            </w:pPr>
            <w:r>
              <w:rPr>
                <w:rFonts w:ascii="Times New Roman" w:eastAsia="宋体" w:hAnsi="Times New Roman"/>
                <w:color w:val="000000"/>
                <w:sz w:val="20"/>
                <w:szCs w:val="20"/>
              </w:rPr>
              <w:t>55,811 </w:t>
            </w:r>
          </w:p>
        </w:tc>
        <w:tc>
          <w:tcPr>
            <w:tcW w:w="0" w:type="auto"/>
            <w:shd w:val="clear" w:color="auto" w:fill="FFFFFF"/>
            <w:tcMar>
              <w:top w:w="40" w:type="dxa"/>
              <w:left w:w="0" w:type="dxa"/>
              <w:bottom w:w="40" w:type="dxa"/>
              <w:right w:w="20" w:type="dxa"/>
            </w:tcMar>
            <w:vAlign w:val="bottom"/>
          </w:tcPr>
          <w:p w14:paraId="5CD8F00D" w14:textId="77777777" w:rsidR="00BA49F5" w:rsidRDefault="00BA49F5">
            <w:pPr>
              <w:jc w:val="right"/>
              <w:rPr>
                <w:rFonts w:ascii="宋体"/>
              </w:rPr>
            </w:pPr>
          </w:p>
        </w:tc>
      </w:tr>
      <w:tr w:rsidR="00BA49F5" w14:paraId="5CD8F015" w14:textId="77777777">
        <w:trPr>
          <w:jc w:val="center"/>
        </w:trPr>
        <w:tc>
          <w:tcPr>
            <w:tcW w:w="0" w:type="auto"/>
            <w:gridSpan w:val="3"/>
            <w:shd w:val="clear" w:color="auto" w:fill="CCEEFF"/>
            <w:tcMar>
              <w:top w:w="40" w:type="dxa"/>
              <w:left w:w="200" w:type="dxa"/>
              <w:bottom w:w="40" w:type="dxa"/>
              <w:right w:w="20" w:type="dxa"/>
            </w:tcMar>
            <w:vAlign w:val="bottom"/>
          </w:tcPr>
          <w:p w14:paraId="5CD8F00F" w14:textId="77777777" w:rsidR="00BA49F5" w:rsidRDefault="007E5E49">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5CD8F010" w14:textId="77777777" w:rsidR="00BA49F5" w:rsidRDefault="007E5E49">
            <w:pPr>
              <w:jc w:val="right"/>
              <w:textAlignment w:val="bottom"/>
            </w:pPr>
            <w:r>
              <w:rPr>
                <w:rFonts w:ascii="Times New Roman" w:eastAsia="宋体" w:hAnsi="Times New Roman"/>
                <w:color w:val="000000"/>
                <w:sz w:val="20"/>
                <w:szCs w:val="20"/>
              </w:rPr>
              <w:t>(3,530)</w:t>
            </w:r>
          </w:p>
        </w:tc>
        <w:tc>
          <w:tcPr>
            <w:tcW w:w="0" w:type="auto"/>
            <w:shd w:val="clear" w:color="auto" w:fill="CCEEFF"/>
            <w:tcMar>
              <w:top w:w="40" w:type="dxa"/>
              <w:left w:w="0" w:type="dxa"/>
              <w:bottom w:w="40" w:type="dxa"/>
              <w:right w:w="20" w:type="dxa"/>
            </w:tcMar>
            <w:vAlign w:val="bottom"/>
          </w:tcPr>
          <w:p w14:paraId="5CD8F01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1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13" w14:textId="77777777" w:rsidR="00BA49F5" w:rsidRDefault="007E5E49">
            <w:pPr>
              <w:jc w:val="right"/>
              <w:textAlignment w:val="bottom"/>
            </w:pPr>
            <w:r>
              <w:rPr>
                <w:rFonts w:ascii="Times New Roman" w:eastAsia="宋体" w:hAnsi="Times New Roman"/>
                <w:color w:val="000000"/>
                <w:sz w:val="20"/>
                <w:szCs w:val="20"/>
              </w:rPr>
              <w:t>(693)</w:t>
            </w:r>
          </w:p>
        </w:tc>
        <w:tc>
          <w:tcPr>
            <w:tcW w:w="0" w:type="auto"/>
            <w:shd w:val="clear" w:color="auto" w:fill="CCEEFF"/>
            <w:tcMar>
              <w:top w:w="40" w:type="dxa"/>
              <w:left w:w="0" w:type="dxa"/>
              <w:bottom w:w="40" w:type="dxa"/>
              <w:right w:w="20" w:type="dxa"/>
            </w:tcMar>
            <w:vAlign w:val="bottom"/>
          </w:tcPr>
          <w:p w14:paraId="5CD8F014" w14:textId="77777777" w:rsidR="00BA49F5" w:rsidRDefault="00BA49F5">
            <w:pPr>
              <w:jc w:val="right"/>
              <w:rPr>
                <w:rFonts w:ascii="宋体"/>
              </w:rPr>
            </w:pPr>
          </w:p>
        </w:tc>
      </w:tr>
      <w:tr w:rsidR="00BA49F5" w14:paraId="5CD8F01C" w14:textId="77777777">
        <w:trPr>
          <w:jc w:val="center"/>
        </w:trPr>
        <w:tc>
          <w:tcPr>
            <w:tcW w:w="0" w:type="auto"/>
            <w:gridSpan w:val="3"/>
            <w:shd w:val="clear" w:color="auto" w:fill="FFFFFF"/>
            <w:tcMar>
              <w:top w:w="40" w:type="dxa"/>
              <w:left w:w="200" w:type="dxa"/>
              <w:bottom w:w="40" w:type="dxa"/>
              <w:right w:w="20" w:type="dxa"/>
            </w:tcMar>
            <w:vAlign w:val="bottom"/>
          </w:tcPr>
          <w:p w14:paraId="5CD8F016" w14:textId="77777777" w:rsidR="00BA49F5" w:rsidRDefault="007E5E49">
            <w:pPr>
              <w:textAlignment w:val="bottom"/>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5CD8F017" w14:textId="77777777" w:rsidR="00BA49F5" w:rsidRDefault="007E5E49">
            <w:pPr>
              <w:jc w:val="right"/>
              <w:textAlignment w:val="bottom"/>
            </w:pPr>
            <w:r>
              <w:rPr>
                <w:rFonts w:ascii="Times New Roman" w:eastAsia="宋体" w:hAnsi="Times New Roman"/>
                <w:color w:val="000000"/>
                <w:sz w:val="20"/>
                <w:szCs w:val="20"/>
              </w:rPr>
              <w:t>64,799 </w:t>
            </w:r>
          </w:p>
        </w:tc>
        <w:tc>
          <w:tcPr>
            <w:tcW w:w="0" w:type="auto"/>
            <w:shd w:val="clear" w:color="auto" w:fill="FFFFFF"/>
            <w:tcMar>
              <w:top w:w="40" w:type="dxa"/>
              <w:left w:w="0" w:type="dxa"/>
              <w:bottom w:w="40" w:type="dxa"/>
              <w:right w:w="20" w:type="dxa"/>
            </w:tcMar>
            <w:vAlign w:val="bottom"/>
          </w:tcPr>
          <w:p w14:paraId="5CD8F01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1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1A" w14:textId="77777777" w:rsidR="00BA49F5" w:rsidRDefault="007E5E49">
            <w:pPr>
              <w:jc w:val="right"/>
              <w:textAlignment w:val="bottom"/>
            </w:pPr>
            <w:r>
              <w:rPr>
                <w:rFonts w:ascii="Times New Roman" w:eastAsia="宋体" w:hAnsi="Times New Roman"/>
                <w:color w:val="000000"/>
                <w:sz w:val="20"/>
                <w:szCs w:val="20"/>
              </w:rPr>
              <w:t>69,761 </w:t>
            </w:r>
          </w:p>
        </w:tc>
        <w:tc>
          <w:tcPr>
            <w:tcW w:w="0" w:type="auto"/>
            <w:shd w:val="clear" w:color="auto" w:fill="FFFFFF"/>
            <w:tcMar>
              <w:top w:w="40" w:type="dxa"/>
              <w:left w:w="0" w:type="dxa"/>
              <w:bottom w:w="40" w:type="dxa"/>
              <w:right w:w="20" w:type="dxa"/>
            </w:tcMar>
            <w:vAlign w:val="bottom"/>
          </w:tcPr>
          <w:p w14:paraId="5CD8F01B" w14:textId="77777777" w:rsidR="00BA49F5" w:rsidRDefault="00BA49F5">
            <w:pPr>
              <w:jc w:val="right"/>
              <w:rPr>
                <w:rFonts w:ascii="宋体"/>
              </w:rPr>
            </w:pPr>
          </w:p>
        </w:tc>
      </w:tr>
      <w:tr w:rsidR="00BA49F5" w14:paraId="5CD8F023" w14:textId="77777777">
        <w:trPr>
          <w:jc w:val="center"/>
        </w:trPr>
        <w:tc>
          <w:tcPr>
            <w:tcW w:w="0" w:type="auto"/>
            <w:gridSpan w:val="3"/>
            <w:shd w:val="clear" w:color="auto" w:fill="CCEEFF"/>
            <w:tcMar>
              <w:top w:w="40" w:type="dxa"/>
              <w:left w:w="380" w:type="dxa"/>
              <w:bottom w:w="40" w:type="dxa"/>
              <w:right w:w="20" w:type="dxa"/>
            </w:tcMar>
            <w:vAlign w:val="bottom"/>
          </w:tcPr>
          <w:p w14:paraId="5CD8F01D" w14:textId="77777777" w:rsidR="00BA49F5" w:rsidRDefault="007E5E49">
            <w:pPr>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01E" w14:textId="77777777" w:rsidR="00BA49F5" w:rsidRDefault="007E5E49">
            <w:pPr>
              <w:jc w:val="right"/>
              <w:textAlignment w:val="bottom"/>
            </w:pPr>
            <w:r>
              <w:rPr>
                <w:rFonts w:ascii="Times New Roman" w:eastAsia="宋体" w:hAnsi="Times New Roman"/>
                <w:color w:val="000000"/>
                <w:sz w:val="20"/>
                <w:szCs w:val="20"/>
              </w:rPr>
              <w:t>125,713 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1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2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021" w14:textId="77777777" w:rsidR="00BA49F5" w:rsidRDefault="007E5E49">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22" w14:textId="77777777" w:rsidR="00BA49F5" w:rsidRDefault="00BA49F5">
            <w:pPr>
              <w:jc w:val="right"/>
              <w:rPr>
                <w:rFonts w:ascii="宋体"/>
              </w:rPr>
            </w:pPr>
          </w:p>
        </w:tc>
      </w:tr>
      <w:tr w:rsidR="00BA49F5" w14:paraId="5CD8F02C" w14:textId="77777777">
        <w:trPr>
          <w:jc w:val="center"/>
        </w:trPr>
        <w:tc>
          <w:tcPr>
            <w:tcW w:w="0" w:type="auto"/>
            <w:gridSpan w:val="3"/>
            <w:shd w:val="clear" w:color="auto" w:fill="FFFFFF"/>
            <w:tcMar>
              <w:top w:w="40" w:type="dxa"/>
              <w:left w:w="20" w:type="dxa"/>
              <w:bottom w:w="40" w:type="dxa"/>
              <w:right w:w="20" w:type="dxa"/>
            </w:tcMar>
            <w:vAlign w:val="bottom"/>
          </w:tcPr>
          <w:p w14:paraId="5CD8F024" w14:textId="77777777" w:rsidR="00BA49F5" w:rsidRDefault="007E5E49">
            <w:pPr>
              <w:textAlignment w:val="bottom"/>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02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026" w14:textId="77777777" w:rsidR="00BA49F5" w:rsidRDefault="007E5E49">
            <w:pPr>
              <w:jc w:val="right"/>
              <w:textAlignment w:val="bottom"/>
            </w:pPr>
            <w:r>
              <w:rPr>
                <w:rFonts w:ascii="Times New Roman" w:eastAsia="宋体" w:hAnsi="Times New Roman"/>
                <w:color w:val="000000"/>
                <w:sz w:val="20"/>
                <w:szCs w:val="20"/>
              </w:rPr>
              <w:t>185,727 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02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28"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02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02A" w14:textId="77777777" w:rsidR="00BA49F5" w:rsidRDefault="007E5E49">
            <w:pPr>
              <w:jc w:val="right"/>
              <w:textAlignment w:val="bottom"/>
            </w:pPr>
            <w:r>
              <w:rPr>
                <w:rFonts w:ascii="Times New Roman" w:eastAsia="宋体" w:hAnsi="Times New Roman"/>
                <w:color w:val="000000"/>
                <w:sz w:val="20"/>
                <w:szCs w:val="20"/>
              </w:rPr>
              <w:t>165,987 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02B" w14:textId="77777777" w:rsidR="00BA49F5" w:rsidRDefault="00BA49F5">
            <w:pPr>
              <w:jc w:val="right"/>
              <w:rPr>
                <w:rFonts w:ascii="宋体"/>
              </w:rPr>
            </w:pPr>
          </w:p>
        </w:tc>
      </w:tr>
    </w:tbl>
    <w:p w14:paraId="5CD8F02D" w14:textId="77777777" w:rsidR="00BA49F5" w:rsidRDefault="00BA49F5">
      <w:pPr>
        <w:jc w:val="center"/>
      </w:pPr>
    </w:p>
    <w:p w14:paraId="5CD8F02E" w14:textId="77777777" w:rsidR="00BA49F5" w:rsidRDefault="007E5E49">
      <w:pPr>
        <w:jc w:val="center"/>
      </w:pPr>
      <w:r>
        <w:rPr>
          <w:rFonts w:ascii="Times New Roman" w:eastAsia="宋体" w:hAnsi="Times New Roman"/>
          <w:i/>
          <w:iCs/>
          <w:color w:val="000000"/>
          <w:sz w:val="20"/>
          <w:szCs w:val="20"/>
        </w:rPr>
        <w:t>See Accompanying Notes to Consolidated Financial Statements.</w:t>
      </w:r>
    </w:p>
    <w:p w14:paraId="5CD8F02F" w14:textId="77777777" w:rsidR="00BA49F5" w:rsidRDefault="007E5E49">
      <w:pPr>
        <w:jc w:val="center"/>
      </w:pPr>
      <w:r>
        <w:rPr>
          <w:rFonts w:ascii="Times New Roman" w:eastAsia="宋体" w:hAnsi="Times New Roman"/>
          <w:color w:val="000000"/>
          <w:sz w:val="20"/>
          <w:szCs w:val="20"/>
        </w:rPr>
        <w:t>85</w:t>
      </w:r>
    </w:p>
    <w:p w14:paraId="5CD8F030" w14:textId="77777777" w:rsidR="00BA49F5" w:rsidRDefault="007E5E49">
      <w:r>
        <w:pict w14:anchorId="5CD90D4A">
          <v:rect id="_x0000_i1109" style="width:415.3pt;height:1.5pt" o:hralign="center" o:hrstd="t" o:hr="t" fillcolor="#a0a0a0" stroked="f"/>
        </w:pict>
      </w:r>
    </w:p>
    <w:p w14:paraId="5CD8F031" w14:textId="77777777" w:rsidR="00BA49F5" w:rsidRDefault="00BA49F5"/>
    <w:p w14:paraId="5CD8F032" w14:textId="77777777" w:rsidR="00BA49F5" w:rsidRDefault="00BA49F5"/>
    <w:p w14:paraId="5CD8F033" w14:textId="77777777" w:rsidR="00BA49F5" w:rsidRDefault="007E5E49">
      <w:hyperlink r:id="rId265" w:anchor="i6df229dad1864210ab76200083e26819_7" w:history="1">
        <w:r>
          <w:rPr>
            <w:rStyle w:val="a5"/>
            <w:rFonts w:ascii="Times New Roman" w:eastAsia="宋体" w:hAnsi="Times New Roman"/>
            <w:sz w:val="20"/>
            <w:szCs w:val="20"/>
          </w:rPr>
          <w:t>T</w:t>
        </w:r>
      </w:hyperlink>
      <w:hyperlink r:id="rId266" w:anchor="i6df229dad1864210ab76200083e26819_7" w:history="1">
        <w:r>
          <w:rPr>
            <w:rStyle w:val="a5"/>
            <w:rFonts w:ascii="Times New Roman" w:eastAsia="宋体" w:hAnsi="Times New Roman"/>
            <w:sz w:val="20"/>
            <w:szCs w:val="20"/>
          </w:rPr>
          <w:t>able of Contents</w:t>
        </w:r>
      </w:hyperlink>
    </w:p>
    <w:p w14:paraId="5CD8F034" w14:textId="77777777" w:rsidR="00BA49F5" w:rsidRDefault="007E5E49">
      <w:pPr>
        <w:jc w:val="center"/>
      </w:pPr>
      <w:r>
        <w:rPr>
          <w:rFonts w:ascii="Times New Roman" w:eastAsia="宋体" w:hAnsi="Times New Roman"/>
          <w:b/>
          <w:bCs/>
          <w:color w:val="000000"/>
          <w:sz w:val="20"/>
          <w:szCs w:val="20"/>
        </w:rPr>
        <w:t>META PLATFORMS, INC.</w:t>
      </w:r>
    </w:p>
    <w:p w14:paraId="5CD8F035" w14:textId="77777777" w:rsidR="00BA49F5" w:rsidRDefault="007E5E49">
      <w:pPr>
        <w:jc w:val="center"/>
      </w:pPr>
      <w:r>
        <w:rPr>
          <w:rFonts w:ascii="Times New Roman" w:eastAsia="宋体" w:hAnsi="Times New Roman"/>
          <w:b/>
          <w:bCs/>
          <w:color w:val="000000"/>
          <w:sz w:val="20"/>
          <w:szCs w:val="20"/>
        </w:rPr>
        <w:t>CONSOLIDATED STATEMENTS OF INCOME</w:t>
      </w:r>
    </w:p>
    <w:p w14:paraId="5CD8F036" w14:textId="77777777" w:rsidR="00BA49F5" w:rsidRDefault="007E5E49">
      <w:pPr>
        <w:jc w:val="center"/>
      </w:pPr>
      <w:r>
        <w:rPr>
          <w:rFonts w:ascii="Times New Roman" w:eastAsia="宋体" w:hAnsi="Times New Roman"/>
          <w:i/>
          <w:iCs/>
          <w:color w:val="000000"/>
          <w:sz w:val="20"/>
          <w:szCs w:val="20"/>
        </w:rPr>
        <w:t>(In millions,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829"/>
        <w:gridCol w:w="39"/>
        <w:gridCol w:w="120"/>
        <w:gridCol w:w="939"/>
        <w:gridCol w:w="36"/>
        <w:gridCol w:w="36"/>
        <w:gridCol w:w="36"/>
        <w:gridCol w:w="36"/>
        <w:gridCol w:w="120"/>
        <w:gridCol w:w="902"/>
        <w:gridCol w:w="36"/>
        <w:gridCol w:w="36"/>
        <w:gridCol w:w="36"/>
        <w:gridCol w:w="36"/>
        <w:gridCol w:w="120"/>
        <w:gridCol w:w="902"/>
        <w:gridCol w:w="36"/>
      </w:tblGrid>
      <w:tr w:rsidR="00BA49F5" w14:paraId="5CD8F049" w14:textId="77777777">
        <w:trPr>
          <w:jc w:val="center"/>
        </w:trPr>
        <w:tc>
          <w:tcPr>
            <w:tcW w:w="50" w:type="pct"/>
            <w:shd w:val="clear" w:color="auto" w:fill="auto"/>
            <w:vAlign w:val="bottom"/>
          </w:tcPr>
          <w:p w14:paraId="5CD8F037" w14:textId="77777777" w:rsidR="00BA49F5" w:rsidRDefault="00BA49F5">
            <w:pPr>
              <w:rPr>
                <w:rFonts w:ascii="宋体"/>
              </w:rPr>
            </w:pPr>
          </w:p>
        </w:tc>
        <w:tc>
          <w:tcPr>
            <w:tcW w:w="2928" w:type="pct"/>
            <w:shd w:val="clear" w:color="auto" w:fill="auto"/>
            <w:vAlign w:val="bottom"/>
          </w:tcPr>
          <w:p w14:paraId="5CD8F038" w14:textId="77777777" w:rsidR="00BA49F5" w:rsidRDefault="00BA49F5">
            <w:pPr>
              <w:rPr>
                <w:rFonts w:ascii="宋体"/>
              </w:rPr>
            </w:pPr>
          </w:p>
        </w:tc>
        <w:tc>
          <w:tcPr>
            <w:tcW w:w="5" w:type="pct"/>
            <w:shd w:val="clear" w:color="auto" w:fill="auto"/>
            <w:vAlign w:val="bottom"/>
          </w:tcPr>
          <w:p w14:paraId="5CD8F039" w14:textId="77777777" w:rsidR="00BA49F5" w:rsidRDefault="00BA49F5">
            <w:pPr>
              <w:rPr>
                <w:rFonts w:ascii="宋体"/>
              </w:rPr>
            </w:pPr>
          </w:p>
        </w:tc>
        <w:tc>
          <w:tcPr>
            <w:tcW w:w="50" w:type="pct"/>
            <w:shd w:val="clear" w:color="auto" w:fill="auto"/>
            <w:vAlign w:val="bottom"/>
          </w:tcPr>
          <w:p w14:paraId="5CD8F03A" w14:textId="77777777" w:rsidR="00BA49F5" w:rsidRDefault="00BA49F5">
            <w:pPr>
              <w:rPr>
                <w:rFonts w:ascii="宋体"/>
              </w:rPr>
            </w:pPr>
          </w:p>
        </w:tc>
        <w:tc>
          <w:tcPr>
            <w:tcW w:w="592" w:type="pct"/>
            <w:shd w:val="clear" w:color="auto" w:fill="auto"/>
            <w:vAlign w:val="bottom"/>
          </w:tcPr>
          <w:p w14:paraId="5CD8F03B" w14:textId="77777777" w:rsidR="00BA49F5" w:rsidRDefault="00BA49F5">
            <w:pPr>
              <w:rPr>
                <w:rFonts w:ascii="宋体"/>
              </w:rPr>
            </w:pPr>
          </w:p>
        </w:tc>
        <w:tc>
          <w:tcPr>
            <w:tcW w:w="5" w:type="pct"/>
            <w:shd w:val="clear" w:color="auto" w:fill="auto"/>
            <w:vAlign w:val="bottom"/>
          </w:tcPr>
          <w:p w14:paraId="5CD8F03C" w14:textId="77777777" w:rsidR="00BA49F5" w:rsidRDefault="00BA49F5">
            <w:pPr>
              <w:rPr>
                <w:rFonts w:ascii="宋体"/>
              </w:rPr>
            </w:pPr>
          </w:p>
        </w:tc>
        <w:tc>
          <w:tcPr>
            <w:tcW w:w="5" w:type="pct"/>
            <w:shd w:val="clear" w:color="auto" w:fill="auto"/>
            <w:vAlign w:val="bottom"/>
          </w:tcPr>
          <w:p w14:paraId="5CD8F03D" w14:textId="77777777" w:rsidR="00BA49F5" w:rsidRDefault="00BA49F5">
            <w:pPr>
              <w:rPr>
                <w:rFonts w:ascii="宋体"/>
              </w:rPr>
            </w:pPr>
          </w:p>
        </w:tc>
        <w:tc>
          <w:tcPr>
            <w:tcW w:w="27" w:type="pct"/>
            <w:shd w:val="clear" w:color="auto" w:fill="auto"/>
            <w:vAlign w:val="bottom"/>
          </w:tcPr>
          <w:p w14:paraId="5CD8F03E" w14:textId="77777777" w:rsidR="00BA49F5" w:rsidRDefault="00BA49F5">
            <w:pPr>
              <w:rPr>
                <w:rFonts w:ascii="宋体"/>
              </w:rPr>
            </w:pPr>
          </w:p>
        </w:tc>
        <w:tc>
          <w:tcPr>
            <w:tcW w:w="5" w:type="pct"/>
            <w:shd w:val="clear" w:color="auto" w:fill="auto"/>
            <w:vAlign w:val="bottom"/>
          </w:tcPr>
          <w:p w14:paraId="5CD8F03F" w14:textId="77777777" w:rsidR="00BA49F5" w:rsidRDefault="00BA49F5">
            <w:pPr>
              <w:rPr>
                <w:rFonts w:ascii="宋体"/>
              </w:rPr>
            </w:pPr>
          </w:p>
        </w:tc>
        <w:tc>
          <w:tcPr>
            <w:tcW w:w="50" w:type="pct"/>
            <w:shd w:val="clear" w:color="auto" w:fill="auto"/>
            <w:vAlign w:val="bottom"/>
          </w:tcPr>
          <w:p w14:paraId="5CD8F040" w14:textId="77777777" w:rsidR="00BA49F5" w:rsidRDefault="00BA49F5">
            <w:pPr>
              <w:rPr>
                <w:rFonts w:ascii="宋体"/>
              </w:rPr>
            </w:pPr>
          </w:p>
        </w:tc>
        <w:tc>
          <w:tcPr>
            <w:tcW w:w="592" w:type="pct"/>
            <w:shd w:val="clear" w:color="auto" w:fill="auto"/>
            <w:vAlign w:val="bottom"/>
          </w:tcPr>
          <w:p w14:paraId="5CD8F041" w14:textId="77777777" w:rsidR="00BA49F5" w:rsidRDefault="00BA49F5">
            <w:pPr>
              <w:rPr>
                <w:rFonts w:ascii="宋体"/>
              </w:rPr>
            </w:pPr>
          </w:p>
        </w:tc>
        <w:tc>
          <w:tcPr>
            <w:tcW w:w="5" w:type="pct"/>
            <w:shd w:val="clear" w:color="auto" w:fill="auto"/>
            <w:vAlign w:val="bottom"/>
          </w:tcPr>
          <w:p w14:paraId="5CD8F042" w14:textId="77777777" w:rsidR="00BA49F5" w:rsidRDefault="00BA49F5">
            <w:pPr>
              <w:rPr>
                <w:rFonts w:ascii="宋体"/>
              </w:rPr>
            </w:pPr>
          </w:p>
        </w:tc>
        <w:tc>
          <w:tcPr>
            <w:tcW w:w="5" w:type="pct"/>
            <w:shd w:val="clear" w:color="auto" w:fill="auto"/>
            <w:vAlign w:val="bottom"/>
          </w:tcPr>
          <w:p w14:paraId="5CD8F043" w14:textId="77777777" w:rsidR="00BA49F5" w:rsidRDefault="00BA49F5">
            <w:pPr>
              <w:rPr>
                <w:rFonts w:ascii="宋体"/>
              </w:rPr>
            </w:pPr>
          </w:p>
        </w:tc>
        <w:tc>
          <w:tcPr>
            <w:tcW w:w="27" w:type="pct"/>
            <w:shd w:val="clear" w:color="auto" w:fill="auto"/>
            <w:vAlign w:val="bottom"/>
          </w:tcPr>
          <w:p w14:paraId="5CD8F044" w14:textId="77777777" w:rsidR="00BA49F5" w:rsidRDefault="00BA49F5">
            <w:pPr>
              <w:rPr>
                <w:rFonts w:ascii="宋体"/>
              </w:rPr>
            </w:pPr>
          </w:p>
        </w:tc>
        <w:tc>
          <w:tcPr>
            <w:tcW w:w="5" w:type="pct"/>
            <w:shd w:val="clear" w:color="auto" w:fill="auto"/>
            <w:vAlign w:val="bottom"/>
          </w:tcPr>
          <w:p w14:paraId="5CD8F045" w14:textId="77777777" w:rsidR="00BA49F5" w:rsidRDefault="00BA49F5">
            <w:pPr>
              <w:rPr>
                <w:rFonts w:ascii="宋体"/>
              </w:rPr>
            </w:pPr>
          </w:p>
        </w:tc>
        <w:tc>
          <w:tcPr>
            <w:tcW w:w="50" w:type="pct"/>
            <w:shd w:val="clear" w:color="auto" w:fill="auto"/>
            <w:vAlign w:val="bottom"/>
          </w:tcPr>
          <w:p w14:paraId="5CD8F046" w14:textId="77777777" w:rsidR="00BA49F5" w:rsidRDefault="00BA49F5">
            <w:pPr>
              <w:rPr>
                <w:rFonts w:ascii="宋体"/>
              </w:rPr>
            </w:pPr>
          </w:p>
        </w:tc>
        <w:tc>
          <w:tcPr>
            <w:tcW w:w="592" w:type="pct"/>
            <w:shd w:val="clear" w:color="auto" w:fill="auto"/>
            <w:vAlign w:val="bottom"/>
          </w:tcPr>
          <w:p w14:paraId="5CD8F047" w14:textId="77777777" w:rsidR="00BA49F5" w:rsidRDefault="00BA49F5">
            <w:pPr>
              <w:rPr>
                <w:rFonts w:ascii="宋体"/>
              </w:rPr>
            </w:pPr>
          </w:p>
        </w:tc>
        <w:tc>
          <w:tcPr>
            <w:tcW w:w="5" w:type="pct"/>
            <w:shd w:val="clear" w:color="auto" w:fill="auto"/>
            <w:vAlign w:val="bottom"/>
          </w:tcPr>
          <w:p w14:paraId="5CD8F048" w14:textId="77777777" w:rsidR="00BA49F5" w:rsidRDefault="00BA49F5">
            <w:pPr>
              <w:rPr>
                <w:rFonts w:ascii="宋体"/>
              </w:rPr>
            </w:pPr>
          </w:p>
        </w:tc>
      </w:tr>
      <w:tr w:rsidR="00BA49F5" w14:paraId="5CD8F04C" w14:textId="77777777">
        <w:trPr>
          <w:jc w:val="center"/>
        </w:trPr>
        <w:tc>
          <w:tcPr>
            <w:tcW w:w="0" w:type="auto"/>
            <w:gridSpan w:val="3"/>
            <w:shd w:val="clear" w:color="auto" w:fill="auto"/>
            <w:tcMar>
              <w:top w:w="40" w:type="dxa"/>
              <w:left w:w="20" w:type="dxa"/>
              <w:bottom w:w="40" w:type="dxa"/>
              <w:right w:w="20" w:type="dxa"/>
            </w:tcMar>
            <w:vAlign w:val="bottom"/>
          </w:tcPr>
          <w:p w14:paraId="5CD8F04A"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8F04B" w14:textId="77777777" w:rsidR="00BA49F5" w:rsidRDefault="007E5E49">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xml:space="preserve"> </w:t>
            </w:r>
          </w:p>
        </w:tc>
      </w:tr>
      <w:tr w:rsidR="00BA49F5" w14:paraId="5CD8F053" w14:textId="77777777">
        <w:trPr>
          <w:jc w:val="center"/>
        </w:trPr>
        <w:tc>
          <w:tcPr>
            <w:tcW w:w="0" w:type="auto"/>
            <w:gridSpan w:val="3"/>
            <w:shd w:val="clear" w:color="auto" w:fill="auto"/>
            <w:tcMar>
              <w:top w:w="0" w:type="dxa"/>
              <w:left w:w="20" w:type="dxa"/>
              <w:bottom w:w="0" w:type="dxa"/>
              <w:right w:w="20" w:type="dxa"/>
            </w:tcMar>
            <w:vAlign w:val="bottom"/>
          </w:tcPr>
          <w:p w14:paraId="5CD8F04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04E"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04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050"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05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052"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060" w14:textId="77777777">
        <w:trPr>
          <w:jc w:val="center"/>
        </w:trPr>
        <w:tc>
          <w:tcPr>
            <w:tcW w:w="0" w:type="auto"/>
            <w:gridSpan w:val="3"/>
            <w:shd w:val="clear" w:color="auto" w:fill="CCEEFF"/>
            <w:tcMar>
              <w:top w:w="40" w:type="dxa"/>
              <w:left w:w="20" w:type="dxa"/>
              <w:bottom w:w="40" w:type="dxa"/>
              <w:right w:w="20" w:type="dxa"/>
            </w:tcMar>
            <w:vAlign w:val="bottom"/>
          </w:tcPr>
          <w:p w14:paraId="5CD8F054" w14:textId="77777777" w:rsidR="00BA49F5" w:rsidRDefault="007E5E49">
            <w:pPr>
              <w:textAlignment w:val="bottom"/>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05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056"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5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58"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05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05A"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5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5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05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05E"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5F" w14:textId="77777777" w:rsidR="00BA49F5" w:rsidRDefault="00BA49F5">
            <w:pPr>
              <w:jc w:val="right"/>
              <w:rPr>
                <w:rFonts w:ascii="宋体"/>
              </w:rPr>
            </w:pPr>
          </w:p>
        </w:tc>
      </w:tr>
      <w:tr w:rsidR="00BA49F5" w14:paraId="5CD8F067" w14:textId="77777777">
        <w:trPr>
          <w:jc w:val="center"/>
        </w:trPr>
        <w:tc>
          <w:tcPr>
            <w:tcW w:w="0" w:type="auto"/>
            <w:gridSpan w:val="3"/>
            <w:shd w:val="clear" w:color="auto" w:fill="FFFFFF"/>
            <w:tcMar>
              <w:top w:w="40" w:type="dxa"/>
              <w:left w:w="20" w:type="dxa"/>
              <w:bottom w:w="40" w:type="dxa"/>
              <w:right w:w="20" w:type="dxa"/>
            </w:tcMar>
            <w:vAlign w:val="bottom"/>
          </w:tcPr>
          <w:p w14:paraId="5CD8F061" w14:textId="77777777" w:rsidR="00BA49F5" w:rsidRDefault="007E5E49">
            <w:pPr>
              <w:textAlignment w:val="bottom"/>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5CD8F062"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063"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064"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5CD8F065"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066" w14:textId="77777777" w:rsidR="00BA49F5" w:rsidRDefault="007E5E49">
            <w:pPr>
              <w:jc w:val="right"/>
              <w:textAlignment w:val="bottom"/>
            </w:pPr>
            <w:r>
              <w:rPr>
                <w:rFonts w:ascii="Times New Roman" w:eastAsia="宋体" w:hAnsi="Times New Roman"/>
                <w:color w:val="000000"/>
                <w:sz w:val="8"/>
                <w:szCs w:val="8"/>
              </w:rPr>
              <w:t> </w:t>
            </w:r>
          </w:p>
        </w:tc>
      </w:tr>
      <w:tr w:rsidR="00BA49F5" w14:paraId="5CD8F071" w14:textId="77777777">
        <w:trPr>
          <w:jc w:val="center"/>
        </w:trPr>
        <w:tc>
          <w:tcPr>
            <w:tcW w:w="0" w:type="auto"/>
            <w:gridSpan w:val="3"/>
            <w:shd w:val="clear" w:color="auto" w:fill="CCEEFF"/>
            <w:tcMar>
              <w:top w:w="40" w:type="dxa"/>
              <w:left w:w="200" w:type="dxa"/>
              <w:bottom w:w="40" w:type="dxa"/>
              <w:right w:w="20" w:type="dxa"/>
            </w:tcMar>
            <w:vAlign w:val="bottom"/>
          </w:tcPr>
          <w:p w14:paraId="5CD8F068" w14:textId="77777777" w:rsidR="00BA49F5" w:rsidRDefault="007E5E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5CD8F069" w14:textId="77777777" w:rsidR="00BA49F5" w:rsidRDefault="007E5E49">
            <w:pPr>
              <w:jc w:val="right"/>
              <w:textAlignment w:val="bottom"/>
            </w:pPr>
            <w:r>
              <w:rPr>
                <w:rFonts w:ascii="Times New Roman" w:eastAsia="宋体" w:hAnsi="Times New Roman"/>
                <w:color w:val="000000"/>
                <w:sz w:val="20"/>
                <w:szCs w:val="20"/>
              </w:rPr>
              <w:t>25,249 </w:t>
            </w:r>
          </w:p>
        </w:tc>
        <w:tc>
          <w:tcPr>
            <w:tcW w:w="0" w:type="auto"/>
            <w:shd w:val="clear" w:color="auto" w:fill="CCEEFF"/>
            <w:tcMar>
              <w:top w:w="40" w:type="dxa"/>
              <w:left w:w="0" w:type="dxa"/>
              <w:bottom w:w="40" w:type="dxa"/>
              <w:right w:w="20" w:type="dxa"/>
            </w:tcMar>
            <w:vAlign w:val="bottom"/>
          </w:tcPr>
          <w:p w14:paraId="5CD8F06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6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6C" w14:textId="77777777" w:rsidR="00BA49F5" w:rsidRDefault="007E5E49">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5CD8F06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6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6F" w14:textId="77777777" w:rsidR="00BA49F5" w:rsidRDefault="007E5E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5CD8F070" w14:textId="77777777" w:rsidR="00BA49F5" w:rsidRDefault="00BA49F5">
            <w:pPr>
              <w:jc w:val="right"/>
              <w:rPr>
                <w:rFonts w:ascii="宋体"/>
              </w:rPr>
            </w:pPr>
          </w:p>
        </w:tc>
      </w:tr>
      <w:tr w:rsidR="00BA49F5" w14:paraId="5CD8F07B" w14:textId="77777777">
        <w:trPr>
          <w:jc w:val="center"/>
        </w:trPr>
        <w:tc>
          <w:tcPr>
            <w:tcW w:w="0" w:type="auto"/>
            <w:gridSpan w:val="3"/>
            <w:shd w:val="clear" w:color="auto" w:fill="FFFFFF"/>
            <w:tcMar>
              <w:top w:w="40" w:type="dxa"/>
              <w:left w:w="200" w:type="dxa"/>
              <w:bottom w:w="40" w:type="dxa"/>
              <w:right w:w="20" w:type="dxa"/>
            </w:tcMar>
            <w:vAlign w:val="bottom"/>
          </w:tcPr>
          <w:p w14:paraId="5CD8F072"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CD8F073" w14:textId="77777777" w:rsidR="00BA49F5" w:rsidRDefault="007E5E49">
            <w:pPr>
              <w:jc w:val="right"/>
              <w:textAlignment w:val="bottom"/>
            </w:pPr>
            <w:r>
              <w:rPr>
                <w:rFonts w:ascii="Times New Roman" w:eastAsia="宋体" w:hAnsi="Times New Roman"/>
                <w:color w:val="000000"/>
                <w:sz w:val="20"/>
                <w:szCs w:val="20"/>
              </w:rPr>
              <w:t>35,338 </w:t>
            </w:r>
          </w:p>
        </w:tc>
        <w:tc>
          <w:tcPr>
            <w:tcW w:w="0" w:type="auto"/>
            <w:shd w:val="clear" w:color="auto" w:fill="FFFFFF"/>
            <w:tcMar>
              <w:top w:w="40" w:type="dxa"/>
              <w:left w:w="0" w:type="dxa"/>
              <w:bottom w:w="40" w:type="dxa"/>
              <w:right w:w="20" w:type="dxa"/>
            </w:tcMar>
            <w:vAlign w:val="bottom"/>
          </w:tcPr>
          <w:p w14:paraId="5CD8F07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7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76" w14:textId="77777777" w:rsidR="00BA49F5" w:rsidRDefault="007E5E49">
            <w:pPr>
              <w:jc w:val="right"/>
              <w:textAlignment w:val="bottom"/>
            </w:pPr>
            <w:r>
              <w:rPr>
                <w:rFonts w:ascii="Times New Roman" w:eastAsia="宋体" w:hAnsi="Times New Roman"/>
                <w:color w:val="000000"/>
                <w:sz w:val="20"/>
                <w:szCs w:val="20"/>
              </w:rPr>
              <w:t>24,655 </w:t>
            </w:r>
          </w:p>
        </w:tc>
        <w:tc>
          <w:tcPr>
            <w:tcW w:w="0" w:type="auto"/>
            <w:shd w:val="clear" w:color="auto" w:fill="FFFFFF"/>
            <w:tcMar>
              <w:top w:w="40" w:type="dxa"/>
              <w:left w:w="0" w:type="dxa"/>
              <w:bottom w:w="40" w:type="dxa"/>
              <w:right w:w="20" w:type="dxa"/>
            </w:tcMar>
            <w:vAlign w:val="bottom"/>
          </w:tcPr>
          <w:p w14:paraId="5CD8F07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7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79" w14:textId="77777777" w:rsidR="00BA49F5" w:rsidRDefault="007E5E49">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5CD8F07A" w14:textId="77777777" w:rsidR="00BA49F5" w:rsidRDefault="00BA49F5">
            <w:pPr>
              <w:jc w:val="right"/>
              <w:rPr>
                <w:rFonts w:ascii="宋体"/>
              </w:rPr>
            </w:pPr>
          </w:p>
        </w:tc>
      </w:tr>
      <w:tr w:rsidR="00BA49F5" w14:paraId="5CD8F085" w14:textId="77777777">
        <w:trPr>
          <w:jc w:val="center"/>
        </w:trPr>
        <w:tc>
          <w:tcPr>
            <w:tcW w:w="0" w:type="auto"/>
            <w:gridSpan w:val="3"/>
            <w:shd w:val="clear" w:color="auto" w:fill="CCEEFF"/>
            <w:tcMar>
              <w:top w:w="40" w:type="dxa"/>
              <w:left w:w="200" w:type="dxa"/>
              <w:bottom w:w="40" w:type="dxa"/>
              <w:right w:w="20" w:type="dxa"/>
            </w:tcMar>
            <w:vAlign w:val="bottom"/>
          </w:tcPr>
          <w:p w14:paraId="5CD8F07C" w14:textId="77777777" w:rsidR="00BA49F5" w:rsidRDefault="007E5E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5CD8F07D" w14:textId="77777777" w:rsidR="00BA49F5" w:rsidRDefault="007E5E49">
            <w:pPr>
              <w:jc w:val="right"/>
              <w:textAlignment w:val="bottom"/>
            </w:pPr>
            <w:r>
              <w:rPr>
                <w:rFonts w:ascii="Times New Roman" w:eastAsia="宋体" w:hAnsi="Times New Roman"/>
                <w:color w:val="000000"/>
                <w:sz w:val="20"/>
                <w:szCs w:val="20"/>
              </w:rPr>
              <w:t>15,262 </w:t>
            </w:r>
          </w:p>
        </w:tc>
        <w:tc>
          <w:tcPr>
            <w:tcW w:w="0" w:type="auto"/>
            <w:shd w:val="clear" w:color="auto" w:fill="CCEEFF"/>
            <w:tcMar>
              <w:top w:w="40" w:type="dxa"/>
              <w:left w:w="0" w:type="dxa"/>
              <w:bottom w:w="40" w:type="dxa"/>
              <w:right w:w="20" w:type="dxa"/>
            </w:tcMar>
            <w:vAlign w:val="bottom"/>
          </w:tcPr>
          <w:p w14:paraId="5CD8F07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7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80" w14:textId="77777777" w:rsidR="00BA49F5" w:rsidRDefault="007E5E49">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5CD8F08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8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83" w14:textId="77777777" w:rsidR="00BA49F5" w:rsidRDefault="007E5E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5CD8F084" w14:textId="77777777" w:rsidR="00BA49F5" w:rsidRDefault="00BA49F5">
            <w:pPr>
              <w:jc w:val="right"/>
              <w:rPr>
                <w:rFonts w:ascii="宋体"/>
              </w:rPr>
            </w:pPr>
          </w:p>
        </w:tc>
      </w:tr>
      <w:tr w:rsidR="00BA49F5" w14:paraId="5CD8F08F" w14:textId="77777777">
        <w:trPr>
          <w:jc w:val="center"/>
        </w:trPr>
        <w:tc>
          <w:tcPr>
            <w:tcW w:w="0" w:type="auto"/>
            <w:gridSpan w:val="3"/>
            <w:shd w:val="clear" w:color="auto" w:fill="FFFFFF"/>
            <w:tcMar>
              <w:top w:w="40" w:type="dxa"/>
              <w:left w:w="200" w:type="dxa"/>
              <w:bottom w:w="40" w:type="dxa"/>
              <w:right w:w="20" w:type="dxa"/>
            </w:tcMar>
            <w:vAlign w:val="bottom"/>
          </w:tcPr>
          <w:p w14:paraId="5CD8F086" w14:textId="77777777" w:rsidR="00BA49F5" w:rsidRDefault="007E5E49">
            <w:pPr>
              <w:textAlignment w:val="bottom"/>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w:t>
            </w:r>
          </w:p>
        </w:tc>
        <w:tc>
          <w:tcPr>
            <w:tcW w:w="0" w:type="auto"/>
            <w:gridSpan w:val="2"/>
            <w:shd w:val="clear" w:color="auto" w:fill="FFFFFF"/>
            <w:tcMar>
              <w:top w:w="40" w:type="dxa"/>
              <w:left w:w="20" w:type="dxa"/>
              <w:bottom w:w="40" w:type="dxa"/>
              <w:right w:w="0" w:type="dxa"/>
            </w:tcMar>
            <w:vAlign w:val="bottom"/>
          </w:tcPr>
          <w:p w14:paraId="5CD8F087" w14:textId="77777777" w:rsidR="00BA49F5" w:rsidRDefault="007E5E49">
            <w:pPr>
              <w:jc w:val="right"/>
              <w:textAlignment w:val="bottom"/>
            </w:pPr>
            <w:r>
              <w:rPr>
                <w:rFonts w:ascii="Times New Roman" w:eastAsia="宋体" w:hAnsi="Times New Roman"/>
                <w:color w:val="000000"/>
                <w:sz w:val="20"/>
                <w:szCs w:val="20"/>
              </w:rPr>
              <w:t>11,816 </w:t>
            </w:r>
          </w:p>
        </w:tc>
        <w:tc>
          <w:tcPr>
            <w:tcW w:w="0" w:type="auto"/>
            <w:shd w:val="clear" w:color="auto" w:fill="FFFFFF"/>
            <w:tcMar>
              <w:top w:w="40" w:type="dxa"/>
              <w:left w:w="0" w:type="dxa"/>
              <w:bottom w:w="40" w:type="dxa"/>
              <w:right w:w="20" w:type="dxa"/>
            </w:tcMar>
            <w:vAlign w:val="bottom"/>
          </w:tcPr>
          <w:p w14:paraId="5CD8F08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8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8A" w14:textId="77777777" w:rsidR="00BA49F5" w:rsidRDefault="007E5E49">
            <w:pPr>
              <w:jc w:val="right"/>
              <w:textAlignment w:val="bottom"/>
            </w:pPr>
            <w:r>
              <w:rPr>
                <w:rFonts w:ascii="Times New Roman" w:eastAsia="宋体" w:hAnsi="Times New Roman"/>
                <w:color w:val="000000"/>
                <w:sz w:val="20"/>
                <w:szCs w:val="20"/>
              </w:rPr>
              <w:t>9,829 </w:t>
            </w:r>
          </w:p>
        </w:tc>
        <w:tc>
          <w:tcPr>
            <w:tcW w:w="0" w:type="auto"/>
            <w:shd w:val="clear" w:color="auto" w:fill="FFFFFF"/>
            <w:tcMar>
              <w:top w:w="40" w:type="dxa"/>
              <w:left w:w="0" w:type="dxa"/>
              <w:bottom w:w="40" w:type="dxa"/>
              <w:right w:w="20" w:type="dxa"/>
            </w:tcMar>
            <w:vAlign w:val="bottom"/>
          </w:tcPr>
          <w:p w14:paraId="5CD8F08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8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08D" w14:textId="77777777" w:rsidR="00BA49F5" w:rsidRDefault="007E5E49">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5CD8F08E" w14:textId="77777777" w:rsidR="00BA49F5" w:rsidRDefault="00BA49F5">
            <w:pPr>
              <w:jc w:val="right"/>
              <w:rPr>
                <w:rFonts w:ascii="宋体"/>
              </w:rPr>
            </w:pPr>
          </w:p>
        </w:tc>
      </w:tr>
      <w:tr w:rsidR="00BA49F5" w14:paraId="5CD8F099" w14:textId="77777777">
        <w:trPr>
          <w:jc w:val="center"/>
        </w:trPr>
        <w:tc>
          <w:tcPr>
            <w:tcW w:w="0" w:type="auto"/>
            <w:gridSpan w:val="3"/>
            <w:shd w:val="clear" w:color="auto" w:fill="CCEEFF"/>
            <w:tcMar>
              <w:top w:w="40" w:type="dxa"/>
              <w:left w:w="380" w:type="dxa"/>
              <w:bottom w:w="40" w:type="dxa"/>
              <w:right w:w="20" w:type="dxa"/>
            </w:tcMar>
            <w:vAlign w:val="bottom"/>
          </w:tcPr>
          <w:p w14:paraId="5CD8F090" w14:textId="77777777" w:rsidR="00BA49F5" w:rsidRDefault="007E5E49">
            <w:pPr>
              <w:textAlignment w:val="bottom"/>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091" w14:textId="77777777" w:rsidR="00BA49F5" w:rsidRDefault="007E5E49">
            <w:pPr>
              <w:jc w:val="right"/>
              <w:textAlignment w:val="bottom"/>
            </w:pPr>
            <w:r>
              <w:rPr>
                <w:rFonts w:ascii="Times New Roman" w:eastAsia="宋体" w:hAnsi="Times New Roman"/>
                <w:color w:val="000000"/>
                <w:sz w:val="20"/>
                <w:szCs w:val="20"/>
              </w:rPr>
              <w:t>87,665 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9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93"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094" w14:textId="77777777" w:rsidR="00BA49F5" w:rsidRDefault="007E5E49">
            <w:pPr>
              <w:jc w:val="right"/>
              <w:textAlignment w:val="bottom"/>
            </w:pPr>
            <w:r>
              <w:rPr>
                <w:rFonts w:ascii="Times New Roman" w:eastAsia="宋体" w:hAnsi="Times New Roman"/>
                <w:color w:val="000000"/>
                <w:sz w:val="20"/>
                <w:szCs w:val="20"/>
              </w:rPr>
              <w:t>71,176 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9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96"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097" w14:textId="77777777" w:rsidR="00BA49F5" w:rsidRDefault="007E5E49">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098" w14:textId="77777777" w:rsidR="00BA49F5" w:rsidRDefault="00BA49F5">
            <w:pPr>
              <w:jc w:val="right"/>
              <w:rPr>
                <w:rFonts w:ascii="宋体"/>
              </w:rPr>
            </w:pPr>
          </w:p>
        </w:tc>
      </w:tr>
      <w:tr w:rsidR="00BA49F5" w14:paraId="5CD8F0A3" w14:textId="77777777">
        <w:trPr>
          <w:jc w:val="center"/>
        </w:trPr>
        <w:tc>
          <w:tcPr>
            <w:tcW w:w="0" w:type="auto"/>
            <w:gridSpan w:val="3"/>
            <w:shd w:val="clear" w:color="auto" w:fill="FFFFFF"/>
            <w:tcMar>
              <w:top w:w="40" w:type="dxa"/>
              <w:left w:w="20" w:type="dxa"/>
              <w:bottom w:w="40" w:type="dxa"/>
              <w:right w:w="20" w:type="dxa"/>
            </w:tcMar>
            <w:vAlign w:val="bottom"/>
          </w:tcPr>
          <w:p w14:paraId="5CD8F09A" w14:textId="77777777" w:rsidR="00BA49F5" w:rsidRDefault="007E5E49">
            <w:pPr>
              <w:textAlignment w:val="bottom"/>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9B" w14:textId="77777777" w:rsidR="00BA49F5" w:rsidRDefault="007E5E49">
            <w:pPr>
              <w:jc w:val="right"/>
              <w:textAlignment w:val="bottom"/>
            </w:pPr>
            <w:r>
              <w:rPr>
                <w:rFonts w:ascii="Times New Roman" w:eastAsia="宋体" w:hAnsi="Times New Roman"/>
                <w:color w:val="000000"/>
                <w:sz w:val="20"/>
                <w:szCs w:val="20"/>
              </w:rPr>
              <w:t>28,944 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9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9D"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9E" w14:textId="77777777" w:rsidR="00BA49F5" w:rsidRDefault="007E5E49">
            <w:pPr>
              <w:jc w:val="right"/>
              <w:textAlignment w:val="bottom"/>
            </w:pPr>
            <w:r>
              <w:rPr>
                <w:rFonts w:ascii="Times New Roman" w:eastAsia="宋体" w:hAnsi="Times New Roman"/>
                <w:color w:val="000000"/>
                <w:sz w:val="20"/>
                <w:szCs w:val="20"/>
              </w:rPr>
              <w:t>46,753 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9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A0"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A1" w14:textId="77777777" w:rsidR="00BA49F5" w:rsidRDefault="007E5E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A2" w14:textId="77777777" w:rsidR="00BA49F5" w:rsidRDefault="00BA49F5">
            <w:pPr>
              <w:jc w:val="right"/>
              <w:rPr>
                <w:rFonts w:ascii="宋体"/>
              </w:rPr>
            </w:pPr>
          </w:p>
        </w:tc>
      </w:tr>
      <w:tr w:rsidR="00BA49F5" w14:paraId="5CD8F0AD" w14:textId="77777777">
        <w:trPr>
          <w:jc w:val="center"/>
        </w:trPr>
        <w:tc>
          <w:tcPr>
            <w:tcW w:w="0" w:type="auto"/>
            <w:gridSpan w:val="3"/>
            <w:shd w:val="clear" w:color="auto" w:fill="CCEEFF"/>
            <w:tcMar>
              <w:top w:w="40" w:type="dxa"/>
              <w:left w:w="20" w:type="dxa"/>
              <w:bottom w:w="40" w:type="dxa"/>
              <w:right w:w="20" w:type="dxa"/>
            </w:tcMar>
            <w:vAlign w:val="bottom"/>
          </w:tcPr>
          <w:p w14:paraId="5CD8F0A4" w14:textId="77777777" w:rsidR="00BA49F5" w:rsidRDefault="007E5E49">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5CD8F0A5" w14:textId="77777777" w:rsidR="00BA49F5" w:rsidRDefault="007E5E49">
            <w:pPr>
              <w:jc w:val="right"/>
              <w:textAlignment w:val="bottom"/>
            </w:pPr>
            <w:r>
              <w:rPr>
                <w:rFonts w:ascii="Times New Roman" w:eastAsia="宋体" w:hAnsi="Times New Roman"/>
                <w:color w:val="000000"/>
                <w:sz w:val="20"/>
                <w:szCs w:val="20"/>
              </w:rPr>
              <w:t>(125)</w:t>
            </w:r>
          </w:p>
        </w:tc>
        <w:tc>
          <w:tcPr>
            <w:tcW w:w="0" w:type="auto"/>
            <w:shd w:val="clear" w:color="auto" w:fill="CCEEFF"/>
            <w:tcMar>
              <w:top w:w="40" w:type="dxa"/>
              <w:left w:w="0" w:type="dxa"/>
              <w:bottom w:w="40" w:type="dxa"/>
              <w:right w:w="20" w:type="dxa"/>
            </w:tcMar>
            <w:vAlign w:val="bottom"/>
          </w:tcPr>
          <w:p w14:paraId="5CD8F0A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A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A8" w14:textId="77777777" w:rsidR="00BA49F5" w:rsidRDefault="007E5E49">
            <w:pPr>
              <w:jc w:val="right"/>
              <w:textAlignment w:val="bottom"/>
            </w:pPr>
            <w:r>
              <w:rPr>
                <w:rFonts w:ascii="Times New Roman" w:eastAsia="宋体" w:hAnsi="Times New Roman"/>
                <w:color w:val="000000"/>
                <w:sz w:val="20"/>
                <w:szCs w:val="20"/>
              </w:rPr>
              <w:t>531 </w:t>
            </w:r>
          </w:p>
        </w:tc>
        <w:tc>
          <w:tcPr>
            <w:tcW w:w="0" w:type="auto"/>
            <w:shd w:val="clear" w:color="auto" w:fill="CCEEFF"/>
            <w:tcMar>
              <w:top w:w="40" w:type="dxa"/>
              <w:left w:w="0" w:type="dxa"/>
              <w:bottom w:w="40" w:type="dxa"/>
              <w:right w:w="20" w:type="dxa"/>
            </w:tcMar>
            <w:vAlign w:val="bottom"/>
          </w:tcPr>
          <w:p w14:paraId="5CD8F0A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A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AB" w14:textId="77777777" w:rsidR="00BA49F5" w:rsidRDefault="007E5E49">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5CD8F0AC" w14:textId="77777777" w:rsidR="00BA49F5" w:rsidRDefault="00BA49F5">
            <w:pPr>
              <w:jc w:val="right"/>
              <w:rPr>
                <w:rFonts w:ascii="宋体"/>
              </w:rPr>
            </w:pPr>
          </w:p>
        </w:tc>
      </w:tr>
      <w:tr w:rsidR="00BA49F5" w14:paraId="5CD8F0B7" w14:textId="77777777">
        <w:trPr>
          <w:jc w:val="center"/>
        </w:trPr>
        <w:tc>
          <w:tcPr>
            <w:tcW w:w="0" w:type="auto"/>
            <w:gridSpan w:val="3"/>
            <w:shd w:val="clear" w:color="auto" w:fill="FFFFFF"/>
            <w:tcMar>
              <w:top w:w="40" w:type="dxa"/>
              <w:left w:w="20" w:type="dxa"/>
              <w:bottom w:w="40" w:type="dxa"/>
              <w:right w:w="20" w:type="dxa"/>
            </w:tcMar>
            <w:vAlign w:val="bottom"/>
          </w:tcPr>
          <w:p w14:paraId="5CD8F0AE" w14:textId="77777777" w:rsidR="00BA49F5" w:rsidRDefault="007E5E49">
            <w:pPr>
              <w:textAlignment w:val="bottom"/>
            </w:pPr>
            <w:r>
              <w:rPr>
                <w:rFonts w:ascii="Times New Roman" w:eastAsia="宋体" w:hAnsi="Times New Roman"/>
                <w:color w:val="000000"/>
                <w:sz w:val="20"/>
                <w:szCs w:val="20"/>
              </w:rPr>
              <w:t xml:space="preserve">Income before provision for income </w:t>
            </w:r>
            <w:r>
              <w:rPr>
                <w:rFonts w:ascii="Times New Roman" w:eastAsia="宋体" w:hAnsi="Times New Roman"/>
                <w:color w:val="000000"/>
                <w:sz w:val="20"/>
                <w:szCs w:val="20"/>
              </w:rPr>
              <w:t>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AF" w14:textId="77777777" w:rsidR="00BA49F5" w:rsidRDefault="007E5E49">
            <w:pPr>
              <w:jc w:val="right"/>
              <w:textAlignment w:val="bottom"/>
            </w:pPr>
            <w:r>
              <w:rPr>
                <w:rFonts w:ascii="Times New Roman" w:eastAsia="宋体" w:hAnsi="Times New Roman"/>
                <w:color w:val="000000"/>
                <w:sz w:val="20"/>
                <w:szCs w:val="20"/>
              </w:rPr>
              <w:t>28,819 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B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B1"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B2" w14:textId="77777777" w:rsidR="00BA49F5" w:rsidRDefault="007E5E49">
            <w:pPr>
              <w:jc w:val="right"/>
              <w:textAlignment w:val="bottom"/>
            </w:pPr>
            <w:r>
              <w:rPr>
                <w:rFonts w:ascii="Times New Roman" w:eastAsia="宋体" w:hAnsi="Times New Roman"/>
                <w:color w:val="000000"/>
                <w:sz w:val="20"/>
                <w:szCs w:val="20"/>
              </w:rPr>
              <w:t>47,284 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B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B4"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0B5" w14:textId="77777777" w:rsidR="00BA49F5" w:rsidRDefault="007E5E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B6" w14:textId="77777777" w:rsidR="00BA49F5" w:rsidRDefault="00BA49F5">
            <w:pPr>
              <w:jc w:val="right"/>
              <w:rPr>
                <w:rFonts w:ascii="宋体"/>
              </w:rPr>
            </w:pPr>
          </w:p>
        </w:tc>
      </w:tr>
      <w:tr w:rsidR="00BA49F5" w14:paraId="5CD8F0C1" w14:textId="77777777">
        <w:trPr>
          <w:jc w:val="center"/>
        </w:trPr>
        <w:tc>
          <w:tcPr>
            <w:tcW w:w="0" w:type="auto"/>
            <w:gridSpan w:val="3"/>
            <w:shd w:val="clear" w:color="auto" w:fill="CCEEFF"/>
            <w:tcMar>
              <w:top w:w="40" w:type="dxa"/>
              <w:left w:w="20" w:type="dxa"/>
              <w:bottom w:w="40" w:type="dxa"/>
              <w:right w:w="20" w:type="dxa"/>
            </w:tcMar>
            <w:vAlign w:val="bottom"/>
          </w:tcPr>
          <w:p w14:paraId="5CD8F0B8" w14:textId="77777777" w:rsidR="00BA49F5" w:rsidRDefault="007E5E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5CD8F0B9" w14:textId="77777777" w:rsidR="00BA49F5" w:rsidRDefault="007E5E49">
            <w:pPr>
              <w:jc w:val="right"/>
              <w:textAlignment w:val="bottom"/>
            </w:pPr>
            <w:r>
              <w:rPr>
                <w:rFonts w:ascii="Times New Roman" w:eastAsia="宋体" w:hAnsi="Times New Roman"/>
                <w:color w:val="000000"/>
                <w:sz w:val="20"/>
                <w:szCs w:val="20"/>
              </w:rPr>
              <w:t>5,619 </w:t>
            </w:r>
          </w:p>
        </w:tc>
        <w:tc>
          <w:tcPr>
            <w:tcW w:w="0" w:type="auto"/>
            <w:shd w:val="clear" w:color="auto" w:fill="CCEEFF"/>
            <w:tcMar>
              <w:top w:w="40" w:type="dxa"/>
              <w:left w:w="0" w:type="dxa"/>
              <w:bottom w:w="40" w:type="dxa"/>
              <w:right w:w="20" w:type="dxa"/>
            </w:tcMar>
            <w:vAlign w:val="bottom"/>
          </w:tcPr>
          <w:p w14:paraId="5CD8F0B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B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BC" w14:textId="77777777" w:rsidR="00BA49F5" w:rsidRDefault="007E5E49">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5CD8F0B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B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0BF" w14:textId="77777777" w:rsidR="00BA49F5" w:rsidRDefault="007E5E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5CD8F0C0" w14:textId="77777777" w:rsidR="00BA49F5" w:rsidRDefault="00BA49F5">
            <w:pPr>
              <w:jc w:val="right"/>
              <w:rPr>
                <w:rFonts w:ascii="宋体"/>
              </w:rPr>
            </w:pPr>
          </w:p>
        </w:tc>
      </w:tr>
      <w:tr w:rsidR="00BA49F5" w14:paraId="5CD8F0CE" w14:textId="77777777">
        <w:trPr>
          <w:jc w:val="center"/>
        </w:trPr>
        <w:tc>
          <w:tcPr>
            <w:tcW w:w="0" w:type="auto"/>
            <w:gridSpan w:val="3"/>
            <w:shd w:val="clear" w:color="auto" w:fill="FFFFFF"/>
            <w:tcMar>
              <w:top w:w="40" w:type="dxa"/>
              <w:left w:w="20" w:type="dxa"/>
              <w:bottom w:w="40" w:type="dxa"/>
              <w:right w:w="20" w:type="dxa"/>
            </w:tcMar>
            <w:vAlign w:val="bottom"/>
          </w:tcPr>
          <w:p w14:paraId="5CD8F0C2" w14:textId="77777777" w:rsidR="00BA49F5" w:rsidRDefault="007E5E49">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5CD8F0C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0C4"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C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C6"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0C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0C8"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C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CA"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0C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0CC"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0CD" w14:textId="77777777" w:rsidR="00BA49F5" w:rsidRDefault="00BA49F5">
            <w:pPr>
              <w:jc w:val="right"/>
              <w:rPr>
                <w:rFonts w:ascii="宋体"/>
              </w:rPr>
            </w:pPr>
          </w:p>
        </w:tc>
      </w:tr>
      <w:tr w:rsidR="00BA49F5" w14:paraId="5CD8F0D5" w14:textId="77777777">
        <w:trPr>
          <w:jc w:val="center"/>
          <w:hidden/>
        </w:trPr>
        <w:tc>
          <w:tcPr>
            <w:tcW w:w="0" w:type="auto"/>
            <w:gridSpan w:val="3"/>
            <w:shd w:val="clear" w:color="auto" w:fill="auto"/>
            <w:vAlign w:val="bottom"/>
          </w:tcPr>
          <w:p w14:paraId="5CD8F0CF" w14:textId="77777777" w:rsidR="00BA49F5" w:rsidRDefault="00BA49F5">
            <w:pPr>
              <w:rPr>
                <w:rFonts w:ascii="宋体"/>
                <w:vanish/>
              </w:rPr>
            </w:pPr>
          </w:p>
        </w:tc>
        <w:tc>
          <w:tcPr>
            <w:tcW w:w="0" w:type="auto"/>
            <w:gridSpan w:val="3"/>
            <w:shd w:val="clear" w:color="auto" w:fill="auto"/>
            <w:vAlign w:val="bottom"/>
          </w:tcPr>
          <w:p w14:paraId="5CD8F0D0" w14:textId="77777777" w:rsidR="00BA49F5" w:rsidRDefault="00BA49F5">
            <w:pPr>
              <w:rPr>
                <w:rFonts w:ascii="宋体"/>
                <w:vanish/>
              </w:rPr>
            </w:pPr>
          </w:p>
        </w:tc>
        <w:tc>
          <w:tcPr>
            <w:tcW w:w="0" w:type="auto"/>
            <w:gridSpan w:val="3"/>
            <w:shd w:val="clear" w:color="auto" w:fill="auto"/>
            <w:vAlign w:val="bottom"/>
          </w:tcPr>
          <w:p w14:paraId="5CD8F0D1" w14:textId="77777777" w:rsidR="00BA49F5" w:rsidRDefault="00BA49F5">
            <w:pPr>
              <w:rPr>
                <w:rFonts w:ascii="宋体"/>
                <w:vanish/>
              </w:rPr>
            </w:pPr>
          </w:p>
        </w:tc>
        <w:tc>
          <w:tcPr>
            <w:tcW w:w="0" w:type="auto"/>
            <w:gridSpan w:val="3"/>
            <w:shd w:val="clear" w:color="auto" w:fill="auto"/>
            <w:vAlign w:val="bottom"/>
          </w:tcPr>
          <w:p w14:paraId="5CD8F0D2" w14:textId="77777777" w:rsidR="00BA49F5" w:rsidRDefault="00BA49F5">
            <w:pPr>
              <w:rPr>
                <w:rFonts w:ascii="宋体"/>
                <w:vanish/>
              </w:rPr>
            </w:pPr>
          </w:p>
        </w:tc>
        <w:tc>
          <w:tcPr>
            <w:tcW w:w="0" w:type="auto"/>
            <w:gridSpan w:val="3"/>
            <w:shd w:val="clear" w:color="auto" w:fill="auto"/>
            <w:vAlign w:val="bottom"/>
          </w:tcPr>
          <w:p w14:paraId="5CD8F0D3" w14:textId="77777777" w:rsidR="00BA49F5" w:rsidRDefault="00BA49F5">
            <w:pPr>
              <w:rPr>
                <w:rFonts w:ascii="宋体"/>
                <w:vanish/>
              </w:rPr>
            </w:pPr>
          </w:p>
        </w:tc>
        <w:tc>
          <w:tcPr>
            <w:tcW w:w="0" w:type="auto"/>
            <w:gridSpan w:val="3"/>
            <w:shd w:val="clear" w:color="auto" w:fill="auto"/>
            <w:vAlign w:val="bottom"/>
          </w:tcPr>
          <w:p w14:paraId="5CD8F0D4" w14:textId="77777777" w:rsidR="00BA49F5" w:rsidRDefault="00BA49F5">
            <w:pPr>
              <w:rPr>
                <w:rFonts w:ascii="宋体"/>
                <w:vanish/>
              </w:rPr>
            </w:pPr>
          </w:p>
        </w:tc>
      </w:tr>
      <w:tr w:rsidR="00BA49F5" w14:paraId="5CD8F0DC" w14:textId="77777777">
        <w:trPr>
          <w:jc w:val="center"/>
        </w:trPr>
        <w:tc>
          <w:tcPr>
            <w:tcW w:w="0" w:type="auto"/>
            <w:gridSpan w:val="3"/>
            <w:shd w:val="clear" w:color="auto" w:fill="CCEEFF"/>
            <w:tcMar>
              <w:top w:w="40" w:type="dxa"/>
              <w:left w:w="20" w:type="dxa"/>
              <w:bottom w:w="40" w:type="dxa"/>
              <w:right w:w="20" w:type="dxa"/>
            </w:tcMar>
            <w:vAlign w:val="bottom"/>
          </w:tcPr>
          <w:p w14:paraId="5CD8F0D6" w14:textId="77777777" w:rsidR="00BA49F5" w:rsidRDefault="007E5E49">
            <w:pPr>
              <w:textAlignment w:val="bottom"/>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0D7"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0D8" w14:textId="77777777" w:rsidR="00BA49F5" w:rsidRDefault="00BA49F5">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0D9"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0DA" w14:textId="77777777" w:rsidR="00BA49F5" w:rsidRDefault="00BA49F5">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0DB" w14:textId="77777777" w:rsidR="00BA49F5" w:rsidRDefault="007E5E49">
            <w:pPr>
              <w:jc w:val="right"/>
              <w:textAlignment w:val="bottom"/>
            </w:pPr>
            <w:r>
              <w:rPr>
                <w:rFonts w:ascii="Times New Roman" w:eastAsia="宋体" w:hAnsi="Times New Roman"/>
                <w:color w:val="000000"/>
                <w:sz w:val="8"/>
                <w:szCs w:val="8"/>
              </w:rPr>
              <w:t> </w:t>
            </w:r>
          </w:p>
        </w:tc>
      </w:tr>
      <w:tr w:rsidR="00BA49F5" w14:paraId="5CD8F0E9" w14:textId="77777777">
        <w:trPr>
          <w:jc w:val="center"/>
        </w:trPr>
        <w:tc>
          <w:tcPr>
            <w:tcW w:w="0" w:type="auto"/>
            <w:gridSpan w:val="3"/>
            <w:shd w:val="clear" w:color="auto" w:fill="FFFFFF"/>
            <w:tcMar>
              <w:top w:w="40" w:type="dxa"/>
              <w:left w:w="200" w:type="dxa"/>
              <w:bottom w:w="40" w:type="dxa"/>
              <w:right w:w="20" w:type="dxa"/>
            </w:tcMar>
            <w:vAlign w:val="bottom"/>
          </w:tcPr>
          <w:p w14:paraId="5CD8F0DD" w14:textId="77777777" w:rsidR="00BA49F5" w:rsidRDefault="007E5E49">
            <w:pPr>
              <w:textAlignment w:val="bottom"/>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5CD8F0D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0DF" w14:textId="77777777" w:rsidR="00BA49F5" w:rsidRDefault="007E5E49">
            <w:pPr>
              <w:jc w:val="right"/>
              <w:textAlignment w:val="bottom"/>
            </w:pPr>
            <w:r>
              <w:rPr>
                <w:rFonts w:ascii="Times New Roman" w:eastAsia="宋体" w:hAnsi="Times New Roman"/>
                <w:color w:val="000000"/>
                <w:sz w:val="20"/>
                <w:szCs w:val="20"/>
              </w:rPr>
              <w:t>8.63 </w:t>
            </w:r>
          </w:p>
        </w:tc>
        <w:tc>
          <w:tcPr>
            <w:tcW w:w="0" w:type="auto"/>
            <w:shd w:val="clear" w:color="auto" w:fill="FFFFFF"/>
            <w:tcMar>
              <w:top w:w="40" w:type="dxa"/>
              <w:left w:w="0" w:type="dxa"/>
              <w:bottom w:w="40" w:type="dxa"/>
              <w:right w:w="20" w:type="dxa"/>
            </w:tcMar>
            <w:vAlign w:val="bottom"/>
          </w:tcPr>
          <w:p w14:paraId="5CD8F0E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E1"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0E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0E3" w14:textId="77777777" w:rsidR="00BA49F5" w:rsidRDefault="007E5E49">
            <w:pPr>
              <w:jc w:val="right"/>
              <w:textAlignment w:val="bottom"/>
            </w:pPr>
            <w:r>
              <w:rPr>
                <w:rFonts w:ascii="Times New Roman" w:eastAsia="宋体" w:hAnsi="Times New Roman"/>
                <w:color w:val="000000"/>
                <w:sz w:val="20"/>
                <w:szCs w:val="20"/>
              </w:rPr>
              <w:t>13.99 </w:t>
            </w:r>
          </w:p>
        </w:tc>
        <w:tc>
          <w:tcPr>
            <w:tcW w:w="0" w:type="auto"/>
            <w:shd w:val="clear" w:color="auto" w:fill="FFFFFF"/>
            <w:tcMar>
              <w:top w:w="40" w:type="dxa"/>
              <w:left w:w="0" w:type="dxa"/>
              <w:bottom w:w="40" w:type="dxa"/>
              <w:right w:w="20" w:type="dxa"/>
            </w:tcMar>
            <w:vAlign w:val="bottom"/>
          </w:tcPr>
          <w:p w14:paraId="5CD8F0E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0E5"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0E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0E7" w14:textId="77777777" w:rsidR="00BA49F5" w:rsidRDefault="007E5E49">
            <w:pPr>
              <w:jc w:val="right"/>
              <w:textAlignment w:val="bottom"/>
            </w:pPr>
            <w:r>
              <w:rPr>
                <w:rFonts w:ascii="Times New Roman" w:eastAsia="宋体" w:hAnsi="Times New Roman"/>
                <w:color w:val="000000"/>
                <w:sz w:val="20"/>
                <w:szCs w:val="20"/>
              </w:rPr>
              <w:t>10.22 </w:t>
            </w:r>
          </w:p>
        </w:tc>
        <w:tc>
          <w:tcPr>
            <w:tcW w:w="0" w:type="auto"/>
            <w:shd w:val="clear" w:color="auto" w:fill="FFFFFF"/>
            <w:tcMar>
              <w:top w:w="40" w:type="dxa"/>
              <w:left w:w="0" w:type="dxa"/>
              <w:bottom w:w="40" w:type="dxa"/>
              <w:right w:w="20" w:type="dxa"/>
            </w:tcMar>
            <w:vAlign w:val="bottom"/>
          </w:tcPr>
          <w:p w14:paraId="5CD8F0E8" w14:textId="77777777" w:rsidR="00BA49F5" w:rsidRDefault="00BA49F5">
            <w:pPr>
              <w:jc w:val="right"/>
              <w:rPr>
                <w:rFonts w:ascii="宋体"/>
              </w:rPr>
            </w:pPr>
          </w:p>
        </w:tc>
      </w:tr>
      <w:tr w:rsidR="00BA49F5" w14:paraId="5CD8F0F6" w14:textId="77777777">
        <w:trPr>
          <w:jc w:val="center"/>
        </w:trPr>
        <w:tc>
          <w:tcPr>
            <w:tcW w:w="0" w:type="auto"/>
            <w:gridSpan w:val="3"/>
            <w:shd w:val="clear" w:color="auto" w:fill="CCEEFF"/>
            <w:tcMar>
              <w:top w:w="40" w:type="dxa"/>
              <w:left w:w="200" w:type="dxa"/>
              <w:bottom w:w="40" w:type="dxa"/>
              <w:right w:w="20" w:type="dxa"/>
            </w:tcMar>
            <w:vAlign w:val="bottom"/>
          </w:tcPr>
          <w:p w14:paraId="5CD8F0EA" w14:textId="77777777" w:rsidR="00BA49F5" w:rsidRDefault="007E5E49">
            <w:pPr>
              <w:textAlignment w:val="bottom"/>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5CD8F0E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0EC" w14:textId="77777777" w:rsidR="00BA49F5" w:rsidRDefault="007E5E49">
            <w:pPr>
              <w:jc w:val="right"/>
              <w:textAlignment w:val="bottom"/>
            </w:pPr>
            <w:r>
              <w:rPr>
                <w:rFonts w:ascii="Times New Roman" w:eastAsia="宋体" w:hAnsi="Times New Roman"/>
                <w:color w:val="000000"/>
                <w:sz w:val="20"/>
                <w:szCs w:val="20"/>
              </w:rPr>
              <w:t>8.59 </w:t>
            </w:r>
          </w:p>
        </w:tc>
        <w:tc>
          <w:tcPr>
            <w:tcW w:w="0" w:type="auto"/>
            <w:shd w:val="clear" w:color="auto" w:fill="CCEEFF"/>
            <w:tcMar>
              <w:top w:w="40" w:type="dxa"/>
              <w:left w:w="0" w:type="dxa"/>
              <w:bottom w:w="40" w:type="dxa"/>
              <w:right w:w="20" w:type="dxa"/>
            </w:tcMar>
            <w:vAlign w:val="bottom"/>
          </w:tcPr>
          <w:p w14:paraId="5CD8F0E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E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0E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0F0" w14:textId="77777777" w:rsidR="00BA49F5" w:rsidRDefault="007E5E49">
            <w:pPr>
              <w:jc w:val="right"/>
              <w:textAlignment w:val="bottom"/>
            </w:pPr>
            <w:r>
              <w:rPr>
                <w:rFonts w:ascii="Times New Roman" w:eastAsia="宋体" w:hAnsi="Times New Roman"/>
                <w:color w:val="000000"/>
                <w:sz w:val="20"/>
                <w:szCs w:val="20"/>
              </w:rPr>
              <w:t>13.77 </w:t>
            </w:r>
          </w:p>
        </w:tc>
        <w:tc>
          <w:tcPr>
            <w:tcW w:w="0" w:type="auto"/>
            <w:shd w:val="clear" w:color="auto" w:fill="CCEEFF"/>
            <w:tcMar>
              <w:top w:w="40" w:type="dxa"/>
              <w:left w:w="0" w:type="dxa"/>
              <w:bottom w:w="40" w:type="dxa"/>
              <w:right w:w="20" w:type="dxa"/>
            </w:tcMar>
            <w:vAlign w:val="bottom"/>
          </w:tcPr>
          <w:p w14:paraId="5CD8F0F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0F2"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0F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0F4" w14:textId="77777777" w:rsidR="00BA49F5" w:rsidRDefault="007E5E49">
            <w:pPr>
              <w:jc w:val="right"/>
              <w:textAlignment w:val="bottom"/>
            </w:pPr>
            <w:r>
              <w:rPr>
                <w:rFonts w:ascii="Times New Roman" w:eastAsia="宋体" w:hAnsi="Times New Roman"/>
                <w:color w:val="000000"/>
                <w:sz w:val="20"/>
                <w:szCs w:val="20"/>
              </w:rPr>
              <w:t>10.09 </w:t>
            </w:r>
          </w:p>
        </w:tc>
        <w:tc>
          <w:tcPr>
            <w:tcW w:w="0" w:type="auto"/>
            <w:shd w:val="clear" w:color="auto" w:fill="CCEEFF"/>
            <w:tcMar>
              <w:top w:w="40" w:type="dxa"/>
              <w:left w:w="0" w:type="dxa"/>
              <w:bottom w:w="40" w:type="dxa"/>
              <w:right w:w="20" w:type="dxa"/>
            </w:tcMar>
            <w:vAlign w:val="bottom"/>
          </w:tcPr>
          <w:p w14:paraId="5CD8F0F5" w14:textId="77777777" w:rsidR="00BA49F5" w:rsidRDefault="00BA49F5">
            <w:pPr>
              <w:jc w:val="right"/>
              <w:rPr>
                <w:rFonts w:ascii="宋体"/>
              </w:rPr>
            </w:pPr>
          </w:p>
        </w:tc>
      </w:tr>
      <w:tr w:rsidR="00BA49F5" w14:paraId="5CD8F0FD" w14:textId="77777777">
        <w:trPr>
          <w:jc w:val="center"/>
        </w:trPr>
        <w:tc>
          <w:tcPr>
            <w:tcW w:w="0" w:type="auto"/>
            <w:gridSpan w:val="3"/>
            <w:shd w:val="clear" w:color="auto" w:fill="FFFFFF"/>
            <w:tcMar>
              <w:top w:w="40" w:type="dxa"/>
              <w:left w:w="20" w:type="dxa"/>
              <w:bottom w:w="40" w:type="dxa"/>
              <w:right w:w="20" w:type="dxa"/>
            </w:tcMar>
            <w:vAlign w:val="bottom"/>
          </w:tcPr>
          <w:p w14:paraId="5CD8F0F7" w14:textId="77777777" w:rsidR="00BA49F5" w:rsidRDefault="007E5E49">
            <w:pPr>
              <w:textAlignment w:val="bottom"/>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5CD8F0F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0F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0FA"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0F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0FC" w14:textId="77777777" w:rsidR="00BA49F5" w:rsidRDefault="00BA49F5">
            <w:pPr>
              <w:rPr>
                <w:rFonts w:ascii="宋体"/>
              </w:rPr>
            </w:pPr>
          </w:p>
        </w:tc>
      </w:tr>
      <w:tr w:rsidR="00BA49F5" w14:paraId="5CD8F107" w14:textId="77777777">
        <w:trPr>
          <w:jc w:val="center"/>
        </w:trPr>
        <w:tc>
          <w:tcPr>
            <w:tcW w:w="0" w:type="auto"/>
            <w:gridSpan w:val="3"/>
            <w:shd w:val="clear" w:color="auto" w:fill="CCEEFF"/>
            <w:tcMar>
              <w:top w:w="40" w:type="dxa"/>
              <w:left w:w="200" w:type="dxa"/>
              <w:bottom w:w="40" w:type="dxa"/>
              <w:right w:w="20" w:type="dxa"/>
            </w:tcMar>
            <w:vAlign w:val="bottom"/>
          </w:tcPr>
          <w:p w14:paraId="5CD8F0FE" w14:textId="77777777" w:rsidR="00BA49F5" w:rsidRDefault="007E5E49">
            <w:pPr>
              <w:textAlignment w:val="bottom"/>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5CD8F0FF" w14:textId="77777777" w:rsidR="00BA49F5" w:rsidRDefault="007E5E49">
            <w:pPr>
              <w:jc w:val="right"/>
              <w:textAlignment w:val="bottom"/>
            </w:pPr>
            <w:r>
              <w:rPr>
                <w:rFonts w:ascii="Times New Roman" w:eastAsia="宋体" w:hAnsi="Times New Roman"/>
                <w:color w:val="000000"/>
                <w:sz w:val="20"/>
                <w:szCs w:val="20"/>
              </w:rPr>
              <w:t>2,687 </w:t>
            </w:r>
          </w:p>
        </w:tc>
        <w:tc>
          <w:tcPr>
            <w:tcW w:w="0" w:type="auto"/>
            <w:shd w:val="clear" w:color="auto" w:fill="CCEEFF"/>
            <w:tcMar>
              <w:top w:w="40" w:type="dxa"/>
              <w:left w:w="0" w:type="dxa"/>
              <w:bottom w:w="40" w:type="dxa"/>
              <w:right w:w="20" w:type="dxa"/>
            </w:tcMar>
            <w:vAlign w:val="bottom"/>
          </w:tcPr>
          <w:p w14:paraId="5CD8F10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0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02" w14:textId="77777777" w:rsidR="00BA49F5" w:rsidRDefault="007E5E49">
            <w:pPr>
              <w:jc w:val="right"/>
              <w:textAlignment w:val="bottom"/>
            </w:pPr>
            <w:r>
              <w:rPr>
                <w:rFonts w:ascii="Times New Roman" w:eastAsia="宋体" w:hAnsi="Times New Roman"/>
                <w:color w:val="000000"/>
                <w:sz w:val="20"/>
                <w:szCs w:val="20"/>
              </w:rPr>
              <w:t>2,815 </w:t>
            </w:r>
          </w:p>
        </w:tc>
        <w:tc>
          <w:tcPr>
            <w:tcW w:w="0" w:type="auto"/>
            <w:shd w:val="clear" w:color="auto" w:fill="CCEEFF"/>
            <w:tcMar>
              <w:top w:w="40" w:type="dxa"/>
              <w:left w:w="0" w:type="dxa"/>
              <w:bottom w:w="40" w:type="dxa"/>
              <w:right w:w="20" w:type="dxa"/>
            </w:tcMar>
            <w:vAlign w:val="bottom"/>
          </w:tcPr>
          <w:p w14:paraId="5CD8F10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0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05" w14:textId="77777777" w:rsidR="00BA49F5" w:rsidRDefault="007E5E49">
            <w:pPr>
              <w:jc w:val="right"/>
              <w:textAlignment w:val="bottom"/>
            </w:pPr>
            <w:r>
              <w:rPr>
                <w:rFonts w:ascii="Times New Roman" w:eastAsia="宋体" w:hAnsi="Times New Roman"/>
                <w:color w:val="000000"/>
                <w:sz w:val="20"/>
                <w:szCs w:val="20"/>
              </w:rPr>
              <w:t>2,851 </w:t>
            </w:r>
          </w:p>
        </w:tc>
        <w:tc>
          <w:tcPr>
            <w:tcW w:w="0" w:type="auto"/>
            <w:shd w:val="clear" w:color="auto" w:fill="CCEEFF"/>
            <w:tcMar>
              <w:top w:w="40" w:type="dxa"/>
              <w:left w:w="0" w:type="dxa"/>
              <w:bottom w:w="40" w:type="dxa"/>
              <w:right w:w="20" w:type="dxa"/>
            </w:tcMar>
            <w:vAlign w:val="bottom"/>
          </w:tcPr>
          <w:p w14:paraId="5CD8F106" w14:textId="77777777" w:rsidR="00BA49F5" w:rsidRDefault="00BA49F5">
            <w:pPr>
              <w:jc w:val="right"/>
              <w:rPr>
                <w:rFonts w:ascii="宋体"/>
              </w:rPr>
            </w:pPr>
          </w:p>
        </w:tc>
      </w:tr>
      <w:tr w:rsidR="00BA49F5" w14:paraId="5CD8F111" w14:textId="77777777">
        <w:trPr>
          <w:jc w:val="center"/>
        </w:trPr>
        <w:tc>
          <w:tcPr>
            <w:tcW w:w="0" w:type="auto"/>
            <w:gridSpan w:val="3"/>
            <w:shd w:val="clear" w:color="auto" w:fill="FFFFFF"/>
            <w:tcMar>
              <w:top w:w="40" w:type="dxa"/>
              <w:left w:w="200" w:type="dxa"/>
              <w:bottom w:w="40" w:type="dxa"/>
              <w:right w:w="20" w:type="dxa"/>
            </w:tcMar>
            <w:vAlign w:val="bottom"/>
          </w:tcPr>
          <w:p w14:paraId="5CD8F108" w14:textId="77777777" w:rsidR="00BA49F5" w:rsidRDefault="007E5E49">
            <w:pPr>
              <w:textAlignment w:val="bottom"/>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5CD8F109" w14:textId="77777777" w:rsidR="00BA49F5" w:rsidRDefault="007E5E49">
            <w:pPr>
              <w:jc w:val="right"/>
              <w:textAlignment w:val="bottom"/>
            </w:pPr>
            <w:r>
              <w:rPr>
                <w:rFonts w:ascii="Times New Roman" w:eastAsia="宋体" w:hAnsi="Times New Roman"/>
                <w:color w:val="000000"/>
                <w:sz w:val="20"/>
                <w:szCs w:val="20"/>
              </w:rPr>
              <w:t>2,702 </w:t>
            </w:r>
          </w:p>
        </w:tc>
        <w:tc>
          <w:tcPr>
            <w:tcW w:w="0" w:type="auto"/>
            <w:shd w:val="clear" w:color="auto" w:fill="FFFFFF"/>
            <w:tcMar>
              <w:top w:w="40" w:type="dxa"/>
              <w:left w:w="0" w:type="dxa"/>
              <w:bottom w:w="40" w:type="dxa"/>
              <w:right w:w="20" w:type="dxa"/>
            </w:tcMar>
            <w:vAlign w:val="bottom"/>
          </w:tcPr>
          <w:p w14:paraId="5CD8F10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0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0C" w14:textId="77777777" w:rsidR="00BA49F5" w:rsidRDefault="007E5E49">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5CD8F10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0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0F" w14:textId="77777777" w:rsidR="00BA49F5" w:rsidRDefault="007E5E49">
            <w:pPr>
              <w:jc w:val="right"/>
              <w:textAlignment w:val="bottom"/>
            </w:pPr>
            <w:r>
              <w:rPr>
                <w:rFonts w:ascii="Times New Roman" w:eastAsia="宋体" w:hAnsi="Times New Roman"/>
                <w:color w:val="000000"/>
                <w:sz w:val="20"/>
                <w:szCs w:val="20"/>
              </w:rPr>
              <w:t>2,888 </w:t>
            </w:r>
          </w:p>
        </w:tc>
        <w:tc>
          <w:tcPr>
            <w:tcW w:w="0" w:type="auto"/>
            <w:shd w:val="clear" w:color="auto" w:fill="FFFFFF"/>
            <w:tcMar>
              <w:top w:w="40" w:type="dxa"/>
              <w:left w:w="0" w:type="dxa"/>
              <w:bottom w:w="40" w:type="dxa"/>
              <w:right w:w="20" w:type="dxa"/>
            </w:tcMar>
            <w:vAlign w:val="bottom"/>
          </w:tcPr>
          <w:p w14:paraId="5CD8F110" w14:textId="77777777" w:rsidR="00BA49F5" w:rsidRDefault="00BA49F5">
            <w:pPr>
              <w:jc w:val="right"/>
              <w:rPr>
                <w:rFonts w:ascii="宋体"/>
              </w:rPr>
            </w:pPr>
          </w:p>
        </w:tc>
      </w:tr>
      <w:tr w:rsidR="00BA49F5" w14:paraId="5CD8F118" w14:textId="77777777">
        <w:trPr>
          <w:jc w:val="center"/>
        </w:trPr>
        <w:tc>
          <w:tcPr>
            <w:tcW w:w="0" w:type="auto"/>
            <w:gridSpan w:val="3"/>
            <w:shd w:val="clear" w:color="auto" w:fill="CCEEFF"/>
            <w:tcMar>
              <w:top w:w="40" w:type="dxa"/>
              <w:left w:w="20" w:type="dxa"/>
              <w:bottom w:w="40" w:type="dxa"/>
              <w:right w:w="20" w:type="dxa"/>
            </w:tcMar>
            <w:vAlign w:val="bottom"/>
          </w:tcPr>
          <w:p w14:paraId="5CD8F112" w14:textId="77777777" w:rsidR="00BA49F5" w:rsidRDefault="007E5E49">
            <w:pPr>
              <w:textAlignment w:val="bottom"/>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40" w:type="dxa"/>
              <w:left w:w="20" w:type="dxa"/>
              <w:bottom w:w="40" w:type="dxa"/>
              <w:right w:w="20" w:type="dxa"/>
            </w:tcMar>
            <w:vAlign w:val="bottom"/>
          </w:tcPr>
          <w:p w14:paraId="5CD8F113"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114"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F115" w14:textId="77777777" w:rsidR="00BA49F5" w:rsidRDefault="007E5E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116"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F117" w14:textId="77777777" w:rsidR="00BA49F5" w:rsidRDefault="007E5E49">
            <w:pPr>
              <w:jc w:val="right"/>
              <w:textAlignment w:val="bottom"/>
            </w:pPr>
            <w:r>
              <w:rPr>
                <w:rFonts w:ascii="Times New Roman" w:eastAsia="宋体" w:hAnsi="Times New Roman"/>
                <w:color w:val="000000"/>
                <w:sz w:val="8"/>
                <w:szCs w:val="8"/>
              </w:rPr>
              <w:t> </w:t>
            </w:r>
          </w:p>
        </w:tc>
      </w:tr>
      <w:tr w:rsidR="00BA49F5" w14:paraId="5CD8F125" w14:textId="77777777">
        <w:trPr>
          <w:jc w:val="center"/>
        </w:trPr>
        <w:tc>
          <w:tcPr>
            <w:tcW w:w="0" w:type="auto"/>
            <w:gridSpan w:val="3"/>
            <w:shd w:val="clear" w:color="auto" w:fill="FFFFFF"/>
            <w:tcMar>
              <w:top w:w="40" w:type="dxa"/>
              <w:left w:w="200" w:type="dxa"/>
              <w:bottom w:w="40" w:type="dxa"/>
              <w:right w:w="20" w:type="dxa"/>
            </w:tcMar>
            <w:vAlign w:val="bottom"/>
          </w:tcPr>
          <w:p w14:paraId="5CD8F119" w14:textId="77777777" w:rsidR="00BA49F5" w:rsidRDefault="007E5E49">
            <w:pPr>
              <w:textAlignment w:val="bottom"/>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5CD8F11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11B" w14:textId="77777777" w:rsidR="00BA49F5" w:rsidRDefault="007E5E49">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5CD8F11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1D"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11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11F" w14:textId="77777777" w:rsidR="00BA49F5" w:rsidRDefault="007E5E49">
            <w:pPr>
              <w:jc w:val="right"/>
              <w:textAlignment w:val="bottom"/>
            </w:pPr>
            <w:r>
              <w:rPr>
                <w:rFonts w:ascii="Times New Roman" w:eastAsia="宋体" w:hAnsi="Times New Roman"/>
                <w:color w:val="000000"/>
                <w:sz w:val="20"/>
                <w:szCs w:val="20"/>
              </w:rPr>
              <w:t>577 </w:t>
            </w:r>
          </w:p>
        </w:tc>
        <w:tc>
          <w:tcPr>
            <w:tcW w:w="0" w:type="auto"/>
            <w:shd w:val="clear" w:color="auto" w:fill="FFFFFF"/>
            <w:tcMar>
              <w:top w:w="40" w:type="dxa"/>
              <w:left w:w="0" w:type="dxa"/>
              <w:bottom w:w="40" w:type="dxa"/>
              <w:right w:w="20" w:type="dxa"/>
            </w:tcMar>
            <w:vAlign w:val="bottom"/>
          </w:tcPr>
          <w:p w14:paraId="5CD8F12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21"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12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123" w14:textId="77777777" w:rsidR="00BA49F5" w:rsidRDefault="007E5E49">
            <w:pPr>
              <w:jc w:val="right"/>
              <w:textAlignment w:val="bottom"/>
            </w:pPr>
            <w:r>
              <w:rPr>
                <w:rFonts w:ascii="Times New Roman" w:eastAsia="宋体" w:hAnsi="Times New Roman"/>
                <w:color w:val="000000"/>
                <w:sz w:val="20"/>
                <w:szCs w:val="20"/>
              </w:rPr>
              <w:t>447 </w:t>
            </w:r>
          </w:p>
        </w:tc>
        <w:tc>
          <w:tcPr>
            <w:tcW w:w="0" w:type="auto"/>
            <w:shd w:val="clear" w:color="auto" w:fill="FFFFFF"/>
            <w:tcMar>
              <w:top w:w="40" w:type="dxa"/>
              <w:left w:w="0" w:type="dxa"/>
              <w:bottom w:w="40" w:type="dxa"/>
              <w:right w:w="20" w:type="dxa"/>
            </w:tcMar>
            <w:vAlign w:val="bottom"/>
          </w:tcPr>
          <w:p w14:paraId="5CD8F124" w14:textId="77777777" w:rsidR="00BA49F5" w:rsidRDefault="00BA49F5">
            <w:pPr>
              <w:jc w:val="right"/>
              <w:rPr>
                <w:rFonts w:ascii="宋体"/>
              </w:rPr>
            </w:pPr>
          </w:p>
        </w:tc>
      </w:tr>
      <w:tr w:rsidR="00BA49F5" w14:paraId="5CD8F12F" w14:textId="77777777">
        <w:trPr>
          <w:jc w:val="center"/>
        </w:trPr>
        <w:tc>
          <w:tcPr>
            <w:tcW w:w="0" w:type="auto"/>
            <w:gridSpan w:val="3"/>
            <w:shd w:val="clear" w:color="auto" w:fill="CCEEFF"/>
            <w:tcMar>
              <w:top w:w="40" w:type="dxa"/>
              <w:left w:w="200" w:type="dxa"/>
              <w:bottom w:w="40" w:type="dxa"/>
              <w:right w:w="20" w:type="dxa"/>
            </w:tcMar>
            <w:vAlign w:val="bottom"/>
          </w:tcPr>
          <w:p w14:paraId="5CD8F126"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5CD8F127" w14:textId="77777777" w:rsidR="00BA49F5" w:rsidRDefault="007E5E49">
            <w:pPr>
              <w:jc w:val="right"/>
              <w:textAlignment w:val="bottom"/>
            </w:pPr>
            <w:r>
              <w:rPr>
                <w:rFonts w:ascii="Times New Roman" w:eastAsia="宋体" w:hAnsi="Times New Roman"/>
                <w:color w:val="000000"/>
                <w:sz w:val="20"/>
                <w:szCs w:val="20"/>
              </w:rPr>
              <w:t>9,361 </w:t>
            </w:r>
          </w:p>
        </w:tc>
        <w:tc>
          <w:tcPr>
            <w:tcW w:w="0" w:type="auto"/>
            <w:shd w:val="clear" w:color="auto" w:fill="CCEEFF"/>
            <w:tcMar>
              <w:top w:w="40" w:type="dxa"/>
              <w:left w:w="0" w:type="dxa"/>
              <w:bottom w:w="40" w:type="dxa"/>
              <w:right w:w="20" w:type="dxa"/>
            </w:tcMar>
            <w:vAlign w:val="bottom"/>
          </w:tcPr>
          <w:p w14:paraId="5CD8F12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2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2A" w14:textId="77777777" w:rsidR="00BA49F5" w:rsidRDefault="007E5E49">
            <w:pPr>
              <w:jc w:val="right"/>
              <w:textAlignment w:val="bottom"/>
            </w:pPr>
            <w:r>
              <w:rPr>
                <w:rFonts w:ascii="Times New Roman" w:eastAsia="宋体" w:hAnsi="Times New Roman"/>
                <w:color w:val="000000"/>
                <w:sz w:val="20"/>
                <w:szCs w:val="20"/>
              </w:rPr>
              <w:t>7,106 </w:t>
            </w:r>
          </w:p>
        </w:tc>
        <w:tc>
          <w:tcPr>
            <w:tcW w:w="0" w:type="auto"/>
            <w:shd w:val="clear" w:color="auto" w:fill="CCEEFF"/>
            <w:tcMar>
              <w:top w:w="40" w:type="dxa"/>
              <w:left w:w="0" w:type="dxa"/>
              <w:bottom w:w="40" w:type="dxa"/>
              <w:right w:w="20" w:type="dxa"/>
            </w:tcMar>
            <w:vAlign w:val="bottom"/>
          </w:tcPr>
          <w:p w14:paraId="5CD8F12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2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2D" w14:textId="77777777" w:rsidR="00BA49F5" w:rsidRDefault="007E5E49">
            <w:pPr>
              <w:jc w:val="right"/>
              <w:textAlignment w:val="bottom"/>
            </w:pPr>
            <w:r>
              <w:rPr>
                <w:rFonts w:ascii="Times New Roman" w:eastAsia="宋体" w:hAnsi="Times New Roman"/>
                <w:color w:val="000000"/>
                <w:sz w:val="20"/>
                <w:szCs w:val="20"/>
              </w:rPr>
              <w:t>4,918 </w:t>
            </w:r>
          </w:p>
        </w:tc>
        <w:tc>
          <w:tcPr>
            <w:tcW w:w="0" w:type="auto"/>
            <w:shd w:val="clear" w:color="auto" w:fill="CCEEFF"/>
            <w:tcMar>
              <w:top w:w="40" w:type="dxa"/>
              <w:left w:w="0" w:type="dxa"/>
              <w:bottom w:w="40" w:type="dxa"/>
              <w:right w:w="20" w:type="dxa"/>
            </w:tcMar>
            <w:vAlign w:val="bottom"/>
          </w:tcPr>
          <w:p w14:paraId="5CD8F12E" w14:textId="77777777" w:rsidR="00BA49F5" w:rsidRDefault="00BA49F5">
            <w:pPr>
              <w:jc w:val="right"/>
              <w:rPr>
                <w:rFonts w:ascii="宋体"/>
              </w:rPr>
            </w:pPr>
          </w:p>
        </w:tc>
      </w:tr>
      <w:tr w:rsidR="00BA49F5" w14:paraId="5CD8F139" w14:textId="77777777">
        <w:trPr>
          <w:jc w:val="center"/>
        </w:trPr>
        <w:tc>
          <w:tcPr>
            <w:tcW w:w="0" w:type="auto"/>
            <w:gridSpan w:val="3"/>
            <w:shd w:val="clear" w:color="auto" w:fill="FFFFFF"/>
            <w:tcMar>
              <w:top w:w="40" w:type="dxa"/>
              <w:left w:w="200" w:type="dxa"/>
              <w:bottom w:w="40" w:type="dxa"/>
              <w:right w:w="20" w:type="dxa"/>
            </w:tcMar>
            <w:vAlign w:val="bottom"/>
          </w:tcPr>
          <w:p w14:paraId="5CD8F130" w14:textId="77777777" w:rsidR="00BA49F5" w:rsidRDefault="007E5E49">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5CD8F131" w14:textId="77777777" w:rsidR="00BA49F5" w:rsidRDefault="007E5E49">
            <w:pPr>
              <w:jc w:val="right"/>
              <w:textAlignment w:val="bottom"/>
            </w:pPr>
            <w:r>
              <w:rPr>
                <w:rFonts w:ascii="Times New Roman" w:eastAsia="宋体" w:hAnsi="Times New Roman"/>
                <w:color w:val="000000"/>
                <w:sz w:val="20"/>
                <w:szCs w:val="20"/>
              </w:rPr>
              <w:t>1,004 </w:t>
            </w:r>
          </w:p>
        </w:tc>
        <w:tc>
          <w:tcPr>
            <w:tcW w:w="0" w:type="auto"/>
            <w:shd w:val="clear" w:color="auto" w:fill="FFFFFF"/>
            <w:tcMar>
              <w:top w:w="40" w:type="dxa"/>
              <w:left w:w="0" w:type="dxa"/>
              <w:bottom w:w="40" w:type="dxa"/>
              <w:right w:w="20" w:type="dxa"/>
            </w:tcMar>
            <w:vAlign w:val="bottom"/>
          </w:tcPr>
          <w:p w14:paraId="5CD8F13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3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34" w14:textId="77777777" w:rsidR="00BA49F5" w:rsidRDefault="007E5E49">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bottom"/>
          </w:tcPr>
          <w:p w14:paraId="5CD8F13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3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37" w14:textId="77777777" w:rsidR="00BA49F5" w:rsidRDefault="007E5E49">
            <w:pPr>
              <w:jc w:val="right"/>
              <w:textAlignment w:val="bottom"/>
            </w:pPr>
            <w:r>
              <w:rPr>
                <w:rFonts w:ascii="Times New Roman" w:eastAsia="宋体" w:hAnsi="Times New Roman"/>
                <w:color w:val="000000"/>
                <w:sz w:val="20"/>
                <w:szCs w:val="20"/>
              </w:rPr>
              <w:t>691 </w:t>
            </w:r>
          </w:p>
        </w:tc>
        <w:tc>
          <w:tcPr>
            <w:tcW w:w="0" w:type="auto"/>
            <w:shd w:val="clear" w:color="auto" w:fill="FFFFFF"/>
            <w:tcMar>
              <w:top w:w="40" w:type="dxa"/>
              <w:left w:w="0" w:type="dxa"/>
              <w:bottom w:w="40" w:type="dxa"/>
              <w:right w:w="20" w:type="dxa"/>
            </w:tcMar>
            <w:vAlign w:val="bottom"/>
          </w:tcPr>
          <w:p w14:paraId="5CD8F138" w14:textId="77777777" w:rsidR="00BA49F5" w:rsidRDefault="00BA49F5">
            <w:pPr>
              <w:jc w:val="right"/>
              <w:rPr>
                <w:rFonts w:ascii="宋体"/>
              </w:rPr>
            </w:pPr>
          </w:p>
        </w:tc>
      </w:tr>
      <w:tr w:rsidR="00BA49F5" w14:paraId="5CD8F143" w14:textId="77777777">
        <w:trPr>
          <w:jc w:val="center"/>
        </w:trPr>
        <w:tc>
          <w:tcPr>
            <w:tcW w:w="0" w:type="auto"/>
            <w:gridSpan w:val="3"/>
            <w:shd w:val="clear" w:color="auto" w:fill="CCEEFF"/>
            <w:tcMar>
              <w:top w:w="40" w:type="dxa"/>
              <w:left w:w="200" w:type="dxa"/>
              <w:bottom w:w="40" w:type="dxa"/>
              <w:right w:w="20" w:type="dxa"/>
            </w:tcMar>
            <w:vAlign w:val="bottom"/>
          </w:tcPr>
          <w:p w14:paraId="5CD8F13A"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5CD8F13B" w14:textId="77777777" w:rsidR="00BA49F5" w:rsidRDefault="007E5E49">
            <w:pPr>
              <w:jc w:val="right"/>
              <w:textAlignment w:val="bottom"/>
            </w:pPr>
            <w:r>
              <w:rPr>
                <w:rFonts w:ascii="Times New Roman" w:eastAsia="宋体" w:hAnsi="Times New Roman"/>
                <w:color w:val="000000"/>
                <w:sz w:val="20"/>
                <w:szCs w:val="20"/>
              </w:rPr>
              <w:t>859 </w:t>
            </w:r>
          </w:p>
        </w:tc>
        <w:tc>
          <w:tcPr>
            <w:tcW w:w="0" w:type="auto"/>
            <w:shd w:val="clear" w:color="auto" w:fill="CCEEFF"/>
            <w:tcMar>
              <w:top w:w="40" w:type="dxa"/>
              <w:left w:w="0" w:type="dxa"/>
              <w:bottom w:w="40" w:type="dxa"/>
              <w:right w:w="20" w:type="dxa"/>
            </w:tcMar>
            <w:vAlign w:val="bottom"/>
          </w:tcPr>
          <w:p w14:paraId="5CD8F13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3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3E" w14:textId="77777777" w:rsidR="00BA49F5" w:rsidRDefault="007E5E49">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5CD8F13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4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41" w14:textId="77777777" w:rsidR="00BA49F5" w:rsidRDefault="007E5E49">
            <w:pPr>
              <w:jc w:val="right"/>
              <w:textAlignment w:val="bottom"/>
            </w:pPr>
            <w:r>
              <w:rPr>
                <w:rFonts w:ascii="Times New Roman" w:eastAsia="宋体" w:hAnsi="Times New Roman"/>
                <w:color w:val="000000"/>
                <w:sz w:val="20"/>
                <w:szCs w:val="20"/>
              </w:rPr>
              <w:t>480 </w:t>
            </w:r>
          </w:p>
        </w:tc>
        <w:tc>
          <w:tcPr>
            <w:tcW w:w="0" w:type="auto"/>
            <w:shd w:val="clear" w:color="auto" w:fill="CCEEFF"/>
            <w:tcMar>
              <w:top w:w="40" w:type="dxa"/>
              <w:left w:w="0" w:type="dxa"/>
              <w:bottom w:w="40" w:type="dxa"/>
              <w:right w:w="20" w:type="dxa"/>
            </w:tcMar>
            <w:vAlign w:val="bottom"/>
          </w:tcPr>
          <w:p w14:paraId="5CD8F142" w14:textId="77777777" w:rsidR="00BA49F5" w:rsidRDefault="00BA49F5">
            <w:pPr>
              <w:jc w:val="right"/>
              <w:rPr>
                <w:rFonts w:ascii="宋体"/>
              </w:rPr>
            </w:pPr>
          </w:p>
        </w:tc>
      </w:tr>
      <w:tr w:rsidR="00BA49F5" w14:paraId="5CD8F150" w14:textId="77777777">
        <w:trPr>
          <w:jc w:val="center"/>
        </w:trPr>
        <w:tc>
          <w:tcPr>
            <w:tcW w:w="0" w:type="auto"/>
            <w:gridSpan w:val="3"/>
            <w:shd w:val="clear" w:color="auto" w:fill="FFFFFF"/>
            <w:tcMar>
              <w:top w:w="40" w:type="dxa"/>
              <w:left w:w="380" w:type="dxa"/>
              <w:bottom w:w="40" w:type="dxa"/>
              <w:right w:w="20" w:type="dxa"/>
            </w:tcMar>
            <w:vAlign w:val="bottom"/>
          </w:tcPr>
          <w:p w14:paraId="5CD8F144" w14:textId="77777777" w:rsidR="00BA49F5" w:rsidRDefault="007E5E49">
            <w:pPr>
              <w:textAlignment w:val="bottom"/>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14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146" w14:textId="77777777" w:rsidR="00BA49F5" w:rsidRDefault="007E5E49">
            <w:pPr>
              <w:jc w:val="right"/>
              <w:textAlignment w:val="bottom"/>
            </w:pPr>
            <w:r>
              <w:rPr>
                <w:rFonts w:ascii="Times New Roman" w:eastAsia="宋体" w:hAnsi="Times New Roman"/>
                <w:color w:val="000000"/>
                <w:sz w:val="20"/>
                <w:szCs w:val="20"/>
              </w:rPr>
              <w:t>11,992 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14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48"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14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14A" w14:textId="77777777" w:rsidR="00BA49F5" w:rsidRDefault="007E5E49">
            <w:pPr>
              <w:jc w:val="right"/>
              <w:textAlignment w:val="bottom"/>
            </w:pPr>
            <w:r>
              <w:rPr>
                <w:rFonts w:ascii="Times New Roman" w:eastAsia="宋体" w:hAnsi="Times New Roman"/>
                <w:color w:val="000000"/>
                <w:sz w:val="20"/>
                <w:szCs w:val="20"/>
              </w:rPr>
              <w:t>9,164 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14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4C"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14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14E" w14:textId="77777777" w:rsidR="00BA49F5" w:rsidRDefault="007E5E49">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14F" w14:textId="77777777" w:rsidR="00BA49F5" w:rsidRDefault="00BA49F5">
            <w:pPr>
              <w:jc w:val="right"/>
              <w:rPr>
                <w:rFonts w:ascii="宋体"/>
              </w:rPr>
            </w:pPr>
          </w:p>
        </w:tc>
      </w:tr>
    </w:tbl>
    <w:p w14:paraId="5CD8F151" w14:textId="77777777" w:rsidR="00BA49F5" w:rsidRDefault="00BA49F5">
      <w:pPr>
        <w:jc w:val="center"/>
      </w:pPr>
    </w:p>
    <w:p w14:paraId="5CD8F152" w14:textId="77777777" w:rsidR="00BA49F5" w:rsidRDefault="007E5E49">
      <w:pPr>
        <w:jc w:val="center"/>
      </w:pPr>
      <w:r>
        <w:rPr>
          <w:rFonts w:ascii="Times New Roman" w:eastAsia="宋体" w:hAnsi="Times New Roman"/>
          <w:i/>
          <w:iCs/>
          <w:color w:val="000000"/>
          <w:sz w:val="20"/>
          <w:szCs w:val="20"/>
        </w:rPr>
        <w:t>See Accompanying Notes to Consolidated Financial Statements.</w:t>
      </w:r>
    </w:p>
    <w:p w14:paraId="5CD8F153" w14:textId="77777777" w:rsidR="00BA49F5" w:rsidRDefault="007E5E49">
      <w:pPr>
        <w:jc w:val="center"/>
      </w:pPr>
      <w:r>
        <w:rPr>
          <w:rFonts w:ascii="Times New Roman" w:eastAsia="宋体" w:hAnsi="Times New Roman"/>
          <w:color w:val="000000"/>
          <w:sz w:val="20"/>
          <w:szCs w:val="20"/>
        </w:rPr>
        <w:t>86</w:t>
      </w:r>
    </w:p>
    <w:p w14:paraId="5CD8F154" w14:textId="77777777" w:rsidR="00BA49F5" w:rsidRDefault="007E5E49">
      <w:r>
        <w:pict w14:anchorId="5CD90D4B">
          <v:rect id="_x0000_i1110" style="width:415.3pt;height:1.5pt" o:hralign="center" o:hrstd="t" o:hr="t" fillcolor="#a0a0a0" stroked="f"/>
        </w:pict>
      </w:r>
    </w:p>
    <w:p w14:paraId="5CD8F155" w14:textId="77777777" w:rsidR="00BA49F5" w:rsidRDefault="00BA49F5"/>
    <w:p w14:paraId="5CD8F156" w14:textId="77777777" w:rsidR="00BA49F5" w:rsidRDefault="00BA49F5"/>
    <w:p w14:paraId="5CD8F157" w14:textId="77777777" w:rsidR="00BA49F5" w:rsidRDefault="007E5E49">
      <w:hyperlink r:id="rId267" w:anchor="i6df229dad1864210ab76200083e26819_7" w:history="1">
        <w:r>
          <w:rPr>
            <w:rStyle w:val="a5"/>
            <w:rFonts w:ascii="Times New Roman" w:eastAsia="宋体" w:hAnsi="Times New Roman"/>
            <w:sz w:val="20"/>
            <w:szCs w:val="20"/>
          </w:rPr>
          <w:t>T</w:t>
        </w:r>
      </w:hyperlink>
      <w:hyperlink r:id="rId268" w:anchor="i6df229dad1864210ab76200083e26819_7" w:history="1">
        <w:r>
          <w:rPr>
            <w:rStyle w:val="a5"/>
            <w:rFonts w:ascii="Times New Roman" w:eastAsia="宋体" w:hAnsi="Times New Roman"/>
            <w:sz w:val="20"/>
            <w:szCs w:val="20"/>
          </w:rPr>
          <w:t>able of Contents</w:t>
        </w:r>
      </w:hyperlink>
    </w:p>
    <w:p w14:paraId="5CD8F158" w14:textId="77777777" w:rsidR="00BA49F5" w:rsidRDefault="007E5E49">
      <w:pPr>
        <w:jc w:val="center"/>
      </w:pPr>
      <w:r>
        <w:rPr>
          <w:rFonts w:ascii="Times New Roman" w:eastAsia="宋体" w:hAnsi="Times New Roman"/>
          <w:b/>
          <w:bCs/>
          <w:color w:val="000000"/>
          <w:sz w:val="20"/>
          <w:szCs w:val="20"/>
        </w:rPr>
        <w:t>META PLATFORMS, INC.</w:t>
      </w:r>
    </w:p>
    <w:p w14:paraId="5CD8F159" w14:textId="77777777" w:rsidR="00BA49F5" w:rsidRDefault="007E5E49">
      <w:pPr>
        <w:jc w:val="center"/>
      </w:pPr>
      <w:r>
        <w:rPr>
          <w:rFonts w:ascii="Times New Roman" w:eastAsia="宋体" w:hAnsi="Times New Roman"/>
          <w:b/>
          <w:bCs/>
          <w:color w:val="000000"/>
          <w:sz w:val="20"/>
          <w:szCs w:val="20"/>
        </w:rPr>
        <w:t xml:space="preserve">CONSOLIDATED STATEMENTS OF COMPREHENSIVE INCOME </w:t>
      </w:r>
    </w:p>
    <w:p w14:paraId="5CD8F15A" w14:textId="77777777" w:rsidR="00BA49F5" w:rsidRDefault="007E5E4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BA49F5" w14:paraId="5CD8F16D" w14:textId="77777777">
        <w:trPr>
          <w:jc w:val="center"/>
        </w:trPr>
        <w:tc>
          <w:tcPr>
            <w:tcW w:w="50" w:type="pct"/>
            <w:shd w:val="clear" w:color="auto" w:fill="auto"/>
            <w:vAlign w:val="bottom"/>
          </w:tcPr>
          <w:p w14:paraId="5CD8F15B" w14:textId="77777777" w:rsidR="00BA49F5" w:rsidRDefault="00BA49F5">
            <w:pPr>
              <w:rPr>
                <w:rFonts w:ascii="宋体"/>
              </w:rPr>
            </w:pPr>
          </w:p>
        </w:tc>
        <w:tc>
          <w:tcPr>
            <w:tcW w:w="2928" w:type="pct"/>
            <w:shd w:val="clear" w:color="auto" w:fill="auto"/>
            <w:vAlign w:val="bottom"/>
          </w:tcPr>
          <w:p w14:paraId="5CD8F15C" w14:textId="77777777" w:rsidR="00BA49F5" w:rsidRDefault="00BA49F5">
            <w:pPr>
              <w:rPr>
                <w:rFonts w:ascii="宋体"/>
              </w:rPr>
            </w:pPr>
          </w:p>
        </w:tc>
        <w:tc>
          <w:tcPr>
            <w:tcW w:w="5" w:type="pct"/>
            <w:shd w:val="clear" w:color="auto" w:fill="auto"/>
            <w:vAlign w:val="bottom"/>
          </w:tcPr>
          <w:p w14:paraId="5CD8F15D" w14:textId="77777777" w:rsidR="00BA49F5" w:rsidRDefault="00BA49F5">
            <w:pPr>
              <w:rPr>
                <w:rFonts w:ascii="宋体"/>
              </w:rPr>
            </w:pPr>
          </w:p>
        </w:tc>
        <w:tc>
          <w:tcPr>
            <w:tcW w:w="50" w:type="pct"/>
            <w:shd w:val="clear" w:color="auto" w:fill="auto"/>
            <w:vAlign w:val="bottom"/>
          </w:tcPr>
          <w:p w14:paraId="5CD8F15E" w14:textId="77777777" w:rsidR="00BA49F5" w:rsidRDefault="00BA49F5">
            <w:pPr>
              <w:rPr>
                <w:rFonts w:ascii="宋体"/>
              </w:rPr>
            </w:pPr>
          </w:p>
        </w:tc>
        <w:tc>
          <w:tcPr>
            <w:tcW w:w="592" w:type="pct"/>
            <w:shd w:val="clear" w:color="auto" w:fill="auto"/>
            <w:vAlign w:val="bottom"/>
          </w:tcPr>
          <w:p w14:paraId="5CD8F15F" w14:textId="77777777" w:rsidR="00BA49F5" w:rsidRDefault="00BA49F5">
            <w:pPr>
              <w:rPr>
                <w:rFonts w:ascii="宋体"/>
              </w:rPr>
            </w:pPr>
          </w:p>
        </w:tc>
        <w:tc>
          <w:tcPr>
            <w:tcW w:w="5" w:type="pct"/>
            <w:shd w:val="clear" w:color="auto" w:fill="auto"/>
            <w:vAlign w:val="bottom"/>
          </w:tcPr>
          <w:p w14:paraId="5CD8F160" w14:textId="77777777" w:rsidR="00BA49F5" w:rsidRDefault="00BA49F5">
            <w:pPr>
              <w:rPr>
                <w:rFonts w:ascii="宋体"/>
              </w:rPr>
            </w:pPr>
          </w:p>
        </w:tc>
        <w:tc>
          <w:tcPr>
            <w:tcW w:w="5" w:type="pct"/>
            <w:shd w:val="clear" w:color="auto" w:fill="auto"/>
            <w:vAlign w:val="bottom"/>
          </w:tcPr>
          <w:p w14:paraId="5CD8F161" w14:textId="77777777" w:rsidR="00BA49F5" w:rsidRDefault="00BA49F5">
            <w:pPr>
              <w:rPr>
                <w:rFonts w:ascii="宋体"/>
              </w:rPr>
            </w:pPr>
          </w:p>
        </w:tc>
        <w:tc>
          <w:tcPr>
            <w:tcW w:w="27" w:type="pct"/>
            <w:shd w:val="clear" w:color="auto" w:fill="auto"/>
            <w:vAlign w:val="bottom"/>
          </w:tcPr>
          <w:p w14:paraId="5CD8F162" w14:textId="77777777" w:rsidR="00BA49F5" w:rsidRDefault="00BA49F5">
            <w:pPr>
              <w:rPr>
                <w:rFonts w:ascii="宋体"/>
              </w:rPr>
            </w:pPr>
          </w:p>
        </w:tc>
        <w:tc>
          <w:tcPr>
            <w:tcW w:w="5" w:type="pct"/>
            <w:shd w:val="clear" w:color="auto" w:fill="auto"/>
            <w:vAlign w:val="bottom"/>
          </w:tcPr>
          <w:p w14:paraId="5CD8F163" w14:textId="77777777" w:rsidR="00BA49F5" w:rsidRDefault="00BA49F5">
            <w:pPr>
              <w:rPr>
                <w:rFonts w:ascii="宋体"/>
              </w:rPr>
            </w:pPr>
          </w:p>
        </w:tc>
        <w:tc>
          <w:tcPr>
            <w:tcW w:w="50" w:type="pct"/>
            <w:shd w:val="clear" w:color="auto" w:fill="auto"/>
            <w:vAlign w:val="bottom"/>
          </w:tcPr>
          <w:p w14:paraId="5CD8F164" w14:textId="77777777" w:rsidR="00BA49F5" w:rsidRDefault="00BA49F5">
            <w:pPr>
              <w:rPr>
                <w:rFonts w:ascii="宋体"/>
              </w:rPr>
            </w:pPr>
          </w:p>
        </w:tc>
        <w:tc>
          <w:tcPr>
            <w:tcW w:w="592" w:type="pct"/>
            <w:shd w:val="clear" w:color="auto" w:fill="auto"/>
            <w:vAlign w:val="bottom"/>
          </w:tcPr>
          <w:p w14:paraId="5CD8F165" w14:textId="77777777" w:rsidR="00BA49F5" w:rsidRDefault="00BA49F5">
            <w:pPr>
              <w:rPr>
                <w:rFonts w:ascii="宋体"/>
              </w:rPr>
            </w:pPr>
          </w:p>
        </w:tc>
        <w:tc>
          <w:tcPr>
            <w:tcW w:w="5" w:type="pct"/>
            <w:shd w:val="clear" w:color="auto" w:fill="auto"/>
            <w:vAlign w:val="bottom"/>
          </w:tcPr>
          <w:p w14:paraId="5CD8F166" w14:textId="77777777" w:rsidR="00BA49F5" w:rsidRDefault="00BA49F5">
            <w:pPr>
              <w:rPr>
                <w:rFonts w:ascii="宋体"/>
              </w:rPr>
            </w:pPr>
          </w:p>
        </w:tc>
        <w:tc>
          <w:tcPr>
            <w:tcW w:w="5" w:type="pct"/>
            <w:shd w:val="clear" w:color="auto" w:fill="auto"/>
            <w:vAlign w:val="bottom"/>
          </w:tcPr>
          <w:p w14:paraId="5CD8F167" w14:textId="77777777" w:rsidR="00BA49F5" w:rsidRDefault="00BA49F5">
            <w:pPr>
              <w:rPr>
                <w:rFonts w:ascii="宋体"/>
              </w:rPr>
            </w:pPr>
          </w:p>
        </w:tc>
        <w:tc>
          <w:tcPr>
            <w:tcW w:w="27" w:type="pct"/>
            <w:shd w:val="clear" w:color="auto" w:fill="auto"/>
            <w:vAlign w:val="bottom"/>
          </w:tcPr>
          <w:p w14:paraId="5CD8F168" w14:textId="77777777" w:rsidR="00BA49F5" w:rsidRDefault="00BA49F5">
            <w:pPr>
              <w:rPr>
                <w:rFonts w:ascii="宋体"/>
              </w:rPr>
            </w:pPr>
          </w:p>
        </w:tc>
        <w:tc>
          <w:tcPr>
            <w:tcW w:w="5" w:type="pct"/>
            <w:shd w:val="clear" w:color="auto" w:fill="auto"/>
            <w:vAlign w:val="bottom"/>
          </w:tcPr>
          <w:p w14:paraId="5CD8F169" w14:textId="77777777" w:rsidR="00BA49F5" w:rsidRDefault="00BA49F5">
            <w:pPr>
              <w:rPr>
                <w:rFonts w:ascii="宋体"/>
              </w:rPr>
            </w:pPr>
          </w:p>
        </w:tc>
        <w:tc>
          <w:tcPr>
            <w:tcW w:w="50" w:type="pct"/>
            <w:shd w:val="clear" w:color="auto" w:fill="auto"/>
            <w:vAlign w:val="bottom"/>
          </w:tcPr>
          <w:p w14:paraId="5CD8F16A" w14:textId="77777777" w:rsidR="00BA49F5" w:rsidRDefault="00BA49F5">
            <w:pPr>
              <w:rPr>
                <w:rFonts w:ascii="宋体"/>
              </w:rPr>
            </w:pPr>
          </w:p>
        </w:tc>
        <w:tc>
          <w:tcPr>
            <w:tcW w:w="592" w:type="pct"/>
            <w:shd w:val="clear" w:color="auto" w:fill="auto"/>
            <w:vAlign w:val="bottom"/>
          </w:tcPr>
          <w:p w14:paraId="5CD8F16B" w14:textId="77777777" w:rsidR="00BA49F5" w:rsidRDefault="00BA49F5">
            <w:pPr>
              <w:rPr>
                <w:rFonts w:ascii="宋体"/>
              </w:rPr>
            </w:pPr>
          </w:p>
        </w:tc>
        <w:tc>
          <w:tcPr>
            <w:tcW w:w="5" w:type="pct"/>
            <w:shd w:val="clear" w:color="auto" w:fill="auto"/>
            <w:vAlign w:val="bottom"/>
          </w:tcPr>
          <w:p w14:paraId="5CD8F16C" w14:textId="77777777" w:rsidR="00BA49F5" w:rsidRDefault="00BA49F5">
            <w:pPr>
              <w:rPr>
                <w:rFonts w:ascii="宋体"/>
              </w:rPr>
            </w:pPr>
          </w:p>
        </w:tc>
      </w:tr>
      <w:tr w:rsidR="00BA49F5" w14:paraId="5CD8F170" w14:textId="77777777">
        <w:trPr>
          <w:jc w:val="center"/>
        </w:trPr>
        <w:tc>
          <w:tcPr>
            <w:tcW w:w="0" w:type="auto"/>
            <w:gridSpan w:val="3"/>
            <w:shd w:val="clear" w:color="auto" w:fill="auto"/>
            <w:tcMar>
              <w:top w:w="0" w:type="dxa"/>
              <w:left w:w="20" w:type="dxa"/>
              <w:bottom w:w="0" w:type="dxa"/>
              <w:right w:w="20" w:type="dxa"/>
            </w:tcMar>
            <w:vAlign w:val="bottom"/>
          </w:tcPr>
          <w:p w14:paraId="5CD8F16E"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16F"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8F177" w14:textId="77777777">
        <w:trPr>
          <w:jc w:val="center"/>
        </w:trPr>
        <w:tc>
          <w:tcPr>
            <w:tcW w:w="0" w:type="auto"/>
            <w:gridSpan w:val="3"/>
            <w:shd w:val="clear" w:color="auto" w:fill="auto"/>
            <w:tcMar>
              <w:top w:w="0" w:type="dxa"/>
              <w:left w:w="20" w:type="dxa"/>
              <w:bottom w:w="0" w:type="dxa"/>
              <w:right w:w="20" w:type="dxa"/>
            </w:tcMar>
            <w:vAlign w:val="bottom"/>
          </w:tcPr>
          <w:p w14:paraId="5CD8F17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172"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17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174"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17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176"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184" w14:textId="77777777">
        <w:trPr>
          <w:jc w:val="center"/>
        </w:trPr>
        <w:tc>
          <w:tcPr>
            <w:tcW w:w="0" w:type="auto"/>
            <w:gridSpan w:val="3"/>
            <w:shd w:val="clear" w:color="auto" w:fill="CCEEFF"/>
            <w:tcMar>
              <w:top w:w="40" w:type="dxa"/>
              <w:left w:w="20" w:type="dxa"/>
              <w:bottom w:w="40" w:type="dxa"/>
              <w:right w:w="20" w:type="dxa"/>
            </w:tcMar>
            <w:vAlign w:val="bottom"/>
          </w:tcPr>
          <w:p w14:paraId="5CD8F178" w14:textId="77777777" w:rsidR="00BA49F5" w:rsidRDefault="007E5E49">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17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17A"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7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7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17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17E"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7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80"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18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182"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83" w14:textId="77777777" w:rsidR="00BA49F5" w:rsidRDefault="00BA49F5">
            <w:pPr>
              <w:jc w:val="right"/>
              <w:rPr>
                <w:rFonts w:ascii="宋体"/>
              </w:rPr>
            </w:pPr>
          </w:p>
        </w:tc>
      </w:tr>
      <w:tr w:rsidR="00BA49F5" w14:paraId="5CD8F18B" w14:textId="77777777">
        <w:trPr>
          <w:jc w:val="center"/>
        </w:trPr>
        <w:tc>
          <w:tcPr>
            <w:tcW w:w="0" w:type="auto"/>
            <w:gridSpan w:val="3"/>
            <w:shd w:val="clear" w:color="auto" w:fill="FFFFFF"/>
            <w:tcMar>
              <w:top w:w="40" w:type="dxa"/>
              <w:left w:w="20" w:type="dxa"/>
              <w:bottom w:w="40" w:type="dxa"/>
              <w:right w:w="20" w:type="dxa"/>
            </w:tcMar>
            <w:vAlign w:val="bottom"/>
          </w:tcPr>
          <w:p w14:paraId="5CD8F185" w14:textId="77777777" w:rsidR="00BA49F5" w:rsidRDefault="007E5E49">
            <w:pPr>
              <w:textAlignment w:val="bottom"/>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5CD8F186"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187"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18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18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18A" w14:textId="77777777" w:rsidR="00BA49F5" w:rsidRDefault="00BA49F5">
            <w:pPr>
              <w:rPr>
                <w:rFonts w:ascii="宋体"/>
              </w:rPr>
            </w:pPr>
          </w:p>
        </w:tc>
      </w:tr>
      <w:tr w:rsidR="00BA49F5" w14:paraId="5CD8F195" w14:textId="77777777">
        <w:trPr>
          <w:jc w:val="center"/>
        </w:trPr>
        <w:tc>
          <w:tcPr>
            <w:tcW w:w="0" w:type="auto"/>
            <w:gridSpan w:val="3"/>
            <w:shd w:val="clear" w:color="auto" w:fill="CCEEFF"/>
            <w:tcMar>
              <w:top w:w="40" w:type="dxa"/>
              <w:left w:w="200" w:type="dxa"/>
              <w:bottom w:w="40" w:type="dxa"/>
              <w:right w:w="20" w:type="dxa"/>
            </w:tcMar>
            <w:vAlign w:val="bottom"/>
          </w:tcPr>
          <w:p w14:paraId="5CD8F18C" w14:textId="77777777" w:rsidR="00BA49F5" w:rsidRDefault="007E5E49">
            <w:pPr>
              <w:textAlignment w:val="bottom"/>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5CD8F18D" w14:textId="77777777" w:rsidR="00BA49F5" w:rsidRDefault="007E5E49">
            <w:pPr>
              <w:jc w:val="right"/>
              <w:textAlignment w:val="bottom"/>
            </w:pPr>
            <w:r>
              <w:rPr>
                <w:rFonts w:ascii="Times New Roman" w:eastAsia="宋体" w:hAnsi="Times New Roman"/>
                <w:color w:val="000000"/>
                <w:sz w:val="20"/>
                <w:szCs w:val="20"/>
              </w:rPr>
              <w:t>(1,184)</w:t>
            </w:r>
          </w:p>
        </w:tc>
        <w:tc>
          <w:tcPr>
            <w:tcW w:w="0" w:type="auto"/>
            <w:shd w:val="clear" w:color="auto" w:fill="CCEEFF"/>
            <w:tcMar>
              <w:top w:w="40" w:type="dxa"/>
              <w:left w:w="0" w:type="dxa"/>
              <w:bottom w:w="40" w:type="dxa"/>
              <w:right w:w="20" w:type="dxa"/>
            </w:tcMar>
            <w:vAlign w:val="bottom"/>
          </w:tcPr>
          <w:p w14:paraId="5CD8F18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8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90" w14:textId="77777777" w:rsidR="00BA49F5" w:rsidRDefault="007E5E49">
            <w:pPr>
              <w:jc w:val="right"/>
              <w:textAlignment w:val="bottom"/>
            </w:pPr>
            <w:r>
              <w:rPr>
                <w:rFonts w:ascii="Times New Roman" w:eastAsia="宋体" w:hAnsi="Times New Roman"/>
                <w:color w:val="000000"/>
                <w:sz w:val="20"/>
                <w:szCs w:val="20"/>
              </w:rPr>
              <w:t>(1,116)</w:t>
            </w:r>
          </w:p>
        </w:tc>
        <w:tc>
          <w:tcPr>
            <w:tcW w:w="0" w:type="auto"/>
            <w:shd w:val="clear" w:color="auto" w:fill="CCEEFF"/>
            <w:tcMar>
              <w:top w:w="40" w:type="dxa"/>
              <w:left w:w="0" w:type="dxa"/>
              <w:bottom w:w="40" w:type="dxa"/>
              <w:right w:w="20" w:type="dxa"/>
            </w:tcMar>
            <w:vAlign w:val="bottom"/>
          </w:tcPr>
          <w:p w14:paraId="5CD8F19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9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193" w14:textId="77777777" w:rsidR="00BA49F5" w:rsidRDefault="007E5E49">
            <w:pPr>
              <w:jc w:val="right"/>
              <w:textAlignment w:val="bottom"/>
            </w:pPr>
            <w:r>
              <w:rPr>
                <w:rFonts w:ascii="Times New Roman" w:eastAsia="宋体" w:hAnsi="Times New Roman"/>
                <w:color w:val="000000"/>
                <w:sz w:val="20"/>
                <w:szCs w:val="20"/>
              </w:rPr>
              <w:t>1,056 </w:t>
            </w:r>
          </w:p>
        </w:tc>
        <w:tc>
          <w:tcPr>
            <w:tcW w:w="0" w:type="auto"/>
            <w:shd w:val="clear" w:color="auto" w:fill="CCEEFF"/>
            <w:tcMar>
              <w:top w:w="40" w:type="dxa"/>
              <w:left w:w="0" w:type="dxa"/>
              <w:bottom w:w="40" w:type="dxa"/>
              <w:right w:w="20" w:type="dxa"/>
            </w:tcMar>
            <w:vAlign w:val="bottom"/>
          </w:tcPr>
          <w:p w14:paraId="5CD8F194" w14:textId="77777777" w:rsidR="00BA49F5" w:rsidRDefault="00BA49F5">
            <w:pPr>
              <w:jc w:val="right"/>
              <w:rPr>
                <w:rFonts w:ascii="宋体"/>
              </w:rPr>
            </w:pPr>
          </w:p>
        </w:tc>
      </w:tr>
      <w:tr w:rsidR="00BA49F5" w14:paraId="5CD8F19F" w14:textId="77777777">
        <w:trPr>
          <w:jc w:val="center"/>
        </w:trPr>
        <w:tc>
          <w:tcPr>
            <w:tcW w:w="0" w:type="auto"/>
            <w:gridSpan w:val="3"/>
            <w:shd w:val="clear" w:color="auto" w:fill="FFFFFF"/>
            <w:tcMar>
              <w:top w:w="40" w:type="dxa"/>
              <w:left w:w="200" w:type="dxa"/>
              <w:bottom w:w="40" w:type="dxa"/>
              <w:right w:w="20" w:type="dxa"/>
            </w:tcMar>
            <w:vAlign w:val="bottom"/>
          </w:tcPr>
          <w:p w14:paraId="5CD8F196" w14:textId="77777777" w:rsidR="00BA49F5" w:rsidRDefault="007E5E49">
            <w:pPr>
              <w:textAlignment w:val="bottom"/>
            </w:pPr>
            <w:r>
              <w:rPr>
                <w:rFonts w:ascii="Times New Roman" w:eastAsia="宋体" w:hAnsi="Times New Roman"/>
                <w:color w:val="000000"/>
                <w:sz w:val="20"/>
                <w:szCs w:val="20"/>
              </w:rPr>
              <w:t xml:space="preserve">Change in unrealized gain (loss) on available-for-sale investments and other, net of </w:t>
            </w:r>
            <w:r>
              <w:rPr>
                <w:rFonts w:ascii="Times New Roman" w:eastAsia="宋体" w:hAnsi="Times New Roman"/>
                <w:color w:val="000000"/>
                <w:sz w:val="20"/>
                <w:szCs w:val="20"/>
              </w:rPr>
              <w:t>tax</w:t>
            </w:r>
          </w:p>
        </w:tc>
        <w:tc>
          <w:tcPr>
            <w:tcW w:w="0" w:type="auto"/>
            <w:gridSpan w:val="2"/>
            <w:shd w:val="clear" w:color="auto" w:fill="FFFFFF"/>
            <w:tcMar>
              <w:top w:w="40" w:type="dxa"/>
              <w:left w:w="20" w:type="dxa"/>
              <w:bottom w:w="40" w:type="dxa"/>
              <w:right w:w="0" w:type="dxa"/>
            </w:tcMar>
            <w:vAlign w:val="bottom"/>
          </w:tcPr>
          <w:p w14:paraId="5CD8F197" w14:textId="77777777" w:rsidR="00BA49F5" w:rsidRDefault="007E5E49">
            <w:pPr>
              <w:jc w:val="right"/>
              <w:textAlignment w:val="bottom"/>
            </w:pPr>
            <w:r>
              <w:rPr>
                <w:rFonts w:ascii="Times New Roman" w:eastAsia="宋体" w:hAnsi="Times New Roman"/>
                <w:color w:val="000000"/>
                <w:sz w:val="20"/>
                <w:szCs w:val="20"/>
              </w:rPr>
              <w:t>(1,653)</w:t>
            </w:r>
          </w:p>
        </w:tc>
        <w:tc>
          <w:tcPr>
            <w:tcW w:w="0" w:type="auto"/>
            <w:shd w:val="clear" w:color="auto" w:fill="FFFFFF"/>
            <w:tcMar>
              <w:top w:w="40" w:type="dxa"/>
              <w:left w:w="0" w:type="dxa"/>
              <w:bottom w:w="40" w:type="dxa"/>
              <w:right w:w="20" w:type="dxa"/>
            </w:tcMar>
            <w:vAlign w:val="bottom"/>
          </w:tcPr>
          <w:p w14:paraId="5CD8F19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9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9A" w14:textId="77777777" w:rsidR="00BA49F5" w:rsidRDefault="007E5E49">
            <w:pPr>
              <w:jc w:val="right"/>
              <w:textAlignment w:val="bottom"/>
            </w:pPr>
            <w:r>
              <w:rPr>
                <w:rFonts w:ascii="Times New Roman" w:eastAsia="宋体" w:hAnsi="Times New Roman"/>
                <w:color w:val="000000"/>
                <w:sz w:val="20"/>
                <w:szCs w:val="20"/>
              </w:rPr>
              <w:t>(504)</w:t>
            </w:r>
          </w:p>
        </w:tc>
        <w:tc>
          <w:tcPr>
            <w:tcW w:w="0" w:type="auto"/>
            <w:shd w:val="clear" w:color="auto" w:fill="FFFFFF"/>
            <w:tcMar>
              <w:top w:w="40" w:type="dxa"/>
              <w:left w:w="0" w:type="dxa"/>
              <w:bottom w:w="40" w:type="dxa"/>
              <w:right w:w="20" w:type="dxa"/>
            </w:tcMar>
            <w:vAlign w:val="bottom"/>
          </w:tcPr>
          <w:p w14:paraId="5CD8F19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19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19D" w14:textId="77777777" w:rsidR="00BA49F5" w:rsidRDefault="007E5E49">
            <w:pPr>
              <w:jc w:val="right"/>
              <w:textAlignment w:val="bottom"/>
            </w:pPr>
            <w:r>
              <w:rPr>
                <w:rFonts w:ascii="Times New Roman" w:eastAsia="宋体" w:hAnsi="Times New Roman"/>
                <w:color w:val="000000"/>
                <w:sz w:val="20"/>
                <w:szCs w:val="20"/>
              </w:rPr>
              <w:t>360 </w:t>
            </w:r>
          </w:p>
        </w:tc>
        <w:tc>
          <w:tcPr>
            <w:tcW w:w="0" w:type="auto"/>
            <w:shd w:val="clear" w:color="auto" w:fill="FFFFFF"/>
            <w:tcMar>
              <w:top w:w="40" w:type="dxa"/>
              <w:left w:w="0" w:type="dxa"/>
              <w:bottom w:w="40" w:type="dxa"/>
              <w:right w:w="20" w:type="dxa"/>
            </w:tcMar>
            <w:vAlign w:val="bottom"/>
          </w:tcPr>
          <w:p w14:paraId="5CD8F19E" w14:textId="77777777" w:rsidR="00BA49F5" w:rsidRDefault="00BA49F5">
            <w:pPr>
              <w:jc w:val="right"/>
              <w:rPr>
                <w:rFonts w:ascii="宋体"/>
              </w:rPr>
            </w:pPr>
          </w:p>
        </w:tc>
      </w:tr>
      <w:tr w:rsidR="00BA49F5" w14:paraId="5CD8F1AC" w14:textId="77777777">
        <w:trPr>
          <w:jc w:val="center"/>
        </w:trPr>
        <w:tc>
          <w:tcPr>
            <w:tcW w:w="0" w:type="auto"/>
            <w:gridSpan w:val="3"/>
            <w:shd w:val="clear" w:color="auto" w:fill="CCEEFF"/>
            <w:tcMar>
              <w:top w:w="40" w:type="dxa"/>
              <w:left w:w="20" w:type="dxa"/>
              <w:bottom w:w="40" w:type="dxa"/>
              <w:right w:w="20" w:type="dxa"/>
            </w:tcMar>
            <w:vAlign w:val="bottom"/>
          </w:tcPr>
          <w:p w14:paraId="5CD8F1A0" w14:textId="77777777" w:rsidR="00BA49F5" w:rsidRDefault="007E5E49">
            <w:pPr>
              <w:textAlignment w:val="bottom"/>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1A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1A2" w14:textId="77777777" w:rsidR="00BA49F5" w:rsidRDefault="007E5E49">
            <w:pPr>
              <w:jc w:val="right"/>
              <w:textAlignment w:val="bottom"/>
            </w:pPr>
            <w:r>
              <w:rPr>
                <w:rFonts w:ascii="Times New Roman" w:eastAsia="宋体" w:hAnsi="Times New Roman"/>
                <w:color w:val="000000"/>
                <w:sz w:val="20"/>
                <w:szCs w:val="20"/>
              </w:rPr>
              <w:t>20,363 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1A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A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1A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1A6" w14:textId="77777777" w:rsidR="00BA49F5" w:rsidRDefault="007E5E49">
            <w:pPr>
              <w:jc w:val="right"/>
              <w:textAlignment w:val="bottom"/>
            </w:pPr>
            <w:r>
              <w:rPr>
                <w:rFonts w:ascii="Times New Roman" w:eastAsia="宋体" w:hAnsi="Times New Roman"/>
                <w:color w:val="000000"/>
                <w:sz w:val="20"/>
                <w:szCs w:val="20"/>
              </w:rPr>
              <w:t>37,750 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1A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A8"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1A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1AA" w14:textId="77777777" w:rsidR="00BA49F5" w:rsidRDefault="007E5E49">
            <w:pPr>
              <w:jc w:val="right"/>
              <w:textAlignment w:val="bottom"/>
            </w:pPr>
            <w:r>
              <w:rPr>
                <w:rFonts w:ascii="Times New Roman" w:eastAsia="宋体" w:hAnsi="Times New Roman"/>
                <w:color w:val="000000"/>
                <w:sz w:val="20"/>
                <w:szCs w:val="20"/>
              </w:rPr>
              <w:t>30,562 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1AB" w14:textId="77777777" w:rsidR="00BA49F5" w:rsidRDefault="00BA49F5">
            <w:pPr>
              <w:jc w:val="right"/>
              <w:rPr>
                <w:rFonts w:ascii="宋体"/>
              </w:rPr>
            </w:pPr>
          </w:p>
        </w:tc>
      </w:tr>
    </w:tbl>
    <w:p w14:paraId="5CD8F1AD" w14:textId="77777777" w:rsidR="00BA49F5" w:rsidRDefault="00BA49F5">
      <w:pPr>
        <w:jc w:val="center"/>
      </w:pPr>
    </w:p>
    <w:p w14:paraId="5CD8F1AE" w14:textId="77777777" w:rsidR="00BA49F5" w:rsidRDefault="007E5E49">
      <w:pPr>
        <w:jc w:val="center"/>
      </w:pPr>
      <w:r>
        <w:rPr>
          <w:rFonts w:ascii="Times New Roman" w:eastAsia="宋体" w:hAnsi="Times New Roman"/>
          <w:i/>
          <w:iCs/>
          <w:color w:val="000000"/>
          <w:sz w:val="20"/>
          <w:szCs w:val="20"/>
        </w:rPr>
        <w:t>See Accompanying Notes to Consolidated Financial Statements.</w:t>
      </w:r>
    </w:p>
    <w:p w14:paraId="5CD8F1AF" w14:textId="77777777" w:rsidR="00BA49F5" w:rsidRDefault="007E5E49">
      <w:pPr>
        <w:jc w:val="center"/>
      </w:pPr>
      <w:r>
        <w:rPr>
          <w:rFonts w:ascii="Times New Roman" w:eastAsia="宋体" w:hAnsi="Times New Roman"/>
          <w:color w:val="000000"/>
          <w:sz w:val="20"/>
          <w:szCs w:val="20"/>
        </w:rPr>
        <w:t>87</w:t>
      </w:r>
    </w:p>
    <w:p w14:paraId="5CD8F1B0" w14:textId="77777777" w:rsidR="00BA49F5" w:rsidRDefault="007E5E49">
      <w:r>
        <w:pict w14:anchorId="5CD90D4C">
          <v:rect id="_x0000_i1111" style="width:415.3pt;height:1.5pt" o:hralign="center" o:hrstd="t" o:hr="t" fillcolor="#a0a0a0" stroked="f"/>
        </w:pict>
      </w:r>
    </w:p>
    <w:p w14:paraId="5CD8F1B1" w14:textId="77777777" w:rsidR="00BA49F5" w:rsidRDefault="00BA49F5"/>
    <w:p w14:paraId="5CD8F1B2" w14:textId="77777777" w:rsidR="00BA49F5" w:rsidRDefault="00BA49F5"/>
    <w:p w14:paraId="5CD8F1B3" w14:textId="77777777" w:rsidR="00BA49F5" w:rsidRDefault="007E5E49">
      <w:hyperlink r:id="rId269" w:anchor="i6df229dad1864210ab76200083e26819_7" w:history="1">
        <w:r>
          <w:rPr>
            <w:rStyle w:val="a5"/>
            <w:rFonts w:ascii="Times New Roman" w:eastAsia="宋体" w:hAnsi="Times New Roman"/>
            <w:sz w:val="20"/>
            <w:szCs w:val="20"/>
          </w:rPr>
          <w:t>T</w:t>
        </w:r>
      </w:hyperlink>
      <w:hyperlink r:id="rId270" w:anchor="i6df229dad1864210ab76200083e26819_7" w:history="1">
        <w:r>
          <w:rPr>
            <w:rStyle w:val="a5"/>
            <w:rFonts w:ascii="Times New Roman" w:eastAsia="宋体" w:hAnsi="Times New Roman"/>
            <w:sz w:val="20"/>
            <w:szCs w:val="20"/>
          </w:rPr>
          <w:t>able of Contents</w:t>
        </w:r>
      </w:hyperlink>
    </w:p>
    <w:p w14:paraId="5CD8F1B4" w14:textId="77777777" w:rsidR="00BA49F5" w:rsidRDefault="007E5E49">
      <w:pPr>
        <w:jc w:val="center"/>
      </w:pPr>
      <w:r>
        <w:rPr>
          <w:rFonts w:ascii="Times New Roman" w:eastAsia="宋体" w:hAnsi="Times New Roman"/>
          <w:b/>
          <w:bCs/>
          <w:color w:val="000000"/>
          <w:sz w:val="20"/>
          <w:szCs w:val="20"/>
        </w:rPr>
        <w:t>META PLATFORMS, INC.</w:t>
      </w:r>
    </w:p>
    <w:p w14:paraId="5CD8F1B5" w14:textId="77777777" w:rsidR="00BA49F5" w:rsidRDefault="007E5E49">
      <w:pPr>
        <w:jc w:val="center"/>
      </w:pPr>
      <w:r>
        <w:rPr>
          <w:rFonts w:ascii="Times New Roman" w:eastAsia="宋体" w:hAnsi="Times New Roman"/>
          <w:b/>
          <w:bCs/>
          <w:color w:val="000000"/>
          <w:sz w:val="20"/>
          <w:szCs w:val="20"/>
        </w:rPr>
        <w:t xml:space="preserve">CONSOLIDATED STATEMENTS OF STOCKHOLDERS' EQUITY </w:t>
      </w:r>
    </w:p>
    <w:p w14:paraId="5CD8F1B6" w14:textId="77777777" w:rsidR="00BA49F5" w:rsidRDefault="007E5E49">
      <w:pPr>
        <w:jc w:val="center"/>
      </w:pPr>
      <w:r>
        <w:rPr>
          <w:rFonts w:ascii="Times New Roman" w:eastAsia="宋体" w:hAnsi="Times New Roman"/>
          <w:i/>
          <w:iCs/>
          <w:color w:val="000000"/>
          <w:sz w:val="20"/>
          <w:szCs w:val="20"/>
        </w:rPr>
        <w:t>(In millions)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86"/>
        <w:gridCol w:w="39"/>
        <w:gridCol w:w="60"/>
        <w:gridCol w:w="466"/>
        <w:gridCol w:w="37"/>
        <w:gridCol w:w="37"/>
        <w:gridCol w:w="37"/>
        <w:gridCol w:w="37"/>
        <w:gridCol w:w="121"/>
        <w:gridCol w:w="640"/>
        <w:gridCol w:w="37"/>
        <w:gridCol w:w="36"/>
        <w:gridCol w:w="36"/>
        <w:gridCol w:w="36"/>
        <w:gridCol w:w="121"/>
        <w:gridCol w:w="675"/>
        <w:gridCol w:w="36"/>
        <w:gridCol w:w="36"/>
        <w:gridCol w:w="36"/>
        <w:gridCol w:w="36"/>
        <w:gridCol w:w="125"/>
        <w:gridCol w:w="970"/>
        <w:gridCol w:w="36"/>
        <w:gridCol w:w="36"/>
        <w:gridCol w:w="36"/>
        <w:gridCol w:w="36"/>
        <w:gridCol w:w="120"/>
        <w:gridCol w:w="600"/>
        <w:gridCol w:w="36"/>
        <w:gridCol w:w="36"/>
        <w:gridCol w:w="36"/>
        <w:gridCol w:w="36"/>
        <w:gridCol w:w="121"/>
        <w:gridCol w:w="854"/>
        <w:gridCol w:w="36"/>
      </w:tblGrid>
      <w:tr w:rsidR="00BA49F5" w14:paraId="5CD8F1DB" w14:textId="77777777">
        <w:trPr>
          <w:jc w:val="center"/>
        </w:trPr>
        <w:tc>
          <w:tcPr>
            <w:tcW w:w="50" w:type="pct"/>
            <w:shd w:val="clear" w:color="auto" w:fill="auto"/>
            <w:vAlign w:val="bottom"/>
          </w:tcPr>
          <w:p w14:paraId="5CD8F1B7" w14:textId="77777777" w:rsidR="00BA49F5" w:rsidRDefault="00BA49F5">
            <w:pPr>
              <w:rPr>
                <w:rFonts w:ascii="宋体"/>
              </w:rPr>
            </w:pPr>
          </w:p>
        </w:tc>
        <w:tc>
          <w:tcPr>
            <w:tcW w:w="2131" w:type="pct"/>
            <w:shd w:val="clear" w:color="auto" w:fill="auto"/>
            <w:vAlign w:val="bottom"/>
          </w:tcPr>
          <w:p w14:paraId="5CD8F1B8" w14:textId="77777777" w:rsidR="00BA49F5" w:rsidRDefault="00BA49F5">
            <w:pPr>
              <w:rPr>
                <w:rFonts w:ascii="宋体"/>
              </w:rPr>
            </w:pPr>
          </w:p>
        </w:tc>
        <w:tc>
          <w:tcPr>
            <w:tcW w:w="5" w:type="pct"/>
            <w:shd w:val="clear" w:color="auto" w:fill="auto"/>
            <w:vAlign w:val="bottom"/>
          </w:tcPr>
          <w:p w14:paraId="5CD8F1B9" w14:textId="77777777" w:rsidR="00BA49F5" w:rsidRDefault="00BA49F5">
            <w:pPr>
              <w:rPr>
                <w:rFonts w:ascii="宋体"/>
              </w:rPr>
            </w:pPr>
          </w:p>
        </w:tc>
        <w:tc>
          <w:tcPr>
            <w:tcW w:w="50" w:type="pct"/>
            <w:shd w:val="clear" w:color="auto" w:fill="auto"/>
            <w:vAlign w:val="bottom"/>
          </w:tcPr>
          <w:p w14:paraId="5CD8F1BA" w14:textId="77777777" w:rsidR="00BA49F5" w:rsidRDefault="00BA49F5">
            <w:pPr>
              <w:rPr>
                <w:rFonts w:ascii="宋体"/>
              </w:rPr>
            </w:pPr>
          </w:p>
        </w:tc>
        <w:tc>
          <w:tcPr>
            <w:tcW w:w="391" w:type="pct"/>
            <w:shd w:val="clear" w:color="auto" w:fill="auto"/>
            <w:vAlign w:val="bottom"/>
          </w:tcPr>
          <w:p w14:paraId="5CD8F1BB" w14:textId="77777777" w:rsidR="00BA49F5" w:rsidRDefault="00BA49F5">
            <w:pPr>
              <w:rPr>
                <w:rFonts w:ascii="宋体"/>
              </w:rPr>
            </w:pPr>
          </w:p>
        </w:tc>
        <w:tc>
          <w:tcPr>
            <w:tcW w:w="5" w:type="pct"/>
            <w:shd w:val="clear" w:color="auto" w:fill="auto"/>
            <w:vAlign w:val="bottom"/>
          </w:tcPr>
          <w:p w14:paraId="5CD8F1BC" w14:textId="77777777" w:rsidR="00BA49F5" w:rsidRDefault="00BA49F5">
            <w:pPr>
              <w:rPr>
                <w:rFonts w:ascii="宋体"/>
              </w:rPr>
            </w:pPr>
          </w:p>
        </w:tc>
        <w:tc>
          <w:tcPr>
            <w:tcW w:w="5" w:type="pct"/>
            <w:shd w:val="clear" w:color="auto" w:fill="auto"/>
            <w:vAlign w:val="bottom"/>
          </w:tcPr>
          <w:p w14:paraId="5CD8F1BD" w14:textId="77777777" w:rsidR="00BA49F5" w:rsidRDefault="00BA49F5">
            <w:pPr>
              <w:rPr>
                <w:rFonts w:ascii="宋体"/>
              </w:rPr>
            </w:pPr>
          </w:p>
        </w:tc>
        <w:tc>
          <w:tcPr>
            <w:tcW w:w="17" w:type="pct"/>
            <w:shd w:val="clear" w:color="auto" w:fill="auto"/>
            <w:vAlign w:val="bottom"/>
          </w:tcPr>
          <w:p w14:paraId="5CD8F1BE" w14:textId="77777777" w:rsidR="00BA49F5" w:rsidRDefault="00BA49F5">
            <w:pPr>
              <w:rPr>
                <w:rFonts w:ascii="宋体"/>
              </w:rPr>
            </w:pPr>
          </w:p>
        </w:tc>
        <w:tc>
          <w:tcPr>
            <w:tcW w:w="5" w:type="pct"/>
            <w:shd w:val="clear" w:color="auto" w:fill="auto"/>
            <w:vAlign w:val="bottom"/>
          </w:tcPr>
          <w:p w14:paraId="5CD8F1BF" w14:textId="77777777" w:rsidR="00BA49F5" w:rsidRDefault="00BA49F5">
            <w:pPr>
              <w:rPr>
                <w:rFonts w:ascii="宋体"/>
              </w:rPr>
            </w:pPr>
          </w:p>
        </w:tc>
        <w:tc>
          <w:tcPr>
            <w:tcW w:w="50" w:type="pct"/>
            <w:shd w:val="clear" w:color="auto" w:fill="auto"/>
            <w:vAlign w:val="bottom"/>
          </w:tcPr>
          <w:p w14:paraId="5CD8F1C0" w14:textId="77777777" w:rsidR="00BA49F5" w:rsidRDefault="00BA49F5">
            <w:pPr>
              <w:rPr>
                <w:rFonts w:ascii="宋体"/>
              </w:rPr>
            </w:pPr>
          </w:p>
        </w:tc>
        <w:tc>
          <w:tcPr>
            <w:tcW w:w="391" w:type="pct"/>
            <w:shd w:val="clear" w:color="auto" w:fill="auto"/>
            <w:vAlign w:val="bottom"/>
          </w:tcPr>
          <w:p w14:paraId="5CD8F1C1" w14:textId="77777777" w:rsidR="00BA49F5" w:rsidRDefault="00BA49F5">
            <w:pPr>
              <w:rPr>
                <w:rFonts w:ascii="宋体"/>
              </w:rPr>
            </w:pPr>
          </w:p>
        </w:tc>
        <w:tc>
          <w:tcPr>
            <w:tcW w:w="5" w:type="pct"/>
            <w:shd w:val="clear" w:color="auto" w:fill="auto"/>
            <w:vAlign w:val="bottom"/>
          </w:tcPr>
          <w:p w14:paraId="5CD8F1C2" w14:textId="77777777" w:rsidR="00BA49F5" w:rsidRDefault="00BA49F5">
            <w:pPr>
              <w:rPr>
                <w:rFonts w:ascii="宋体"/>
              </w:rPr>
            </w:pPr>
          </w:p>
        </w:tc>
        <w:tc>
          <w:tcPr>
            <w:tcW w:w="5" w:type="pct"/>
            <w:shd w:val="clear" w:color="auto" w:fill="auto"/>
            <w:vAlign w:val="bottom"/>
          </w:tcPr>
          <w:p w14:paraId="5CD8F1C3" w14:textId="77777777" w:rsidR="00BA49F5" w:rsidRDefault="00BA49F5">
            <w:pPr>
              <w:rPr>
                <w:rFonts w:ascii="宋体"/>
              </w:rPr>
            </w:pPr>
          </w:p>
        </w:tc>
        <w:tc>
          <w:tcPr>
            <w:tcW w:w="17" w:type="pct"/>
            <w:shd w:val="clear" w:color="auto" w:fill="auto"/>
            <w:vAlign w:val="bottom"/>
          </w:tcPr>
          <w:p w14:paraId="5CD8F1C4" w14:textId="77777777" w:rsidR="00BA49F5" w:rsidRDefault="00BA49F5">
            <w:pPr>
              <w:rPr>
                <w:rFonts w:ascii="宋体"/>
              </w:rPr>
            </w:pPr>
          </w:p>
        </w:tc>
        <w:tc>
          <w:tcPr>
            <w:tcW w:w="5" w:type="pct"/>
            <w:shd w:val="clear" w:color="auto" w:fill="auto"/>
            <w:vAlign w:val="bottom"/>
          </w:tcPr>
          <w:p w14:paraId="5CD8F1C5" w14:textId="77777777" w:rsidR="00BA49F5" w:rsidRDefault="00BA49F5">
            <w:pPr>
              <w:rPr>
                <w:rFonts w:ascii="宋体"/>
              </w:rPr>
            </w:pPr>
          </w:p>
        </w:tc>
        <w:tc>
          <w:tcPr>
            <w:tcW w:w="50" w:type="pct"/>
            <w:shd w:val="clear" w:color="auto" w:fill="auto"/>
            <w:vAlign w:val="bottom"/>
          </w:tcPr>
          <w:p w14:paraId="5CD8F1C6" w14:textId="77777777" w:rsidR="00BA49F5" w:rsidRDefault="00BA49F5">
            <w:pPr>
              <w:rPr>
                <w:rFonts w:ascii="宋体"/>
              </w:rPr>
            </w:pPr>
          </w:p>
        </w:tc>
        <w:tc>
          <w:tcPr>
            <w:tcW w:w="391" w:type="pct"/>
            <w:shd w:val="clear" w:color="auto" w:fill="auto"/>
            <w:vAlign w:val="bottom"/>
          </w:tcPr>
          <w:p w14:paraId="5CD8F1C7" w14:textId="77777777" w:rsidR="00BA49F5" w:rsidRDefault="00BA49F5">
            <w:pPr>
              <w:rPr>
                <w:rFonts w:ascii="宋体"/>
              </w:rPr>
            </w:pPr>
          </w:p>
        </w:tc>
        <w:tc>
          <w:tcPr>
            <w:tcW w:w="5" w:type="pct"/>
            <w:shd w:val="clear" w:color="auto" w:fill="auto"/>
            <w:vAlign w:val="bottom"/>
          </w:tcPr>
          <w:p w14:paraId="5CD8F1C8" w14:textId="77777777" w:rsidR="00BA49F5" w:rsidRDefault="00BA49F5">
            <w:pPr>
              <w:rPr>
                <w:rFonts w:ascii="宋体"/>
              </w:rPr>
            </w:pPr>
          </w:p>
        </w:tc>
        <w:tc>
          <w:tcPr>
            <w:tcW w:w="5" w:type="pct"/>
            <w:shd w:val="clear" w:color="auto" w:fill="auto"/>
            <w:vAlign w:val="bottom"/>
          </w:tcPr>
          <w:p w14:paraId="5CD8F1C9" w14:textId="77777777" w:rsidR="00BA49F5" w:rsidRDefault="00BA49F5">
            <w:pPr>
              <w:rPr>
                <w:rFonts w:ascii="宋体"/>
              </w:rPr>
            </w:pPr>
          </w:p>
        </w:tc>
        <w:tc>
          <w:tcPr>
            <w:tcW w:w="17" w:type="pct"/>
            <w:shd w:val="clear" w:color="auto" w:fill="auto"/>
            <w:vAlign w:val="bottom"/>
          </w:tcPr>
          <w:p w14:paraId="5CD8F1CA" w14:textId="77777777" w:rsidR="00BA49F5" w:rsidRDefault="00BA49F5">
            <w:pPr>
              <w:rPr>
                <w:rFonts w:ascii="宋体"/>
              </w:rPr>
            </w:pPr>
          </w:p>
        </w:tc>
        <w:tc>
          <w:tcPr>
            <w:tcW w:w="5" w:type="pct"/>
            <w:shd w:val="clear" w:color="auto" w:fill="auto"/>
            <w:vAlign w:val="bottom"/>
          </w:tcPr>
          <w:p w14:paraId="5CD8F1CB" w14:textId="77777777" w:rsidR="00BA49F5" w:rsidRDefault="00BA49F5">
            <w:pPr>
              <w:rPr>
                <w:rFonts w:ascii="宋体"/>
              </w:rPr>
            </w:pPr>
          </w:p>
        </w:tc>
        <w:tc>
          <w:tcPr>
            <w:tcW w:w="50" w:type="pct"/>
            <w:shd w:val="clear" w:color="auto" w:fill="auto"/>
            <w:vAlign w:val="bottom"/>
          </w:tcPr>
          <w:p w14:paraId="5CD8F1CC" w14:textId="77777777" w:rsidR="00BA49F5" w:rsidRDefault="00BA49F5">
            <w:pPr>
              <w:rPr>
                <w:rFonts w:ascii="宋体"/>
              </w:rPr>
            </w:pPr>
          </w:p>
        </w:tc>
        <w:tc>
          <w:tcPr>
            <w:tcW w:w="391" w:type="pct"/>
            <w:shd w:val="clear" w:color="auto" w:fill="auto"/>
            <w:vAlign w:val="bottom"/>
          </w:tcPr>
          <w:p w14:paraId="5CD8F1CD" w14:textId="77777777" w:rsidR="00BA49F5" w:rsidRDefault="00BA49F5">
            <w:pPr>
              <w:rPr>
                <w:rFonts w:ascii="宋体"/>
              </w:rPr>
            </w:pPr>
          </w:p>
        </w:tc>
        <w:tc>
          <w:tcPr>
            <w:tcW w:w="5" w:type="pct"/>
            <w:shd w:val="clear" w:color="auto" w:fill="auto"/>
            <w:vAlign w:val="bottom"/>
          </w:tcPr>
          <w:p w14:paraId="5CD8F1CE" w14:textId="77777777" w:rsidR="00BA49F5" w:rsidRDefault="00BA49F5">
            <w:pPr>
              <w:rPr>
                <w:rFonts w:ascii="宋体"/>
              </w:rPr>
            </w:pPr>
          </w:p>
        </w:tc>
        <w:tc>
          <w:tcPr>
            <w:tcW w:w="5" w:type="pct"/>
            <w:shd w:val="clear" w:color="auto" w:fill="auto"/>
            <w:vAlign w:val="bottom"/>
          </w:tcPr>
          <w:p w14:paraId="5CD8F1CF" w14:textId="77777777" w:rsidR="00BA49F5" w:rsidRDefault="00BA49F5">
            <w:pPr>
              <w:rPr>
                <w:rFonts w:ascii="宋体"/>
              </w:rPr>
            </w:pPr>
          </w:p>
        </w:tc>
        <w:tc>
          <w:tcPr>
            <w:tcW w:w="17" w:type="pct"/>
            <w:shd w:val="clear" w:color="auto" w:fill="auto"/>
            <w:vAlign w:val="bottom"/>
          </w:tcPr>
          <w:p w14:paraId="5CD8F1D0" w14:textId="77777777" w:rsidR="00BA49F5" w:rsidRDefault="00BA49F5">
            <w:pPr>
              <w:rPr>
                <w:rFonts w:ascii="宋体"/>
              </w:rPr>
            </w:pPr>
          </w:p>
        </w:tc>
        <w:tc>
          <w:tcPr>
            <w:tcW w:w="5" w:type="pct"/>
            <w:shd w:val="clear" w:color="auto" w:fill="auto"/>
            <w:vAlign w:val="bottom"/>
          </w:tcPr>
          <w:p w14:paraId="5CD8F1D1" w14:textId="77777777" w:rsidR="00BA49F5" w:rsidRDefault="00BA49F5">
            <w:pPr>
              <w:rPr>
                <w:rFonts w:ascii="宋体"/>
              </w:rPr>
            </w:pPr>
          </w:p>
        </w:tc>
        <w:tc>
          <w:tcPr>
            <w:tcW w:w="50" w:type="pct"/>
            <w:shd w:val="clear" w:color="auto" w:fill="auto"/>
            <w:vAlign w:val="bottom"/>
          </w:tcPr>
          <w:p w14:paraId="5CD8F1D2" w14:textId="77777777" w:rsidR="00BA49F5" w:rsidRDefault="00BA49F5">
            <w:pPr>
              <w:rPr>
                <w:rFonts w:ascii="宋体"/>
              </w:rPr>
            </w:pPr>
          </w:p>
        </w:tc>
        <w:tc>
          <w:tcPr>
            <w:tcW w:w="391" w:type="pct"/>
            <w:shd w:val="clear" w:color="auto" w:fill="auto"/>
            <w:vAlign w:val="bottom"/>
          </w:tcPr>
          <w:p w14:paraId="5CD8F1D3" w14:textId="77777777" w:rsidR="00BA49F5" w:rsidRDefault="00BA49F5">
            <w:pPr>
              <w:rPr>
                <w:rFonts w:ascii="宋体"/>
              </w:rPr>
            </w:pPr>
          </w:p>
        </w:tc>
        <w:tc>
          <w:tcPr>
            <w:tcW w:w="5" w:type="pct"/>
            <w:shd w:val="clear" w:color="auto" w:fill="auto"/>
            <w:vAlign w:val="bottom"/>
          </w:tcPr>
          <w:p w14:paraId="5CD8F1D4" w14:textId="77777777" w:rsidR="00BA49F5" w:rsidRDefault="00BA49F5">
            <w:pPr>
              <w:rPr>
                <w:rFonts w:ascii="宋体"/>
              </w:rPr>
            </w:pPr>
          </w:p>
        </w:tc>
        <w:tc>
          <w:tcPr>
            <w:tcW w:w="5" w:type="pct"/>
            <w:shd w:val="clear" w:color="auto" w:fill="auto"/>
            <w:vAlign w:val="bottom"/>
          </w:tcPr>
          <w:p w14:paraId="5CD8F1D5" w14:textId="77777777" w:rsidR="00BA49F5" w:rsidRDefault="00BA49F5">
            <w:pPr>
              <w:rPr>
                <w:rFonts w:ascii="宋体"/>
              </w:rPr>
            </w:pPr>
          </w:p>
        </w:tc>
        <w:tc>
          <w:tcPr>
            <w:tcW w:w="17" w:type="pct"/>
            <w:shd w:val="clear" w:color="auto" w:fill="auto"/>
            <w:vAlign w:val="bottom"/>
          </w:tcPr>
          <w:p w14:paraId="5CD8F1D6" w14:textId="77777777" w:rsidR="00BA49F5" w:rsidRDefault="00BA49F5">
            <w:pPr>
              <w:rPr>
                <w:rFonts w:ascii="宋体"/>
              </w:rPr>
            </w:pPr>
          </w:p>
        </w:tc>
        <w:tc>
          <w:tcPr>
            <w:tcW w:w="5" w:type="pct"/>
            <w:shd w:val="clear" w:color="auto" w:fill="auto"/>
            <w:vAlign w:val="bottom"/>
          </w:tcPr>
          <w:p w14:paraId="5CD8F1D7" w14:textId="77777777" w:rsidR="00BA49F5" w:rsidRDefault="00BA49F5">
            <w:pPr>
              <w:rPr>
                <w:rFonts w:ascii="宋体"/>
              </w:rPr>
            </w:pPr>
          </w:p>
        </w:tc>
        <w:tc>
          <w:tcPr>
            <w:tcW w:w="50" w:type="pct"/>
            <w:shd w:val="clear" w:color="auto" w:fill="auto"/>
            <w:vAlign w:val="bottom"/>
          </w:tcPr>
          <w:p w14:paraId="5CD8F1D8" w14:textId="77777777" w:rsidR="00BA49F5" w:rsidRDefault="00BA49F5">
            <w:pPr>
              <w:rPr>
                <w:rFonts w:ascii="宋体"/>
              </w:rPr>
            </w:pPr>
          </w:p>
        </w:tc>
        <w:tc>
          <w:tcPr>
            <w:tcW w:w="391" w:type="pct"/>
            <w:shd w:val="clear" w:color="auto" w:fill="auto"/>
            <w:vAlign w:val="bottom"/>
          </w:tcPr>
          <w:p w14:paraId="5CD8F1D9" w14:textId="77777777" w:rsidR="00BA49F5" w:rsidRDefault="00BA49F5">
            <w:pPr>
              <w:rPr>
                <w:rFonts w:ascii="宋体"/>
              </w:rPr>
            </w:pPr>
          </w:p>
        </w:tc>
        <w:tc>
          <w:tcPr>
            <w:tcW w:w="5" w:type="pct"/>
            <w:shd w:val="clear" w:color="auto" w:fill="auto"/>
            <w:vAlign w:val="bottom"/>
          </w:tcPr>
          <w:p w14:paraId="5CD8F1DA" w14:textId="77777777" w:rsidR="00BA49F5" w:rsidRDefault="00BA49F5">
            <w:pPr>
              <w:rPr>
                <w:rFonts w:ascii="宋体"/>
              </w:rPr>
            </w:pPr>
          </w:p>
        </w:tc>
      </w:tr>
      <w:tr w:rsidR="00BA49F5" w14:paraId="5CD8F1E6" w14:textId="77777777">
        <w:trPr>
          <w:trHeight w:val="420"/>
          <w:jc w:val="center"/>
        </w:trPr>
        <w:tc>
          <w:tcPr>
            <w:tcW w:w="0" w:type="auto"/>
            <w:gridSpan w:val="3"/>
            <w:shd w:val="clear" w:color="auto" w:fill="auto"/>
            <w:tcMar>
              <w:top w:w="0" w:type="dxa"/>
              <w:left w:w="20" w:type="dxa"/>
              <w:bottom w:w="0" w:type="dxa"/>
              <w:right w:w="20" w:type="dxa"/>
            </w:tcMar>
            <w:vAlign w:val="bottom"/>
          </w:tcPr>
          <w:p w14:paraId="5CD8F1DC"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8F1DD" w14:textId="77777777" w:rsidR="00BA49F5" w:rsidRDefault="007E5E49">
            <w:pPr>
              <w:jc w:val="center"/>
              <w:textAlignment w:val="bottom"/>
            </w:pPr>
            <w:r>
              <w:rPr>
                <w:rFonts w:ascii="Times New Roman" w:eastAsia="宋体" w:hAnsi="Times New Roman"/>
                <w:b/>
                <w:bCs/>
                <w:color w:val="000000"/>
                <w:sz w:val="16"/>
                <w:szCs w:val="16"/>
              </w:rPr>
              <w:t>Class A and Class B Common Stock</w:t>
            </w:r>
          </w:p>
        </w:tc>
        <w:tc>
          <w:tcPr>
            <w:tcW w:w="0" w:type="auto"/>
            <w:gridSpan w:val="3"/>
            <w:shd w:val="clear" w:color="auto" w:fill="auto"/>
            <w:tcMar>
              <w:top w:w="0" w:type="dxa"/>
              <w:left w:w="20" w:type="dxa"/>
              <w:bottom w:w="0" w:type="dxa"/>
              <w:right w:w="20" w:type="dxa"/>
            </w:tcMar>
            <w:vAlign w:val="bottom"/>
          </w:tcPr>
          <w:p w14:paraId="5CD8F1DE"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8F1DF" w14:textId="77777777" w:rsidR="00BA49F5" w:rsidRDefault="007E5E49">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shd w:val="clear" w:color="auto" w:fill="auto"/>
            <w:tcMar>
              <w:top w:w="0" w:type="dxa"/>
              <w:left w:w="20" w:type="dxa"/>
              <w:bottom w:w="0" w:type="dxa"/>
              <w:right w:w="20" w:type="dxa"/>
            </w:tcMar>
            <w:vAlign w:val="bottom"/>
          </w:tcPr>
          <w:p w14:paraId="5CD8F1E0"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8F1E1" w14:textId="77777777" w:rsidR="00BA49F5" w:rsidRDefault="007E5E49">
            <w:pPr>
              <w:jc w:val="center"/>
              <w:textAlignment w:val="bottom"/>
            </w:pPr>
            <w:r>
              <w:rPr>
                <w:rFonts w:ascii="Times New Roman" w:eastAsia="宋体" w:hAnsi="Times New Roman"/>
                <w:b/>
                <w:bCs/>
                <w:color w:val="000000"/>
                <w:sz w:val="16"/>
                <w:szCs w:val="16"/>
              </w:rPr>
              <w:t>Accumulated Other Comprehensive Income (Lo</w:t>
            </w:r>
            <w:r>
              <w:rPr>
                <w:rFonts w:ascii="Times New Roman" w:eastAsia="宋体" w:hAnsi="Times New Roman"/>
                <w:b/>
                <w:bCs/>
                <w:color w:val="000000"/>
                <w:sz w:val="16"/>
                <w:szCs w:val="16"/>
              </w:rPr>
              <w:t>ss)</w:t>
            </w:r>
          </w:p>
        </w:tc>
        <w:tc>
          <w:tcPr>
            <w:tcW w:w="0" w:type="auto"/>
            <w:gridSpan w:val="3"/>
            <w:vMerge w:val="restart"/>
            <w:shd w:val="clear" w:color="auto" w:fill="auto"/>
            <w:tcMar>
              <w:top w:w="0" w:type="dxa"/>
              <w:left w:w="20" w:type="dxa"/>
              <w:bottom w:w="0" w:type="dxa"/>
              <w:right w:w="20" w:type="dxa"/>
            </w:tcMar>
            <w:vAlign w:val="bottom"/>
          </w:tcPr>
          <w:p w14:paraId="5CD8F1E2"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8F1E3" w14:textId="77777777" w:rsidR="00BA49F5" w:rsidRDefault="007E5E49">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shd w:val="clear" w:color="auto" w:fill="auto"/>
            <w:tcMar>
              <w:top w:w="0" w:type="dxa"/>
              <w:left w:w="20" w:type="dxa"/>
              <w:bottom w:w="0" w:type="dxa"/>
              <w:right w:w="20" w:type="dxa"/>
            </w:tcMar>
            <w:vAlign w:val="bottom"/>
          </w:tcPr>
          <w:p w14:paraId="5CD8F1E4"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8F1E5" w14:textId="77777777" w:rsidR="00BA49F5" w:rsidRDefault="007E5E49">
            <w:pPr>
              <w:jc w:val="center"/>
              <w:textAlignment w:val="bottom"/>
            </w:pPr>
            <w:r>
              <w:rPr>
                <w:rFonts w:ascii="Times New Roman" w:eastAsia="宋体" w:hAnsi="Times New Roman"/>
                <w:b/>
                <w:bCs/>
                <w:color w:val="000000"/>
                <w:sz w:val="16"/>
                <w:szCs w:val="16"/>
              </w:rPr>
              <w:t>Total Stockholders' Equity</w:t>
            </w:r>
          </w:p>
        </w:tc>
      </w:tr>
      <w:tr w:rsidR="00BA49F5" w14:paraId="5CD8F1F3" w14:textId="77777777">
        <w:trPr>
          <w:trHeight w:val="460"/>
          <w:jc w:val="center"/>
        </w:trPr>
        <w:tc>
          <w:tcPr>
            <w:tcW w:w="0" w:type="auto"/>
            <w:gridSpan w:val="3"/>
            <w:shd w:val="clear" w:color="auto" w:fill="auto"/>
            <w:tcMar>
              <w:top w:w="0" w:type="dxa"/>
              <w:left w:w="20" w:type="dxa"/>
              <w:bottom w:w="0" w:type="dxa"/>
              <w:right w:w="20" w:type="dxa"/>
            </w:tcMar>
            <w:vAlign w:val="bottom"/>
          </w:tcPr>
          <w:p w14:paraId="5CD8F1E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1E8" w14:textId="77777777" w:rsidR="00BA49F5" w:rsidRDefault="007E5E49">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1E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1EA" w14:textId="77777777" w:rsidR="00BA49F5" w:rsidRDefault="007E5E49">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5CD8F1EB"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8F1EC" w14:textId="77777777" w:rsidR="00BA49F5" w:rsidRDefault="00BA49F5">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CD8F1ED"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8F1EE" w14:textId="77777777" w:rsidR="00BA49F5" w:rsidRDefault="00BA49F5">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CD8F1EF"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8F1F0" w14:textId="77777777" w:rsidR="00BA49F5" w:rsidRDefault="00BA49F5">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CD8F1F1"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8F1F2" w14:textId="77777777" w:rsidR="00BA49F5" w:rsidRDefault="00BA49F5">
            <w:pPr>
              <w:jc w:val="center"/>
              <w:rPr>
                <w:rFonts w:ascii="宋体"/>
              </w:rPr>
            </w:pPr>
          </w:p>
        </w:tc>
      </w:tr>
      <w:tr w:rsidR="00BA49F5" w14:paraId="5CD8F20B" w14:textId="77777777">
        <w:trPr>
          <w:jc w:val="center"/>
        </w:trPr>
        <w:tc>
          <w:tcPr>
            <w:tcW w:w="0" w:type="auto"/>
            <w:gridSpan w:val="3"/>
            <w:shd w:val="clear" w:color="auto" w:fill="CCEEFF"/>
            <w:tcMar>
              <w:top w:w="40" w:type="dxa"/>
              <w:left w:w="20" w:type="dxa"/>
              <w:bottom w:w="40" w:type="dxa"/>
              <w:right w:w="20" w:type="dxa"/>
            </w:tcMar>
            <w:vAlign w:val="bottom"/>
          </w:tcPr>
          <w:p w14:paraId="5CD8F1F4" w14:textId="77777777" w:rsidR="00BA49F5" w:rsidRDefault="007E5E49">
            <w:pPr>
              <w:textAlignment w:val="bottom"/>
            </w:pPr>
            <w:r>
              <w:rPr>
                <w:rFonts w:ascii="Times New Roman" w:eastAsia="宋体" w:hAnsi="Times New Roman"/>
                <w:b/>
                <w:bCs/>
                <w:color w:val="000000"/>
                <w:sz w:val="20"/>
                <w:szCs w:val="20"/>
              </w:rPr>
              <w:t>Balances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1F5" w14:textId="77777777" w:rsidR="00BA49F5" w:rsidRDefault="007E5E49">
            <w:pPr>
              <w:jc w:val="right"/>
              <w:textAlignment w:val="bottom"/>
            </w:pPr>
            <w:r>
              <w:rPr>
                <w:rFonts w:ascii="Times New Roman" w:eastAsia="宋体" w:hAnsi="Times New Roman"/>
                <w:color w:val="000000"/>
                <w:sz w:val="20"/>
                <w:szCs w:val="20"/>
              </w:rPr>
              <w:t>2,852 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F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F7"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1F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1F9"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F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FB"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1F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1FD" w14:textId="77777777" w:rsidR="00BA49F5" w:rsidRDefault="007E5E49">
            <w:pPr>
              <w:jc w:val="right"/>
              <w:textAlignment w:val="bottom"/>
            </w:pPr>
            <w:r>
              <w:rPr>
                <w:rFonts w:ascii="Times New Roman" w:eastAsia="宋体" w:hAnsi="Times New Roman"/>
                <w:color w:val="000000"/>
                <w:sz w:val="20"/>
                <w:szCs w:val="20"/>
              </w:rPr>
              <w:t>45,851 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1F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1F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20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201" w14:textId="77777777" w:rsidR="00BA49F5" w:rsidRDefault="007E5E49">
            <w:pPr>
              <w:jc w:val="right"/>
              <w:textAlignment w:val="bottom"/>
            </w:pPr>
            <w:r>
              <w:rPr>
                <w:rFonts w:ascii="Times New Roman" w:eastAsia="宋体" w:hAnsi="Times New Roman"/>
                <w:color w:val="000000"/>
                <w:sz w:val="20"/>
                <w:szCs w:val="20"/>
              </w:rPr>
              <w:t>(489)</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0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03"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20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205" w14:textId="77777777" w:rsidR="00BA49F5" w:rsidRDefault="007E5E49">
            <w:pPr>
              <w:jc w:val="right"/>
              <w:textAlignment w:val="bottom"/>
            </w:pPr>
            <w:r>
              <w:rPr>
                <w:rFonts w:ascii="Times New Roman" w:eastAsia="宋体" w:hAnsi="Times New Roman"/>
                <w:color w:val="000000"/>
                <w:sz w:val="20"/>
                <w:szCs w:val="20"/>
              </w:rPr>
              <w:t>55,692 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0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07"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20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209" w14:textId="77777777" w:rsidR="00BA49F5" w:rsidRDefault="007E5E49">
            <w:pPr>
              <w:jc w:val="right"/>
              <w:textAlignment w:val="bottom"/>
            </w:pPr>
            <w:r>
              <w:rPr>
                <w:rFonts w:ascii="Times New Roman" w:eastAsia="宋体" w:hAnsi="Times New Roman"/>
                <w:color w:val="000000"/>
                <w:sz w:val="20"/>
                <w:szCs w:val="20"/>
              </w:rPr>
              <w:t>101,054 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0A" w14:textId="77777777" w:rsidR="00BA49F5" w:rsidRDefault="00BA49F5">
            <w:pPr>
              <w:jc w:val="right"/>
              <w:rPr>
                <w:rFonts w:ascii="宋体"/>
              </w:rPr>
            </w:pPr>
          </w:p>
        </w:tc>
      </w:tr>
      <w:tr w:rsidR="00BA49F5" w14:paraId="5CD8F21E" w14:textId="77777777">
        <w:trPr>
          <w:jc w:val="center"/>
        </w:trPr>
        <w:tc>
          <w:tcPr>
            <w:tcW w:w="0" w:type="auto"/>
            <w:gridSpan w:val="3"/>
            <w:shd w:val="clear" w:color="auto" w:fill="FFFFFF"/>
            <w:tcMar>
              <w:top w:w="40" w:type="dxa"/>
              <w:left w:w="200" w:type="dxa"/>
              <w:bottom w:w="40" w:type="dxa"/>
              <w:right w:w="20" w:type="dxa"/>
            </w:tcMar>
            <w:vAlign w:val="bottom"/>
          </w:tcPr>
          <w:p w14:paraId="5CD8F20C" w14:textId="77777777" w:rsidR="00BA49F5" w:rsidRDefault="007E5E49">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5CD8F20D" w14:textId="77777777" w:rsidR="00BA49F5" w:rsidRDefault="007E5E49">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5CD8F20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0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1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1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1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1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1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1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1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1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1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1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1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1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1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1D" w14:textId="77777777" w:rsidR="00BA49F5" w:rsidRDefault="00BA49F5">
            <w:pPr>
              <w:jc w:val="right"/>
              <w:rPr>
                <w:rFonts w:ascii="宋体"/>
              </w:rPr>
            </w:pPr>
          </w:p>
        </w:tc>
      </w:tr>
      <w:tr w:rsidR="00BA49F5" w14:paraId="5CD8F231" w14:textId="77777777">
        <w:trPr>
          <w:jc w:val="center"/>
        </w:trPr>
        <w:tc>
          <w:tcPr>
            <w:tcW w:w="0" w:type="auto"/>
            <w:gridSpan w:val="3"/>
            <w:shd w:val="clear" w:color="auto" w:fill="CCEEFF"/>
            <w:tcMar>
              <w:top w:w="40" w:type="dxa"/>
              <w:left w:w="200" w:type="dxa"/>
              <w:bottom w:w="40" w:type="dxa"/>
              <w:right w:w="20" w:type="dxa"/>
            </w:tcMar>
            <w:vAlign w:val="bottom"/>
          </w:tcPr>
          <w:p w14:paraId="5CD8F21F" w14:textId="77777777" w:rsidR="00BA49F5" w:rsidRDefault="007E5E49">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5CD8F220" w14:textId="77777777" w:rsidR="00BA49F5" w:rsidRDefault="007E5E49">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5CD8F22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2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2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2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2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26" w14:textId="77777777" w:rsidR="00BA49F5" w:rsidRDefault="007E5E49">
            <w:pPr>
              <w:jc w:val="right"/>
              <w:textAlignment w:val="bottom"/>
            </w:pPr>
            <w:r>
              <w:rPr>
                <w:rFonts w:ascii="Times New Roman" w:eastAsia="宋体" w:hAnsi="Times New Roman"/>
                <w:color w:val="000000"/>
                <w:sz w:val="20"/>
                <w:szCs w:val="20"/>
              </w:rPr>
              <w:t>(2,369)</w:t>
            </w:r>
          </w:p>
        </w:tc>
        <w:tc>
          <w:tcPr>
            <w:tcW w:w="0" w:type="auto"/>
            <w:shd w:val="clear" w:color="auto" w:fill="CCEEFF"/>
            <w:tcMar>
              <w:top w:w="40" w:type="dxa"/>
              <w:left w:w="0" w:type="dxa"/>
              <w:bottom w:w="40" w:type="dxa"/>
              <w:right w:w="20" w:type="dxa"/>
            </w:tcMar>
            <w:vAlign w:val="bottom"/>
          </w:tcPr>
          <w:p w14:paraId="5CD8F22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2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2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2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2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2C" w14:textId="77777777" w:rsidR="00BA49F5" w:rsidRDefault="007E5E49">
            <w:pPr>
              <w:jc w:val="right"/>
              <w:textAlignment w:val="bottom"/>
            </w:pPr>
            <w:r>
              <w:rPr>
                <w:rFonts w:ascii="Times New Roman" w:eastAsia="宋体" w:hAnsi="Times New Roman"/>
                <w:color w:val="000000"/>
                <w:sz w:val="20"/>
                <w:szCs w:val="20"/>
              </w:rPr>
              <w:t>(1,195)</w:t>
            </w:r>
          </w:p>
        </w:tc>
        <w:tc>
          <w:tcPr>
            <w:tcW w:w="0" w:type="auto"/>
            <w:shd w:val="clear" w:color="auto" w:fill="CCEEFF"/>
            <w:tcMar>
              <w:top w:w="40" w:type="dxa"/>
              <w:left w:w="0" w:type="dxa"/>
              <w:bottom w:w="40" w:type="dxa"/>
              <w:right w:w="20" w:type="dxa"/>
            </w:tcMar>
            <w:vAlign w:val="bottom"/>
          </w:tcPr>
          <w:p w14:paraId="5CD8F22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2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2F" w14:textId="77777777" w:rsidR="00BA49F5" w:rsidRDefault="007E5E49">
            <w:pPr>
              <w:jc w:val="right"/>
              <w:textAlignment w:val="bottom"/>
            </w:pPr>
            <w:r>
              <w:rPr>
                <w:rFonts w:ascii="Times New Roman" w:eastAsia="宋体" w:hAnsi="Times New Roman"/>
                <w:color w:val="000000"/>
                <w:sz w:val="20"/>
                <w:szCs w:val="20"/>
              </w:rPr>
              <w:t>(3,564)</w:t>
            </w:r>
          </w:p>
        </w:tc>
        <w:tc>
          <w:tcPr>
            <w:tcW w:w="0" w:type="auto"/>
            <w:shd w:val="clear" w:color="auto" w:fill="CCEEFF"/>
            <w:tcMar>
              <w:top w:w="40" w:type="dxa"/>
              <w:left w:w="0" w:type="dxa"/>
              <w:bottom w:w="40" w:type="dxa"/>
              <w:right w:w="20" w:type="dxa"/>
            </w:tcMar>
            <w:vAlign w:val="bottom"/>
          </w:tcPr>
          <w:p w14:paraId="5CD8F230" w14:textId="77777777" w:rsidR="00BA49F5" w:rsidRDefault="00BA49F5">
            <w:pPr>
              <w:jc w:val="right"/>
              <w:rPr>
                <w:rFonts w:ascii="宋体"/>
              </w:rPr>
            </w:pPr>
          </w:p>
        </w:tc>
      </w:tr>
      <w:tr w:rsidR="00BA49F5" w14:paraId="5CD8F244" w14:textId="77777777">
        <w:trPr>
          <w:jc w:val="center"/>
        </w:trPr>
        <w:tc>
          <w:tcPr>
            <w:tcW w:w="0" w:type="auto"/>
            <w:gridSpan w:val="3"/>
            <w:shd w:val="clear" w:color="auto" w:fill="FFFFFF"/>
            <w:tcMar>
              <w:top w:w="40" w:type="dxa"/>
              <w:left w:w="200" w:type="dxa"/>
              <w:bottom w:w="40" w:type="dxa"/>
              <w:right w:w="20" w:type="dxa"/>
            </w:tcMar>
            <w:vAlign w:val="bottom"/>
          </w:tcPr>
          <w:p w14:paraId="5CD8F232"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5CD8F23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3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3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3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3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3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39" w14:textId="77777777" w:rsidR="00BA49F5" w:rsidRDefault="007E5E49">
            <w:pPr>
              <w:jc w:val="right"/>
              <w:textAlignment w:val="bottom"/>
            </w:pPr>
            <w:r>
              <w:rPr>
                <w:rFonts w:ascii="Times New Roman" w:eastAsia="宋体" w:hAnsi="Times New Roman"/>
                <w:color w:val="000000"/>
                <w:sz w:val="20"/>
                <w:szCs w:val="20"/>
              </w:rPr>
              <w:t>6,536 </w:t>
            </w:r>
          </w:p>
        </w:tc>
        <w:tc>
          <w:tcPr>
            <w:tcW w:w="0" w:type="auto"/>
            <w:shd w:val="clear" w:color="auto" w:fill="FFFFFF"/>
            <w:tcMar>
              <w:top w:w="40" w:type="dxa"/>
              <w:left w:w="0" w:type="dxa"/>
              <w:bottom w:w="40" w:type="dxa"/>
              <w:right w:w="20" w:type="dxa"/>
            </w:tcMar>
            <w:vAlign w:val="bottom"/>
          </w:tcPr>
          <w:p w14:paraId="5CD8F23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3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3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3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3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3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4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4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42" w14:textId="77777777" w:rsidR="00BA49F5" w:rsidRDefault="007E5E49">
            <w:pPr>
              <w:jc w:val="right"/>
              <w:textAlignment w:val="bottom"/>
            </w:pPr>
            <w:r>
              <w:rPr>
                <w:rFonts w:ascii="Times New Roman" w:eastAsia="宋体" w:hAnsi="Times New Roman"/>
                <w:color w:val="000000"/>
                <w:sz w:val="20"/>
                <w:szCs w:val="20"/>
              </w:rPr>
              <w:t>6,536 </w:t>
            </w:r>
          </w:p>
        </w:tc>
        <w:tc>
          <w:tcPr>
            <w:tcW w:w="0" w:type="auto"/>
            <w:shd w:val="clear" w:color="auto" w:fill="FFFFFF"/>
            <w:tcMar>
              <w:top w:w="40" w:type="dxa"/>
              <w:left w:w="0" w:type="dxa"/>
              <w:bottom w:w="40" w:type="dxa"/>
              <w:right w:w="20" w:type="dxa"/>
            </w:tcMar>
            <w:vAlign w:val="bottom"/>
          </w:tcPr>
          <w:p w14:paraId="5CD8F243" w14:textId="77777777" w:rsidR="00BA49F5" w:rsidRDefault="00BA49F5">
            <w:pPr>
              <w:jc w:val="right"/>
              <w:rPr>
                <w:rFonts w:ascii="宋体"/>
              </w:rPr>
            </w:pPr>
          </w:p>
        </w:tc>
      </w:tr>
      <w:tr w:rsidR="00BA49F5" w14:paraId="5CD8F257" w14:textId="77777777">
        <w:trPr>
          <w:jc w:val="center"/>
        </w:trPr>
        <w:tc>
          <w:tcPr>
            <w:tcW w:w="0" w:type="auto"/>
            <w:gridSpan w:val="3"/>
            <w:shd w:val="clear" w:color="auto" w:fill="CCEEFF"/>
            <w:tcMar>
              <w:top w:w="40" w:type="dxa"/>
              <w:left w:w="200" w:type="dxa"/>
              <w:bottom w:w="40" w:type="dxa"/>
              <w:right w:w="20" w:type="dxa"/>
            </w:tcMar>
            <w:vAlign w:val="bottom"/>
          </w:tcPr>
          <w:p w14:paraId="5CD8F245" w14:textId="77777777" w:rsidR="00BA49F5" w:rsidRDefault="007E5E49">
            <w:pPr>
              <w:textAlignment w:val="bottom"/>
            </w:pPr>
            <w:r>
              <w:rPr>
                <w:rFonts w:ascii="Times New Roman" w:eastAsia="宋体" w:hAnsi="Times New Roman"/>
                <w:color w:val="000000"/>
                <w:sz w:val="20"/>
                <w:szCs w:val="20"/>
              </w:rPr>
              <w:t>Share repurchases</w:t>
            </w:r>
          </w:p>
        </w:tc>
        <w:tc>
          <w:tcPr>
            <w:tcW w:w="0" w:type="auto"/>
            <w:gridSpan w:val="2"/>
            <w:shd w:val="clear" w:color="auto" w:fill="CCEEFF"/>
            <w:tcMar>
              <w:top w:w="40" w:type="dxa"/>
              <w:left w:w="20" w:type="dxa"/>
              <w:bottom w:w="40" w:type="dxa"/>
              <w:right w:w="0" w:type="dxa"/>
            </w:tcMar>
            <w:vAlign w:val="bottom"/>
          </w:tcPr>
          <w:p w14:paraId="5CD8F246" w14:textId="77777777" w:rsidR="00BA49F5" w:rsidRDefault="007E5E49">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5CD8F24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4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4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4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4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4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4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4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4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5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5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52" w14:textId="77777777" w:rsidR="00BA49F5" w:rsidRDefault="007E5E49">
            <w:pPr>
              <w:jc w:val="right"/>
              <w:textAlignment w:val="bottom"/>
            </w:pPr>
            <w:r>
              <w:rPr>
                <w:rFonts w:ascii="Times New Roman" w:eastAsia="宋体" w:hAnsi="Times New Roman"/>
                <w:color w:val="000000"/>
                <w:sz w:val="20"/>
                <w:szCs w:val="20"/>
              </w:rPr>
              <w:t>(6,298)</w:t>
            </w:r>
          </w:p>
        </w:tc>
        <w:tc>
          <w:tcPr>
            <w:tcW w:w="0" w:type="auto"/>
            <w:shd w:val="clear" w:color="auto" w:fill="CCEEFF"/>
            <w:tcMar>
              <w:top w:w="40" w:type="dxa"/>
              <w:left w:w="0" w:type="dxa"/>
              <w:bottom w:w="40" w:type="dxa"/>
              <w:right w:w="20" w:type="dxa"/>
            </w:tcMar>
            <w:vAlign w:val="bottom"/>
          </w:tcPr>
          <w:p w14:paraId="5CD8F25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5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55" w14:textId="77777777" w:rsidR="00BA49F5" w:rsidRDefault="007E5E49">
            <w:pPr>
              <w:jc w:val="right"/>
              <w:textAlignment w:val="bottom"/>
            </w:pPr>
            <w:r>
              <w:rPr>
                <w:rFonts w:ascii="Times New Roman" w:eastAsia="宋体" w:hAnsi="Times New Roman"/>
                <w:color w:val="000000"/>
                <w:sz w:val="20"/>
                <w:szCs w:val="20"/>
              </w:rPr>
              <w:t>(6,298)</w:t>
            </w:r>
          </w:p>
        </w:tc>
        <w:tc>
          <w:tcPr>
            <w:tcW w:w="0" w:type="auto"/>
            <w:shd w:val="clear" w:color="auto" w:fill="CCEEFF"/>
            <w:tcMar>
              <w:top w:w="40" w:type="dxa"/>
              <w:left w:w="0" w:type="dxa"/>
              <w:bottom w:w="40" w:type="dxa"/>
              <w:right w:w="20" w:type="dxa"/>
            </w:tcMar>
            <w:vAlign w:val="bottom"/>
          </w:tcPr>
          <w:p w14:paraId="5CD8F256" w14:textId="77777777" w:rsidR="00BA49F5" w:rsidRDefault="00BA49F5">
            <w:pPr>
              <w:jc w:val="right"/>
              <w:rPr>
                <w:rFonts w:ascii="宋体"/>
              </w:rPr>
            </w:pPr>
          </w:p>
        </w:tc>
      </w:tr>
      <w:tr w:rsidR="00BA49F5" w14:paraId="5CD8F26A" w14:textId="77777777">
        <w:trPr>
          <w:jc w:val="center"/>
        </w:trPr>
        <w:tc>
          <w:tcPr>
            <w:tcW w:w="0" w:type="auto"/>
            <w:gridSpan w:val="3"/>
            <w:shd w:val="clear" w:color="auto" w:fill="FFFFFF"/>
            <w:tcMar>
              <w:top w:w="40" w:type="dxa"/>
              <w:left w:w="200" w:type="dxa"/>
              <w:bottom w:w="40" w:type="dxa"/>
              <w:right w:w="20" w:type="dxa"/>
            </w:tcMar>
            <w:vAlign w:val="bottom"/>
          </w:tcPr>
          <w:p w14:paraId="5CD8F258" w14:textId="77777777" w:rsidR="00BA49F5" w:rsidRDefault="007E5E49">
            <w:pPr>
              <w:textAlignment w:val="bottom"/>
            </w:pPr>
            <w:r>
              <w:rPr>
                <w:rFonts w:ascii="Times New Roman" w:eastAsia="宋体" w:hAnsi="Times New Roman"/>
                <w:color w:val="000000"/>
                <w:sz w:val="20"/>
                <w:szCs w:val="20"/>
              </w:rPr>
              <w:t>Other comprehensive income</w:t>
            </w:r>
          </w:p>
        </w:tc>
        <w:tc>
          <w:tcPr>
            <w:tcW w:w="0" w:type="auto"/>
            <w:gridSpan w:val="2"/>
            <w:shd w:val="clear" w:color="auto" w:fill="FFFFFF"/>
            <w:tcMar>
              <w:top w:w="40" w:type="dxa"/>
              <w:left w:w="20" w:type="dxa"/>
              <w:bottom w:w="40" w:type="dxa"/>
              <w:right w:w="0" w:type="dxa"/>
            </w:tcMar>
            <w:vAlign w:val="bottom"/>
          </w:tcPr>
          <w:p w14:paraId="5CD8F25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5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5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5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5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5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5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6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6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62" w14:textId="77777777" w:rsidR="00BA49F5" w:rsidRDefault="007E5E49">
            <w:pPr>
              <w:jc w:val="right"/>
              <w:textAlignment w:val="bottom"/>
            </w:pPr>
            <w:r>
              <w:rPr>
                <w:rFonts w:ascii="Times New Roman" w:eastAsia="宋体" w:hAnsi="Times New Roman"/>
                <w:color w:val="000000"/>
                <w:sz w:val="20"/>
                <w:szCs w:val="20"/>
              </w:rPr>
              <w:t>1,416 </w:t>
            </w:r>
          </w:p>
        </w:tc>
        <w:tc>
          <w:tcPr>
            <w:tcW w:w="0" w:type="auto"/>
            <w:shd w:val="clear" w:color="auto" w:fill="FFFFFF"/>
            <w:tcMar>
              <w:top w:w="40" w:type="dxa"/>
              <w:left w:w="0" w:type="dxa"/>
              <w:bottom w:w="40" w:type="dxa"/>
              <w:right w:w="20" w:type="dxa"/>
            </w:tcMar>
            <w:vAlign w:val="bottom"/>
          </w:tcPr>
          <w:p w14:paraId="5CD8F26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6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6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6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6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68" w14:textId="77777777" w:rsidR="00BA49F5" w:rsidRDefault="007E5E49">
            <w:pPr>
              <w:jc w:val="right"/>
              <w:textAlignment w:val="bottom"/>
            </w:pPr>
            <w:r>
              <w:rPr>
                <w:rFonts w:ascii="Times New Roman" w:eastAsia="宋体" w:hAnsi="Times New Roman"/>
                <w:color w:val="000000"/>
                <w:sz w:val="20"/>
                <w:szCs w:val="20"/>
              </w:rPr>
              <w:t>1,416 </w:t>
            </w:r>
          </w:p>
        </w:tc>
        <w:tc>
          <w:tcPr>
            <w:tcW w:w="0" w:type="auto"/>
            <w:shd w:val="clear" w:color="auto" w:fill="FFFFFF"/>
            <w:tcMar>
              <w:top w:w="40" w:type="dxa"/>
              <w:left w:w="0" w:type="dxa"/>
              <w:bottom w:w="40" w:type="dxa"/>
              <w:right w:w="20" w:type="dxa"/>
            </w:tcMar>
            <w:vAlign w:val="bottom"/>
          </w:tcPr>
          <w:p w14:paraId="5CD8F269" w14:textId="77777777" w:rsidR="00BA49F5" w:rsidRDefault="00BA49F5">
            <w:pPr>
              <w:jc w:val="right"/>
              <w:rPr>
                <w:rFonts w:ascii="宋体"/>
              </w:rPr>
            </w:pPr>
          </w:p>
        </w:tc>
      </w:tr>
      <w:tr w:rsidR="00BA49F5" w14:paraId="5CD8F27D" w14:textId="77777777">
        <w:trPr>
          <w:jc w:val="center"/>
        </w:trPr>
        <w:tc>
          <w:tcPr>
            <w:tcW w:w="0" w:type="auto"/>
            <w:gridSpan w:val="3"/>
            <w:shd w:val="clear" w:color="auto" w:fill="CCEEFF"/>
            <w:tcMar>
              <w:top w:w="40" w:type="dxa"/>
              <w:left w:w="200" w:type="dxa"/>
              <w:bottom w:w="40" w:type="dxa"/>
              <w:right w:w="20" w:type="dxa"/>
            </w:tcMar>
            <w:vAlign w:val="bottom"/>
          </w:tcPr>
          <w:p w14:paraId="5CD8F26B" w14:textId="77777777" w:rsidR="00BA49F5" w:rsidRDefault="007E5E49">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5CD8F26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6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6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6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7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7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7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7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7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7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7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7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78"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shd w:val="clear" w:color="auto" w:fill="CCEEFF"/>
            <w:tcMar>
              <w:top w:w="40" w:type="dxa"/>
              <w:left w:w="0" w:type="dxa"/>
              <w:bottom w:w="40" w:type="dxa"/>
              <w:right w:w="20" w:type="dxa"/>
            </w:tcMar>
            <w:vAlign w:val="bottom"/>
          </w:tcPr>
          <w:p w14:paraId="5CD8F27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7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7B"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shd w:val="clear" w:color="auto" w:fill="CCEEFF"/>
            <w:tcMar>
              <w:top w:w="40" w:type="dxa"/>
              <w:left w:w="0" w:type="dxa"/>
              <w:bottom w:w="40" w:type="dxa"/>
              <w:right w:w="20" w:type="dxa"/>
            </w:tcMar>
            <w:vAlign w:val="bottom"/>
          </w:tcPr>
          <w:p w14:paraId="5CD8F27C" w14:textId="77777777" w:rsidR="00BA49F5" w:rsidRDefault="00BA49F5">
            <w:pPr>
              <w:jc w:val="right"/>
              <w:rPr>
                <w:rFonts w:ascii="宋体"/>
              </w:rPr>
            </w:pPr>
          </w:p>
        </w:tc>
      </w:tr>
      <w:tr w:rsidR="00BA49F5" w14:paraId="5CD8F290" w14:textId="77777777">
        <w:trPr>
          <w:jc w:val="center"/>
        </w:trPr>
        <w:tc>
          <w:tcPr>
            <w:tcW w:w="0" w:type="auto"/>
            <w:gridSpan w:val="3"/>
            <w:shd w:val="clear" w:color="auto" w:fill="FFFFFF"/>
            <w:tcMar>
              <w:top w:w="40" w:type="dxa"/>
              <w:left w:w="20" w:type="dxa"/>
              <w:bottom w:w="40" w:type="dxa"/>
              <w:right w:w="20" w:type="dxa"/>
            </w:tcMar>
            <w:vAlign w:val="bottom"/>
          </w:tcPr>
          <w:p w14:paraId="5CD8F27E" w14:textId="77777777" w:rsidR="00BA49F5" w:rsidRDefault="007E5E49">
            <w:pPr>
              <w:textAlignment w:val="bottom"/>
            </w:pPr>
            <w:r>
              <w:rPr>
                <w:rFonts w:ascii="Times New Roman" w:eastAsia="宋体" w:hAnsi="Times New Roman"/>
                <w:b/>
                <w:bCs/>
                <w:color w:val="000000"/>
                <w:sz w:val="20"/>
                <w:szCs w:val="20"/>
              </w:rPr>
              <w:t>Balances at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7F" w14:textId="77777777" w:rsidR="00BA49F5" w:rsidRDefault="007E5E49">
            <w:pPr>
              <w:jc w:val="right"/>
              <w:textAlignment w:val="bottom"/>
            </w:pPr>
            <w:r>
              <w:rPr>
                <w:rFonts w:ascii="Times New Roman" w:eastAsia="宋体" w:hAnsi="Times New Roman"/>
                <w:color w:val="000000"/>
                <w:sz w:val="20"/>
                <w:szCs w:val="20"/>
              </w:rPr>
              <w:t>2,849 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81"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82"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84"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85" w14:textId="77777777" w:rsidR="00BA49F5" w:rsidRDefault="007E5E49">
            <w:pPr>
              <w:jc w:val="right"/>
              <w:textAlignment w:val="bottom"/>
            </w:pPr>
            <w:r>
              <w:rPr>
                <w:rFonts w:ascii="Times New Roman" w:eastAsia="宋体" w:hAnsi="Times New Roman"/>
                <w:color w:val="000000"/>
                <w:sz w:val="20"/>
                <w:szCs w:val="20"/>
              </w:rPr>
              <w:t>50,018 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87"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88" w14:textId="77777777" w:rsidR="00BA49F5" w:rsidRDefault="007E5E49">
            <w:pPr>
              <w:jc w:val="right"/>
              <w:textAlignment w:val="bottom"/>
            </w:pPr>
            <w:r>
              <w:rPr>
                <w:rFonts w:ascii="Times New Roman" w:eastAsia="宋体" w:hAnsi="Times New Roman"/>
                <w:color w:val="000000"/>
                <w:sz w:val="20"/>
                <w:szCs w:val="20"/>
              </w:rPr>
              <w:t>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8A"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8B" w14:textId="77777777" w:rsidR="00BA49F5" w:rsidRDefault="007E5E49">
            <w:pPr>
              <w:jc w:val="right"/>
              <w:textAlignment w:val="bottom"/>
            </w:pPr>
            <w:r>
              <w:rPr>
                <w:rFonts w:ascii="Times New Roman" w:eastAsia="宋体" w:hAnsi="Times New Roman"/>
                <w:color w:val="000000"/>
                <w:sz w:val="20"/>
                <w:szCs w:val="20"/>
              </w:rPr>
              <w:t>77,345 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8D"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28E" w14:textId="77777777" w:rsidR="00BA49F5" w:rsidRDefault="007E5E49">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28F" w14:textId="77777777" w:rsidR="00BA49F5" w:rsidRDefault="00BA49F5">
            <w:pPr>
              <w:jc w:val="right"/>
              <w:rPr>
                <w:rFonts w:ascii="宋体"/>
              </w:rPr>
            </w:pPr>
          </w:p>
        </w:tc>
      </w:tr>
      <w:tr w:rsidR="00BA49F5" w14:paraId="5CD8F2A3" w14:textId="77777777">
        <w:trPr>
          <w:jc w:val="center"/>
        </w:trPr>
        <w:tc>
          <w:tcPr>
            <w:tcW w:w="0" w:type="auto"/>
            <w:gridSpan w:val="3"/>
            <w:shd w:val="clear" w:color="auto" w:fill="CCEEFF"/>
            <w:tcMar>
              <w:top w:w="40" w:type="dxa"/>
              <w:left w:w="200" w:type="dxa"/>
              <w:bottom w:w="40" w:type="dxa"/>
              <w:right w:w="20" w:type="dxa"/>
            </w:tcMar>
            <w:vAlign w:val="bottom"/>
          </w:tcPr>
          <w:p w14:paraId="5CD8F291" w14:textId="77777777" w:rsidR="00BA49F5" w:rsidRDefault="007E5E49">
            <w:pPr>
              <w:textAlignment w:val="bottom"/>
            </w:pPr>
            <w:r>
              <w:rPr>
                <w:rFonts w:ascii="Times New Roman" w:eastAsia="宋体" w:hAnsi="Times New Roman"/>
                <w:color w:val="000000"/>
                <w:sz w:val="20"/>
                <w:szCs w:val="20"/>
              </w:rPr>
              <w:t>Issuance of common stock</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92" w14:textId="77777777" w:rsidR="00BA49F5" w:rsidRDefault="007E5E49">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9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94"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95"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9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97"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98"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9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9A"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9B"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9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9D"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9E"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9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A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2A1"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2A2" w14:textId="77777777" w:rsidR="00BA49F5" w:rsidRDefault="00BA49F5">
            <w:pPr>
              <w:jc w:val="right"/>
              <w:rPr>
                <w:rFonts w:ascii="宋体"/>
              </w:rPr>
            </w:pPr>
          </w:p>
        </w:tc>
      </w:tr>
      <w:tr w:rsidR="00BA49F5" w14:paraId="5CD8F2B6" w14:textId="77777777">
        <w:trPr>
          <w:jc w:val="center"/>
        </w:trPr>
        <w:tc>
          <w:tcPr>
            <w:tcW w:w="0" w:type="auto"/>
            <w:gridSpan w:val="3"/>
            <w:shd w:val="clear" w:color="auto" w:fill="FFFFFF"/>
            <w:tcMar>
              <w:top w:w="40" w:type="dxa"/>
              <w:left w:w="200" w:type="dxa"/>
              <w:bottom w:w="40" w:type="dxa"/>
              <w:right w:w="20" w:type="dxa"/>
            </w:tcMar>
            <w:vAlign w:val="bottom"/>
          </w:tcPr>
          <w:p w14:paraId="5CD8F2A4" w14:textId="77777777" w:rsidR="00BA49F5" w:rsidRDefault="007E5E49">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FFFFFF"/>
            <w:tcMar>
              <w:top w:w="40" w:type="dxa"/>
              <w:left w:w="20" w:type="dxa"/>
              <w:bottom w:w="40" w:type="dxa"/>
              <w:right w:w="0" w:type="dxa"/>
            </w:tcMar>
            <w:vAlign w:val="bottom"/>
          </w:tcPr>
          <w:p w14:paraId="5CD8F2A5" w14:textId="77777777" w:rsidR="00BA49F5" w:rsidRDefault="007E5E49">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5CD8F2A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A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A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A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A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AB" w14:textId="77777777" w:rsidR="00BA49F5" w:rsidRDefault="007E5E49">
            <w:pPr>
              <w:jc w:val="right"/>
              <w:textAlignment w:val="bottom"/>
            </w:pPr>
            <w:r>
              <w:rPr>
                <w:rFonts w:ascii="Times New Roman" w:eastAsia="宋体" w:hAnsi="Times New Roman"/>
                <w:color w:val="000000"/>
                <w:sz w:val="20"/>
                <w:szCs w:val="20"/>
              </w:rPr>
              <w:t>(3,371)</w:t>
            </w:r>
          </w:p>
        </w:tc>
        <w:tc>
          <w:tcPr>
            <w:tcW w:w="0" w:type="auto"/>
            <w:shd w:val="clear" w:color="auto" w:fill="FFFFFF"/>
            <w:tcMar>
              <w:top w:w="40" w:type="dxa"/>
              <w:left w:w="0" w:type="dxa"/>
              <w:bottom w:w="40" w:type="dxa"/>
              <w:right w:w="20" w:type="dxa"/>
            </w:tcMar>
            <w:vAlign w:val="bottom"/>
          </w:tcPr>
          <w:p w14:paraId="5CD8F2A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A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A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A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B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B1" w14:textId="77777777" w:rsidR="00BA49F5" w:rsidRDefault="007E5E49">
            <w:pPr>
              <w:jc w:val="right"/>
              <w:textAlignment w:val="bottom"/>
            </w:pPr>
            <w:r>
              <w:rPr>
                <w:rFonts w:ascii="Times New Roman" w:eastAsia="宋体" w:hAnsi="Times New Roman"/>
                <w:color w:val="000000"/>
                <w:sz w:val="20"/>
                <w:szCs w:val="20"/>
              </w:rPr>
              <w:t>(2,144)</w:t>
            </w:r>
          </w:p>
        </w:tc>
        <w:tc>
          <w:tcPr>
            <w:tcW w:w="0" w:type="auto"/>
            <w:shd w:val="clear" w:color="auto" w:fill="FFFFFF"/>
            <w:tcMar>
              <w:top w:w="40" w:type="dxa"/>
              <w:left w:w="0" w:type="dxa"/>
              <w:bottom w:w="40" w:type="dxa"/>
              <w:right w:w="20" w:type="dxa"/>
            </w:tcMar>
            <w:vAlign w:val="bottom"/>
          </w:tcPr>
          <w:p w14:paraId="5CD8F2B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B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B4" w14:textId="77777777" w:rsidR="00BA49F5" w:rsidRDefault="007E5E49">
            <w:pPr>
              <w:jc w:val="right"/>
              <w:textAlignment w:val="bottom"/>
            </w:pPr>
            <w:r>
              <w:rPr>
                <w:rFonts w:ascii="Times New Roman" w:eastAsia="宋体" w:hAnsi="Times New Roman"/>
                <w:color w:val="000000"/>
                <w:sz w:val="20"/>
                <w:szCs w:val="20"/>
              </w:rPr>
              <w:t>(5,515)</w:t>
            </w:r>
          </w:p>
        </w:tc>
        <w:tc>
          <w:tcPr>
            <w:tcW w:w="0" w:type="auto"/>
            <w:shd w:val="clear" w:color="auto" w:fill="FFFFFF"/>
            <w:tcMar>
              <w:top w:w="40" w:type="dxa"/>
              <w:left w:w="0" w:type="dxa"/>
              <w:bottom w:w="40" w:type="dxa"/>
              <w:right w:w="20" w:type="dxa"/>
            </w:tcMar>
            <w:vAlign w:val="bottom"/>
          </w:tcPr>
          <w:p w14:paraId="5CD8F2B5" w14:textId="77777777" w:rsidR="00BA49F5" w:rsidRDefault="00BA49F5">
            <w:pPr>
              <w:jc w:val="right"/>
              <w:rPr>
                <w:rFonts w:ascii="宋体"/>
              </w:rPr>
            </w:pPr>
          </w:p>
        </w:tc>
      </w:tr>
      <w:tr w:rsidR="00BA49F5" w14:paraId="5CD8F2C9" w14:textId="77777777">
        <w:trPr>
          <w:jc w:val="center"/>
        </w:trPr>
        <w:tc>
          <w:tcPr>
            <w:tcW w:w="0" w:type="auto"/>
            <w:gridSpan w:val="3"/>
            <w:shd w:val="clear" w:color="auto" w:fill="CCEEFF"/>
            <w:tcMar>
              <w:top w:w="40" w:type="dxa"/>
              <w:left w:w="200" w:type="dxa"/>
              <w:bottom w:w="40" w:type="dxa"/>
              <w:right w:w="20" w:type="dxa"/>
            </w:tcMar>
            <w:vAlign w:val="bottom"/>
          </w:tcPr>
          <w:p w14:paraId="5CD8F2B7"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5CD8F2B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B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B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B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B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B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BE" w14:textId="77777777" w:rsidR="00BA49F5" w:rsidRDefault="007E5E49">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5CD8F2B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C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C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C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C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C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C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C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C7" w14:textId="77777777" w:rsidR="00BA49F5" w:rsidRDefault="007E5E49">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5CD8F2C8" w14:textId="77777777" w:rsidR="00BA49F5" w:rsidRDefault="00BA49F5">
            <w:pPr>
              <w:jc w:val="right"/>
              <w:rPr>
                <w:rFonts w:ascii="宋体"/>
              </w:rPr>
            </w:pPr>
          </w:p>
        </w:tc>
      </w:tr>
      <w:tr w:rsidR="00BA49F5" w14:paraId="5CD8F2DC" w14:textId="77777777">
        <w:trPr>
          <w:jc w:val="center"/>
        </w:trPr>
        <w:tc>
          <w:tcPr>
            <w:tcW w:w="0" w:type="auto"/>
            <w:gridSpan w:val="3"/>
            <w:shd w:val="clear" w:color="auto" w:fill="FFFFFF"/>
            <w:tcMar>
              <w:top w:w="40" w:type="dxa"/>
              <w:left w:w="200" w:type="dxa"/>
              <w:bottom w:w="40" w:type="dxa"/>
              <w:right w:w="20" w:type="dxa"/>
            </w:tcMar>
            <w:vAlign w:val="bottom"/>
          </w:tcPr>
          <w:p w14:paraId="5CD8F2CA" w14:textId="77777777" w:rsidR="00BA49F5" w:rsidRDefault="007E5E49">
            <w:pPr>
              <w:textAlignment w:val="bottom"/>
            </w:pPr>
            <w:r>
              <w:rPr>
                <w:rFonts w:ascii="Times New Roman" w:eastAsia="宋体" w:hAnsi="Times New Roman"/>
                <w:color w:val="000000"/>
                <w:sz w:val="20"/>
                <w:szCs w:val="20"/>
              </w:rPr>
              <w:t>Share repurchases</w:t>
            </w:r>
          </w:p>
        </w:tc>
        <w:tc>
          <w:tcPr>
            <w:tcW w:w="0" w:type="auto"/>
            <w:gridSpan w:val="2"/>
            <w:shd w:val="clear" w:color="auto" w:fill="FFFFFF"/>
            <w:tcMar>
              <w:top w:w="40" w:type="dxa"/>
              <w:left w:w="20" w:type="dxa"/>
              <w:bottom w:w="40" w:type="dxa"/>
              <w:right w:w="0" w:type="dxa"/>
            </w:tcMar>
            <w:vAlign w:val="bottom"/>
          </w:tcPr>
          <w:p w14:paraId="5CD8F2CB" w14:textId="77777777" w:rsidR="00BA49F5" w:rsidRDefault="007E5E49">
            <w:pPr>
              <w:jc w:val="right"/>
              <w:textAlignment w:val="bottom"/>
            </w:pPr>
            <w:r>
              <w:rPr>
                <w:rFonts w:ascii="Times New Roman" w:eastAsia="宋体" w:hAnsi="Times New Roman"/>
                <w:color w:val="000000"/>
                <w:sz w:val="20"/>
                <w:szCs w:val="20"/>
              </w:rPr>
              <w:t>(136)</w:t>
            </w:r>
          </w:p>
        </w:tc>
        <w:tc>
          <w:tcPr>
            <w:tcW w:w="0" w:type="auto"/>
            <w:shd w:val="clear" w:color="auto" w:fill="FFFFFF"/>
            <w:tcMar>
              <w:top w:w="40" w:type="dxa"/>
              <w:left w:w="0" w:type="dxa"/>
              <w:bottom w:w="40" w:type="dxa"/>
              <w:right w:w="20" w:type="dxa"/>
            </w:tcMar>
            <w:vAlign w:val="bottom"/>
          </w:tcPr>
          <w:p w14:paraId="5CD8F2C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C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C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C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D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D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D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D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D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D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D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D7" w14:textId="77777777" w:rsidR="00BA49F5" w:rsidRDefault="007E5E49">
            <w:pPr>
              <w:jc w:val="right"/>
              <w:textAlignment w:val="bottom"/>
            </w:pPr>
            <w:r>
              <w:rPr>
                <w:rFonts w:ascii="Times New Roman" w:eastAsia="宋体" w:hAnsi="Times New Roman"/>
                <w:color w:val="000000"/>
                <w:sz w:val="20"/>
                <w:szCs w:val="20"/>
              </w:rPr>
              <w:t>(44,810)</w:t>
            </w:r>
          </w:p>
        </w:tc>
        <w:tc>
          <w:tcPr>
            <w:tcW w:w="0" w:type="auto"/>
            <w:shd w:val="clear" w:color="auto" w:fill="FFFFFF"/>
            <w:tcMar>
              <w:top w:w="40" w:type="dxa"/>
              <w:left w:w="0" w:type="dxa"/>
              <w:bottom w:w="40" w:type="dxa"/>
              <w:right w:w="20" w:type="dxa"/>
            </w:tcMar>
            <w:vAlign w:val="bottom"/>
          </w:tcPr>
          <w:p w14:paraId="5CD8F2D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D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DA" w14:textId="77777777" w:rsidR="00BA49F5" w:rsidRDefault="007E5E49">
            <w:pPr>
              <w:jc w:val="right"/>
              <w:textAlignment w:val="bottom"/>
            </w:pPr>
            <w:r>
              <w:rPr>
                <w:rFonts w:ascii="Times New Roman" w:eastAsia="宋体" w:hAnsi="Times New Roman"/>
                <w:color w:val="000000"/>
                <w:sz w:val="20"/>
                <w:szCs w:val="20"/>
              </w:rPr>
              <w:t>(44,810)</w:t>
            </w:r>
          </w:p>
        </w:tc>
        <w:tc>
          <w:tcPr>
            <w:tcW w:w="0" w:type="auto"/>
            <w:shd w:val="clear" w:color="auto" w:fill="FFFFFF"/>
            <w:tcMar>
              <w:top w:w="40" w:type="dxa"/>
              <w:left w:w="0" w:type="dxa"/>
              <w:bottom w:w="40" w:type="dxa"/>
              <w:right w:w="20" w:type="dxa"/>
            </w:tcMar>
            <w:vAlign w:val="bottom"/>
          </w:tcPr>
          <w:p w14:paraId="5CD8F2DB" w14:textId="77777777" w:rsidR="00BA49F5" w:rsidRDefault="00BA49F5">
            <w:pPr>
              <w:jc w:val="right"/>
              <w:rPr>
                <w:rFonts w:ascii="宋体"/>
              </w:rPr>
            </w:pPr>
          </w:p>
        </w:tc>
      </w:tr>
      <w:tr w:rsidR="00BA49F5" w14:paraId="5CD8F2EF" w14:textId="77777777">
        <w:trPr>
          <w:jc w:val="center"/>
        </w:trPr>
        <w:tc>
          <w:tcPr>
            <w:tcW w:w="0" w:type="auto"/>
            <w:gridSpan w:val="3"/>
            <w:shd w:val="clear" w:color="auto" w:fill="CCEEFF"/>
            <w:tcMar>
              <w:top w:w="40" w:type="dxa"/>
              <w:left w:w="200" w:type="dxa"/>
              <w:bottom w:w="40" w:type="dxa"/>
              <w:right w:w="20" w:type="dxa"/>
            </w:tcMar>
            <w:vAlign w:val="bottom"/>
          </w:tcPr>
          <w:p w14:paraId="5CD8F2DD" w14:textId="77777777" w:rsidR="00BA49F5" w:rsidRDefault="007E5E49">
            <w:pPr>
              <w:textAlignment w:val="bottom"/>
            </w:pPr>
            <w:r>
              <w:rPr>
                <w:rFonts w:ascii="Times New Roman" w:eastAsia="宋体" w:hAnsi="Times New Roman"/>
                <w:color w:val="000000"/>
                <w:sz w:val="20"/>
                <w:szCs w:val="20"/>
              </w:rPr>
              <w:t>Other comprehensive loss</w:t>
            </w:r>
          </w:p>
        </w:tc>
        <w:tc>
          <w:tcPr>
            <w:tcW w:w="0" w:type="auto"/>
            <w:gridSpan w:val="2"/>
            <w:shd w:val="clear" w:color="auto" w:fill="CCEEFF"/>
            <w:tcMar>
              <w:top w:w="40" w:type="dxa"/>
              <w:left w:w="20" w:type="dxa"/>
              <w:bottom w:w="40" w:type="dxa"/>
              <w:right w:w="0" w:type="dxa"/>
            </w:tcMar>
            <w:vAlign w:val="bottom"/>
          </w:tcPr>
          <w:p w14:paraId="5CD8F2D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D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E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E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E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E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E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E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E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E7" w14:textId="77777777" w:rsidR="00BA49F5" w:rsidRDefault="007E5E49">
            <w:pPr>
              <w:jc w:val="right"/>
              <w:textAlignment w:val="bottom"/>
            </w:pPr>
            <w:r>
              <w:rPr>
                <w:rFonts w:ascii="Times New Roman" w:eastAsia="宋体" w:hAnsi="Times New Roman"/>
                <w:color w:val="000000"/>
                <w:sz w:val="20"/>
                <w:szCs w:val="20"/>
              </w:rPr>
              <w:t>(1,620)</w:t>
            </w:r>
          </w:p>
        </w:tc>
        <w:tc>
          <w:tcPr>
            <w:tcW w:w="0" w:type="auto"/>
            <w:shd w:val="clear" w:color="auto" w:fill="CCEEFF"/>
            <w:tcMar>
              <w:top w:w="40" w:type="dxa"/>
              <w:left w:w="0" w:type="dxa"/>
              <w:bottom w:w="40" w:type="dxa"/>
              <w:right w:w="20" w:type="dxa"/>
            </w:tcMar>
            <w:vAlign w:val="bottom"/>
          </w:tcPr>
          <w:p w14:paraId="5CD8F2E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E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EA"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2E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2E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2ED" w14:textId="77777777" w:rsidR="00BA49F5" w:rsidRDefault="007E5E49">
            <w:pPr>
              <w:jc w:val="right"/>
              <w:textAlignment w:val="bottom"/>
            </w:pPr>
            <w:r>
              <w:rPr>
                <w:rFonts w:ascii="Times New Roman" w:eastAsia="宋体" w:hAnsi="Times New Roman"/>
                <w:color w:val="000000"/>
                <w:sz w:val="20"/>
                <w:szCs w:val="20"/>
              </w:rPr>
              <w:t>(1,620)</w:t>
            </w:r>
          </w:p>
        </w:tc>
        <w:tc>
          <w:tcPr>
            <w:tcW w:w="0" w:type="auto"/>
            <w:shd w:val="clear" w:color="auto" w:fill="CCEEFF"/>
            <w:tcMar>
              <w:top w:w="40" w:type="dxa"/>
              <w:left w:w="0" w:type="dxa"/>
              <w:bottom w:w="40" w:type="dxa"/>
              <w:right w:w="20" w:type="dxa"/>
            </w:tcMar>
            <w:vAlign w:val="bottom"/>
          </w:tcPr>
          <w:p w14:paraId="5CD8F2EE" w14:textId="77777777" w:rsidR="00BA49F5" w:rsidRDefault="00BA49F5">
            <w:pPr>
              <w:jc w:val="right"/>
              <w:rPr>
                <w:rFonts w:ascii="宋体"/>
              </w:rPr>
            </w:pPr>
          </w:p>
        </w:tc>
      </w:tr>
      <w:tr w:rsidR="00BA49F5" w14:paraId="5CD8F302" w14:textId="77777777">
        <w:trPr>
          <w:jc w:val="center"/>
        </w:trPr>
        <w:tc>
          <w:tcPr>
            <w:tcW w:w="0" w:type="auto"/>
            <w:gridSpan w:val="3"/>
            <w:shd w:val="clear" w:color="auto" w:fill="FFFFFF"/>
            <w:tcMar>
              <w:top w:w="40" w:type="dxa"/>
              <w:left w:w="200" w:type="dxa"/>
              <w:bottom w:w="40" w:type="dxa"/>
              <w:right w:w="20" w:type="dxa"/>
            </w:tcMar>
            <w:vAlign w:val="bottom"/>
          </w:tcPr>
          <w:p w14:paraId="5CD8F2F0" w14:textId="77777777" w:rsidR="00BA49F5" w:rsidRDefault="007E5E49">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5CD8F2F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F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F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F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F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F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F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F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F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FA"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2F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F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2FD"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5CD8F2F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2F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00"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5CD8F301" w14:textId="77777777" w:rsidR="00BA49F5" w:rsidRDefault="00BA49F5">
            <w:pPr>
              <w:jc w:val="right"/>
              <w:rPr>
                <w:rFonts w:ascii="宋体"/>
              </w:rPr>
            </w:pPr>
          </w:p>
        </w:tc>
      </w:tr>
      <w:tr w:rsidR="00BA49F5" w14:paraId="5CD8F315" w14:textId="77777777">
        <w:trPr>
          <w:jc w:val="center"/>
        </w:trPr>
        <w:tc>
          <w:tcPr>
            <w:tcW w:w="0" w:type="auto"/>
            <w:gridSpan w:val="3"/>
            <w:shd w:val="clear" w:color="auto" w:fill="CCEEFF"/>
            <w:tcMar>
              <w:top w:w="40" w:type="dxa"/>
              <w:left w:w="20" w:type="dxa"/>
              <w:bottom w:w="40" w:type="dxa"/>
              <w:right w:w="20" w:type="dxa"/>
            </w:tcMar>
            <w:vAlign w:val="bottom"/>
          </w:tcPr>
          <w:p w14:paraId="5CD8F303" w14:textId="77777777" w:rsidR="00BA49F5" w:rsidRDefault="007E5E49">
            <w:pPr>
              <w:textAlignment w:val="bottom"/>
            </w:pPr>
            <w:r>
              <w:rPr>
                <w:rFonts w:ascii="Times New Roman" w:eastAsia="宋体" w:hAnsi="Times New Roman"/>
                <w:b/>
                <w:bCs/>
                <w:color w:val="000000"/>
                <w:sz w:val="20"/>
                <w:szCs w:val="20"/>
              </w:rPr>
              <w:t>Balances at December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04" w14:textId="77777777" w:rsidR="00BA49F5" w:rsidRDefault="007E5E49">
            <w:pPr>
              <w:jc w:val="right"/>
              <w:textAlignment w:val="bottom"/>
            </w:pPr>
            <w:r>
              <w:rPr>
                <w:rFonts w:ascii="Times New Roman" w:eastAsia="宋体" w:hAnsi="Times New Roman"/>
                <w:color w:val="000000"/>
                <w:sz w:val="20"/>
                <w:szCs w:val="20"/>
              </w:rPr>
              <w:t>2,741 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0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06"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07"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0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09"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0A" w14:textId="77777777" w:rsidR="00BA49F5" w:rsidRDefault="007E5E49">
            <w:pPr>
              <w:jc w:val="right"/>
              <w:textAlignment w:val="bottom"/>
            </w:pPr>
            <w:r>
              <w:rPr>
                <w:rFonts w:ascii="Times New Roman" w:eastAsia="宋体" w:hAnsi="Times New Roman"/>
                <w:color w:val="000000"/>
                <w:sz w:val="20"/>
                <w:szCs w:val="20"/>
              </w:rPr>
              <w:t>55,811 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0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0C"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0D" w14:textId="77777777" w:rsidR="00BA49F5" w:rsidRDefault="007E5E49">
            <w:pPr>
              <w:jc w:val="right"/>
              <w:textAlignment w:val="bottom"/>
            </w:pPr>
            <w:r>
              <w:rPr>
                <w:rFonts w:ascii="Times New Roman" w:eastAsia="宋体" w:hAnsi="Times New Roman"/>
                <w:color w:val="000000"/>
                <w:sz w:val="20"/>
                <w:szCs w:val="20"/>
              </w:rPr>
              <w:t>(693)</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0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0F"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10" w14:textId="77777777" w:rsidR="00BA49F5" w:rsidRDefault="007E5E49">
            <w:pPr>
              <w:jc w:val="right"/>
              <w:textAlignment w:val="bottom"/>
            </w:pPr>
            <w:r>
              <w:rPr>
                <w:rFonts w:ascii="Times New Roman" w:eastAsia="宋体" w:hAnsi="Times New Roman"/>
                <w:color w:val="000000"/>
                <w:sz w:val="20"/>
                <w:szCs w:val="20"/>
              </w:rPr>
              <w:t>69,761 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1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12"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313" w14:textId="77777777" w:rsidR="00BA49F5" w:rsidRDefault="007E5E49">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314" w14:textId="77777777" w:rsidR="00BA49F5" w:rsidRDefault="00BA49F5">
            <w:pPr>
              <w:jc w:val="right"/>
              <w:rPr>
                <w:rFonts w:ascii="宋体"/>
              </w:rPr>
            </w:pPr>
          </w:p>
        </w:tc>
      </w:tr>
      <w:tr w:rsidR="00BA49F5" w14:paraId="5CD8F328" w14:textId="77777777">
        <w:trPr>
          <w:jc w:val="center"/>
        </w:trPr>
        <w:tc>
          <w:tcPr>
            <w:tcW w:w="0" w:type="auto"/>
            <w:gridSpan w:val="3"/>
            <w:shd w:val="clear" w:color="auto" w:fill="FFFFFF"/>
            <w:tcMar>
              <w:top w:w="40" w:type="dxa"/>
              <w:left w:w="200" w:type="dxa"/>
              <w:bottom w:w="40" w:type="dxa"/>
              <w:right w:w="20" w:type="dxa"/>
            </w:tcMar>
            <w:vAlign w:val="bottom"/>
          </w:tcPr>
          <w:p w14:paraId="5CD8F316" w14:textId="77777777" w:rsidR="00BA49F5" w:rsidRDefault="007E5E49">
            <w:pPr>
              <w:textAlignment w:val="bottom"/>
            </w:pPr>
            <w:r>
              <w:rPr>
                <w:rFonts w:ascii="Times New Roman" w:eastAsia="宋体" w:hAnsi="Times New Roman"/>
                <w:color w:val="000000"/>
                <w:sz w:val="20"/>
                <w:szCs w:val="20"/>
              </w:rPr>
              <w:t>Issuance of common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17" w14:textId="77777777" w:rsidR="00BA49F5" w:rsidRDefault="007E5E49">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1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19"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1A"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1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1C"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1D"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1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1F"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20"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2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22"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23"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2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25"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326"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327" w14:textId="77777777" w:rsidR="00BA49F5" w:rsidRDefault="00BA49F5">
            <w:pPr>
              <w:jc w:val="right"/>
              <w:rPr>
                <w:rFonts w:ascii="宋体"/>
              </w:rPr>
            </w:pPr>
          </w:p>
        </w:tc>
      </w:tr>
      <w:tr w:rsidR="00BA49F5" w14:paraId="5CD8F33B" w14:textId="77777777">
        <w:trPr>
          <w:jc w:val="center"/>
        </w:trPr>
        <w:tc>
          <w:tcPr>
            <w:tcW w:w="0" w:type="auto"/>
            <w:gridSpan w:val="3"/>
            <w:shd w:val="clear" w:color="auto" w:fill="CCEEFF"/>
            <w:tcMar>
              <w:top w:w="40" w:type="dxa"/>
              <w:left w:w="200" w:type="dxa"/>
              <w:bottom w:w="40" w:type="dxa"/>
              <w:right w:w="20" w:type="dxa"/>
            </w:tcMar>
            <w:vAlign w:val="bottom"/>
          </w:tcPr>
          <w:p w14:paraId="5CD8F329" w14:textId="77777777" w:rsidR="00BA49F5" w:rsidRDefault="007E5E49">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5CD8F32A" w14:textId="77777777" w:rsidR="00BA49F5" w:rsidRDefault="007E5E49">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5CD8F32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2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2D"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2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2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30" w14:textId="77777777" w:rsidR="00BA49F5" w:rsidRDefault="007E5E49">
            <w:pPr>
              <w:jc w:val="right"/>
              <w:textAlignment w:val="bottom"/>
            </w:pPr>
            <w:r>
              <w:rPr>
                <w:rFonts w:ascii="Times New Roman" w:eastAsia="宋体" w:hAnsi="Times New Roman"/>
                <w:color w:val="000000"/>
                <w:sz w:val="20"/>
                <w:szCs w:val="20"/>
              </w:rPr>
              <w:t>(3,359)</w:t>
            </w:r>
          </w:p>
        </w:tc>
        <w:tc>
          <w:tcPr>
            <w:tcW w:w="0" w:type="auto"/>
            <w:shd w:val="clear" w:color="auto" w:fill="CCEEFF"/>
            <w:tcMar>
              <w:top w:w="40" w:type="dxa"/>
              <w:left w:w="0" w:type="dxa"/>
              <w:bottom w:w="40" w:type="dxa"/>
              <w:right w:w="20" w:type="dxa"/>
            </w:tcMar>
            <w:vAlign w:val="bottom"/>
          </w:tcPr>
          <w:p w14:paraId="5CD8F33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3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3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3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3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36" w14:textId="77777777" w:rsidR="00BA49F5" w:rsidRDefault="007E5E49">
            <w:pPr>
              <w:jc w:val="right"/>
              <w:textAlignment w:val="bottom"/>
            </w:pPr>
            <w:r>
              <w:rPr>
                <w:rFonts w:ascii="Times New Roman" w:eastAsia="宋体" w:hAnsi="Times New Roman"/>
                <w:color w:val="000000"/>
                <w:sz w:val="20"/>
                <w:szCs w:val="20"/>
              </w:rPr>
              <w:t>(236)</w:t>
            </w:r>
          </w:p>
        </w:tc>
        <w:tc>
          <w:tcPr>
            <w:tcW w:w="0" w:type="auto"/>
            <w:shd w:val="clear" w:color="auto" w:fill="CCEEFF"/>
            <w:tcMar>
              <w:top w:w="40" w:type="dxa"/>
              <w:left w:w="0" w:type="dxa"/>
              <w:bottom w:w="40" w:type="dxa"/>
              <w:right w:w="20" w:type="dxa"/>
            </w:tcMar>
            <w:vAlign w:val="bottom"/>
          </w:tcPr>
          <w:p w14:paraId="5CD8F33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3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39" w14:textId="77777777" w:rsidR="00BA49F5" w:rsidRDefault="007E5E49">
            <w:pPr>
              <w:jc w:val="right"/>
              <w:textAlignment w:val="bottom"/>
            </w:pPr>
            <w:r>
              <w:rPr>
                <w:rFonts w:ascii="Times New Roman" w:eastAsia="宋体" w:hAnsi="Times New Roman"/>
                <w:color w:val="000000"/>
                <w:sz w:val="20"/>
                <w:szCs w:val="20"/>
              </w:rPr>
              <w:t>(3,595)</w:t>
            </w:r>
          </w:p>
        </w:tc>
        <w:tc>
          <w:tcPr>
            <w:tcW w:w="0" w:type="auto"/>
            <w:shd w:val="clear" w:color="auto" w:fill="CCEEFF"/>
            <w:tcMar>
              <w:top w:w="40" w:type="dxa"/>
              <w:left w:w="0" w:type="dxa"/>
              <w:bottom w:w="40" w:type="dxa"/>
              <w:right w:w="20" w:type="dxa"/>
            </w:tcMar>
            <w:vAlign w:val="bottom"/>
          </w:tcPr>
          <w:p w14:paraId="5CD8F33A" w14:textId="77777777" w:rsidR="00BA49F5" w:rsidRDefault="00BA49F5">
            <w:pPr>
              <w:jc w:val="right"/>
              <w:rPr>
                <w:rFonts w:ascii="宋体"/>
              </w:rPr>
            </w:pPr>
          </w:p>
        </w:tc>
      </w:tr>
      <w:tr w:rsidR="00BA49F5" w14:paraId="5CD8F34E" w14:textId="77777777">
        <w:trPr>
          <w:jc w:val="center"/>
        </w:trPr>
        <w:tc>
          <w:tcPr>
            <w:tcW w:w="0" w:type="auto"/>
            <w:gridSpan w:val="3"/>
            <w:shd w:val="clear" w:color="auto" w:fill="FFFFFF"/>
            <w:tcMar>
              <w:top w:w="40" w:type="dxa"/>
              <w:left w:w="200" w:type="dxa"/>
              <w:bottom w:w="40" w:type="dxa"/>
              <w:right w:w="20" w:type="dxa"/>
            </w:tcMar>
            <w:vAlign w:val="bottom"/>
          </w:tcPr>
          <w:p w14:paraId="5CD8F33C"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5CD8F33D"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3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3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4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4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4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43" w14:textId="77777777" w:rsidR="00BA49F5" w:rsidRDefault="007E5E49">
            <w:pPr>
              <w:jc w:val="right"/>
              <w:textAlignment w:val="bottom"/>
            </w:pPr>
            <w:r>
              <w:rPr>
                <w:rFonts w:ascii="Times New Roman" w:eastAsia="宋体" w:hAnsi="Times New Roman"/>
                <w:color w:val="000000"/>
                <w:sz w:val="20"/>
                <w:szCs w:val="20"/>
              </w:rPr>
              <w:t>11,992 </w:t>
            </w:r>
          </w:p>
        </w:tc>
        <w:tc>
          <w:tcPr>
            <w:tcW w:w="0" w:type="auto"/>
            <w:shd w:val="clear" w:color="auto" w:fill="FFFFFF"/>
            <w:tcMar>
              <w:top w:w="40" w:type="dxa"/>
              <w:left w:w="0" w:type="dxa"/>
              <w:bottom w:w="40" w:type="dxa"/>
              <w:right w:w="20" w:type="dxa"/>
            </w:tcMar>
            <w:vAlign w:val="bottom"/>
          </w:tcPr>
          <w:p w14:paraId="5CD8F34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4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4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4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4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4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4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4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4C" w14:textId="77777777" w:rsidR="00BA49F5" w:rsidRDefault="007E5E49">
            <w:pPr>
              <w:jc w:val="right"/>
              <w:textAlignment w:val="bottom"/>
            </w:pPr>
            <w:r>
              <w:rPr>
                <w:rFonts w:ascii="Times New Roman" w:eastAsia="宋体" w:hAnsi="Times New Roman"/>
                <w:color w:val="000000"/>
                <w:sz w:val="20"/>
                <w:szCs w:val="20"/>
              </w:rPr>
              <w:t>11,992 </w:t>
            </w:r>
          </w:p>
        </w:tc>
        <w:tc>
          <w:tcPr>
            <w:tcW w:w="0" w:type="auto"/>
            <w:shd w:val="clear" w:color="auto" w:fill="FFFFFF"/>
            <w:tcMar>
              <w:top w:w="40" w:type="dxa"/>
              <w:left w:w="0" w:type="dxa"/>
              <w:bottom w:w="40" w:type="dxa"/>
              <w:right w:w="20" w:type="dxa"/>
            </w:tcMar>
            <w:vAlign w:val="bottom"/>
          </w:tcPr>
          <w:p w14:paraId="5CD8F34D" w14:textId="77777777" w:rsidR="00BA49F5" w:rsidRDefault="00BA49F5">
            <w:pPr>
              <w:jc w:val="right"/>
              <w:rPr>
                <w:rFonts w:ascii="宋体"/>
              </w:rPr>
            </w:pPr>
          </w:p>
        </w:tc>
      </w:tr>
      <w:tr w:rsidR="00BA49F5" w14:paraId="5CD8F361" w14:textId="77777777">
        <w:trPr>
          <w:jc w:val="center"/>
        </w:trPr>
        <w:tc>
          <w:tcPr>
            <w:tcW w:w="0" w:type="auto"/>
            <w:gridSpan w:val="3"/>
            <w:shd w:val="clear" w:color="auto" w:fill="CCEEFF"/>
            <w:tcMar>
              <w:top w:w="40" w:type="dxa"/>
              <w:left w:w="200" w:type="dxa"/>
              <w:bottom w:w="40" w:type="dxa"/>
              <w:right w:w="20" w:type="dxa"/>
            </w:tcMar>
            <w:vAlign w:val="bottom"/>
          </w:tcPr>
          <w:p w14:paraId="5CD8F34F" w14:textId="77777777" w:rsidR="00BA49F5" w:rsidRDefault="007E5E49">
            <w:pPr>
              <w:textAlignment w:val="bottom"/>
            </w:pPr>
            <w:r>
              <w:rPr>
                <w:rFonts w:ascii="Times New Roman" w:eastAsia="宋体" w:hAnsi="Times New Roman"/>
                <w:color w:val="000000"/>
                <w:sz w:val="20"/>
                <w:szCs w:val="20"/>
              </w:rPr>
              <w:t>Share repurchases</w:t>
            </w:r>
          </w:p>
        </w:tc>
        <w:tc>
          <w:tcPr>
            <w:tcW w:w="0" w:type="auto"/>
            <w:gridSpan w:val="2"/>
            <w:shd w:val="clear" w:color="auto" w:fill="CCEEFF"/>
            <w:tcMar>
              <w:top w:w="40" w:type="dxa"/>
              <w:left w:w="20" w:type="dxa"/>
              <w:bottom w:w="40" w:type="dxa"/>
              <w:right w:w="0" w:type="dxa"/>
            </w:tcMar>
            <w:vAlign w:val="bottom"/>
          </w:tcPr>
          <w:p w14:paraId="5CD8F350" w14:textId="77777777" w:rsidR="00BA49F5" w:rsidRDefault="007E5E49">
            <w:pPr>
              <w:jc w:val="right"/>
              <w:textAlignment w:val="bottom"/>
            </w:pPr>
            <w:r>
              <w:rPr>
                <w:rFonts w:ascii="Times New Roman" w:eastAsia="宋体" w:hAnsi="Times New Roman"/>
                <w:color w:val="000000"/>
                <w:sz w:val="20"/>
                <w:szCs w:val="20"/>
              </w:rPr>
              <w:t>(161)</w:t>
            </w:r>
          </w:p>
        </w:tc>
        <w:tc>
          <w:tcPr>
            <w:tcW w:w="0" w:type="auto"/>
            <w:shd w:val="clear" w:color="auto" w:fill="CCEEFF"/>
            <w:tcMar>
              <w:top w:w="40" w:type="dxa"/>
              <w:left w:w="0" w:type="dxa"/>
              <w:bottom w:w="40" w:type="dxa"/>
              <w:right w:w="20" w:type="dxa"/>
            </w:tcMar>
            <w:vAlign w:val="bottom"/>
          </w:tcPr>
          <w:p w14:paraId="5CD8F35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5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5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5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5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5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5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5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5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5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5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5C" w14:textId="77777777" w:rsidR="00BA49F5" w:rsidRDefault="007E5E49">
            <w:pPr>
              <w:jc w:val="right"/>
              <w:textAlignment w:val="bottom"/>
            </w:pPr>
            <w:r>
              <w:rPr>
                <w:rFonts w:ascii="Times New Roman" w:eastAsia="宋体" w:hAnsi="Times New Roman"/>
                <w:color w:val="000000"/>
                <w:sz w:val="20"/>
                <w:szCs w:val="20"/>
              </w:rPr>
              <w:t>(27,926)</w:t>
            </w:r>
          </w:p>
        </w:tc>
        <w:tc>
          <w:tcPr>
            <w:tcW w:w="0" w:type="auto"/>
            <w:shd w:val="clear" w:color="auto" w:fill="CCEEFF"/>
            <w:tcMar>
              <w:top w:w="40" w:type="dxa"/>
              <w:left w:w="0" w:type="dxa"/>
              <w:bottom w:w="40" w:type="dxa"/>
              <w:right w:w="20" w:type="dxa"/>
            </w:tcMar>
            <w:vAlign w:val="bottom"/>
          </w:tcPr>
          <w:p w14:paraId="5CD8F35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5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5F" w14:textId="77777777" w:rsidR="00BA49F5" w:rsidRDefault="007E5E49">
            <w:pPr>
              <w:jc w:val="right"/>
              <w:textAlignment w:val="bottom"/>
            </w:pPr>
            <w:r>
              <w:rPr>
                <w:rFonts w:ascii="Times New Roman" w:eastAsia="宋体" w:hAnsi="Times New Roman"/>
                <w:color w:val="000000"/>
                <w:sz w:val="20"/>
                <w:szCs w:val="20"/>
              </w:rPr>
              <w:t>(27,926)</w:t>
            </w:r>
          </w:p>
        </w:tc>
        <w:tc>
          <w:tcPr>
            <w:tcW w:w="0" w:type="auto"/>
            <w:shd w:val="clear" w:color="auto" w:fill="CCEEFF"/>
            <w:tcMar>
              <w:top w:w="40" w:type="dxa"/>
              <w:left w:w="0" w:type="dxa"/>
              <w:bottom w:w="40" w:type="dxa"/>
              <w:right w:w="20" w:type="dxa"/>
            </w:tcMar>
            <w:vAlign w:val="bottom"/>
          </w:tcPr>
          <w:p w14:paraId="5CD8F360" w14:textId="77777777" w:rsidR="00BA49F5" w:rsidRDefault="00BA49F5">
            <w:pPr>
              <w:jc w:val="right"/>
              <w:rPr>
                <w:rFonts w:ascii="宋体"/>
              </w:rPr>
            </w:pPr>
          </w:p>
        </w:tc>
      </w:tr>
      <w:tr w:rsidR="00BA49F5" w14:paraId="5CD8F374" w14:textId="77777777">
        <w:trPr>
          <w:jc w:val="center"/>
        </w:trPr>
        <w:tc>
          <w:tcPr>
            <w:tcW w:w="0" w:type="auto"/>
            <w:gridSpan w:val="3"/>
            <w:shd w:val="clear" w:color="auto" w:fill="FFFFFF"/>
            <w:tcMar>
              <w:top w:w="40" w:type="dxa"/>
              <w:left w:w="200" w:type="dxa"/>
              <w:bottom w:w="40" w:type="dxa"/>
              <w:right w:w="20" w:type="dxa"/>
            </w:tcMar>
            <w:vAlign w:val="bottom"/>
          </w:tcPr>
          <w:p w14:paraId="5CD8F362" w14:textId="77777777" w:rsidR="00BA49F5" w:rsidRDefault="007E5E49">
            <w:pPr>
              <w:textAlignment w:val="bottom"/>
            </w:pPr>
            <w:r>
              <w:rPr>
                <w:rFonts w:ascii="Times New Roman" w:eastAsia="宋体" w:hAnsi="Times New Roman"/>
                <w:color w:val="000000"/>
                <w:sz w:val="20"/>
                <w:szCs w:val="20"/>
              </w:rPr>
              <w:t>Other comprehensive loss</w:t>
            </w:r>
          </w:p>
        </w:tc>
        <w:tc>
          <w:tcPr>
            <w:tcW w:w="0" w:type="auto"/>
            <w:gridSpan w:val="2"/>
            <w:shd w:val="clear" w:color="auto" w:fill="FFFFFF"/>
            <w:tcMar>
              <w:top w:w="40" w:type="dxa"/>
              <w:left w:w="20" w:type="dxa"/>
              <w:bottom w:w="40" w:type="dxa"/>
              <w:right w:w="0" w:type="dxa"/>
            </w:tcMar>
            <w:vAlign w:val="bottom"/>
          </w:tcPr>
          <w:p w14:paraId="5CD8F36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6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6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6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6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6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6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6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6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6C" w14:textId="77777777" w:rsidR="00BA49F5" w:rsidRDefault="007E5E49">
            <w:pPr>
              <w:jc w:val="right"/>
              <w:textAlignment w:val="bottom"/>
            </w:pPr>
            <w:r>
              <w:rPr>
                <w:rFonts w:ascii="Times New Roman" w:eastAsia="宋体" w:hAnsi="Times New Roman"/>
                <w:color w:val="000000"/>
                <w:sz w:val="20"/>
                <w:szCs w:val="20"/>
              </w:rPr>
              <w:t>(2,837)</w:t>
            </w:r>
          </w:p>
        </w:tc>
        <w:tc>
          <w:tcPr>
            <w:tcW w:w="0" w:type="auto"/>
            <w:shd w:val="clear" w:color="auto" w:fill="FFFFFF"/>
            <w:tcMar>
              <w:top w:w="40" w:type="dxa"/>
              <w:left w:w="0" w:type="dxa"/>
              <w:bottom w:w="40" w:type="dxa"/>
              <w:right w:w="20" w:type="dxa"/>
            </w:tcMar>
            <w:vAlign w:val="bottom"/>
          </w:tcPr>
          <w:p w14:paraId="5CD8F36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6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6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37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7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72" w14:textId="77777777" w:rsidR="00BA49F5" w:rsidRDefault="007E5E49">
            <w:pPr>
              <w:jc w:val="right"/>
              <w:textAlignment w:val="bottom"/>
            </w:pPr>
            <w:r>
              <w:rPr>
                <w:rFonts w:ascii="Times New Roman" w:eastAsia="宋体" w:hAnsi="Times New Roman"/>
                <w:color w:val="000000"/>
                <w:sz w:val="20"/>
                <w:szCs w:val="20"/>
              </w:rPr>
              <w:t>(2,837)</w:t>
            </w:r>
          </w:p>
        </w:tc>
        <w:tc>
          <w:tcPr>
            <w:tcW w:w="0" w:type="auto"/>
            <w:shd w:val="clear" w:color="auto" w:fill="FFFFFF"/>
            <w:tcMar>
              <w:top w:w="40" w:type="dxa"/>
              <w:left w:w="0" w:type="dxa"/>
              <w:bottom w:w="40" w:type="dxa"/>
              <w:right w:w="20" w:type="dxa"/>
            </w:tcMar>
            <w:vAlign w:val="bottom"/>
          </w:tcPr>
          <w:p w14:paraId="5CD8F373" w14:textId="77777777" w:rsidR="00BA49F5" w:rsidRDefault="00BA49F5">
            <w:pPr>
              <w:jc w:val="right"/>
              <w:rPr>
                <w:rFonts w:ascii="宋体"/>
              </w:rPr>
            </w:pPr>
          </w:p>
        </w:tc>
      </w:tr>
      <w:tr w:rsidR="00BA49F5" w14:paraId="5CD8F387" w14:textId="77777777">
        <w:trPr>
          <w:jc w:val="center"/>
        </w:trPr>
        <w:tc>
          <w:tcPr>
            <w:tcW w:w="0" w:type="auto"/>
            <w:gridSpan w:val="3"/>
            <w:shd w:val="clear" w:color="auto" w:fill="CCEEFF"/>
            <w:tcMar>
              <w:top w:w="40" w:type="dxa"/>
              <w:left w:w="200" w:type="dxa"/>
              <w:bottom w:w="40" w:type="dxa"/>
              <w:right w:w="20" w:type="dxa"/>
            </w:tcMar>
            <w:vAlign w:val="bottom"/>
          </w:tcPr>
          <w:p w14:paraId="5CD8F375" w14:textId="77777777" w:rsidR="00BA49F5" w:rsidRDefault="007E5E49">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5CD8F37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7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7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79"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7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7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7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7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7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7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38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8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82"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shd w:val="clear" w:color="auto" w:fill="CCEEFF"/>
            <w:tcMar>
              <w:top w:w="40" w:type="dxa"/>
              <w:left w:w="0" w:type="dxa"/>
              <w:bottom w:w="40" w:type="dxa"/>
              <w:right w:w="20" w:type="dxa"/>
            </w:tcMar>
            <w:vAlign w:val="bottom"/>
          </w:tcPr>
          <w:p w14:paraId="5CD8F38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8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85"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shd w:val="clear" w:color="auto" w:fill="CCEEFF"/>
            <w:tcMar>
              <w:top w:w="40" w:type="dxa"/>
              <w:left w:w="0" w:type="dxa"/>
              <w:bottom w:w="40" w:type="dxa"/>
              <w:right w:w="20" w:type="dxa"/>
            </w:tcMar>
            <w:vAlign w:val="bottom"/>
          </w:tcPr>
          <w:p w14:paraId="5CD8F386" w14:textId="77777777" w:rsidR="00BA49F5" w:rsidRDefault="00BA49F5">
            <w:pPr>
              <w:jc w:val="right"/>
              <w:rPr>
                <w:rFonts w:ascii="宋体"/>
              </w:rPr>
            </w:pPr>
          </w:p>
        </w:tc>
      </w:tr>
      <w:tr w:rsidR="00BA49F5" w14:paraId="5CD8F39F" w14:textId="77777777">
        <w:trPr>
          <w:jc w:val="center"/>
        </w:trPr>
        <w:tc>
          <w:tcPr>
            <w:tcW w:w="0" w:type="auto"/>
            <w:gridSpan w:val="3"/>
            <w:shd w:val="clear" w:color="auto" w:fill="FFFFFF"/>
            <w:tcMar>
              <w:top w:w="40" w:type="dxa"/>
              <w:left w:w="20" w:type="dxa"/>
              <w:bottom w:w="40" w:type="dxa"/>
              <w:right w:w="20" w:type="dxa"/>
            </w:tcMar>
            <w:vAlign w:val="bottom"/>
          </w:tcPr>
          <w:p w14:paraId="5CD8F388" w14:textId="77777777" w:rsidR="00BA49F5" w:rsidRDefault="007E5E49">
            <w:pPr>
              <w:textAlignment w:val="bottom"/>
            </w:pPr>
            <w:r>
              <w:rPr>
                <w:rFonts w:ascii="Times New Roman" w:eastAsia="宋体" w:hAnsi="Times New Roman"/>
                <w:b/>
                <w:bCs/>
                <w:color w:val="000000"/>
                <w:sz w:val="20"/>
                <w:szCs w:val="20"/>
              </w:rPr>
              <w:t>Balances at December 31, 2022</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89" w14:textId="77777777" w:rsidR="00BA49F5" w:rsidRDefault="007E5E49">
            <w:pPr>
              <w:jc w:val="right"/>
              <w:textAlignment w:val="bottom"/>
            </w:pPr>
            <w:r>
              <w:rPr>
                <w:rFonts w:ascii="Times New Roman" w:eastAsia="宋体" w:hAnsi="Times New Roman"/>
                <w:color w:val="000000"/>
                <w:sz w:val="20"/>
                <w:szCs w:val="20"/>
              </w:rPr>
              <w:t>2,614 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8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8B"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8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38D"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8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8F"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9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391" w14:textId="77777777" w:rsidR="00BA49F5" w:rsidRDefault="007E5E49">
            <w:pPr>
              <w:jc w:val="right"/>
              <w:textAlignment w:val="bottom"/>
            </w:pPr>
            <w:r>
              <w:rPr>
                <w:rFonts w:ascii="Times New Roman" w:eastAsia="宋体" w:hAnsi="Times New Roman"/>
                <w:color w:val="000000"/>
                <w:sz w:val="20"/>
                <w:szCs w:val="20"/>
              </w:rPr>
              <w:t>64,444 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9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93"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9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395" w14:textId="77777777" w:rsidR="00BA49F5" w:rsidRDefault="007E5E49">
            <w:pPr>
              <w:jc w:val="right"/>
              <w:textAlignment w:val="bottom"/>
            </w:pPr>
            <w:r>
              <w:rPr>
                <w:rFonts w:ascii="Times New Roman" w:eastAsia="宋体" w:hAnsi="Times New Roman"/>
                <w:color w:val="000000"/>
                <w:sz w:val="20"/>
                <w:szCs w:val="20"/>
              </w:rPr>
              <w:t>(3,530)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9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97"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9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399" w14:textId="77777777" w:rsidR="00BA49F5" w:rsidRDefault="007E5E49">
            <w:pPr>
              <w:jc w:val="right"/>
              <w:textAlignment w:val="bottom"/>
            </w:pPr>
            <w:r>
              <w:rPr>
                <w:rFonts w:ascii="Times New Roman" w:eastAsia="宋体" w:hAnsi="Times New Roman"/>
                <w:color w:val="000000"/>
                <w:sz w:val="20"/>
                <w:szCs w:val="20"/>
              </w:rPr>
              <w:t>64,799 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9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9B"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39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39D" w14:textId="77777777" w:rsidR="00BA49F5" w:rsidRDefault="007E5E49">
            <w:pPr>
              <w:jc w:val="right"/>
              <w:textAlignment w:val="bottom"/>
            </w:pPr>
            <w:r>
              <w:rPr>
                <w:rFonts w:ascii="Times New Roman" w:eastAsia="宋体" w:hAnsi="Times New Roman"/>
                <w:color w:val="000000"/>
                <w:sz w:val="20"/>
                <w:szCs w:val="20"/>
              </w:rPr>
              <w:t>125,713 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39E" w14:textId="77777777" w:rsidR="00BA49F5" w:rsidRDefault="00BA49F5">
            <w:pPr>
              <w:jc w:val="right"/>
              <w:rPr>
                <w:rFonts w:ascii="宋体"/>
              </w:rPr>
            </w:pPr>
          </w:p>
        </w:tc>
      </w:tr>
    </w:tbl>
    <w:p w14:paraId="5CD8F3A0" w14:textId="77777777" w:rsidR="00BA49F5" w:rsidRDefault="00BA49F5">
      <w:pPr>
        <w:jc w:val="center"/>
      </w:pPr>
    </w:p>
    <w:p w14:paraId="5CD8F3A1" w14:textId="77777777" w:rsidR="00BA49F5" w:rsidRDefault="00BA49F5">
      <w:pPr>
        <w:jc w:val="center"/>
      </w:pPr>
    </w:p>
    <w:p w14:paraId="5CD8F3A2" w14:textId="77777777" w:rsidR="00BA49F5" w:rsidRDefault="007E5E49">
      <w:pPr>
        <w:jc w:val="center"/>
      </w:pPr>
      <w:r>
        <w:rPr>
          <w:rFonts w:ascii="Times New Roman" w:eastAsia="宋体" w:hAnsi="Times New Roman"/>
          <w:i/>
          <w:iCs/>
          <w:color w:val="000000"/>
          <w:sz w:val="20"/>
          <w:szCs w:val="20"/>
        </w:rPr>
        <w:t>See Accompanying Notes to Consolidated Financial Statements.</w:t>
      </w:r>
    </w:p>
    <w:p w14:paraId="5CD8F3A3" w14:textId="77777777" w:rsidR="00BA49F5" w:rsidRDefault="007E5E49">
      <w:pPr>
        <w:jc w:val="center"/>
      </w:pPr>
      <w:r>
        <w:rPr>
          <w:rFonts w:ascii="Times New Roman" w:eastAsia="宋体" w:hAnsi="Times New Roman"/>
          <w:color w:val="000000"/>
          <w:sz w:val="20"/>
          <w:szCs w:val="20"/>
        </w:rPr>
        <w:t>88</w:t>
      </w:r>
    </w:p>
    <w:p w14:paraId="5CD8F3A4" w14:textId="77777777" w:rsidR="00BA49F5" w:rsidRDefault="007E5E49">
      <w:r>
        <w:pict w14:anchorId="5CD90D4D">
          <v:rect id="_x0000_i1112" style="width:415.3pt;height:1.5pt" o:hralign="center" o:hrstd="t" o:hr="t" fillcolor="#a0a0a0" stroked="f"/>
        </w:pict>
      </w:r>
    </w:p>
    <w:p w14:paraId="5CD8F3A5" w14:textId="77777777" w:rsidR="00BA49F5" w:rsidRDefault="00BA49F5"/>
    <w:p w14:paraId="5CD8F3A6" w14:textId="77777777" w:rsidR="00BA49F5" w:rsidRDefault="00BA49F5"/>
    <w:p w14:paraId="5CD8F3A7" w14:textId="77777777" w:rsidR="00BA49F5" w:rsidRDefault="007E5E49">
      <w:hyperlink r:id="rId271" w:anchor="i6df229dad1864210ab76200083e26819_7" w:history="1">
        <w:r>
          <w:rPr>
            <w:rStyle w:val="a5"/>
            <w:rFonts w:ascii="Times New Roman" w:eastAsia="宋体" w:hAnsi="Times New Roman"/>
            <w:sz w:val="20"/>
            <w:szCs w:val="20"/>
          </w:rPr>
          <w:t>T</w:t>
        </w:r>
      </w:hyperlink>
      <w:hyperlink r:id="rId272" w:anchor="i6df229dad1864210ab76200083e26819_7" w:history="1">
        <w:r>
          <w:rPr>
            <w:rStyle w:val="a5"/>
            <w:rFonts w:ascii="Times New Roman" w:eastAsia="宋体" w:hAnsi="Times New Roman"/>
            <w:sz w:val="20"/>
            <w:szCs w:val="20"/>
          </w:rPr>
          <w:t>able of Contents</w:t>
        </w:r>
      </w:hyperlink>
    </w:p>
    <w:p w14:paraId="5CD8F3A8" w14:textId="77777777" w:rsidR="00BA49F5" w:rsidRDefault="007E5E49">
      <w:pPr>
        <w:jc w:val="center"/>
      </w:pPr>
      <w:r>
        <w:rPr>
          <w:rFonts w:ascii="Times New Roman" w:eastAsia="宋体" w:hAnsi="Times New Roman"/>
          <w:b/>
          <w:bCs/>
          <w:color w:val="000000"/>
          <w:sz w:val="20"/>
          <w:szCs w:val="20"/>
        </w:rPr>
        <w:t>META PLATFORMS, INC.</w:t>
      </w:r>
    </w:p>
    <w:p w14:paraId="5CD8F3A9" w14:textId="77777777" w:rsidR="00BA49F5" w:rsidRDefault="007E5E49">
      <w:pPr>
        <w:jc w:val="center"/>
      </w:pPr>
      <w:r>
        <w:rPr>
          <w:rFonts w:ascii="Times New Roman" w:eastAsia="宋体" w:hAnsi="Times New Roman"/>
          <w:b/>
          <w:bCs/>
          <w:color w:val="000000"/>
          <w:sz w:val="20"/>
          <w:szCs w:val="20"/>
        </w:rPr>
        <w:t xml:space="preserve">CONSOLIDATED STATEMENTS OF CASH </w:t>
      </w:r>
      <w:r>
        <w:rPr>
          <w:rFonts w:ascii="Times New Roman" w:eastAsia="宋体" w:hAnsi="Times New Roman"/>
          <w:b/>
          <w:bCs/>
          <w:color w:val="000000"/>
          <w:sz w:val="20"/>
          <w:szCs w:val="20"/>
        </w:rPr>
        <w:t>FLOWS</w:t>
      </w:r>
    </w:p>
    <w:p w14:paraId="5CD8F3AA" w14:textId="77777777" w:rsidR="00BA49F5" w:rsidRDefault="007E5E49">
      <w:pPr>
        <w:jc w:val="center"/>
      </w:pPr>
      <w:r>
        <w:rPr>
          <w:rFonts w:ascii="Times New Roman" w:eastAsia="宋体" w:hAnsi="Times New Roman"/>
          <w:i/>
          <w:iCs/>
          <w:color w:val="000000"/>
          <w:sz w:val="20"/>
          <w:szCs w:val="20"/>
        </w:rPr>
        <w:t>(In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4817"/>
        <w:gridCol w:w="40"/>
        <w:gridCol w:w="120"/>
        <w:gridCol w:w="939"/>
        <w:gridCol w:w="36"/>
        <w:gridCol w:w="36"/>
        <w:gridCol w:w="36"/>
        <w:gridCol w:w="36"/>
        <w:gridCol w:w="120"/>
        <w:gridCol w:w="901"/>
        <w:gridCol w:w="36"/>
        <w:gridCol w:w="36"/>
        <w:gridCol w:w="36"/>
        <w:gridCol w:w="36"/>
        <w:gridCol w:w="120"/>
        <w:gridCol w:w="902"/>
        <w:gridCol w:w="36"/>
      </w:tblGrid>
      <w:tr w:rsidR="00BA49F5" w14:paraId="5CD8F3BD" w14:textId="77777777">
        <w:trPr>
          <w:jc w:val="center"/>
        </w:trPr>
        <w:tc>
          <w:tcPr>
            <w:tcW w:w="50" w:type="pct"/>
            <w:shd w:val="clear" w:color="auto" w:fill="auto"/>
            <w:vAlign w:val="bottom"/>
          </w:tcPr>
          <w:p w14:paraId="5CD8F3AB" w14:textId="77777777" w:rsidR="00BA49F5" w:rsidRDefault="00BA49F5">
            <w:pPr>
              <w:rPr>
                <w:rFonts w:ascii="宋体"/>
              </w:rPr>
            </w:pPr>
          </w:p>
        </w:tc>
        <w:tc>
          <w:tcPr>
            <w:tcW w:w="2925" w:type="pct"/>
            <w:shd w:val="clear" w:color="auto" w:fill="auto"/>
            <w:vAlign w:val="bottom"/>
          </w:tcPr>
          <w:p w14:paraId="5CD8F3AC" w14:textId="77777777" w:rsidR="00BA49F5" w:rsidRDefault="00BA49F5">
            <w:pPr>
              <w:rPr>
                <w:rFonts w:ascii="宋体"/>
              </w:rPr>
            </w:pPr>
          </w:p>
        </w:tc>
        <w:tc>
          <w:tcPr>
            <w:tcW w:w="5" w:type="pct"/>
            <w:shd w:val="clear" w:color="auto" w:fill="auto"/>
            <w:vAlign w:val="bottom"/>
          </w:tcPr>
          <w:p w14:paraId="5CD8F3AD" w14:textId="77777777" w:rsidR="00BA49F5" w:rsidRDefault="00BA49F5">
            <w:pPr>
              <w:rPr>
                <w:rFonts w:ascii="宋体"/>
              </w:rPr>
            </w:pPr>
          </w:p>
        </w:tc>
        <w:tc>
          <w:tcPr>
            <w:tcW w:w="50" w:type="pct"/>
            <w:shd w:val="clear" w:color="auto" w:fill="auto"/>
            <w:vAlign w:val="bottom"/>
          </w:tcPr>
          <w:p w14:paraId="5CD8F3AE" w14:textId="77777777" w:rsidR="00BA49F5" w:rsidRDefault="00BA49F5">
            <w:pPr>
              <w:rPr>
                <w:rFonts w:ascii="宋体"/>
              </w:rPr>
            </w:pPr>
          </w:p>
        </w:tc>
        <w:tc>
          <w:tcPr>
            <w:tcW w:w="593" w:type="pct"/>
            <w:shd w:val="clear" w:color="auto" w:fill="auto"/>
            <w:vAlign w:val="bottom"/>
          </w:tcPr>
          <w:p w14:paraId="5CD8F3AF" w14:textId="77777777" w:rsidR="00BA49F5" w:rsidRDefault="00BA49F5">
            <w:pPr>
              <w:rPr>
                <w:rFonts w:ascii="宋体"/>
              </w:rPr>
            </w:pPr>
          </w:p>
        </w:tc>
        <w:tc>
          <w:tcPr>
            <w:tcW w:w="5" w:type="pct"/>
            <w:shd w:val="clear" w:color="auto" w:fill="auto"/>
            <w:vAlign w:val="bottom"/>
          </w:tcPr>
          <w:p w14:paraId="5CD8F3B0" w14:textId="77777777" w:rsidR="00BA49F5" w:rsidRDefault="00BA49F5">
            <w:pPr>
              <w:rPr>
                <w:rFonts w:ascii="宋体"/>
              </w:rPr>
            </w:pPr>
          </w:p>
        </w:tc>
        <w:tc>
          <w:tcPr>
            <w:tcW w:w="5" w:type="pct"/>
            <w:shd w:val="clear" w:color="auto" w:fill="auto"/>
            <w:vAlign w:val="bottom"/>
          </w:tcPr>
          <w:p w14:paraId="5CD8F3B1" w14:textId="77777777" w:rsidR="00BA49F5" w:rsidRDefault="00BA49F5">
            <w:pPr>
              <w:rPr>
                <w:rFonts w:ascii="宋体"/>
              </w:rPr>
            </w:pPr>
          </w:p>
        </w:tc>
        <w:tc>
          <w:tcPr>
            <w:tcW w:w="27" w:type="pct"/>
            <w:shd w:val="clear" w:color="auto" w:fill="auto"/>
            <w:vAlign w:val="bottom"/>
          </w:tcPr>
          <w:p w14:paraId="5CD8F3B2" w14:textId="77777777" w:rsidR="00BA49F5" w:rsidRDefault="00BA49F5">
            <w:pPr>
              <w:rPr>
                <w:rFonts w:ascii="宋体"/>
              </w:rPr>
            </w:pPr>
          </w:p>
        </w:tc>
        <w:tc>
          <w:tcPr>
            <w:tcW w:w="5" w:type="pct"/>
            <w:shd w:val="clear" w:color="auto" w:fill="auto"/>
            <w:vAlign w:val="bottom"/>
          </w:tcPr>
          <w:p w14:paraId="5CD8F3B3" w14:textId="77777777" w:rsidR="00BA49F5" w:rsidRDefault="00BA49F5">
            <w:pPr>
              <w:rPr>
                <w:rFonts w:ascii="宋体"/>
              </w:rPr>
            </w:pPr>
          </w:p>
        </w:tc>
        <w:tc>
          <w:tcPr>
            <w:tcW w:w="50" w:type="pct"/>
            <w:shd w:val="clear" w:color="auto" w:fill="auto"/>
            <w:vAlign w:val="bottom"/>
          </w:tcPr>
          <w:p w14:paraId="5CD8F3B4" w14:textId="77777777" w:rsidR="00BA49F5" w:rsidRDefault="00BA49F5">
            <w:pPr>
              <w:rPr>
                <w:rFonts w:ascii="宋体"/>
              </w:rPr>
            </w:pPr>
          </w:p>
        </w:tc>
        <w:tc>
          <w:tcPr>
            <w:tcW w:w="593" w:type="pct"/>
            <w:shd w:val="clear" w:color="auto" w:fill="auto"/>
            <w:vAlign w:val="bottom"/>
          </w:tcPr>
          <w:p w14:paraId="5CD8F3B5" w14:textId="77777777" w:rsidR="00BA49F5" w:rsidRDefault="00BA49F5">
            <w:pPr>
              <w:rPr>
                <w:rFonts w:ascii="宋体"/>
              </w:rPr>
            </w:pPr>
          </w:p>
        </w:tc>
        <w:tc>
          <w:tcPr>
            <w:tcW w:w="5" w:type="pct"/>
            <w:shd w:val="clear" w:color="auto" w:fill="auto"/>
            <w:vAlign w:val="bottom"/>
          </w:tcPr>
          <w:p w14:paraId="5CD8F3B6" w14:textId="77777777" w:rsidR="00BA49F5" w:rsidRDefault="00BA49F5">
            <w:pPr>
              <w:rPr>
                <w:rFonts w:ascii="宋体"/>
              </w:rPr>
            </w:pPr>
          </w:p>
        </w:tc>
        <w:tc>
          <w:tcPr>
            <w:tcW w:w="5" w:type="pct"/>
            <w:shd w:val="clear" w:color="auto" w:fill="auto"/>
            <w:vAlign w:val="bottom"/>
          </w:tcPr>
          <w:p w14:paraId="5CD8F3B7" w14:textId="77777777" w:rsidR="00BA49F5" w:rsidRDefault="00BA49F5">
            <w:pPr>
              <w:rPr>
                <w:rFonts w:ascii="宋体"/>
              </w:rPr>
            </w:pPr>
          </w:p>
        </w:tc>
        <w:tc>
          <w:tcPr>
            <w:tcW w:w="27" w:type="pct"/>
            <w:shd w:val="clear" w:color="auto" w:fill="auto"/>
            <w:vAlign w:val="bottom"/>
          </w:tcPr>
          <w:p w14:paraId="5CD8F3B8" w14:textId="77777777" w:rsidR="00BA49F5" w:rsidRDefault="00BA49F5">
            <w:pPr>
              <w:rPr>
                <w:rFonts w:ascii="宋体"/>
              </w:rPr>
            </w:pPr>
          </w:p>
        </w:tc>
        <w:tc>
          <w:tcPr>
            <w:tcW w:w="5" w:type="pct"/>
            <w:shd w:val="clear" w:color="auto" w:fill="auto"/>
            <w:vAlign w:val="bottom"/>
          </w:tcPr>
          <w:p w14:paraId="5CD8F3B9" w14:textId="77777777" w:rsidR="00BA49F5" w:rsidRDefault="00BA49F5">
            <w:pPr>
              <w:rPr>
                <w:rFonts w:ascii="宋体"/>
              </w:rPr>
            </w:pPr>
          </w:p>
        </w:tc>
        <w:tc>
          <w:tcPr>
            <w:tcW w:w="50" w:type="pct"/>
            <w:shd w:val="clear" w:color="auto" w:fill="auto"/>
            <w:vAlign w:val="bottom"/>
          </w:tcPr>
          <w:p w14:paraId="5CD8F3BA" w14:textId="77777777" w:rsidR="00BA49F5" w:rsidRDefault="00BA49F5">
            <w:pPr>
              <w:rPr>
                <w:rFonts w:ascii="宋体"/>
              </w:rPr>
            </w:pPr>
          </w:p>
        </w:tc>
        <w:tc>
          <w:tcPr>
            <w:tcW w:w="593" w:type="pct"/>
            <w:shd w:val="clear" w:color="auto" w:fill="auto"/>
            <w:vAlign w:val="bottom"/>
          </w:tcPr>
          <w:p w14:paraId="5CD8F3BB" w14:textId="77777777" w:rsidR="00BA49F5" w:rsidRDefault="00BA49F5">
            <w:pPr>
              <w:rPr>
                <w:rFonts w:ascii="宋体"/>
              </w:rPr>
            </w:pPr>
          </w:p>
        </w:tc>
        <w:tc>
          <w:tcPr>
            <w:tcW w:w="5" w:type="pct"/>
            <w:shd w:val="clear" w:color="auto" w:fill="auto"/>
            <w:vAlign w:val="bottom"/>
          </w:tcPr>
          <w:p w14:paraId="5CD8F3BC" w14:textId="77777777" w:rsidR="00BA49F5" w:rsidRDefault="00BA49F5">
            <w:pPr>
              <w:rPr>
                <w:rFonts w:ascii="宋体"/>
              </w:rPr>
            </w:pPr>
          </w:p>
        </w:tc>
      </w:tr>
      <w:tr w:rsidR="00BA49F5" w14:paraId="5CD8F3C0" w14:textId="77777777">
        <w:trPr>
          <w:jc w:val="center"/>
        </w:trPr>
        <w:tc>
          <w:tcPr>
            <w:tcW w:w="0" w:type="auto"/>
            <w:gridSpan w:val="3"/>
            <w:shd w:val="clear" w:color="auto" w:fill="auto"/>
            <w:tcMar>
              <w:top w:w="0" w:type="dxa"/>
              <w:left w:w="20" w:type="dxa"/>
              <w:bottom w:w="0" w:type="dxa"/>
              <w:right w:w="20" w:type="dxa"/>
            </w:tcMar>
            <w:vAlign w:val="bottom"/>
          </w:tcPr>
          <w:p w14:paraId="5CD8F3BE"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3BF" w14:textId="77777777" w:rsidR="00BA49F5" w:rsidRDefault="007E5E49">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w:t>
            </w:r>
          </w:p>
        </w:tc>
      </w:tr>
      <w:tr w:rsidR="00BA49F5" w14:paraId="5CD8F3C7" w14:textId="77777777">
        <w:trPr>
          <w:jc w:val="center"/>
        </w:trPr>
        <w:tc>
          <w:tcPr>
            <w:tcW w:w="0" w:type="auto"/>
            <w:gridSpan w:val="3"/>
            <w:shd w:val="clear" w:color="auto" w:fill="auto"/>
            <w:tcMar>
              <w:top w:w="0" w:type="dxa"/>
              <w:left w:w="20" w:type="dxa"/>
              <w:bottom w:w="0" w:type="dxa"/>
              <w:right w:w="20" w:type="dxa"/>
            </w:tcMar>
            <w:vAlign w:val="bottom"/>
          </w:tcPr>
          <w:p w14:paraId="5CD8F3C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3C2"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3C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3C4"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3C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3C6"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3CE" w14:textId="77777777">
        <w:trPr>
          <w:jc w:val="center"/>
        </w:trPr>
        <w:tc>
          <w:tcPr>
            <w:tcW w:w="0" w:type="auto"/>
            <w:gridSpan w:val="3"/>
            <w:shd w:val="clear" w:color="auto" w:fill="CCEEFF"/>
            <w:tcMar>
              <w:top w:w="40" w:type="dxa"/>
              <w:left w:w="20" w:type="dxa"/>
              <w:bottom w:w="40" w:type="dxa"/>
              <w:right w:w="20" w:type="dxa"/>
            </w:tcMar>
            <w:vAlign w:val="bottom"/>
          </w:tcPr>
          <w:p w14:paraId="5CD8F3C8" w14:textId="77777777" w:rsidR="00BA49F5" w:rsidRDefault="007E5E49">
            <w:pPr>
              <w:textAlignment w:val="bottom"/>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3C9"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CA"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3CB"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CC"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3CD" w14:textId="77777777" w:rsidR="00BA49F5" w:rsidRDefault="00BA49F5">
            <w:pPr>
              <w:rPr>
                <w:rFonts w:ascii="宋体"/>
              </w:rPr>
            </w:pPr>
          </w:p>
        </w:tc>
      </w:tr>
      <w:tr w:rsidR="00BA49F5" w14:paraId="5CD8F3DB" w14:textId="77777777">
        <w:trPr>
          <w:jc w:val="center"/>
        </w:trPr>
        <w:tc>
          <w:tcPr>
            <w:tcW w:w="0" w:type="auto"/>
            <w:gridSpan w:val="3"/>
            <w:shd w:val="clear" w:color="auto" w:fill="FFFFFF"/>
            <w:tcMar>
              <w:top w:w="40" w:type="dxa"/>
              <w:left w:w="200" w:type="dxa"/>
              <w:bottom w:w="40" w:type="dxa"/>
              <w:right w:w="20" w:type="dxa"/>
            </w:tcMar>
            <w:vAlign w:val="bottom"/>
          </w:tcPr>
          <w:p w14:paraId="5CD8F3CF" w14:textId="77777777" w:rsidR="00BA49F5" w:rsidRDefault="007E5E49">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5CD8F3D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3D1"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shd w:val="clear" w:color="auto" w:fill="FFFFFF"/>
            <w:tcMar>
              <w:top w:w="40" w:type="dxa"/>
              <w:left w:w="0" w:type="dxa"/>
              <w:bottom w:w="40" w:type="dxa"/>
              <w:right w:w="20" w:type="dxa"/>
            </w:tcMar>
            <w:vAlign w:val="bottom"/>
          </w:tcPr>
          <w:p w14:paraId="5CD8F3D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D3"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3D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3D5"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5CD8F3D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D7"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3D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3D9"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shd w:val="clear" w:color="auto" w:fill="FFFFFF"/>
            <w:tcMar>
              <w:top w:w="40" w:type="dxa"/>
              <w:left w:w="0" w:type="dxa"/>
              <w:bottom w:w="40" w:type="dxa"/>
              <w:right w:w="20" w:type="dxa"/>
            </w:tcMar>
            <w:vAlign w:val="bottom"/>
          </w:tcPr>
          <w:p w14:paraId="5CD8F3DA" w14:textId="77777777" w:rsidR="00BA49F5" w:rsidRDefault="00BA49F5">
            <w:pPr>
              <w:jc w:val="right"/>
              <w:rPr>
                <w:rFonts w:ascii="宋体"/>
              </w:rPr>
            </w:pPr>
          </w:p>
        </w:tc>
      </w:tr>
      <w:tr w:rsidR="00BA49F5" w14:paraId="5CD8F3E2" w14:textId="77777777">
        <w:trPr>
          <w:jc w:val="center"/>
        </w:trPr>
        <w:tc>
          <w:tcPr>
            <w:tcW w:w="0" w:type="auto"/>
            <w:gridSpan w:val="3"/>
            <w:shd w:val="clear" w:color="auto" w:fill="CCEEFF"/>
            <w:tcMar>
              <w:top w:w="40" w:type="dxa"/>
              <w:left w:w="200" w:type="dxa"/>
              <w:bottom w:w="40" w:type="dxa"/>
              <w:right w:w="20" w:type="dxa"/>
            </w:tcMar>
            <w:vAlign w:val="bottom"/>
          </w:tcPr>
          <w:p w14:paraId="5CD8F3DC" w14:textId="77777777" w:rsidR="00BA49F5" w:rsidRDefault="007E5E49">
            <w:pPr>
              <w:textAlignment w:val="bottom"/>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5CD8F3DD"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D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DF"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E0"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3E1" w14:textId="77777777" w:rsidR="00BA49F5" w:rsidRDefault="00BA49F5">
            <w:pPr>
              <w:rPr>
                <w:rFonts w:ascii="宋体"/>
              </w:rPr>
            </w:pPr>
          </w:p>
        </w:tc>
      </w:tr>
      <w:tr w:rsidR="00BA49F5" w14:paraId="5CD8F3EC" w14:textId="77777777">
        <w:trPr>
          <w:jc w:val="center"/>
        </w:trPr>
        <w:tc>
          <w:tcPr>
            <w:tcW w:w="0" w:type="auto"/>
            <w:gridSpan w:val="3"/>
            <w:shd w:val="clear" w:color="auto" w:fill="FFFFFF"/>
            <w:tcMar>
              <w:top w:w="40" w:type="dxa"/>
              <w:left w:w="380" w:type="dxa"/>
              <w:bottom w:w="40" w:type="dxa"/>
              <w:right w:w="20" w:type="dxa"/>
            </w:tcMar>
            <w:vAlign w:val="bottom"/>
          </w:tcPr>
          <w:p w14:paraId="5CD8F3E3" w14:textId="77777777" w:rsidR="00BA49F5" w:rsidRDefault="007E5E49">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5CD8F3E4" w14:textId="77777777" w:rsidR="00BA49F5" w:rsidRDefault="007E5E49">
            <w:pPr>
              <w:jc w:val="right"/>
              <w:textAlignment w:val="bottom"/>
            </w:pPr>
            <w:r>
              <w:rPr>
                <w:rFonts w:ascii="Times New Roman" w:eastAsia="宋体" w:hAnsi="Times New Roman"/>
                <w:color w:val="000000"/>
                <w:sz w:val="20"/>
                <w:szCs w:val="20"/>
              </w:rPr>
              <w:t>8,686 </w:t>
            </w:r>
          </w:p>
        </w:tc>
        <w:tc>
          <w:tcPr>
            <w:tcW w:w="0" w:type="auto"/>
            <w:shd w:val="clear" w:color="auto" w:fill="FFFFFF"/>
            <w:tcMar>
              <w:top w:w="40" w:type="dxa"/>
              <w:left w:w="0" w:type="dxa"/>
              <w:bottom w:w="40" w:type="dxa"/>
              <w:right w:w="20" w:type="dxa"/>
            </w:tcMar>
            <w:vAlign w:val="bottom"/>
          </w:tcPr>
          <w:p w14:paraId="5CD8F3E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E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E7" w14:textId="77777777" w:rsidR="00BA49F5" w:rsidRDefault="007E5E49">
            <w:pPr>
              <w:jc w:val="right"/>
              <w:textAlignment w:val="bottom"/>
            </w:pPr>
            <w:r>
              <w:rPr>
                <w:rFonts w:ascii="Times New Roman" w:eastAsia="宋体" w:hAnsi="Times New Roman"/>
                <w:color w:val="000000"/>
                <w:sz w:val="20"/>
                <w:szCs w:val="20"/>
              </w:rPr>
              <w:t>7,967 </w:t>
            </w:r>
          </w:p>
        </w:tc>
        <w:tc>
          <w:tcPr>
            <w:tcW w:w="0" w:type="auto"/>
            <w:shd w:val="clear" w:color="auto" w:fill="FFFFFF"/>
            <w:tcMar>
              <w:top w:w="40" w:type="dxa"/>
              <w:left w:w="0" w:type="dxa"/>
              <w:bottom w:w="40" w:type="dxa"/>
              <w:right w:w="20" w:type="dxa"/>
            </w:tcMar>
            <w:vAlign w:val="bottom"/>
          </w:tcPr>
          <w:p w14:paraId="5CD8F3E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E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EA" w14:textId="77777777" w:rsidR="00BA49F5" w:rsidRDefault="007E5E49">
            <w:pPr>
              <w:jc w:val="right"/>
              <w:textAlignment w:val="bottom"/>
            </w:pPr>
            <w:r>
              <w:rPr>
                <w:rFonts w:ascii="Times New Roman" w:eastAsia="宋体" w:hAnsi="Times New Roman"/>
                <w:color w:val="000000"/>
                <w:sz w:val="20"/>
                <w:szCs w:val="20"/>
              </w:rPr>
              <w:t>6,862 </w:t>
            </w:r>
          </w:p>
        </w:tc>
        <w:tc>
          <w:tcPr>
            <w:tcW w:w="0" w:type="auto"/>
            <w:shd w:val="clear" w:color="auto" w:fill="FFFFFF"/>
            <w:tcMar>
              <w:top w:w="40" w:type="dxa"/>
              <w:left w:w="0" w:type="dxa"/>
              <w:bottom w:w="40" w:type="dxa"/>
              <w:right w:w="20" w:type="dxa"/>
            </w:tcMar>
            <w:vAlign w:val="bottom"/>
          </w:tcPr>
          <w:p w14:paraId="5CD8F3EB" w14:textId="77777777" w:rsidR="00BA49F5" w:rsidRDefault="00BA49F5">
            <w:pPr>
              <w:jc w:val="right"/>
              <w:rPr>
                <w:rFonts w:ascii="宋体"/>
              </w:rPr>
            </w:pPr>
          </w:p>
        </w:tc>
      </w:tr>
      <w:tr w:rsidR="00BA49F5" w14:paraId="5CD8F3F6" w14:textId="77777777">
        <w:trPr>
          <w:jc w:val="center"/>
        </w:trPr>
        <w:tc>
          <w:tcPr>
            <w:tcW w:w="0" w:type="auto"/>
            <w:gridSpan w:val="3"/>
            <w:shd w:val="clear" w:color="auto" w:fill="CCEEFF"/>
            <w:tcMar>
              <w:top w:w="40" w:type="dxa"/>
              <w:left w:w="380" w:type="dxa"/>
              <w:bottom w:w="40" w:type="dxa"/>
              <w:right w:w="20" w:type="dxa"/>
            </w:tcMar>
            <w:vAlign w:val="bottom"/>
          </w:tcPr>
          <w:p w14:paraId="5CD8F3ED"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5CD8F3EE" w14:textId="77777777" w:rsidR="00BA49F5" w:rsidRDefault="007E5E49">
            <w:pPr>
              <w:jc w:val="right"/>
              <w:textAlignment w:val="bottom"/>
            </w:pPr>
            <w:r>
              <w:rPr>
                <w:rFonts w:ascii="Times New Roman" w:eastAsia="宋体" w:hAnsi="Times New Roman"/>
                <w:color w:val="000000"/>
                <w:sz w:val="20"/>
                <w:szCs w:val="20"/>
              </w:rPr>
              <w:t>11,992 </w:t>
            </w:r>
          </w:p>
        </w:tc>
        <w:tc>
          <w:tcPr>
            <w:tcW w:w="0" w:type="auto"/>
            <w:shd w:val="clear" w:color="auto" w:fill="CCEEFF"/>
            <w:tcMar>
              <w:top w:w="40" w:type="dxa"/>
              <w:left w:w="0" w:type="dxa"/>
              <w:bottom w:w="40" w:type="dxa"/>
              <w:right w:w="20" w:type="dxa"/>
            </w:tcMar>
            <w:vAlign w:val="bottom"/>
          </w:tcPr>
          <w:p w14:paraId="5CD8F3E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F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F1" w14:textId="77777777" w:rsidR="00BA49F5" w:rsidRDefault="007E5E49">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5CD8F3F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3F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3F4" w14:textId="77777777" w:rsidR="00BA49F5" w:rsidRDefault="007E5E49">
            <w:pPr>
              <w:jc w:val="right"/>
              <w:textAlignment w:val="bottom"/>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bottom"/>
          </w:tcPr>
          <w:p w14:paraId="5CD8F3F5" w14:textId="77777777" w:rsidR="00BA49F5" w:rsidRDefault="00BA49F5">
            <w:pPr>
              <w:jc w:val="right"/>
              <w:rPr>
                <w:rFonts w:ascii="宋体"/>
              </w:rPr>
            </w:pPr>
          </w:p>
        </w:tc>
      </w:tr>
      <w:tr w:rsidR="00BA49F5" w14:paraId="5CD8F400" w14:textId="77777777">
        <w:trPr>
          <w:jc w:val="center"/>
        </w:trPr>
        <w:tc>
          <w:tcPr>
            <w:tcW w:w="0" w:type="auto"/>
            <w:gridSpan w:val="3"/>
            <w:shd w:val="clear" w:color="auto" w:fill="FFFFFF"/>
            <w:tcMar>
              <w:top w:w="40" w:type="dxa"/>
              <w:left w:w="380" w:type="dxa"/>
              <w:bottom w:w="40" w:type="dxa"/>
              <w:right w:w="20" w:type="dxa"/>
            </w:tcMar>
            <w:vAlign w:val="bottom"/>
          </w:tcPr>
          <w:p w14:paraId="5CD8F3F7" w14:textId="77777777" w:rsidR="00BA49F5" w:rsidRDefault="007E5E49">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5CD8F3F8" w14:textId="77777777" w:rsidR="00BA49F5" w:rsidRDefault="007E5E49">
            <w:pPr>
              <w:jc w:val="right"/>
              <w:textAlignment w:val="bottom"/>
            </w:pPr>
            <w:r>
              <w:rPr>
                <w:rFonts w:ascii="Times New Roman" w:eastAsia="宋体" w:hAnsi="Times New Roman"/>
                <w:color w:val="000000"/>
                <w:sz w:val="20"/>
                <w:szCs w:val="20"/>
              </w:rPr>
              <w:t>(3,286)</w:t>
            </w:r>
          </w:p>
        </w:tc>
        <w:tc>
          <w:tcPr>
            <w:tcW w:w="0" w:type="auto"/>
            <w:shd w:val="clear" w:color="auto" w:fill="FFFFFF"/>
            <w:tcMar>
              <w:top w:w="40" w:type="dxa"/>
              <w:left w:w="0" w:type="dxa"/>
              <w:bottom w:w="40" w:type="dxa"/>
              <w:right w:w="20" w:type="dxa"/>
            </w:tcMar>
            <w:vAlign w:val="bottom"/>
          </w:tcPr>
          <w:p w14:paraId="5CD8F3F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F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FB" w14:textId="77777777" w:rsidR="00BA49F5" w:rsidRDefault="007E5E49">
            <w:pPr>
              <w:jc w:val="right"/>
              <w:textAlignment w:val="bottom"/>
            </w:pPr>
            <w:r>
              <w:rPr>
                <w:rFonts w:ascii="Times New Roman" w:eastAsia="宋体" w:hAnsi="Times New Roman"/>
                <w:color w:val="000000"/>
                <w:sz w:val="20"/>
                <w:szCs w:val="20"/>
              </w:rPr>
              <w:t>609 </w:t>
            </w:r>
          </w:p>
        </w:tc>
        <w:tc>
          <w:tcPr>
            <w:tcW w:w="0" w:type="auto"/>
            <w:shd w:val="clear" w:color="auto" w:fill="FFFFFF"/>
            <w:tcMar>
              <w:top w:w="40" w:type="dxa"/>
              <w:left w:w="0" w:type="dxa"/>
              <w:bottom w:w="40" w:type="dxa"/>
              <w:right w:w="20" w:type="dxa"/>
            </w:tcMar>
            <w:vAlign w:val="bottom"/>
          </w:tcPr>
          <w:p w14:paraId="5CD8F3F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3F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3FE" w14:textId="77777777" w:rsidR="00BA49F5" w:rsidRDefault="007E5E49">
            <w:pPr>
              <w:jc w:val="right"/>
              <w:textAlignment w:val="bottom"/>
            </w:pPr>
            <w:r>
              <w:rPr>
                <w:rFonts w:ascii="Times New Roman" w:eastAsia="宋体" w:hAnsi="Times New Roman"/>
                <w:color w:val="000000"/>
                <w:sz w:val="20"/>
                <w:szCs w:val="20"/>
              </w:rPr>
              <w:t>(1,192)</w:t>
            </w:r>
          </w:p>
        </w:tc>
        <w:tc>
          <w:tcPr>
            <w:tcW w:w="0" w:type="auto"/>
            <w:shd w:val="clear" w:color="auto" w:fill="FFFFFF"/>
            <w:tcMar>
              <w:top w:w="40" w:type="dxa"/>
              <w:left w:w="0" w:type="dxa"/>
              <w:bottom w:w="40" w:type="dxa"/>
              <w:right w:w="20" w:type="dxa"/>
            </w:tcMar>
            <w:vAlign w:val="bottom"/>
          </w:tcPr>
          <w:p w14:paraId="5CD8F3FF" w14:textId="77777777" w:rsidR="00BA49F5" w:rsidRDefault="00BA49F5">
            <w:pPr>
              <w:jc w:val="right"/>
              <w:rPr>
                <w:rFonts w:ascii="宋体"/>
              </w:rPr>
            </w:pPr>
          </w:p>
        </w:tc>
      </w:tr>
      <w:tr w:rsidR="00BA49F5" w14:paraId="5CD8F40A" w14:textId="77777777">
        <w:trPr>
          <w:jc w:val="center"/>
        </w:trPr>
        <w:tc>
          <w:tcPr>
            <w:tcW w:w="0" w:type="auto"/>
            <w:gridSpan w:val="3"/>
            <w:shd w:val="clear" w:color="auto" w:fill="CCEEFF"/>
            <w:tcMar>
              <w:top w:w="40" w:type="dxa"/>
              <w:left w:w="380" w:type="dxa"/>
              <w:bottom w:w="40" w:type="dxa"/>
              <w:right w:w="20" w:type="dxa"/>
            </w:tcMar>
            <w:vAlign w:val="bottom"/>
          </w:tcPr>
          <w:p w14:paraId="5CD8F401" w14:textId="77777777" w:rsidR="00BA49F5" w:rsidRDefault="007E5E49">
            <w:pPr>
              <w:textAlignment w:val="bottom"/>
            </w:pPr>
            <w:r>
              <w:rPr>
                <w:rFonts w:ascii="Times New Roman" w:eastAsia="宋体" w:hAnsi="Times New Roman"/>
                <w:color w:val="000000"/>
                <w:sz w:val="20"/>
                <w:szCs w:val="20"/>
              </w:rPr>
              <w:t>Impairment charges for leases and leasehold improvements</w:t>
            </w:r>
          </w:p>
        </w:tc>
        <w:tc>
          <w:tcPr>
            <w:tcW w:w="0" w:type="auto"/>
            <w:gridSpan w:val="2"/>
            <w:shd w:val="clear" w:color="auto" w:fill="CCEEFF"/>
            <w:tcMar>
              <w:top w:w="40" w:type="dxa"/>
              <w:left w:w="20" w:type="dxa"/>
              <w:bottom w:w="40" w:type="dxa"/>
              <w:right w:w="0" w:type="dxa"/>
            </w:tcMar>
            <w:vAlign w:val="bottom"/>
          </w:tcPr>
          <w:p w14:paraId="5CD8F402" w14:textId="77777777" w:rsidR="00BA49F5" w:rsidRDefault="007E5E49">
            <w:pPr>
              <w:jc w:val="right"/>
              <w:textAlignment w:val="bottom"/>
            </w:pPr>
            <w:r>
              <w:rPr>
                <w:rFonts w:ascii="Times New Roman" w:eastAsia="宋体" w:hAnsi="Times New Roman"/>
                <w:color w:val="000000"/>
                <w:sz w:val="20"/>
                <w:szCs w:val="20"/>
              </w:rPr>
              <w:t>2,218 </w:t>
            </w:r>
          </w:p>
        </w:tc>
        <w:tc>
          <w:tcPr>
            <w:tcW w:w="0" w:type="auto"/>
            <w:shd w:val="clear" w:color="auto" w:fill="CCEEFF"/>
            <w:tcMar>
              <w:top w:w="40" w:type="dxa"/>
              <w:left w:w="0" w:type="dxa"/>
              <w:bottom w:w="40" w:type="dxa"/>
              <w:right w:w="20" w:type="dxa"/>
            </w:tcMar>
            <w:vAlign w:val="bottom"/>
          </w:tcPr>
          <w:p w14:paraId="5CD8F40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0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0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40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0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0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409" w14:textId="77777777" w:rsidR="00BA49F5" w:rsidRDefault="00BA49F5">
            <w:pPr>
              <w:jc w:val="right"/>
              <w:rPr>
                <w:rFonts w:ascii="宋体"/>
              </w:rPr>
            </w:pPr>
          </w:p>
        </w:tc>
      </w:tr>
      <w:tr w:rsidR="00BA49F5" w14:paraId="5CD8F414" w14:textId="77777777">
        <w:trPr>
          <w:jc w:val="center"/>
        </w:trPr>
        <w:tc>
          <w:tcPr>
            <w:tcW w:w="0" w:type="auto"/>
            <w:gridSpan w:val="3"/>
            <w:shd w:val="clear" w:color="auto" w:fill="FFFFFF"/>
            <w:tcMar>
              <w:top w:w="40" w:type="dxa"/>
              <w:left w:w="380" w:type="dxa"/>
              <w:bottom w:w="40" w:type="dxa"/>
              <w:right w:w="20" w:type="dxa"/>
            </w:tcMar>
            <w:vAlign w:val="bottom"/>
          </w:tcPr>
          <w:p w14:paraId="5CD8F40B" w14:textId="77777777" w:rsidR="00BA49F5" w:rsidRDefault="007E5E49">
            <w:pPr>
              <w:textAlignment w:val="bottom"/>
            </w:pPr>
            <w:r>
              <w:rPr>
                <w:rFonts w:ascii="Times New Roman" w:eastAsia="宋体" w:hAnsi="Times New Roman"/>
                <w:color w:val="000000"/>
                <w:sz w:val="20"/>
                <w:szCs w:val="20"/>
              </w:rPr>
              <w:t>Abandonment charges for data center assets</w:t>
            </w:r>
          </w:p>
        </w:tc>
        <w:tc>
          <w:tcPr>
            <w:tcW w:w="0" w:type="auto"/>
            <w:gridSpan w:val="2"/>
            <w:shd w:val="clear" w:color="auto" w:fill="FFFFFF"/>
            <w:tcMar>
              <w:top w:w="40" w:type="dxa"/>
              <w:left w:w="20" w:type="dxa"/>
              <w:bottom w:w="40" w:type="dxa"/>
              <w:right w:w="0" w:type="dxa"/>
            </w:tcMar>
            <w:vAlign w:val="bottom"/>
          </w:tcPr>
          <w:p w14:paraId="5CD8F40C" w14:textId="77777777" w:rsidR="00BA49F5" w:rsidRDefault="007E5E49">
            <w:pPr>
              <w:jc w:val="right"/>
              <w:textAlignment w:val="bottom"/>
            </w:pPr>
            <w:r>
              <w:rPr>
                <w:rFonts w:ascii="Times New Roman" w:eastAsia="宋体" w:hAnsi="Times New Roman"/>
                <w:color w:val="000000"/>
                <w:sz w:val="20"/>
                <w:szCs w:val="20"/>
              </w:rPr>
              <w:t>1,341 </w:t>
            </w:r>
          </w:p>
        </w:tc>
        <w:tc>
          <w:tcPr>
            <w:tcW w:w="0" w:type="auto"/>
            <w:shd w:val="clear" w:color="auto" w:fill="FFFFFF"/>
            <w:tcMar>
              <w:top w:w="40" w:type="dxa"/>
              <w:left w:w="0" w:type="dxa"/>
              <w:bottom w:w="40" w:type="dxa"/>
              <w:right w:w="20" w:type="dxa"/>
            </w:tcMar>
            <w:vAlign w:val="bottom"/>
          </w:tcPr>
          <w:p w14:paraId="5CD8F40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0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0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41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1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1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413" w14:textId="77777777" w:rsidR="00BA49F5" w:rsidRDefault="00BA49F5">
            <w:pPr>
              <w:jc w:val="right"/>
              <w:rPr>
                <w:rFonts w:ascii="宋体"/>
              </w:rPr>
            </w:pPr>
          </w:p>
        </w:tc>
      </w:tr>
      <w:tr w:rsidR="00BA49F5" w14:paraId="5CD8F41E" w14:textId="77777777">
        <w:trPr>
          <w:jc w:val="center"/>
        </w:trPr>
        <w:tc>
          <w:tcPr>
            <w:tcW w:w="0" w:type="auto"/>
            <w:gridSpan w:val="3"/>
            <w:shd w:val="clear" w:color="auto" w:fill="CCEEFF"/>
            <w:tcMar>
              <w:top w:w="40" w:type="dxa"/>
              <w:left w:w="380" w:type="dxa"/>
              <w:bottom w:w="40" w:type="dxa"/>
              <w:right w:w="20" w:type="dxa"/>
            </w:tcMar>
            <w:vAlign w:val="bottom"/>
          </w:tcPr>
          <w:p w14:paraId="5CD8F415" w14:textId="77777777" w:rsidR="00BA49F5" w:rsidRDefault="007E5E49">
            <w:pPr>
              <w:textAlignment w:val="bottom"/>
            </w:pPr>
            <w:r>
              <w:rPr>
                <w:rFonts w:ascii="Times New Roman" w:eastAsia="宋体" w:hAnsi="Times New Roman"/>
                <w:color w:val="000000"/>
                <w:sz w:val="20"/>
                <w:szCs w:val="20"/>
              </w:rPr>
              <w:t>Fair value adjustments for non-marketable securities</w:t>
            </w:r>
          </w:p>
        </w:tc>
        <w:tc>
          <w:tcPr>
            <w:tcW w:w="0" w:type="auto"/>
            <w:gridSpan w:val="2"/>
            <w:shd w:val="clear" w:color="auto" w:fill="CCEEFF"/>
            <w:tcMar>
              <w:top w:w="40" w:type="dxa"/>
              <w:left w:w="20" w:type="dxa"/>
              <w:bottom w:w="40" w:type="dxa"/>
              <w:right w:w="0" w:type="dxa"/>
            </w:tcMar>
            <w:vAlign w:val="bottom"/>
          </w:tcPr>
          <w:p w14:paraId="5CD8F416" w14:textId="77777777" w:rsidR="00BA49F5" w:rsidRDefault="007E5E49">
            <w:pPr>
              <w:jc w:val="right"/>
              <w:textAlignment w:val="bottom"/>
            </w:pPr>
            <w:r>
              <w:rPr>
                <w:rFonts w:ascii="Times New Roman" w:eastAsia="宋体" w:hAnsi="Times New Roman"/>
                <w:color w:val="000000"/>
                <w:sz w:val="20"/>
                <w:szCs w:val="20"/>
              </w:rPr>
              <w:t>463 </w:t>
            </w:r>
          </w:p>
        </w:tc>
        <w:tc>
          <w:tcPr>
            <w:tcW w:w="0" w:type="auto"/>
            <w:shd w:val="clear" w:color="auto" w:fill="CCEEFF"/>
            <w:tcMar>
              <w:top w:w="40" w:type="dxa"/>
              <w:left w:w="0" w:type="dxa"/>
              <w:bottom w:w="40" w:type="dxa"/>
              <w:right w:w="20" w:type="dxa"/>
            </w:tcMar>
            <w:vAlign w:val="bottom"/>
          </w:tcPr>
          <w:p w14:paraId="5CD8F41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1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19" w14:textId="77777777" w:rsidR="00BA49F5" w:rsidRDefault="007E5E49">
            <w:pPr>
              <w:jc w:val="right"/>
              <w:textAlignment w:val="bottom"/>
            </w:pPr>
            <w:r>
              <w:rPr>
                <w:rFonts w:ascii="Times New Roman" w:eastAsia="宋体" w:hAnsi="Times New Roman"/>
                <w:color w:val="000000"/>
                <w:sz w:val="20"/>
                <w:szCs w:val="20"/>
              </w:rPr>
              <w:t>(232)</w:t>
            </w:r>
          </w:p>
        </w:tc>
        <w:tc>
          <w:tcPr>
            <w:tcW w:w="0" w:type="auto"/>
            <w:shd w:val="clear" w:color="auto" w:fill="CCEEFF"/>
            <w:tcMar>
              <w:top w:w="40" w:type="dxa"/>
              <w:left w:w="0" w:type="dxa"/>
              <w:bottom w:w="40" w:type="dxa"/>
              <w:right w:w="20" w:type="dxa"/>
            </w:tcMar>
            <w:vAlign w:val="bottom"/>
          </w:tcPr>
          <w:p w14:paraId="5CD8F41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1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1C" w14:textId="77777777" w:rsidR="00BA49F5" w:rsidRDefault="007E5E49">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5CD8F41D" w14:textId="77777777" w:rsidR="00BA49F5" w:rsidRDefault="00BA49F5">
            <w:pPr>
              <w:jc w:val="right"/>
              <w:rPr>
                <w:rFonts w:ascii="宋体"/>
              </w:rPr>
            </w:pPr>
          </w:p>
        </w:tc>
      </w:tr>
      <w:tr w:rsidR="00BA49F5" w14:paraId="5CD8F428" w14:textId="77777777">
        <w:trPr>
          <w:jc w:val="center"/>
        </w:trPr>
        <w:tc>
          <w:tcPr>
            <w:tcW w:w="0" w:type="auto"/>
            <w:gridSpan w:val="3"/>
            <w:shd w:val="clear" w:color="auto" w:fill="FFFFFF"/>
            <w:tcMar>
              <w:top w:w="40" w:type="dxa"/>
              <w:left w:w="380" w:type="dxa"/>
              <w:bottom w:w="40" w:type="dxa"/>
              <w:right w:w="20" w:type="dxa"/>
            </w:tcMar>
            <w:vAlign w:val="bottom"/>
          </w:tcPr>
          <w:p w14:paraId="5CD8F41F" w14:textId="77777777" w:rsidR="00BA49F5" w:rsidRDefault="007E5E4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CD8F420" w14:textId="77777777" w:rsidR="00BA49F5" w:rsidRDefault="007E5E49">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5CD8F42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2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23" w14:textId="77777777" w:rsidR="00BA49F5" w:rsidRDefault="007E5E49">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5CD8F42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2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26" w14:textId="77777777" w:rsidR="00BA49F5" w:rsidRDefault="007E5E49">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5CD8F427" w14:textId="77777777" w:rsidR="00BA49F5" w:rsidRDefault="00BA49F5">
            <w:pPr>
              <w:jc w:val="right"/>
              <w:rPr>
                <w:rFonts w:ascii="宋体"/>
              </w:rPr>
            </w:pPr>
          </w:p>
        </w:tc>
      </w:tr>
      <w:tr w:rsidR="00BA49F5" w14:paraId="5CD8F42F" w14:textId="77777777">
        <w:trPr>
          <w:jc w:val="center"/>
        </w:trPr>
        <w:tc>
          <w:tcPr>
            <w:tcW w:w="0" w:type="auto"/>
            <w:gridSpan w:val="3"/>
            <w:shd w:val="clear" w:color="auto" w:fill="CCEEFF"/>
            <w:tcMar>
              <w:top w:w="40" w:type="dxa"/>
              <w:left w:w="200" w:type="dxa"/>
              <w:bottom w:w="40" w:type="dxa"/>
              <w:right w:w="20" w:type="dxa"/>
            </w:tcMar>
            <w:vAlign w:val="bottom"/>
          </w:tcPr>
          <w:p w14:paraId="5CD8F429" w14:textId="77777777" w:rsidR="00BA49F5" w:rsidRDefault="007E5E49">
            <w:pPr>
              <w:textAlignment w:val="bottom"/>
            </w:pPr>
            <w:r>
              <w:rPr>
                <w:rFonts w:ascii="Times New Roman" w:eastAsia="宋体" w:hAnsi="Times New Roman"/>
                <w:color w:val="000000"/>
                <w:sz w:val="20"/>
                <w:szCs w:val="20"/>
              </w:rPr>
              <w:t>Changes in assets and liabilities:</w:t>
            </w:r>
          </w:p>
        </w:tc>
        <w:tc>
          <w:tcPr>
            <w:tcW w:w="0" w:type="auto"/>
            <w:gridSpan w:val="3"/>
            <w:shd w:val="clear" w:color="auto" w:fill="CCEEFF"/>
            <w:tcMar>
              <w:top w:w="0" w:type="dxa"/>
              <w:left w:w="20" w:type="dxa"/>
              <w:bottom w:w="0" w:type="dxa"/>
              <w:right w:w="20" w:type="dxa"/>
            </w:tcMar>
            <w:vAlign w:val="bottom"/>
          </w:tcPr>
          <w:p w14:paraId="5CD8F42A"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42B"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42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42D"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42E" w14:textId="77777777" w:rsidR="00BA49F5" w:rsidRDefault="00BA49F5">
            <w:pPr>
              <w:rPr>
                <w:rFonts w:ascii="宋体"/>
              </w:rPr>
            </w:pPr>
          </w:p>
        </w:tc>
      </w:tr>
      <w:tr w:rsidR="00BA49F5" w14:paraId="5CD8F439" w14:textId="77777777">
        <w:trPr>
          <w:jc w:val="center"/>
        </w:trPr>
        <w:tc>
          <w:tcPr>
            <w:tcW w:w="0" w:type="auto"/>
            <w:gridSpan w:val="3"/>
            <w:shd w:val="clear" w:color="auto" w:fill="FFFFFF"/>
            <w:tcMar>
              <w:top w:w="40" w:type="dxa"/>
              <w:left w:w="380" w:type="dxa"/>
              <w:bottom w:w="40" w:type="dxa"/>
              <w:right w:w="20" w:type="dxa"/>
            </w:tcMar>
            <w:vAlign w:val="bottom"/>
          </w:tcPr>
          <w:p w14:paraId="5CD8F430" w14:textId="77777777" w:rsidR="00BA49F5" w:rsidRDefault="007E5E49">
            <w:pPr>
              <w:textAlignment w:val="bottom"/>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5CD8F431" w14:textId="77777777" w:rsidR="00BA49F5" w:rsidRDefault="007E5E49">
            <w:pPr>
              <w:jc w:val="right"/>
              <w:textAlignment w:val="bottom"/>
            </w:pPr>
            <w:r>
              <w:rPr>
                <w:rFonts w:ascii="Times New Roman" w:eastAsia="宋体" w:hAnsi="Times New Roman"/>
                <w:color w:val="000000"/>
                <w:sz w:val="20"/>
                <w:szCs w:val="20"/>
              </w:rPr>
              <w:t>231 </w:t>
            </w:r>
          </w:p>
        </w:tc>
        <w:tc>
          <w:tcPr>
            <w:tcW w:w="0" w:type="auto"/>
            <w:shd w:val="clear" w:color="auto" w:fill="FFFFFF"/>
            <w:tcMar>
              <w:top w:w="40" w:type="dxa"/>
              <w:left w:w="0" w:type="dxa"/>
              <w:bottom w:w="40" w:type="dxa"/>
              <w:right w:w="20" w:type="dxa"/>
            </w:tcMar>
            <w:vAlign w:val="bottom"/>
          </w:tcPr>
          <w:p w14:paraId="5CD8F43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3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34" w14:textId="77777777" w:rsidR="00BA49F5" w:rsidRDefault="007E5E49">
            <w:pPr>
              <w:jc w:val="right"/>
              <w:textAlignment w:val="bottom"/>
            </w:pPr>
            <w:r>
              <w:rPr>
                <w:rFonts w:ascii="Times New Roman" w:eastAsia="宋体" w:hAnsi="Times New Roman"/>
                <w:color w:val="000000"/>
                <w:sz w:val="20"/>
                <w:szCs w:val="20"/>
              </w:rPr>
              <w:t>(3,110)</w:t>
            </w:r>
          </w:p>
        </w:tc>
        <w:tc>
          <w:tcPr>
            <w:tcW w:w="0" w:type="auto"/>
            <w:shd w:val="clear" w:color="auto" w:fill="FFFFFF"/>
            <w:tcMar>
              <w:top w:w="40" w:type="dxa"/>
              <w:left w:w="0" w:type="dxa"/>
              <w:bottom w:w="40" w:type="dxa"/>
              <w:right w:w="20" w:type="dxa"/>
            </w:tcMar>
            <w:vAlign w:val="bottom"/>
          </w:tcPr>
          <w:p w14:paraId="5CD8F43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3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37" w14:textId="77777777" w:rsidR="00BA49F5" w:rsidRDefault="007E5E49">
            <w:pPr>
              <w:jc w:val="right"/>
              <w:textAlignment w:val="bottom"/>
            </w:pPr>
            <w:r>
              <w:rPr>
                <w:rFonts w:ascii="Times New Roman" w:eastAsia="宋体" w:hAnsi="Times New Roman"/>
                <w:color w:val="000000"/>
                <w:sz w:val="20"/>
                <w:szCs w:val="20"/>
              </w:rPr>
              <w:t>(1,512)</w:t>
            </w:r>
          </w:p>
        </w:tc>
        <w:tc>
          <w:tcPr>
            <w:tcW w:w="0" w:type="auto"/>
            <w:shd w:val="clear" w:color="auto" w:fill="FFFFFF"/>
            <w:tcMar>
              <w:top w:w="40" w:type="dxa"/>
              <w:left w:w="0" w:type="dxa"/>
              <w:bottom w:w="40" w:type="dxa"/>
              <w:right w:w="20" w:type="dxa"/>
            </w:tcMar>
            <w:vAlign w:val="bottom"/>
          </w:tcPr>
          <w:p w14:paraId="5CD8F438" w14:textId="77777777" w:rsidR="00BA49F5" w:rsidRDefault="00BA49F5">
            <w:pPr>
              <w:jc w:val="right"/>
              <w:rPr>
                <w:rFonts w:ascii="宋体"/>
              </w:rPr>
            </w:pPr>
          </w:p>
        </w:tc>
      </w:tr>
      <w:tr w:rsidR="00BA49F5" w14:paraId="5CD8F443" w14:textId="77777777">
        <w:trPr>
          <w:jc w:val="center"/>
        </w:trPr>
        <w:tc>
          <w:tcPr>
            <w:tcW w:w="0" w:type="auto"/>
            <w:gridSpan w:val="3"/>
            <w:shd w:val="clear" w:color="auto" w:fill="CCEEFF"/>
            <w:tcMar>
              <w:top w:w="40" w:type="dxa"/>
              <w:left w:w="380" w:type="dxa"/>
              <w:bottom w:w="40" w:type="dxa"/>
              <w:right w:w="20" w:type="dxa"/>
            </w:tcMar>
            <w:vAlign w:val="bottom"/>
          </w:tcPr>
          <w:p w14:paraId="5CD8F43A" w14:textId="77777777" w:rsidR="00BA49F5" w:rsidRDefault="007E5E49">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CCEEFF"/>
            <w:tcMar>
              <w:top w:w="40" w:type="dxa"/>
              <w:left w:w="20" w:type="dxa"/>
              <w:bottom w:w="40" w:type="dxa"/>
              <w:right w:w="0" w:type="dxa"/>
            </w:tcMar>
            <w:vAlign w:val="bottom"/>
          </w:tcPr>
          <w:p w14:paraId="5CD8F43B" w14:textId="77777777" w:rsidR="00BA49F5" w:rsidRDefault="007E5E49">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5CD8F43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3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3E" w14:textId="77777777" w:rsidR="00BA49F5" w:rsidRDefault="007E5E49">
            <w:pPr>
              <w:jc w:val="right"/>
              <w:textAlignment w:val="bottom"/>
            </w:pPr>
            <w:r>
              <w:rPr>
                <w:rFonts w:ascii="Times New Roman" w:eastAsia="宋体" w:hAnsi="Times New Roman"/>
                <w:color w:val="000000"/>
                <w:sz w:val="20"/>
                <w:szCs w:val="20"/>
              </w:rPr>
              <w:t>(1,750)</w:t>
            </w:r>
          </w:p>
        </w:tc>
        <w:tc>
          <w:tcPr>
            <w:tcW w:w="0" w:type="auto"/>
            <w:shd w:val="clear" w:color="auto" w:fill="CCEEFF"/>
            <w:tcMar>
              <w:top w:w="40" w:type="dxa"/>
              <w:left w:w="0" w:type="dxa"/>
              <w:bottom w:w="40" w:type="dxa"/>
              <w:right w:w="20" w:type="dxa"/>
            </w:tcMar>
            <w:vAlign w:val="bottom"/>
          </w:tcPr>
          <w:p w14:paraId="5CD8F43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4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41" w14:textId="77777777" w:rsidR="00BA49F5" w:rsidRDefault="007E5E49">
            <w:pPr>
              <w:jc w:val="right"/>
              <w:textAlignment w:val="bottom"/>
            </w:pPr>
            <w:r>
              <w:rPr>
                <w:rFonts w:ascii="Times New Roman" w:eastAsia="宋体" w:hAnsi="Times New Roman"/>
                <w:color w:val="000000"/>
                <w:sz w:val="20"/>
                <w:szCs w:val="20"/>
              </w:rPr>
              <w:t>135 </w:t>
            </w:r>
          </w:p>
        </w:tc>
        <w:tc>
          <w:tcPr>
            <w:tcW w:w="0" w:type="auto"/>
            <w:shd w:val="clear" w:color="auto" w:fill="CCEEFF"/>
            <w:tcMar>
              <w:top w:w="40" w:type="dxa"/>
              <w:left w:w="0" w:type="dxa"/>
              <w:bottom w:w="40" w:type="dxa"/>
              <w:right w:w="20" w:type="dxa"/>
            </w:tcMar>
            <w:vAlign w:val="bottom"/>
          </w:tcPr>
          <w:p w14:paraId="5CD8F442" w14:textId="77777777" w:rsidR="00BA49F5" w:rsidRDefault="00BA49F5">
            <w:pPr>
              <w:jc w:val="right"/>
              <w:rPr>
                <w:rFonts w:ascii="宋体"/>
              </w:rPr>
            </w:pPr>
          </w:p>
        </w:tc>
      </w:tr>
      <w:tr w:rsidR="00BA49F5" w14:paraId="5CD8F44D" w14:textId="77777777">
        <w:trPr>
          <w:jc w:val="center"/>
        </w:trPr>
        <w:tc>
          <w:tcPr>
            <w:tcW w:w="0" w:type="auto"/>
            <w:gridSpan w:val="3"/>
            <w:shd w:val="clear" w:color="auto" w:fill="FFFFFF"/>
            <w:tcMar>
              <w:top w:w="40" w:type="dxa"/>
              <w:left w:w="380" w:type="dxa"/>
              <w:bottom w:w="40" w:type="dxa"/>
              <w:right w:w="20" w:type="dxa"/>
            </w:tcMar>
            <w:vAlign w:val="bottom"/>
          </w:tcPr>
          <w:p w14:paraId="5CD8F444" w14:textId="77777777" w:rsidR="00BA49F5" w:rsidRDefault="007E5E49">
            <w:pPr>
              <w:textAlignment w:val="bottom"/>
            </w:pPr>
            <w:r>
              <w:rPr>
                <w:rFonts w:ascii="Times New Roman" w:eastAsia="宋体" w:hAnsi="Times New Roman"/>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5CD8F445" w14:textId="77777777" w:rsidR="00BA49F5" w:rsidRDefault="007E5E49">
            <w:pPr>
              <w:jc w:val="right"/>
              <w:textAlignment w:val="bottom"/>
            </w:pPr>
            <w:r>
              <w:rPr>
                <w:rFonts w:ascii="Times New Roman" w:eastAsia="宋体" w:hAnsi="Times New Roman"/>
                <w:color w:val="000000"/>
                <w:sz w:val="20"/>
                <w:szCs w:val="20"/>
              </w:rPr>
              <w:t>(106)</w:t>
            </w:r>
          </w:p>
        </w:tc>
        <w:tc>
          <w:tcPr>
            <w:tcW w:w="0" w:type="auto"/>
            <w:shd w:val="clear" w:color="auto" w:fill="FFFFFF"/>
            <w:tcMar>
              <w:top w:w="40" w:type="dxa"/>
              <w:left w:w="0" w:type="dxa"/>
              <w:bottom w:w="40" w:type="dxa"/>
              <w:right w:w="20" w:type="dxa"/>
            </w:tcMar>
            <w:vAlign w:val="bottom"/>
          </w:tcPr>
          <w:p w14:paraId="5CD8F44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4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48" w14:textId="77777777" w:rsidR="00BA49F5" w:rsidRDefault="007E5E49">
            <w:pPr>
              <w:jc w:val="right"/>
              <w:textAlignment w:val="bottom"/>
            </w:pPr>
            <w:r>
              <w:rPr>
                <w:rFonts w:ascii="Times New Roman" w:eastAsia="宋体" w:hAnsi="Times New Roman"/>
                <w:color w:val="000000"/>
                <w:sz w:val="20"/>
                <w:szCs w:val="20"/>
              </w:rPr>
              <w:t>(349)</w:t>
            </w:r>
          </w:p>
        </w:tc>
        <w:tc>
          <w:tcPr>
            <w:tcW w:w="0" w:type="auto"/>
            <w:shd w:val="clear" w:color="auto" w:fill="FFFFFF"/>
            <w:tcMar>
              <w:top w:w="40" w:type="dxa"/>
              <w:left w:w="0" w:type="dxa"/>
              <w:bottom w:w="40" w:type="dxa"/>
              <w:right w:w="20" w:type="dxa"/>
            </w:tcMar>
            <w:vAlign w:val="bottom"/>
          </w:tcPr>
          <w:p w14:paraId="5CD8F44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4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4B" w14:textId="77777777" w:rsidR="00BA49F5" w:rsidRDefault="007E5E49">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5CD8F44C" w14:textId="77777777" w:rsidR="00BA49F5" w:rsidRDefault="00BA49F5">
            <w:pPr>
              <w:jc w:val="right"/>
              <w:rPr>
                <w:rFonts w:ascii="宋体"/>
              </w:rPr>
            </w:pPr>
          </w:p>
        </w:tc>
      </w:tr>
      <w:tr w:rsidR="00BA49F5" w14:paraId="5CD8F457" w14:textId="77777777">
        <w:trPr>
          <w:jc w:val="center"/>
        </w:trPr>
        <w:tc>
          <w:tcPr>
            <w:tcW w:w="0" w:type="auto"/>
            <w:gridSpan w:val="3"/>
            <w:shd w:val="clear" w:color="auto" w:fill="CCEEFF"/>
            <w:tcMar>
              <w:top w:w="40" w:type="dxa"/>
              <w:left w:w="380" w:type="dxa"/>
              <w:bottom w:w="40" w:type="dxa"/>
              <w:right w:w="20" w:type="dxa"/>
            </w:tcMar>
            <w:vAlign w:val="bottom"/>
          </w:tcPr>
          <w:p w14:paraId="5CD8F44E" w14:textId="77777777" w:rsidR="00BA49F5" w:rsidRDefault="007E5E49">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5CD8F44F" w14:textId="77777777" w:rsidR="00BA49F5" w:rsidRDefault="007E5E49">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5CD8F45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5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52" w14:textId="77777777" w:rsidR="00BA49F5" w:rsidRDefault="007E5E49">
            <w:pPr>
              <w:jc w:val="right"/>
              <w:textAlignment w:val="bottom"/>
            </w:pPr>
            <w:r>
              <w:rPr>
                <w:rFonts w:ascii="Times New Roman" w:eastAsia="宋体" w:hAnsi="Times New Roman"/>
                <w:color w:val="000000"/>
                <w:sz w:val="20"/>
                <w:szCs w:val="20"/>
              </w:rPr>
              <w:t>1,436 </w:t>
            </w:r>
          </w:p>
        </w:tc>
        <w:tc>
          <w:tcPr>
            <w:tcW w:w="0" w:type="auto"/>
            <w:shd w:val="clear" w:color="auto" w:fill="CCEEFF"/>
            <w:tcMar>
              <w:top w:w="40" w:type="dxa"/>
              <w:left w:w="0" w:type="dxa"/>
              <w:bottom w:w="40" w:type="dxa"/>
              <w:right w:w="20" w:type="dxa"/>
            </w:tcMar>
            <w:vAlign w:val="bottom"/>
          </w:tcPr>
          <w:p w14:paraId="5CD8F45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5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55" w14:textId="77777777" w:rsidR="00BA49F5" w:rsidRDefault="007E5E49">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5CD8F456" w14:textId="77777777" w:rsidR="00BA49F5" w:rsidRDefault="00BA49F5">
            <w:pPr>
              <w:jc w:val="right"/>
              <w:rPr>
                <w:rFonts w:ascii="宋体"/>
              </w:rPr>
            </w:pPr>
          </w:p>
        </w:tc>
      </w:tr>
      <w:tr w:rsidR="00BA49F5" w14:paraId="5CD8F461" w14:textId="77777777">
        <w:trPr>
          <w:jc w:val="center"/>
        </w:trPr>
        <w:tc>
          <w:tcPr>
            <w:tcW w:w="0" w:type="auto"/>
            <w:gridSpan w:val="3"/>
            <w:shd w:val="clear" w:color="auto" w:fill="FFFFFF"/>
            <w:tcMar>
              <w:top w:w="40" w:type="dxa"/>
              <w:left w:w="380" w:type="dxa"/>
              <w:bottom w:w="40" w:type="dxa"/>
              <w:right w:w="20" w:type="dxa"/>
            </w:tcMar>
            <w:vAlign w:val="bottom"/>
          </w:tcPr>
          <w:p w14:paraId="5CD8F458" w14:textId="77777777" w:rsidR="00BA49F5" w:rsidRDefault="007E5E49">
            <w:pPr>
              <w:textAlignment w:val="bottom"/>
            </w:pPr>
            <w:r>
              <w:rPr>
                <w:rFonts w:ascii="Times New Roman" w:eastAsia="宋体" w:hAnsi="Times New Roman"/>
                <w:color w:val="000000"/>
                <w:sz w:val="20"/>
                <w:szCs w:val="20"/>
              </w:rPr>
              <w:t>Partners payable</w:t>
            </w:r>
          </w:p>
        </w:tc>
        <w:tc>
          <w:tcPr>
            <w:tcW w:w="0" w:type="auto"/>
            <w:gridSpan w:val="2"/>
            <w:shd w:val="clear" w:color="auto" w:fill="FFFFFF"/>
            <w:tcMar>
              <w:top w:w="40" w:type="dxa"/>
              <w:left w:w="20" w:type="dxa"/>
              <w:bottom w:w="40" w:type="dxa"/>
              <w:right w:w="0" w:type="dxa"/>
            </w:tcMar>
            <w:vAlign w:val="bottom"/>
          </w:tcPr>
          <w:p w14:paraId="5CD8F459" w14:textId="77777777" w:rsidR="00BA49F5" w:rsidRDefault="007E5E49">
            <w:pPr>
              <w:jc w:val="right"/>
              <w:textAlignment w:val="bottom"/>
            </w:pPr>
            <w:r>
              <w:rPr>
                <w:rFonts w:ascii="Times New Roman" w:eastAsia="宋体" w:hAnsi="Times New Roman"/>
                <w:color w:val="000000"/>
                <w:sz w:val="20"/>
                <w:szCs w:val="20"/>
              </w:rPr>
              <w:t>90 </w:t>
            </w:r>
          </w:p>
        </w:tc>
        <w:tc>
          <w:tcPr>
            <w:tcW w:w="0" w:type="auto"/>
            <w:shd w:val="clear" w:color="auto" w:fill="FFFFFF"/>
            <w:tcMar>
              <w:top w:w="40" w:type="dxa"/>
              <w:left w:w="0" w:type="dxa"/>
              <w:bottom w:w="40" w:type="dxa"/>
              <w:right w:w="20" w:type="dxa"/>
            </w:tcMar>
            <w:vAlign w:val="bottom"/>
          </w:tcPr>
          <w:p w14:paraId="5CD8F45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5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5C" w14:textId="77777777" w:rsidR="00BA49F5" w:rsidRDefault="007E5E49">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5CD8F45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5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5F" w14:textId="77777777" w:rsidR="00BA49F5" w:rsidRDefault="007E5E49">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5CD8F460" w14:textId="77777777" w:rsidR="00BA49F5" w:rsidRDefault="00BA49F5">
            <w:pPr>
              <w:jc w:val="right"/>
              <w:rPr>
                <w:rFonts w:ascii="宋体"/>
              </w:rPr>
            </w:pPr>
          </w:p>
        </w:tc>
      </w:tr>
      <w:tr w:rsidR="00BA49F5" w14:paraId="5CD8F46B" w14:textId="77777777">
        <w:trPr>
          <w:jc w:val="center"/>
        </w:trPr>
        <w:tc>
          <w:tcPr>
            <w:tcW w:w="0" w:type="auto"/>
            <w:gridSpan w:val="3"/>
            <w:shd w:val="clear" w:color="auto" w:fill="CCEEFF"/>
            <w:tcMar>
              <w:top w:w="40" w:type="dxa"/>
              <w:left w:w="380" w:type="dxa"/>
              <w:bottom w:w="40" w:type="dxa"/>
              <w:right w:w="20" w:type="dxa"/>
            </w:tcMar>
            <w:vAlign w:val="bottom"/>
          </w:tcPr>
          <w:p w14:paraId="5CD8F462" w14:textId="77777777" w:rsidR="00BA49F5" w:rsidRDefault="007E5E49">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5CD8F463" w14:textId="77777777" w:rsidR="00BA49F5" w:rsidRDefault="007E5E49">
            <w:pPr>
              <w:jc w:val="right"/>
              <w:textAlignment w:val="bottom"/>
            </w:pPr>
            <w:r>
              <w:rPr>
                <w:rFonts w:ascii="Times New Roman" w:eastAsia="宋体" w:hAnsi="Times New Roman"/>
                <w:color w:val="000000"/>
                <w:sz w:val="20"/>
                <w:szCs w:val="20"/>
              </w:rPr>
              <w:t>4,210 </w:t>
            </w:r>
          </w:p>
        </w:tc>
        <w:tc>
          <w:tcPr>
            <w:tcW w:w="0" w:type="auto"/>
            <w:shd w:val="clear" w:color="auto" w:fill="CCEEFF"/>
            <w:tcMar>
              <w:top w:w="40" w:type="dxa"/>
              <w:left w:w="0" w:type="dxa"/>
              <w:bottom w:w="40" w:type="dxa"/>
              <w:right w:w="20" w:type="dxa"/>
            </w:tcMar>
            <w:vAlign w:val="bottom"/>
          </w:tcPr>
          <w:p w14:paraId="5CD8F46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6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66" w14:textId="77777777" w:rsidR="00BA49F5" w:rsidRDefault="007E5E49">
            <w:pPr>
              <w:jc w:val="right"/>
              <w:textAlignment w:val="bottom"/>
            </w:pPr>
            <w:r>
              <w:rPr>
                <w:rFonts w:ascii="Times New Roman" w:eastAsia="宋体" w:hAnsi="Times New Roman"/>
                <w:color w:val="000000"/>
                <w:sz w:val="20"/>
                <w:szCs w:val="20"/>
              </w:rPr>
              <w:t>3,544 </w:t>
            </w:r>
          </w:p>
        </w:tc>
        <w:tc>
          <w:tcPr>
            <w:tcW w:w="0" w:type="auto"/>
            <w:shd w:val="clear" w:color="auto" w:fill="CCEEFF"/>
            <w:tcMar>
              <w:top w:w="40" w:type="dxa"/>
              <w:left w:w="0" w:type="dxa"/>
              <w:bottom w:w="40" w:type="dxa"/>
              <w:right w:w="20" w:type="dxa"/>
            </w:tcMar>
            <w:vAlign w:val="bottom"/>
          </w:tcPr>
          <w:p w14:paraId="5CD8F46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6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69" w14:textId="77777777" w:rsidR="00BA49F5" w:rsidRDefault="007E5E49">
            <w:pPr>
              <w:jc w:val="right"/>
              <w:textAlignment w:val="bottom"/>
            </w:pPr>
            <w:r>
              <w:rPr>
                <w:rFonts w:ascii="Times New Roman" w:eastAsia="宋体" w:hAnsi="Times New Roman"/>
                <w:color w:val="000000"/>
                <w:sz w:val="20"/>
                <w:szCs w:val="20"/>
              </w:rPr>
              <w:t>(946)</w:t>
            </w:r>
          </w:p>
        </w:tc>
        <w:tc>
          <w:tcPr>
            <w:tcW w:w="0" w:type="auto"/>
            <w:shd w:val="clear" w:color="auto" w:fill="CCEEFF"/>
            <w:tcMar>
              <w:top w:w="40" w:type="dxa"/>
              <w:left w:w="0" w:type="dxa"/>
              <w:bottom w:w="40" w:type="dxa"/>
              <w:right w:w="20" w:type="dxa"/>
            </w:tcMar>
            <w:vAlign w:val="bottom"/>
          </w:tcPr>
          <w:p w14:paraId="5CD8F46A" w14:textId="77777777" w:rsidR="00BA49F5" w:rsidRDefault="00BA49F5">
            <w:pPr>
              <w:jc w:val="right"/>
              <w:rPr>
                <w:rFonts w:ascii="宋体"/>
              </w:rPr>
            </w:pPr>
          </w:p>
        </w:tc>
      </w:tr>
      <w:tr w:rsidR="00BA49F5" w14:paraId="5CD8F472" w14:textId="77777777">
        <w:trPr>
          <w:jc w:val="center"/>
          <w:hidden/>
        </w:trPr>
        <w:tc>
          <w:tcPr>
            <w:tcW w:w="0" w:type="auto"/>
            <w:gridSpan w:val="3"/>
            <w:shd w:val="clear" w:color="auto" w:fill="auto"/>
            <w:vAlign w:val="bottom"/>
          </w:tcPr>
          <w:p w14:paraId="5CD8F46C" w14:textId="77777777" w:rsidR="00BA49F5" w:rsidRDefault="00BA49F5">
            <w:pPr>
              <w:rPr>
                <w:rFonts w:ascii="宋体"/>
                <w:vanish/>
              </w:rPr>
            </w:pPr>
          </w:p>
        </w:tc>
        <w:tc>
          <w:tcPr>
            <w:tcW w:w="0" w:type="auto"/>
            <w:gridSpan w:val="3"/>
            <w:shd w:val="clear" w:color="auto" w:fill="auto"/>
            <w:vAlign w:val="bottom"/>
          </w:tcPr>
          <w:p w14:paraId="5CD8F46D" w14:textId="77777777" w:rsidR="00BA49F5" w:rsidRDefault="00BA49F5">
            <w:pPr>
              <w:rPr>
                <w:rFonts w:ascii="宋体"/>
                <w:vanish/>
              </w:rPr>
            </w:pPr>
          </w:p>
        </w:tc>
        <w:tc>
          <w:tcPr>
            <w:tcW w:w="0" w:type="auto"/>
            <w:gridSpan w:val="3"/>
            <w:shd w:val="clear" w:color="auto" w:fill="auto"/>
            <w:vAlign w:val="bottom"/>
          </w:tcPr>
          <w:p w14:paraId="5CD8F46E" w14:textId="77777777" w:rsidR="00BA49F5" w:rsidRDefault="00BA49F5">
            <w:pPr>
              <w:rPr>
                <w:rFonts w:ascii="宋体"/>
                <w:vanish/>
              </w:rPr>
            </w:pPr>
          </w:p>
        </w:tc>
        <w:tc>
          <w:tcPr>
            <w:tcW w:w="0" w:type="auto"/>
            <w:gridSpan w:val="3"/>
            <w:shd w:val="clear" w:color="auto" w:fill="auto"/>
            <w:vAlign w:val="bottom"/>
          </w:tcPr>
          <w:p w14:paraId="5CD8F46F" w14:textId="77777777" w:rsidR="00BA49F5" w:rsidRDefault="00BA49F5">
            <w:pPr>
              <w:rPr>
                <w:rFonts w:ascii="宋体"/>
                <w:vanish/>
              </w:rPr>
            </w:pPr>
          </w:p>
        </w:tc>
        <w:tc>
          <w:tcPr>
            <w:tcW w:w="0" w:type="auto"/>
            <w:gridSpan w:val="3"/>
            <w:shd w:val="clear" w:color="auto" w:fill="auto"/>
            <w:vAlign w:val="bottom"/>
          </w:tcPr>
          <w:p w14:paraId="5CD8F470" w14:textId="77777777" w:rsidR="00BA49F5" w:rsidRDefault="00BA49F5">
            <w:pPr>
              <w:rPr>
                <w:rFonts w:ascii="宋体"/>
                <w:vanish/>
              </w:rPr>
            </w:pPr>
          </w:p>
        </w:tc>
        <w:tc>
          <w:tcPr>
            <w:tcW w:w="0" w:type="auto"/>
            <w:gridSpan w:val="3"/>
            <w:shd w:val="clear" w:color="auto" w:fill="auto"/>
            <w:vAlign w:val="bottom"/>
          </w:tcPr>
          <w:p w14:paraId="5CD8F471" w14:textId="77777777" w:rsidR="00BA49F5" w:rsidRDefault="00BA49F5">
            <w:pPr>
              <w:rPr>
                <w:rFonts w:ascii="宋体"/>
                <w:vanish/>
              </w:rPr>
            </w:pPr>
          </w:p>
        </w:tc>
      </w:tr>
      <w:tr w:rsidR="00BA49F5" w14:paraId="5CD8F47C" w14:textId="77777777">
        <w:trPr>
          <w:jc w:val="center"/>
        </w:trPr>
        <w:tc>
          <w:tcPr>
            <w:tcW w:w="0" w:type="auto"/>
            <w:gridSpan w:val="3"/>
            <w:shd w:val="clear" w:color="auto" w:fill="FFFFFF"/>
            <w:tcMar>
              <w:top w:w="40" w:type="dxa"/>
              <w:left w:w="380" w:type="dxa"/>
              <w:bottom w:w="40" w:type="dxa"/>
              <w:right w:w="20" w:type="dxa"/>
            </w:tcMar>
            <w:vAlign w:val="bottom"/>
          </w:tcPr>
          <w:p w14:paraId="5CD8F473" w14:textId="77777777" w:rsidR="00BA49F5" w:rsidRDefault="007E5E49">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5CD8F474" w14:textId="77777777" w:rsidR="00BA49F5" w:rsidRDefault="007E5E49">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bottom"/>
          </w:tcPr>
          <w:p w14:paraId="5CD8F47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7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77" w14:textId="77777777" w:rsidR="00BA49F5" w:rsidRDefault="007E5E49">
            <w:pPr>
              <w:jc w:val="right"/>
              <w:textAlignment w:val="bottom"/>
            </w:pPr>
            <w:r>
              <w:rPr>
                <w:rFonts w:ascii="Times New Roman" w:eastAsia="宋体" w:hAnsi="Times New Roman"/>
                <w:color w:val="000000"/>
                <w:sz w:val="20"/>
                <w:szCs w:val="20"/>
              </w:rPr>
              <w:t>941 </w:t>
            </w:r>
          </w:p>
        </w:tc>
        <w:tc>
          <w:tcPr>
            <w:tcW w:w="0" w:type="auto"/>
            <w:shd w:val="clear" w:color="auto" w:fill="FFFFFF"/>
            <w:tcMar>
              <w:top w:w="40" w:type="dxa"/>
              <w:left w:w="0" w:type="dxa"/>
              <w:bottom w:w="40" w:type="dxa"/>
              <w:right w:w="20" w:type="dxa"/>
            </w:tcMar>
            <w:vAlign w:val="bottom"/>
          </w:tcPr>
          <w:p w14:paraId="5CD8F47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7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7A" w14:textId="77777777" w:rsidR="00BA49F5" w:rsidRDefault="007E5E49">
            <w:pPr>
              <w:jc w:val="right"/>
              <w:textAlignment w:val="bottom"/>
            </w:pPr>
            <w:r>
              <w:rPr>
                <w:rFonts w:ascii="Times New Roman" w:eastAsia="宋体" w:hAnsi="Times New Roman"/>
                <w:color w:val="000000"/>
                <w:sz w:val="20"/>
                <w:szCs w:val="20"/>
              </w:rPr>
              <w:t>(527)</w:t>
            </w:r>
          </w:p>
        </w:tc>
        <w:tc>
          <w:tcPr>
            <w:tcW w:w="0" w:type="auto"/>
            <w:shd w:val="clear" w:color="auto" w:fill="FFFFFF"/>
            <w:tcMar>
              <w:top w:w="40" w:type="dxa"/>
              <w:left w:w="0" w:type="dxa"/>
              <w:bottom w:w="40" w:type="dxa"/>
              <w:right w:w="20" w:type="dxa"/>
            </w:tcMar>
            <w:vAlign w:val="bottom"/>
          </w:tcPr>
          <w:p w14:paraId="5CD8F47B" w14:textId="77777777" w:rsidR="00BA49F5" w:rsidRDefault="00BA49F5">
            <w:pPr>
              <w:jc w:val="right"/>
              <w:rPr>
                <w:rFonts w:ascii="宋体"/>
              </w:rPr>
            </w:pPr>
          </w:p>
        </w:tc>
      </w:tr>
      <w:tr w:rsidR="00BA49F5" w14:paraId="5CD8F486" w14:textId="77777777">
        <w:trPr>
          <w:jc w:val="center"/>
        </w:trPr>
        <w:tc>
          <w:tcPr>
            <w:tcW w:w="0" w:type="auto"/>
            <w:gridSpan w:val="3"/>
            <w:shd w:val="clear" w:color="auto" w:fill="CCEEFF"/>
            <w:tcMar>
              <w:top w:w="40" w:type="dxa"/>
              <w:left w:w="560" w:type="dxa"/>
              <w:bottom w:w="40" w:type="dxa"/>
              <w:right w:w="20" w:type="dxa"/>
            </w:tcMar>
            <w:vAlign w:val="bottom"/>
          </w:tcPr>
          <w:p w14:paraId="5CD8F47D" w14:textId="77777777" w:rsidR="00BA49F5" w:rsidRDefault="007E5E49">
            <w:pPr>
              <w:textAlignment w:val="bottom"/>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7E" w14:textId="77777777" w:rsidR="00BA49F5" w:rsidRDefault="007E5E49">
            <w:pPr>
              <w:jc w:val="right"/>
              <w:textAlignment w:val="bottom"/>
            </w:pPr>
            <w:r>
              <w:rPr>
                <w:rFonts w:ascii="Times New Roman" w:eastAsia="宋体" w:hAnsi="Times New Roman"/>
                <w:color w:val="000000"/>
                <w:sz w:val="20"/>
                <w:szCs w:val="20"/>
              </w:rPr>
              <w:t>50,475 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7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8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81" w14:textId="77777777" w:rsidR="00BA49F5" w:rsidRDefault="007E5E49">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8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83"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84" w14:textId="77777777" w:rsidR="00BA49F5" w:rsidRDefault="007E5E49">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85" w14:textId="77777777" w:rsidR="00BA49F5" w:rsidRDefault="00BA49F5">
            <w:pPr>
              <w:jc w:val="right"/>
              <w:rPr>
                <w:rFonts w:ascii="宋体"/>
              </w:rPr>
            </w:pPr>
          </w:p>
        </w:tc>
      </w:tr>
      <w:tr w:rsidR="00BA49F5" w14:paraId="5CD8F48D" w14:textId="77777777">
        <w:trPr>
          <w:jc w:val="center"/>
        </w:trPr>
        <w:tc>
          <w:tcPr>
            <w:tcW w:w="0" w:type="auto"/>
            <w:gridSpan w:val="3"/>
            <w:shd w:val="clear" w:color="auto" w:fill="FFFFFF"/>
            <w:tcMar>
              <w:top w:w="40" w:type="dxa"/>
              <w:left w:w="20" w:type="dxa"/>
              <w:bottom w:w="40" w:type="dxa"/>
              <w:right w:w="20" w:type="dxa"/>
            </w:tcMar>
            <w:vAlign w:val="bottom"/>
          </w:tcPr>
          <w:p w14:paraId="5CD8F487" w14:textId="77777777" w:rsidR="00BA49F5" w:rsidRDefault="007E5E49">
            <w:pPr>
              <w:textAlignment w:val="bottom"/>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5CD8F48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8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8A"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8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8C" w14:textId="77777777" w:rsidR="00BA49F5" w:rsidRDefault="00BA49F5">
            <w:pPr>
              <w:rPr>
                <w:rFonts w:ascii="宋体"/>
              </w:rPr>
            </w:pPr>
          </w:p>
        </w:tc>
      </w:tr>
      <w:tr w:rsidR="00BA49F5" w14:paraId="5CD8F497" w14:textId="77777777">
        <w:trPr>
          <w:jc w:val="center"/>
        </w:trPr>
        <w:tc>
          <w:tcPr>
            <w:tcW w:w="0" w:type="auto"/>
            <w:gridSpan w:val="3"/>
            <w:shd w:val="clear" w:color="auto" w:fill="CCEEFF"/>
            <w:tcMar>
              <w:top w:w="40" w:type="dxa"/>
              <w:left w:w="200" w:type="dxa"/>
              <w:bottom w:w="40" w:type="dxa"/>
              <w:right w:w="20" w:type="dxa"/>
            </w:tcMar>
            <w:vAlign w:val="bottom"/>
          </w:tcPr>
          <w:p w14:paraId="5CD8F48E" w14:textId="77777777" w:rsidR="00BA49F5" w:rsidRDefault="007E5E49">
            <w:pPr>
              <w:textAlignment w:val="bottom"/>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5CD8F48F" w14:textId="77777777" w:rsidR="00BA49F5" w:rsidRDefault="007E5E49">
            <w:pPr>
              <w:jc w:val="right"/>
              <w:textAlignment w:val="bottom"/>
            </w:pPr>
            <w:r>
              <w:rPr>
                <w:rFonts w:ascii="Times New Roman" w:eastAsia="宋体" w:hAnsi="Times New Roman"/>
                <w:color w:val="000000"/>
                <w:sz w:val="20"/>
                <w:szCs w:val="20"/>
              </w:rPr>
              <w:t>(31,431)</w:t>
            </w:r>
          </w:p>
        </w:tc>
        <w:tc>
          <w:tcPr>
            <w:tcW w:w="0" w:type="auto"/>
            <w:shd w:val="clear" w:color="auto" w:fill="CCEEFF"/>
            <w:tcMar>
              <w:top w:w="40" w:type="dxa"/>
              <w:left w:w="0" w:type="dxa"/>
              <w:bottom w:w="40" w:type="dxa"/>
              <w:right w:w="20" w:type="dxa"/>
            </w:tcMar>
            <w:vAlign w:val="bottom"/>
          </w:tcPr>
          <w:p w14:paraId="5CD8F49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9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92" w14:textId="77777777" w:rsidR="00BA49F5" w:rsidRDefault="007E5E49">
            <w:pPr>
              <w:jc w:val="right"/>
              <w:textAlignment w:val="bottom"/>
            </w:pPr>
            <w:r>
              <w:rPr>
                <w:rFonts w:ascii="Times New Roman" w:eastAsia="宋体" w:hAnsi="Times New Roman"/>
                <w:color w:val="000000"/>
                <w:sz w:val="20"/>
                <w:szCs w:val="20"/>
              </w:rPr>
              <w:t>(18,690)</w:t>
            </w:r>
          </w:p>
        </w:tc>
        <w:tc>
          <w:tcPr>
            <w:tcW w:w="0" w:type="auto"/>
            <w:shd w:val="clear" w:color="auto" w:fill="CCEEFF"/>
            <w:tcMar>
              <w:top w:w="40" w:type="dxa"/>
              <w:left w:w="0" w:type="dxa"/>
              <w:bottom w:w="40" w:type="dxa"/>
              <w:right w:w="20" w:type="dxa"/>
            </w:tcMar>
            <w:vAlign w:val="bottom"/>
          </w:tcPr>
          <w:p w14:paraId="5CD8F49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9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95" w14:textId="77777777" w:rsidR="00BA49F5" w:rsidRDefault="007E5E49">
            <w:pPr>
              <w:jc w:val="right"/>
              <w:textAlignment w:val="bottom"/>
            </w:pPr>
            <w:r>
              <w:rPr>
                <w:rFonts w:ascii="Times New Roman" w:eastAsia="宋体" w:hAnsi="Times New Roman"/>
                <w:color w:val="000000"/>
                <w:sz w:val="20"/>
                <w:szCs w:val="20"/>
              </w:rPr>
              <w:t>(15,163)</w:t>
            </w:r>
          </w:p>
        </w:tc>
        <w:tc>
          <w:tcPr>
            <w:tcW w:w="0" w:type="auto"/>
            <w:shd w:val="clear" w:color="auto" w:fill="CCEEFF"/>
            <w:tcMar>
              <w:top w:w="40" w:type="dxa"/>
              <w:left w:w="0" w:type="dxa"/>
              <w:bottom w:w="40" w:type="dxa"/>
              <w:right w:w="20" w:type="dxa"/>
            </w:tcMar>
            <w:vAlign w:val="bottom"/>
          </w:tcPr>
          <w:p w14:paraId="5CD8F496" w14:textId="77777777" w:rsidR="00BA49F5" w:rsidRDefault="00BA49F5">
            <w:pPr>
              <w:jc w:val="right"/>
              <w:rPr>
                <w:rFonts w:ascii="宋体"/>
              </w:rPr>
            </w:pPr>
          </w:p>
        </w:tc>
      </w:tr>
      <w:tr w:rsidR="00BA49F5" w14:paraId="5CD8F4A1" w14:textId="77777777">
        <w:trPr>
          <w:jc w:val="center"/>
        </w:trPr>
        <w:tc>
          <w:tcPr>
            <w:tcW w:w="0" w:type="auto"/>
            <w:gridSpan w:val="3"/>
            <w:shd w:val="clear" w:color="auto" w:fill="FFFFFF"/>
            <w:tcMar>
              <w:top w:w="40" w:type="dxa"/>
              <w:left w:w="200" w:type="dxa"/>
              <w:bottom w:w="40" w:type="dxa"/>
              <w:right w:w="20" w:type="dxa"/>
            </w:tcMar>
            <w:vAlign w:val="bottom"/>
          </w:tcPr>
          <w:p w14:paraId="5CD8F498" w14:textId="77777777" w:rsidR="00BA49F5" w:rsidRDefault="007E5E49">
            <w:pPr>
              <w:textAlignment w:val="bottom"/>
            </w:pPr>
            <w:r>
              <w:rPr>
                <w:rFonts w:ascii="Times New Roman" w:eastAsia="宋体" w:hAnsi="Times New Roman"/>
                <w:color w:val="000000"/>
                <w:sz w:val="20"/>
                <w:szCs w:val="20"/>
              </w:rPr>
              <w:t>Proceeds relating to property and equipment</w:t>
            </w:r>
          </w:p>
        </w:tc>
        <w:tc>
          <w:tcPr>
            <w:tcW w:w="0" w:type="auto"/>
            <w:gridSpan w:val="2"/>
            <w:shd w:val="clear" w:color="auto" w:fill="FFFFFF"/>
            <w:tcMar>
              <w:top w:w="40" w:type="dxa"/>
              <w:left w:w="20" w:type="dxa"/>
              <w:bottom w:w="40" w:type="dxa"/>
              <w:right w:w="0" w:type="dxa"/>
            </w:tcMar>
            <w:vAlign w:val="bottom"/>
          </w:tcPr>
          <w:p w14:paraId="5CD8F499" w14:textId="77777777" w:rsidR="00BA49F5" w:rsidRDefault="007E5E49">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5CD8F49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9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9C" w14:textId="77777777" w:rsidR="00BA49F5" w:rsidRDefault="007E5E49">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5CD8F49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9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9F" w14:textId="77777777" w:rsidR="00BA49F5" w:rsidRDefault="007E5E4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5CD8F4A0" w14:textId="77777777" w:rsidR="00BA49F5" w:rsidRDefault="00BA49F5">
            <w:pPr>
              <w:jc w:val="right"/>
              <w:rPr>
                <w:rFonts w:ascii="宋体"/>
              </w:rPr>
            </w:pPr>
          </w:p>
        </w:tc>
      </w:tr>
      <w:tr w:rsidR="00BA49F5" w14:paraId="5CD8F4AB" w14:textId="77777777">
        <w:trPr>
          <w:jc w:val="center"/>
        </w:trPr>
        <w:tc>
          <w:tcPr>
            <w:tcW w:w="0" w:type="auto"/>
            <w:gridSpan w:val="3"/>
            <w:shd w:val="clear" w:color="auto" w:fill="CCEEFF"/>
            <w:tcMar>
              <w:top w:w="40" w:type="dxa"/>
              <w:left w:w="200" w:type="dxa"/>
              <w:bottom w:w="40" w:type="dxa"/>
              <w:right w:w="20" w:type="dxa"/>
            </w:tcMar>
            <w:vAlign w:val="bottom"/>
          </w:tcPr>
          <w:p w14:paraId="5CD8F4A2" w14:textId="77777777" w:rsidR="00BA49F5" w:rsidRDefault="007E5E49">
            <w:pPr>
              <w:textAlignment w:val="bottom"/>
            </w:pPr>
            <w:r>
              <w:rPr>
                <w:rFonts w:ascii="Times New Roman" w:eastAsia="宋体" w:hAnsi="Times New Roman"/>
                <w:color w:val="000000"/>
                <w:sz w:val="20"/>
                <w:szCs w:val="20"/>
              </w:rPr>
              <w:t>Purchases of marketable debt securities</w:t>
            </w:r>
          </w:p>
        </w:tc>
        <w:tc>
          <w:tcPr>
            <w:tcW w:w="0" w:type="auto"/>
            <w:gridSpan w:val="2"/>
            <w:shd w:val="clear" w:color="auto" w:fill="CCEEFF"/>
            <w:tcMar>
              <w:top w:w="40" w:type="dxa"/>
              <w:left w:w="20" w:type="dxa"/>
              <w:bottom w:w="40" w:type="dxa"/>
              <w:right w:w="0" w:type="dxa"/>
            </w:tcMar>
            <w:vAlign w:val="bottom"/>
          </w:tcPr>
          <w:p w14:paraId="5CD8F4A3" w14:textId="77777777" w:rsidR="00BA49F5" w:rsidRDefault="007E5E49">
            <w:pPr>
              <w:jc w:val="right"/>
              <w:textAlignment w:val="bottom"/>
            </w:pPr>
            <w:r>
              <w:rPr>
                <w:rFonts w:ascii="Times New Roman" w:eastAsia="宋体" w:hAnsi="Times New Roman"/>
                <w:color w:val="000000"/>
                <w:sz w:val="20"/>
                <w:szCs w:val="20"/>
              </w:rPr>
              <w:t>(9,626)</w:t>
            </w:r>
          </w:p>
        </w:tc>
        <w:tc>
          <w:tcPr>
            <w:tcW w:w="0" w:type="auto"/>
            <w:shd w:val="clear" w:color="auto" w:fill="CCEEFF"/>
            <w:tcMar>
              <w:top w:w="40" w:type="dxa"/>
              <w:left w:w="0" w:type="dxa"/>
              <w:bottom w:w="40" w:type="dxa"/>
              <w:right w:w="20" w:type="dxa"/>
            </w:tcMar>
            <w:vAlign w:val="bottom"/>
          </w:tcPr>
          <w:p w14:paraId="5CD8F4A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A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A6" w14:textId="77777777" w:rsidR="00BA49F5" w:rsidRDefault="007E5E49">
            <w:pPr>
              <w:jc w:val="right"/>
              <w:textAlignment w:val="bottom"/>
            </w:pPr>
            <w:r>
              <w:rPr>
                <w:rFonts w:ascii="Times New Roman" w:eastAsia="宋体" w:hAnsi="Times New Roman"/>
                <w:color w:val="000000"/>
                <w:sz w:val="20"/>
                <w:szCs w:val="20"/>
              </w:rPr>
              <w:t>(30,407)</w:t>
            </w:r>
          </w:p>
        </w:tc>
        <w:tc>
          <w:tcPr>
            <w:tcW w:w="0" w:type="auto"/>
            <w:shd w:val="clear" w:color="auto" w:fill="CCEEFF"/>
            <w:tcMar>
              <w:top w:w="40" w:type="dxa"/>
              <w:left w:w="0" w:type="dxa"/>
              <w:bottom w:w="40" w:type="dxa"/>
              <w:right w:w="20" w:type="dxa"/>
            </w:tcMar>
            <w:vAlign w:val="bottom"/>
          </w:tcPr>
          <w:p w14:paraId="5CD8F4A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A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A9" w14:textId="77777777" w:rsidR="00BA49F5" w:rsidRDefault="007E5E49">
            <w:pPr>
              <w:jc w:val="right"/>
              <w:textAlignment w:val="bottom"/>
            </w:pPr>
            <w:r>
              <w:rPr>
                <w:rFonts w:ascii="Times New Roman" w:eastAsia="宋体" w:hAnsi="Times New Roman"/>
                <w:color w:val="000000"/>
                <w:sz w:val="20"/>
                <w:szCs w:val="20"/>
              </w:rPr>
              <w:t>(33,930)</w:t>
            </w:r>
          </w:p>
        </w:tc>
        <w:tc>
          <w:tcPr>
            <w:tcW w:w="0" w:type="auto"/>
            <w:shd w:val="clear" w:color="auto" w:fill="CCEEFF"/>
            <w:tcMar>
              <w:top w:w="40" w:type="dxa"/>
              <w:left w:w="0" w:type="dxa"/>
              <w:bottom w:w="40" w:type="dxa"/>
              <w:right w:w="20" w:type="dxa"/>
            </w:tcMar>
            <w:vAlign w:val="bottom"/>
          </w:tcPr>
          <w:p w14:paraId="5CD8F4AA" w14:textId="77777777" w:rsidR="00BA49F5" w:rsidRDefault="00BA49F5">
            <w:pPr>
              <w:jc w:val="right"/>
              <w:rPr>
                <w:rFonts w:ascii="宋体"/>
              </w:rPr>
            </w:pPr>
          </w:p>
        </w:tc>
      </w:tr>
      <w:tr w:rsidR="00BA49F5" w14:paraId="5CD8F4B5" w14:textId="77777777">
        <w:trPr>
          <w:jc w:val="center"/>
        </w:trPr>
        <w:tc>
          <w:tcPr>
            <w:tcW w:w="0" w:type="auto"/>
            <w:gridSpan w:val="3"/>
            <w:shd w:val="clear" w:color="auto" w:fill="FFFFFF"/>
            <w:tcMar>
              <w:top w:w="40" w:type="dxa"/>
              <w:left w:w="200" w:type="dxa"/>
              <w:bottom w:w="40" w:type="dxa"/>
              <w:right w:w="20" w:type="dxa"/>
            </w:tcMar>
            <w:vAlign w:val="bottom"/>
          </w:tcPr>
          <w:p w14:paraId="5CD8F4AC" w14:textId="77777777" w:rsidR="00BA49F5" w:rsidRDefault="007E5E49">
            <w:pPr>
              <w:textAlignment w:val="bottom"/>
            </w:pPr>
            <w:r>
              <w:rPr>
                <w:rFonts w:ascii="Times New Roman" w:eastAsia="宋体" w:hAnsi="Times New Roman"/>
                <w:color w:val="000000"/>
                <w:sz w:val="20"/>
                <w:szCs w:val="20"/>
              </w:rPr>
              <w:t>Sales of marketable debt securities</w:t>
            </w:r>
          </w:p>
        </w:tc>
        <w:tc>
          <w:tcPr>
            <w:tcW w:w="0" w:type="auto"/>
            <w:gridSpan w:val="2"/>
            <w:shd w:val="clear" w:color="auto" w:fill="FFFFFF"/>
            <w:tcMar>
              <w:top w:w="40" w:type="dxa"/>
              <w:left w:w="20" w:type="dxa"/>
              <w:bottom w:w="40" w:type="dxa"/>
              <w:right w:w="0" w:type="dxa"/>
            </w:tcMar>
            <w:vAlign w:val="bottom"/>
          </w:tcPr>
          <w:p w14:paraId="5CD8F4AD" w14:textId="77777777" w:rsidR="00BA49F5" w:rsidRDefault="007E5E49">
            <w:pPr>
              <w:jc w:val="right"/>
              <w:textAlignment w:val="bottom"/>
            </w:pPr>
            <w:r>
              <w:rPr>
                <w:rFonts w:ascii="Times New Roman" w:eastAsia="宋体" w:hAnsi="Times New Roman"/>
                <w:color w:val="000000"/>
                <w:sz w:val="20"/>
                <w:szCs w:val="20"/>
              </w:rPr>
              <w:t>11,083 </w:t>
            </w:r>
          </w:p>
        </w:tc>
        <w:tc>
          <w:tcPr>
            <w:tcW w:w="0" w:type="auto"/>
            <w:shd w:val="clear" w:color="auto" w:fill="FFFFFF"/>
            <w:tcMar>
              <w:top w:w="40" w:type="dxa"/>
              <w:left w:w="0" w:type="dxa"/>
              <w:bottom w:w="40" w:type="dxa"/>
              <w:right w:w="20" w:type="dxa"/>
            </w:tcMar>
            <w:vAlign w:val="bottom"/>
          </w:tcPr>
          <w:p w14:paraId="5CD8F4A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A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B0" w14:textId="77777777" w:rsidR="00BA49F5" w:rsidRDefault="007E5E49">
            <w:pPr>
              <w:jc w:val="right"/>
              <w:textAlignment w:val="bottom"/>
            </w:pPr>
            <w:r>
              <w:rPr>
                <w:rFonts w:ascii="Times New Roman" w:eastAsia="宋体" w:hAnsi="Times New Roman"/>
                <w:color w:val="000000"/>
                <w:sz w:val="20"/>
                <w:szCs w:val="20"/>
              </w:rPr>
              <w:t>31,671 </w:t>
            </w:r>
          </w:p>
        </w:tc>
        <w:tc>
          <w:tcPr>
            <w:tcW w:w="0" w:type="auto"/>
            <w:shd w:val="clear" w:color="auto" w:fill="FFFFFF"/>
            <w:tcMar>
              <w:top w:w="40" w:type="dxa"/>
              <w:left w:w="0" w:type="dxa"/>
              <w:bottom w:w="40" w:type="dxa"/>
              <w:right w:w="20" w:type="dxa"/>
            </w:tcMar>
            <w:vAlign w:val="bottom"/>
          </w:tcPr>
          <w:p w14:paraId="5CD8F4B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B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B3" w14:textId="77777777" w:rsidR="00BA49F5" w:rsidRDefault="007E5E49">
            <w:pPr>
              <w:jc w:val="right"/>
              <w:textAlignment w:val="bottom"/>
            </w:pPr>
            <w:r>
              <w:rPr>
                <w:rFonts w:ascii="Times New Roman" w:eastAsia="宋体" w:hAnsi="Times New Roman"/>
                <w:color w:val="000000"/>
                <w:sz w:val="20"/>
                <w:szCs w:val="20"/>
              </w:rPr>
              <w:t>11,787 </w:t>
            </w:r>
          </w:p>
        </w:tc>
        <w:tc>
          <w:tcPr>
            <w:tcW w:w="0" w:type="auto"/>
            <w:shd w:val="clear" w:color="auto" w:fill="FFFFFF"/>
            <w:tcMar>
              <w:top w:w="40" w:type="dxa"/>
              <w:left w:w="0" w:type="dxa"/>
              <w:bottom w:w="40" w:type="dxa"/>
              <w:right w:w="20" w:type="dxa"/>
            </w:tcMar>
            <w:vAlign w:val="bottom"/>
          </w:tcPr>
          <w:p w14:paraId="5CD8F4B4" w14:textId="77777777" w:rsidR="00BA49F5" w:rsidRDefault="00BA49F5">
            <w:pPr>
              <w:jc w:val="right"/>
              <w:rPr>
                <w:rFonts w:ascii="宋体"/>
              </w:rPr>
            </w:pPr>
          </w:p>
        </w:tc>
      </w:tr>
      <w:tr w:rsidR="00BA49F5" w14:paraId="5CD8F4BF" w14:textId="77777777">
        <w:trPr>
          <w:jc w:val="center"/>
        </w:trPr>
        <w:tc>
          <w:tcPr>
            <w:tcW w:w="0" w:type="auto"/>
            <w:gridSpan w:val="3"/>
            <w:shd w:val="clear" w:color="auto" w:fill="CCEEFF"/>
            <w:tcMar>
              <w:top w:w="40" w:type="dxa"/>
              <w:left w:w="200" w:type="dxa"/>
              <w:bottom w:w="40" w:type="dxa"/>
              <w:right w:w="20" w:type="dxa"/>
            </w:tcMar>
            <w:vAlign w:val="bottom"/>
          </w:tcPr>
          <w:p w14:paraId="5CD8F4B6" w14:textId="77777777" w:rsidR="00BA49F5" w:rsidRDefault="007E5E49">
            <w:pPr>
              <w:textAlignment w:val="bottom"/>
            </w:pPr>
            <w:r>
              <w:rPr>
                <w:rFonts w:ascii="Times New Roman" w:eastAsia="宋体" w:hAnsi="Times New Roman"/>
                <w:color w:val="000000"/>
                <w:sz w:val="20"/>
                <w:szCs w:val="20"/>
              </w:rPr>
              <w:t>Maturities of marketable debt securities</w:t>
            </w:r>
          </w:p>
        </w:tc>
        <w:tc>
          <w:tcPr>
            <w:tcW w:w="0" w:type="auto"/>
            <w:gridSpan w:val="2"/>
            <w:shd w:val="clear" w:color="auto" w:fill="CCEEFF"/>
            <w:tcMar>
              <w:top w:w="40" w:type="dxa"/>
              <w:left w:w="20" w:type="dxa"/>
              <w:bottom w:w="40" w:type="dxa"/>
              <w:right w:w="0" w:type="dxa"/>
            </w:tcMar>
            <w:vAlign w:val="bottom"/>
          </w:tcPr>
          <w:p w14:paraId="5CD8F4B7" w14:textId="77777777" w:rsidR="00BA49F5" w:rsidRDefault="007E5E49">
            <w:pPr>
              <w:jc w:val="right"/>
              <w:textAlignment w:val="bottom"/>
            </w:pPr>
            <w:r>
              <w:rPr>
                <w:rFonts w:ascii="Times New Roman" w:eastAsia="宋体" w:hAnsi="Times New Roman"/>
                <w:color w:val="000000"/>
                <w:sz w:val="20"/>
                <w:szCs w:val="20"/>
              </w:rPr>
              <w:t>2,075 </w:t>
            </w:r>
          </w:p>
        </w:tc>
        <w:tc>
          <w:tcPr>
            <w:tcW w:w="0" w:type="auto"/>
            <w:shd w:val="clear" w:color="auto" w:fill="CCEEFF"/>
            <w:tcMar>
              <w:top w:w="40" w:type="dxa"/>
              <w:left w:w="0" w:type="dxa"/>
              <w:bottom w:w="40" w:type="dxa"/>
              <w:right w:w="20" w:type="dxa"/>
            </w:tcMar>
            <w:vAlign w:val="bottom"/>
          </w:tcPr>
          <w:p w14:paraId="5CD8F4B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B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BA" w14:textId="77777777" w:rsidR="00BA49F5" w:rsidRDefault="007E5E49">
            <w:pPr>
              <w:jc w:val="right"/>
              <w:textAlignment w:val="bottom"/>
            </w:pPr>
            <w:r>
              <w:rPr>
                <w:rFonts w:ascii="Times New Roman" w:eastAsia="宋体" w:hAnsi="Times New Roman"/>
                <w:color w:val="000000"/>
                <w:sz w:val="20"/>
                <w:szCs w:val="20"/>
              </w:rPr>
              <w:t>10,915 </w:t>
            </w:r>
          </w:p>
        </w:tc>
        <w:tc>
          <w:tcPr>
            <w:tcW w:w="0" w:type="auto"/>
            <w:shd w:val="clear" w:color="auto" w:fill="CCEEFF"/>
            <w:tcMar>
              <w:top w:w="40" w:type="dxa"/>
              <w:left w:w="0" w:type="dxa"/>
              <w:bottom w:w="40" w:type="dxa"/>
              <w:right w:w="20" w:type="dxa"/>
            </w:tcMar>
            <w:vAlign w:val="bottom"/>
          </w:tcPr>
          <w:p w14:paraId="5CD8F4B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B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BD" w14:textId="77777777" w:rsidR="00BA49F5" w:rsidRDefault="007E5E49">
            <w:pPr>
              <w:jc w:val="right"/>
              <w:textAlignment w:val="bottom"/>
            </w:pPr>
            <w:r>
              <w:rPr>
                <w:rFonts w:ascii="Times New Roman" w:eastAsia="宋体" w:hAnsi="Times New Roman"/>
                <w:color w:val="000000"/>
                <w:sz w:val="20"/>
                <w:szCs w:val="20"/>
              </w:rPr>
              <w:t>13,984 </w:t>
            </w:r>
          </w:p>
        </w:tc>
        <w:tc>
          <w:tcPr>
            <w:tcW w:w="0" w:type="auto"/>
            <w:shd w:val="clear" w:color="auto" w:fill="CCEEFF"/>
            <w:tcMar>
              <w:top w:w="40" w:type="dxa"/>
              <w:left w:w="0" w:type="dxa"/>
              <w:bottom w:w="40" w:type="dxa"/>
              <w:right w:w="20" w:type="dxa"/>
            </w:tcMar>
            <w:vAlign w:val="bottom"/>
          </w:tcPr>
          <w:p w14:paraId="5CD8F4BE" w14:textId="77777777" w:rsidR="00BA49F5" w:rsidRDefault="00BA49F5">
            <w:pPr>
              <w:jc w:val="right"/>
              <w:rPr>
                <w:rFonts w:ascii="宋体"/>
              </w:rPr>
            </w:pPr>
          </w:p>
        </w:tc>
      </w:tr>
      <w:tr w:rsidR="00BA49F5" w14:paraId="5CD8F4C9" w14:textId="77777777">
        <w:trPr>
          <w:jc w:val="center"/>
        </w:trPr>
        <w:tc>
          <w:tcPr>
            <w:tcW w:w="0" w:type="auto"/>
            <w:gridSpan w:val="3"/>
            <w:shd w:val="clear" w:color="auto" w:fill="FFFFFF"/>
            <w:tcMar>
              <w:top w:w="40" w:type="dxa"/>
              <w:left w:w="200" w:type="dxa"/>
              <w:bottom w:w="40" w:type="dxa"/>
              <w:right w:w="20" w:type="dxa"/>
            </w:tcMar>
            <w:vAlign w:val="bottom"/>
          </w:tcPr>
          <w:p w14:paraId="5CD8F4C0" w14:textId="77777777" w:rsidR="00BA49F5" w:rsidRDefault="007E5E49">
            <w:pPr>
              <w:textAlignment w:val="bottom"/>
            </w:pPr>
            <w:r>
              <w:rPr>
                <w:rFonts w:ascii="Times New Roman" w:eastAsia="宋体" w:hAnsi="Times New Roman"/>
                <w:color w:val="000000"/>
                <w:sz w:val="20"/>
                <w:szCs w:val="20"/>
              </w:rPr>
              <w:t>Purchases of non-marketable equity securities</w:t>
            </w:r>
          </w:p>
        </w:tc>
        <w:tc>
          <w:tcPr>
            <w:tcW w:w="0" w:type="auto"/>
            <w:gridSpan w:val="2"/>
            <w:shd w:val="clear" w:color="auto" w:fill="FFFFFF"/>
            <w:tcMar>
              <w:top w:w="40" w:type="dxa"/>
              <w:left w:w="20" w:type="dxa"/>
              <w:bottom w:w="40" w:type="dxa"/>
              <w:right w:w="0" w:type="dxa"/>
            </w:tcMar>
            <w:vAlign w:val="bottom"/>
          </w:tcPr>
          <w:p w14:paraId="5CD8F4C1" w14:textId="77777777" w:rsidR="00BA49F5" w:rsidRDefault="007E5E49">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5CD8F4C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C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C4" w14:textId="77777777" w:rsidR="00BA49F5" w:rsidRDefault="007E5E49">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5CD8F4C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C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C7" w14:textId="77777777" w:rsidR="00BA49F5" w:rsidRDefault="007E5E49">
            <w:pPr>
              <w:jc w:val="right"/>
              <w:textAlignment w:val="bottom"/>
            </w:pPr>
            <w:r>
              <w:rPr>
                <w:rFonts w:ascii="Times New Roman" w:eastAsia="宋体" w:hAnsi="Times New Roman"/>
                <w:color w:val="000000"/>
                <w:sz w:val="20"/>
                <w:szCs w:val="20"/>
              </w:rPr>
              <w:t>(6,361)</w:t>
            </w:r>
          </w:p>
        </w:tc>
        <w:tc>
          <w:tcPr>
            <w:tcW w:w="0" w:type="auto"/>
            <w:shd w:val="clear" w:color="auto" w:fill="FFFFFF"/>
            <w:tcMar>
              <w:top w:w="40" w:type="dxa"/>
              <w:left w:w="0" w:type="dxa"/>
              <w:bottom w:w="40" w:type="dxa"/>
              <w:right w:w="20" w:type="dxa"/>
            </w:tcMar>
            <w:vAlign w:val="bottom"/>
          </w:tcPr>
          <w:p w14:paraId="5CD8F4C8" w14:textId="77777777" w:rsidR="00BA49F5" w:rsidRDefault="00BA49F5">
            <w:pPr>
              <w:jc w:val="right"/>
              <w:rPr>
                <w:rFonts w:ascii="宋体"/>
              </w:rPr>
            </w:pPr>
          </w:p>
        </w:tc>
      </w:tr>
      <w:tr w:rsidR="00BA49F5" w14:paraId="5CD8F4D3" w14:textId="77777777">
        <w:trPr>
          <w:jc w:val="center"/>
        </w:trPr>
        <w:tc>
          <w:tcPr>
            <w:tcW w:w="0" w:type="auto"/>
            <w:gridSpan w:val="3"/>
            <w:shd w:val="clear" w:color="auto" w:fill="CCEEFF"/>
            <w:tcMar>
              <w:top w:w="40" w:type="dxa"/>
              <w:left w:w="200" w:type="dxa"/>
              <w:bottom w:w="40" w:type="dxa"/>
              <w:right w:w="20" w:type="dxa"/>
            </w:tcMar>
            <w:vAlign w:val="bottom"/>
          </w:tcPr>
          <w:p w14:paraId="5CD8F4CA" w14:textId="77777777" w:rsidR="00BA49F5" w:rsidRDefault="007E5E49">
            <w:pPr>
              <w:textAlignment w:val="bottom"/>
            </w:pPr>
            <w:r>
              <w:rPr>
                <w:rFonts w:ascii="Times New Roman" w:eastAsia="宋体" w:hAnsi="Times New Roman"/>
                <w:color w:val="000000"/>
                <w:sz w:val="20"/>
                <w:szCs w:val="20"/>
              </w:rPr>
              <w:t>Acquisitions of businesses and intangible assets</w:t>
            </w:r>
          </w:p>
        </w:tc>
        <w:tc>
          <w:tcPr>
            <w:tcW w:w="0" w:type="auto"/>
            <w:gridSpan w:val="2"/>
            <w:shd w:val="clear" w:color="auto" w:fill="CCEEFF"/>
            <w:tcMar>
              <w:top w:w="40" w:type="dxa"/>
              <w:left w:w="20" w:type="dxa"/>
              <w:bottom w:w="40" w:type="dxa"/>
              <w:right w:w="0" w:type="dxa"/>
            </w:tcMar>
            <w:vAlign w:val="bottom"/>
          </w:tcPr>
          <w:p w14:paraId="5CD8F4CB" w14:textId="77777777" w:rsidR="00BA49F5" w:rsidRDefault="007E5E49">
            <w:pPr>
              <w:jc w:val="right"/>
              <w:textAlignment w:val="bottom"/>
            </w:pPr>
            <w:r>
              <w:rPr>
                <w:rFonts w:ascii="Times New Roman" w:eastAsia="宋体" w:hAnsi="Times New Roman"/>
                <w:color w:val="000000"/>
                <w:sz w:val="20"/>
                <w:szCs w:val="20"/>
              </w:rPr>
              <w:t>(1,312)</w:t>
            </w:r>
          </w:p>
        </w:tc>
        <w:tc>
          <w:tcPr>
            <w:tcW w:w="0" w:type="auto"/>
            <w:shd w:val="clear" w:color="auto" w:fill="CCEEFF"/>
            <w:tcMar>
              <w:top w:w="40" w:type="dxa"/>
              <w:left w:w="0" w:type="dxa"/>
              <w:bottom w:w="40" w:type="dxa"/>
              <w:right w:w="20" w:type="dxa"/>
            </w:tcMar>
            <w:vAlign w:val="bottom"/>
          </w:tcPr>
          <w:p w14:paraId="5CD8F4C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C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CE" w14:textId="77777777" w:rsidR="00BA49F5" w:rsidRDefault="007E5E49">
            <w:pPr>
              <w:jc w:val="right"/>
              <w:textAlignment w:val="bottom"/>
            </w:pPr>
            <w:r>
              <w:rPr>
                <w:rFonts w:ascii="Times New Roman" w:eastAsia="宋体" w:hAnsi="Times New Roman"/>
                <w:color w:val="000000"/>
                <w:sz w:val="20"/>
                <w:szCs w:val="20"/>
              </w:rPr>
              <w:t>(851)</w:t>
            </w:r>
          </w:p>
        </w:tc>
        <w:tc>
          <w:tcPr>
            <w:tcW w:w="0" w:type="auto"/>
            <w:shd w:val="clear" w:color="auto" w:fill="CCEEFF"/>
            <w:tcMar>
              <w:top w:w="40" w:type="dxa"/>
              <w:left w:w="0" w:type="dxa"/>
              <w:bottom w:w="40" w:type="dxa"/>
              <w:right w:w="20" w:type="dxa"/>
            </w:tcMar>
            <w:vAlign w:val="bottom"/>
          </w:tcPr>
          <w:p w14:paraId="5CD8F4C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D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D1" w14:textId="77777777" w:rsidR="00BA49F5" w:rsidRDefault="007E5E49">
            <w:pPr>
              <w:jc w:val="right"/>
              <w:textAlignment w:val="bottom"/>
            </w:pPr>
            <w:r>
              <w:rPr>
                <w:rFonts w:ascii="Times New Roman" w:eastAsia="宋体" w:hAnsi="Times New Roman"/>
                <w:color w:val="000000"/>
                <w:sz w:val="20"/>
                <w:szCs w:val="20"/>
              </w:rPr>
              <w:t>(388)</w:t>
            </w:r>
          </w:p>
        </w:tc>
        <w:tc>
          <w:tcPr>
            <w:tcW w:w="0" w:type="auto"/>
            <w:shd w:val="clear" w:color="auto" w:fill="CCEEFF"/>
            <w:tcMar>
              <w:top w:w="40" w:type="dxa"/>
              <w:left w:w="0" w:type="dxa"/>
              <w:bottom w:w="40" w:type="dxa"/>
              <w:right w:w="20" w:type="dxa"/>
            </w:tcMar>
            <w:vAlign w:val="bottom"/>
          </w:tcPr>
          <w:p w14:paraId="5CD8F4D2" w14:textId="77777777" w:rsidR="00BA49F5" w:rsidRDefault="00BA49F5">
            <w:pPr>
              <w:jc w:val="right"/>
              <w:rPr>
                <w:rFonts w:ascii="宋体"/>
              </w:rPr>
            </w:pPr>
          </w:p>
        </w:tc>
      </w:tr>
      <w:tr w:rsidR="00BA49F5" w14:paraId="5CD8F4DD" w14:textId="77777777">
        <w:trPr>
          <w:jc w:val="center"/>
        </w:trPr>
        <w:tc>
          <w:tcPr>
            <w:tcW w:w="0" w:type="auto"/>
            <w:gridSpan w:val="3"/>
            <w:shd w:val="clear" w:color="auto" w:fill="FFFFFF"/>
            <w:tcMar>
              <w:top w:w="40" w:type="dxa"/>
              <w:left w:w="200" w:type="dxa"/>
              <w:bottom w:w="40" w:type="dxa"/>
              <w:right w:w="20" w:type="dxa"/>
            </w:tcMar>
            <w:vAlign w:val="bottom"/>
          </w:tcPr>
          <w:p w14:paraId="5CD8F4D4" w14:textId="77777777" w:rsidR="00BA49F5" w:rsidRDefault="007E5E49">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investing activities</w:t>
            </w:r>
          </w:p>
        </w:tc>
        <w:tc>
          <w:tcPr>
            <w:tcW w:w="0" w:type="auto"/>
            <w:gridSpan w:val="2"/>
            <w:shd w:val="clear" w:color="auto" w:fill="FFFFFF"/>
            <w:tcMar>
              <w:top w:w="40" w:type="dxa"/>
              <w:left w:w="20" w:type="dxa"/>
              <w:bottom w:w="40" w:type="dxa"/>
              <w:right w:w="0" w:type="dxa"/>
            </w:tcMar>
            <w:vAlign w:val="bottom"/>
          </w:tcPr>
          <w:p w14:paraId="5CD8F4D5" w14:textId="77777777" w:rsidR="00BA49F5" w:rsidRDefault="007E5E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5CD8F4D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D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D8" w14:textId="77777777" w:rsidR="00BA49F5" w:rsidRDefault="007E5E49">
            <w:pPr>
              <w:jc w:val="right"/>
              <w:textAlignment w:val="bottom"/>
            </w:pPr>
            <w:r>
              <w:rPr>
                <w:rFonts w:ascii="Times New Roman" w:eastAsia="宋体" w:hAnsi="Times New Roman"/>
                <w:color w:val="000000"/>
                <w:sz w:val="20"/>
                <w:szCs w:val="20"/>
              </w:rPr>
              <w:t>(284)</w:t>
            </w:r>
          </w:p>
        </w:tc>
        <w:tc>
          <w:tcPr>
            <w:tcW w:w="0" w:type="auto"/>
            <w:shd w:val="clear" w:color="auto" w:fill="FFFFFF"/>
            <w:tcMar>
              <w:top w:w="40" w:type="dxa"/>
              <w:left w:w="0" w:type="dxa"/>
              <w:bottom w:w="40" w:type="dxa"/>
              <w:right w:w="20" w:type="dxa"/>
            </w:tcMar>
            <w:vAlign w:val="bottom"/>
          </w:tcPr>
          <w:p w14:paraId="5CD8F4D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D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DB" w14:textId="77777777" w:rsidR="00BA49F5" w:rsidRDefault="007E5E49">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bottom"/>
          </w:tcPr>
          <w:p w14:paraId="5CD8F4DC" w14:textId="77777777" w:rsidR="00BA49F5" w:rsidRDefault="00BA49F5">
            <w:pPr>
              <w:jc w:val="right"/>
              <w:rPr>
                <w:rFonts w:ascii="宋体"/>
              </w:rPr>
            </w:pPr>
          </w:p>
        </w:tc>
      </w:tr>
      <w:tr w:rsidR="00BA49F5" w14:paraId="5CD8F4E7" w14:textId="77777777">
        <w:trPr>
          <w:jc w:val="center"/>
        </w:trPr>
        <w:tc>
          <w:tcPr>
            <w:tcW w:w="0" w:type="auto"/>
            <w:gridSpan w:val="3"/>
            <w:shd w:val="clear" w:color="auto" w:fill="CCEEFF"/>
            <w:tcMar>
              <w:top w:w="40" w:type="dxa"/>
              <w:left w:w="560" w:type="dxa"/>
              <w:bottom w:w="40" w:type="dxa"/>
              <w:right w:w="20" w:type="dxa"/>
            </w:tcMar>
            <w:vAlign w:val="bottom"/>
          </w:tcPr>
          <w:p w14:paraId="5CD8F4DE" w14:textId="77777777" w:rsidR="00BA49F5" w:rsidRDefault="007E5E49">
            <w:pPr>
              <w:textAlignment w:val="bottom"/>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DF" w14:textId="77777777" w:rsidR="00BA49F5" w:rsidRDefault="007E5E49">
            <w:pPr>
              <w:jc w:val="right"/>
              <w:textAlignment w:val="bottom"/>
            </w:pPr>
            <w:r>
              <w:rPr>
                <w:rFonts w:ascii="Times New Roman" w:eastAsia="宋体" w:hAnsi="Times New Roman"/>
                <w:color w:val="000000"/>
                <w:sz w:val="20"/>
                <w:szCs w:val="20"/>
              </w:rPr>
              <w:t>(28,970)</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E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E1"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E2" w14:textId="77777777" w:rsidR="00BA49F5" w:rsidRDefault="007E5E49">
            <w:pPr>
              <w:jc w:val="right"/>
              <w:textAlignment w:val="bottom"/>
            </w:pPr>
            <w:r>
              <w:rPr>
                <w:rFonts w:ascii="Times New Roman" w:eastAsia="宋体" w:hAnsi="Times New Roman"/>
                <w:color w:val="000000"/>
                <w:sz w:val="20"/>
                <w:szCs w:val="20"/>
              </w:rPr>
              <w:t>(7,570)</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E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E4"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4E5" w14:textId="77777777" w:rsidR="00BA49F5" w:rsidRDefault="007E5E49">
            <w:pPr>
              <w:jc w:val="right"/>
              <w:textAlignment w:val="bottom"/>
            </w:pPr>
            <w:r>
              <w:rPr>
                <w:rFonts w:ascii="Times New Roman" w:eastAsia="宋体" w:hAnsi="Times New Roman"/>
                <w:color w:val="000000"/>
                <w:sz w:val="20"/>
                <w:szCs w:val="20"/>
              </w:rPr>
              <w:t>(30,059)</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4E6" w14:textId="77777777" w:rsidR="00BA49F5" w:rsidRDefault="00BA49F5">
            <w:pPr>
              <w:jc w:val="right"/>
              <w:rPr>
                <w:rFonts w:ascii="宋体"/>
              </w:rPr>
            </w:pPr>
          </w:p>
        </w:tc>
      </w:tr>
      <w:tr w:rsidR="00BA49F5" w14:paraId="5CD8F4EE" w14:textId="77777777">
        <w:trPr>
          <w:jc w:val="center"/>
        </w:trPr>
        <w:tc>
          <w:tcPr>
            <w:tcW w:w="0" w:type="auto"/>
            <w:gridSpan w:val="3"/>
            <w:shd w:val="clear" w:color="auto" w:fill="FFFFFF"/>
            <w:tcMar>
              <w:top w:w="40" w:type="dxa"/>
              <w:left w:w="20" w:type="dxa"/>
              <w:bottom w:w="40" w:type="dxa"/>
              <w:right w:w="20" w:type="dxa"/>
            </w:tcMar>
            <w:vAlign w:val="bottom"/>
          </w:tcPr>
          <w:p w14:paraId="5CD8F4E8" w14:textId="77777777" w:rsidR="00BA49F5" w:rsidRDefault="007E5E49">
            <w:pPr>
              <w:textAlignment w:val="bottom"/>
            </w:pPr>
            <w:r>
              <w:rPr>
                <w:rFonts w:ascii="Times New Roman" w:eastAsia="宋体" w:hAnsi="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bottom"/>
          </w:tcPr>
          <w:p w14:paraId="5CD8F4E9"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EA"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EB"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EC"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4ED" w14:textId="77777777" w:rsidR="00BA49F5" w:rsidRDefault="00BA49F5">
            <w:pPr>
              <w:rPr>
                <w:rFonts w:ascii="宋体"/>
              </w:rPr>
            </w:pPr>
          </w:p>
        </w:tc>
      </w:tr>
      <w:tr w:rsidR="00BA49F5" w14:paraId="5CD8F4F8" w14:textId="77777777">
        <w:trPr>
          <w:jc w:val="center"/>
        </w:trPr>
        <w:tc>
          <w:tcPr>
            <w:tcW w:w="0" w:type="auto"/>
            <w:gridSpan w:val="3"/>
            <w:shd w:val="clear" w:color="auto" w:fill="CCEEFF"/>
            <w:tcMar>
              <w:top w:w="40" w:type="dxa"/>
              <w:left w:w="200" w:type="dxa"/>
              <w:bottom w:w="40" w:type="dxa"/>
              <w:right w:w="20" w:type="dxa"/>
            </w:tcMar>
            <w:vAlign w:val="bottom"/>
          </w:tcPr>
          <w:p w14:paraId="5CD8F4EF" w14:textId="77777777" w:rsidR="00BA49F5" w:rsidRDefault="007E5E49">
            <w:pPr>
              <w:textAlignment w:val="bottom"/>
            </w:pPr>
            <w:r>
              <w:rPr>
                <w:rFonts w:ascii="Times New Roman" w:eastAsia="宋体" w:hAnsi="Times New Roman"/>
                <w:color w:val="000000"/>
                <w:sz w:val="20"/>
                <w:szCs w:val="20"/>
              </w:rPr>
              <w:t>Taxes paid related to net share settlement of equity awards</w:t>
            </w:r>
          </w:p>
        </w:tc>
        <w:tc>
          <w:tcPr>
            <w:tcW w:w="0" w:type="auto"/>
            <w:gridSpan w:val="2"/>
            <w:shd w:val="clear" w:color="auto" w:fill="CCEEFF"/>
            <w:tcMar>
              <w:top w:w="40" w:type="dxa"/>
              <w:left w:w="20" w:type="dxa"/>
              <w:bottom w:w="40" w:type="dxa"/>
              <w:right w:w="0" w:type="dxa"/>
            </w:tcMar>
            <w:vAlign w:val="bottom"/>
          </w:tcPr>
          <w:p w14:paraId="5CD8F4F0" w14:textId="77777777" w:rsidR="00BA49F5" w:rsidRDefault="007E5E49">
            <w:pPr>
              <w:jc w:val="right"/>
              <w:textAlignment w:val="bottom"/>
            </w:pPr>
            <w:r>
              <w:rPr>
                <w:rFonts w:ascii="Times New Roman" w:eastAsia="宋体" w:hAnsi="Times New Roman"/>
                <w:color w:val="000000"/>
                <w:sz w:val="20"/>
                <w:szCs w:val="20"/>
              </w:rPr>
              <w:t>(3,595)</w:t>
            </w:r>
          </w:p>
        </w:tc>
        <w:tc>
          <w:tcPr>
            <w:tcW w:w="0" w:type="auto"/>
            <w:shd w:val="clear" w:color="auto" w:fill="CCEEFF"/>
            <w:tcMar>
              <w:top w:w="40" w:type="dxa"/>
              <w:left w:w="0" w:type="dxa"/>
              <w:bottom w:w="40" w:type="dxa"/>
              <w:right w:w="20" w:type="dxa"/>
            </w:tcMar>
            <w:vAlign w:val="bottom"/>
          </w:tcPr>
          <w:p w14:paraId="5CD8F4F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F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F3" w14:textId="77777777" w:rsidR="00BA49F5" w:rsidRDefault="007E5E49">
            <w:pPr>
              <w:jc w:val="right"/>
              <w:textAlignment w:val="bottom"/>
            </w:pPr>
            <w:r>
              <w:rPr>
                <w:rFonts w:ascii="Times New Roman" w:eastAsia="宋体" w:hAnsi="Times New Roman"/>
                <w:color w:val="000000"/>
                <w:sz w:val="20"/>
                <w:szCs w:val="20"/>
              </w:rPr>
              <w:t>(5,515)</w:t>
            </w:r>
          </w:p>
        </w:tc>
        <w:tc>
          <w:tcPr>
            <w:tcW w:w="0" w:type="auto"/>
            <w:shd w:val="clear" w:color="auto" w:fill="CCEEFF"/>
            <w:tcMar>
              <w:top w:w="40" w:type="dxa"/>
              <w:left w:w="0" w:type="dxa"/>
              <w:bottom w:w="40" w:type="dxa"/>
              <w:right w:w="20" w:type="dxa"/>
            </w:tcMar>
            <w:vAlign w:val="bottom"/>
          </w:tcPr>
          <w:p w14:paraId="5CD8F4F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4F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4F6" w14:textId="77777777" w:rsidR="00BA49F5" w:rsidRDefault="007E5E49">
            <w:pPr>
              <w:jc w:val="right"/>
              <w:textAlignment w:val="bottom"/>
            </w:pPr>
            <w:r>
              <w:rPr>
                <w:rFonts w:ascii="Times New Roman" w:eastAsia="宋体" w:hAnsi="Times New Roman"/>
                <w:color w:val="000000"/>
                <w:sz w:val="20"/>
                <w:szCs w:val="20"/>
              </w:rPr>
              <w:t>(3,564)</w:t>
            </w:r>
          </w:p>
        </w:tc>
        <w:tc>
          <w:tcPr>
            <w:tcW w:w="0" w:type="auto"/>
            <w:shd w:val="clear" w:color="auto" w:fill="CCEEFF"/>
            <w:tcMar>
              <w:top w:w="40" w:type="dxa"/>
              <w:left w:w="0" w:type="dxa"/>
              <w:bottom w:w="40" w:type="dxa"/>
              <w:right w:w="20" w:type="dxa"/>
            </w:tcMar>
            <w:vAlign w:val="bottom"/>
          </w:tcPr>
          <w:p w14:paraId="5CD8F4F7" w14:textId="77777777" w:rsidR="00BA49F5" w:rsidRDefault="00BA49F5">
            <w:pPr>
              <w:jc w:val="right"/>
              <w:rPr>
                <w:rFonts w:ascii="宋体"/>
              </w:rPr>
            </w:pPr>
          </w:p>
        </w:tc>
      </w:tr>
      <w:tr w:rsidR="00BA49F5" w14:paraId="5CD8F502" w14:textId="77777777">
        <w:trPr>
          <w:jc w:val="center"/>
        </w:trPr>
        <w:tc>
          <w:tcPr>
            <w:tcW w:w="0" w:type="auto"/>
            <w:gridSpan w:val="3"/>
            <w:shd w:val="clear" w:color="auto" w:fill="FFFFFF"/>
            <w:tcMar>
              <w:top w:w="40" w:type="dxa"/>
              <w:left w:w="200" w:type="dxa"/>
              <w:bottom w:w="40" w:type="dxa"/>
              <w:right w:w="20" w:type="dxa"/>
            </w:tcMar>
            <w:vAlign w:val="bottom"/>
          </w:tcPr>
          <w:p w14:paraId="5CD8F4F9" w14:textId="77777777" w:rsidR="00BA49F5" w:rsidRDefault="007E5E49">
            <w:pPr>
              <w:textAlignment w:val="bottom"/>
            </w:pPr>
            <w:r>
              <w:rPr>
                <w:rFonts w:ascii="Times New Roman" w:eastAsia="宋体" w:hAnsi="Times New Roman"/>
                <w:color w:val="000000"/>
                <w:sz w:val="20"/>
                <w:szCs w:val="20"/>
              </w:rPr>
              <w:t>Repurchases of Class A common stock</w:t>
            </w:r>
          </w:p>
        </w:tc>
        <w:tc>
          <w:tcPr>
            <w:tcW w:w="0" w:type="auto"/>
            <w:gridSpan w:val="2"/>
            <w:shd w:val="clear" w:color="auto" w:fill="FFFFFF"/>
            <w:tcMar>
              <w:top w:w="40" w:type="dxa"/>
              <w:left w:w="20" w:type="dxa"/>
              <w:bottom w:w="40" w:type="dxa"/>
              <w:right w:w="0" w:type="dxa"/>
            </w:tcMar>
            <w:vAlign w:val="bottom"/>
          </w:tcPr>
          <w:p w14:paraId="5CD8F4FA" w14:textId="77777777" w:rsidR="00BA49F5" w:rsidRDefault="007E5E49">
            <w:pPr>
              <w:jc w:val="right"/>
              <w:textAlignment w:val="bottom"/>
            </w:pPr>
            <w:r>
              <w:rPr>
                <w:rFonts w:ascii="Times New Roman" w:eastAsia="宋体" w:hAnsi="Times New Roman"/>
                <w:color w:val="000000"/>
                <w:sz w:val="20"/>
                <w:szCs w:val="20"/>
              </w:rPr>
              <w:t>(27,956)</w:t>
            </w:r>
          </w:p>
        </w:tc>
        <w:tc>
          <w:tcPr>
            <w:tcW w:w="0" w:type="auto"/>
            <w:shd w:val="clear" w:color="auto" w:fill="FFFFFF"/>
            <w:tcMar>
              <w:top w:w="40" w:type="dxa"/>
              <w:left w:w="0" w:type="dxa"/>
              <w:bottom w:w="40" w:type="dxa"/>
              <w:right w:w="20" w:type="dxa"/>
            </w:tcMar>
            <w:vAlign w:val="bottom"/>
          </w:tcPr>
          <w:p w14:paraId="5CD8F4F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F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4FD" w14:textId="77777777" w:rsidR="00BA49F5" w:rsidRDefault="007E5E49">
            <w:pPr>
              <w:jc w:val="right"/>
              <w:textAlignment w:val="bottom"/>
            </w:pPr>
            <w:r>
              <w:rPr>
                <w:rFonts w:ascii="Times New Roman" w:eastAsia="宋体" w:hAnsi="Times New Roman"/>
                <w:color w:val="000000"/>
                <w:sz w:val="20"/>
                <w:szCs w:val="20"/>
              </w:rPr>
              <w:t>(44,537)</w:t>
            </w:r>
          </w:p>
        </w:tc>
        <w:tc>
          <w:tcPr>
            <w:tcW w:w="0" w:type="auto"/>
            <w:shd w:val="clear" w:color="auto" w:fill="FFFFFF"/>
            <w:tcMar>
              <w:top w:w="40" w:type="dxa"/>
              <w:left w:w="0" w:type="dxa"/>
              <w:bottom w:w="40" w:type="dxa"/>
              <w:right w:w="20" w:type="dxa"/>
            </w:tcMar>
            <w:vAlign w:val="bottom"/>
          </w:tcPr>
          <w:p w14:paraId="5CD8F4F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4F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500" w14:textId="77777777" w:rsidR="00BA49F5" w:rsidRDefault="007E5E49">
            <w:pPr>
              <w:jc w:val="right"/>
              <w:textAlignment w:val="bottom"/>
            </w:pPr>
            <w:r>
              <w:rPr>
                <w:rFonts w:ascii="Times New Roman" w:eastAsia="宋体" w:hAnsi="Times New Roman"/>
                <w:color w:val="000000"/>
                <w:sz w:val="20"/>
                <w:szCs w:val="20"/>
              </w:rPr>
              <w:t>(6,272)</w:t>
            </w:r>
          </w:p>
        </w:tc>
        <w:tc>
          <w:tcPr>
            <w:tcW w:w="0" w:type="auto"/>
            <w:shd w:val="clear" w:color="auto" w:fill="FFFFFF"/>
            <w:tcMar>
              <w:top w:w="40" w:type="dxa"/>
              <w:left w:w="0" w:type="dxa"/>
              <w:bottom w:w="40" w:type="dxa"/>
              <w:right w:w="20" w:type="dxa"/>
            </w:tcMar>
            <w:vAlign w:val="bottom"/>
          </w:tcPr>
          <w:p w14:paraId="5CD8F501" w14:textId="77777777" w:rsidR="00BA49F5" w:rsidRDefault="00BA49F5">
            <w:pPr>
              <w:jc w:val="right"/>
              <w:rPr>
                <w:rFonts w:ascii="宋体"/>
              </w:rPr>
            </w:pPr>
          </w:p>
        </w:tc>
      </w:tr>
      <w:tr w:rsidR="00BA49F5" w14:paraId="5CD8F50C" w14:textId="77777777">
        <w:trPr>
          <w:jc w:val="center"/>
        </w:trPr>
        <w:tc>
          <w:tcPr>
            <w:tcW w:w="0" w:type="auto"/>
            <w:gridSpan w:val="3"/>
            <w:shd w:val="clear" w:color="auto" w:fill="CCEEFF"/>
            <w:tcMar>
              <w:top w:w="40" w:type="dxa"/>
              <w:left w:w="200" w:type="dxa"/>
              <w:bottom w:w="40" w:type="dxa"/>
              <w:right w:w="20" w:type="dxa"/>
            </w:tcMar>
            <w:vAlign w:val="bottom"/>
          </w:tcPr>
          <w:p w14:paraId="5CD8F503" w14:textId="77777777" w:rsidR="00BA49F5" w:rsidRDefault="007E5E49">
            <w:pPr>
              <w:textAlignment w:val="bottom"/>
            </w:pPr>
            <w:r>
              <w:rPr>
                <w:rFonts w:ascii="Times New Roman" w:eastAsia="宋体" w:hAnsi="Times New Roman"/>
                <w:color w:val="000000"/>
                <w:sz w:val="20"/>
                <w:szCs w:val="20"/>
              </w:rPr>
              <w:t>Proceeds from issuance of long-term debt, net</w:t>
            </w:r>
          </w:p>
        </w:tc>
        <w:tc>
          <w:tcPr>
            <w:tcW w:w="0" w:type="auto"/>
            <w:gridSpan w:val="2"/>
            <w:shd w:val="clear" w:color="auto" w:fill="CCEEFF"/>
            <w:tcMar>
              <w:top w:w="40" w:type="dxa"/>
              <w:left w:w="20" w:type="dxa"/>
              <w:bottom w:w="40" w:type="dxa"/>
              <w:right w:w="0" w:type="dxa"/>
            </w:tcMar>
            <w:vAlign w:val="bottom"/>
          </w:tcPr>
          <w:p w14:paraId="5CD8F504" w14:textId="77777777" w:rsidR="00BA49F5" w:rsidRDefault="007E5E49">
            <w:pPr>
              <w:jc w:val="right"/>
              <w:textAlignment w:val="bottom"/>
            </w:pPr>
            <w:r>
              <w:rPr>
                <w:rFonts w:ascii="Times New Roman" w:eastAsia="宋体" w:hAnsi="Times New Roman"/>
                <w:color w:val="000000"/>
                <w:sz w:val="20"/>
                <w:szCs w:val="20"/>
              </w:rPr>
              <w:t>9,921 </w:t>
            </w:r>
          </w:p>
        </w:tc>
        <w:tc>
          <w:tcPr>
            <w:tcW w:w="0" w:type="auto"/>
            <w:shd w:val="clear" w:color="auto" w:fill="CCEEFF"/>
            <w:tcMar>
              <w:top w:w="40" w:type="dxa"/>
              <w:left w:w="0" w:type="dxa"/>
              <w:bottom w:w="40" w:type="dxa"/>
              <w:right w:w="20" w:type="dxa"/>
            </w:tcMar>
            <w:vAlign w:val="bottom"/>
          </w:tcPr>
          <w:p w14:paraId="5CD8F50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0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0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50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0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0A"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50B" w14:textId="77777777" w:rsidR="00BA49F5" w:rsidRDefault="00BA49F5">
            <w:pPr>
              <w:jc w:val="right"/>
              <w:rPr>
                <w:rFonts w:ascii="宋体"/>
              </w:rPr>
            </w:pPr>
          </w:p>
        </w:tc>
      </w:tr>
      <w:tr w:rsidR="00BA49F5" w14:paraId="5CD8F516" w14:textId="77777777">
        <w:trPr>
          <w:jc w:val="center"/>
        </w:trPr>
        <w:tc>
          <w:tcPr>
            <w:tcW w:w="0" w:type="auto"/>
            <w:gridSpan w:val="3"/>
            <w:shd w:val="clear" w:color="auto" w:fill="FFFFFF"/>
            <w:tcMar>
              <w:top w:w="40" w:type="dxa"/>
              <w:left w:w="200" w:type="dxa"/>
              <w:bottom w:w="40" w:type="dxa"/>
              <w:right w:w="20" w:type="dxa"/>
            </w:tcMar>
            <w:vAlign w:val="bottom"/>
          </w:tcPr>
          <w:p w14:paraId="5CD8F50D" w14:textId="77777777" w:rsidR="00BA49F5" w:rsidRDefault="007E5E49">
            <w:pPr>
              <w:textAlignment w:val="bottom"/>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5CD8F50E" w14:textId="77777777" w:rsidR="00BA49F5" w:rsidRDefault="007E5E49">
            <w:pPr>
              <w:jc w:val="right"/>
              <w:textAlignment w:val="bottom"/>
            </w:pPr>
            <w:r>
              <w:rPr>
                <w:rFonts w:ascii="Times New Roman" w:eastAsia="宋体" w:hAnsi="Times New Roman"/>
                <w:color w:val="000000"/>
                <w:sz w:val="20"/>
                <w:szCs w:val="20"/>
              </w:rPr>
              <w:t>(850)</w:t>
            </w:r>
          </w:p>
        </w:tc>
        <w:tc>
          <w:tcPr>
            <w:tcW w:w="0" w:type="auto"/>
            <w:shd w:val="clear" w:color="auto" w:fill="FFFFFF"/>
            <w:tcMar>
              <w:top w:w="40" w:type="dxa"/>
              <w:left w:w="0" w:type="dxa"/>
              <w:bottom w:w="40" w:type="dxa"/>
              <w:right w:w="20" w:type="dxa"/>
            </w:tcMar>
            <w:vAlign w:val="bottom"/>
          </w:tcPr>
          <w:p w14:paraId="5CD8F50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1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511" w14:textId="77777777" w:rsidR="00BA49F5" w:rsidRDefault="007E5E49">
            <w:pPr>
              <w:jc w:val="right"/>
              <w:textAlignment w:val="bottom"/>
            </w:pPr>
            <w:r>
              <w:rPr>
                <w:rFonts w:ascii="Times New Roman" w:eastAsia="宋体" w:hAnsi="Times New Roman"/>
                <w:color w:val="000000"/>
                <w:sz w:val="20"/>
                <w:szCs w:val="20"/>
              </w:rPr>
              <w:t>(677)</w:t>
            </w:r>
          </w:p>
        </w:tc>
        <w:tc>
          <w:tcPr>
            <w:tcW w:w="0" w:type="auto"/>
            <w:shd w:val="clear" w:color="auto" w:fill="FFFFFF"/>
            <w:tcMar>
              <w:top w:w="40" w:type="dxa"/>
              <w:left w:w="0" w:type="dxa"/>
              <w:bottom w:w="40" w:type="dxa"/>
              <w:right w:w="20" w:type="dxa"/>
            </w:tcMar>
            <w:vAlign w:val="bottom"/>
          </w:tcPr>
          <w:p w14:paraId="5CD8F51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1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514" w14:textId="77777777" w:rsidR="00BA49F5" w:rsidRDefault="007E5E49">
            <w:pPr>
              <w:jc w:val="right"/>
              <w:textAlignment w:val="bottom"/>
            </w:pPr>
            <w:r>
              <w:rPr>
                <w:rFonts w:ascii="Times New Roman" w:eastAsia="宋体" w:hAnsi="Times New Roman"/>
                <w:color w:val="000000"/>
                <w:sz w:val="20"/>
                <w:szCs w:val="20"/>
              </w:rPr>
              <w:t>(604)</w:t>
            </w:r>
          </w:p>
        </w:tc>
        <w:tc>
          <w:tcPr>
            <w:tcW w:w="0" w:type="auto"/>
            <w:shd w:val="clear" w:color="auto" w:fill="FFFFFF"/>
            <w:tcMar>
              <w:top w:w="40" w:type="dxa"/>
              <w:left w:w="0" w:type="dxa"/>
              <w:bottom w:w="40" w:type="dxa"/>
              <w:right w:w="20" w:type="dxa"/>
            </w:tcMar>
            <w:vAlign w:val="bottom"/>
          </w:tcPr>
          <w:p w14:paraId="5CD8F515" w14:textId="77777777" w:rsidR="00BA49F5" w:rsidRDefault="00BA49F5">
            <w:pPr>
              <w:jc w:val="right"/>
              <w:rPr>
                <w:rFonts w:ascii="宋体"/>
              </w:rPr>
            </w:pPr>
          </w:p>
        </w:tc>
      </w:tr>
      <w:tr w:rsidR="00BA49F5" w14:paraId="5CD8F51D" w14:textId="77777777">
        <w:trPr>
          <w:jc w:val="center"/>
          <w:hidden/>
        </w:trPr>
        <w:tc>
          <w:tcPr>
            <w:tcW w:w="0" w:type="auto"/>
            <w:gridSpan w:val="3"/>
            <w:shd w:val="clear" w:color="auto" w:fill="auto"/>
            <w:vAlign w:val="bottom"/>
          </w:tcPr>
          <w:p w14:paraId="5CD8F517" w14:textId="77777777" w:rsidR="00BA49F5" w:rsidRDefault="00BA49F5">
            <w:pPr>
              <w:rPr>
                <w:rFonts w:ascii="宋体"/>
                <w:vanish/>
              </w:rPr>
            </w:pPr>
          </w:p>
        </w:tc>
        <w:tc>
          <w:tcPr>
            <w:tcW w:w="0" w:type="auto"/>
            <w:gridSpan w:val="3"/>
            <w:shd w:val="clear" w:color="auto" w:fill="auto"/>
            <w:vAlign w:val="bottom"/>
          </w:tcPr>
          <w:p w14:paraId="5CD8F518" w14:textId="77777777" w:rsidR="00BA49F5" w:rsidRDefault="00BA49F5">
            <w:pPr>
              <w:rPr>
                <w:rFonts w:ascii="宋体"/>
                <w:vanish/>
              </w:rPr>
            </w:pPr>
          </w:p>
        </w:tc>
        <w:tc>
          <w:tcPr>
            <w:tcW w:w="0" w:type="auto"/>
            <w:gridSpan w:val="3"/>
            <w:shd w:val="clear" w:color="auto" w:fill="auto"/>
            <w:vAlign w:val="bottom"/>
          </w:tcPr>
          <w:p w14:paraId="5CD8F519" w14:textId="77777777" w:rsidR="00BA49F5" w:rsidRDefault="00BA49F5">
            <w:pPr>
              <w:rPr>
                <w:rFonts w:ascii="宋体"/>
                <w:vanish/>
              </w:rPr>
            </w:pPr>
          </w:p>
        </w:tc>
        <w:tc>
          <w:tcPr>
            <w:tcW w:w="0" w:type="auto"/>
            <w:gridSpan w:val="3"/>
            <w:shd w:val="clear" w:color="auto" w:fill="auto"/>
            <w:vAlign w:val="bottom"/>
          </w:tcPr>
          <w:p w14:paraId="5CD8F51A" w14:textId="77777777" w:rsidR="00BA49F5" w:rsidRDefault="00BA49F5">
            <w:pPr>
              <w:rPr>
                <w:rFonts w:ascii="宋体"/>
                <w:vanish/>
              </w:rPr>
            </w:pPr>
          </w:p>
        </w:tc>
        <w:tc>
          <w:tcPr>
            <w:tcW w:w="0" w:type="auto"/>
            <w:gridSpan w:val="3"/>
            <w:shd w:val="clear" w:color="auto" w:fill="auto"/>
            <w:vAlign w:val="bottom"/>
          </w:tcPr>
          <w:p w14:paraId="5CD8F51B" w14:textId="77777777" w:rsidR="00BA49F5" w:rsidRDefault="00BA49F5">
            <w:pPr>
              <w:rPr>
                <w:rFonts w:ascii="宋体"/>
                <w:vanish/>
              </w:rPr>
            </w:pPr>
          </w:p>
        </w:tc>
        <w:tc>
          <w:tcPr>
            <w:tcW w:w="0" w:type="auto"/>
            <w:gridSpan w:val="3"/>
            <w:shd w:val="clear" w:color="auto" w:fill="auto"/>
            <w:vAlign w:val="bottom"/>
          </w:tcPr>
          <w:p w14:paraId="5CD8F51C" w14:textId="77777777" w:rsidR="00BA49F5" w:rsidRDefault="00BA49F5">
            <w:pPr>
              <w:rPr>
                <w:rFonts w:ascii="宋体"/>
                <w:vanish/>
              </w:rPr>
            </w:pPr>
          </w:p>
        </w:tc>
      </w:tr>
      <w:tr w:rsidR="00BA49F5" w14:paraId="5CD8F527" w14:textId="77777777">
        <w:trPr>
          <w:jc w:val="center"/>
        </w:trPr>
        <w:tc>
          <w:tcPr>
            <w:tcW w:w="0" w:type="auto"/>
            <w:gridSpan w:val="3"/>
            <w:shd w:val="clear" w:color="auto" w:fill="CCEEFF"/>
            <w:tcMar>
              <w:top w:w="40" w:type="dxa"/>
              <w:left w:w="200" w:type="dxa"/>
              <w:bottom w:w="40" w:type="dxa"/>
              <w:right w:w="20" w:type="dxa"/>
            </w:tcMar>
            <w:vAlign w:val="bottom"/>
          </w:tcPr>
          <w:p w14:paraId="5CD8F51E" w14:textId="77777777" w:rsidR="00BA49F5" w:rsidRDefault="007E5E49">
            <w:pPr>
              <w:textAlignment w:val="bottom"/>
            </w:pPr>
            <w:r>
              <w:rPr>
                <w:rFonts w:ascii="Times New Roman" w:eastAsia="宋体" w:hAnsi="Times New Roman"/>
                <w:color w:val="000000"/>
                <w:sz w:val="20"/>
                <w:szCs w:val="20"/>
              </w:rPr>
              <w:t>Other financing activities</w:t>
            </w:r>
          </w:p>
        </w:tc>
        <w:tc>
          <w:tcPr>
            <w:tcW w:w="0" w:type="auto"/>
            <w:gridSpan w:val="2"/>
            <w:shd w:val="clear" w:color="auto" w:fill="CCEEFF"/>
            <w:tcMar>
              <w:top w:w="40" w:type="dxa"/>
              <w:left w:w="20" w:type="dxa"/>
              <w:bottom w:w="40" w:type="dxa"/>
              <w:right w:w="0" w:type="dxa"/>
            </w:tcMar>
            <w:vAlign w:val="bottom"/>
          </w:tcPr>
          <w:p w14:paraId="5CD8F51F" w14:textId="77777777" w:rsidR="00BA49F5" w:rsidRDefault="007E5E49">
            <w:pPr>
              <w:jc w:val="right"/>
              <w:textAlignment w:val="bottom"/>
            </w:pPr>
            <w:r>
              <w:rPr>
                <w:rFonts w:ascii="Times New Roman" w:eastAsia="宋体" w:hAnsi="Times New Roman"/>
                <w:color w:val="000000"/>
                <w:sz w:val="20"/>
                <w:szCs w:val="20"/>
              </w:rPr>
              <w:t>344 </w:t>
            </w:r>
          </w:p>
        </w:tc>
        <w:tc>
          <w:tcPr>
            <w:tcW w:w="0" w:type="auto"/>
            <w:shd w:val="clear" w:color="auto" w:fill="CCEEFF"/>
            <w:tcMar>
              <w:top w:w="40" w:type="dxa"/>
              <w:left w:w="0" w:type="dxa"/>
              <w:bottom w:w="40" w:type="dxa"/>
              <w:right w:w="20" w:type="dxa"/>
            </w:tcMar>
            <w:vAlign w:val="bottom"/>
          </w:tcPr>
          <w:p w14:paraId="5CD8F52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2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22" w14:textId="77777777" w:rsidR="00BA49F5" w:rsidRDefault="007E5E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CD8F52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2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25" w14:textId="77777777" w:rsidR="00BA49F5" w:rsidRDefault="007E5E49">
            <w:pPr>
              <w:jc w:val="right"/>
              <w:textAlignment w:val="bottom"/>
            </w:pPr>
            <w:r>
              <w:rPr>
                <w:rFonts w:ascii="Times New Roman" w:eastAsia="宋体" w:hAnsi="Times New Roman"/>
                <w:color w:val="000000"/>
                <w:sz w:val="20"/>
                <w:szCs w:val="20"/>
              </w:rPr>
              <w:t>148 </w:t>
            </w:r>
          </w:p>
        </w:tc>
        <w:tc>
          <w:tcPr>
            <w:tcW w:w="0" w:type="auto"/>
            <w:shd w:val="clear" w:color="auto" w:fill="CCEEFF"/>
            <w:tcMar>
              <w:top w:w="40" w:type="dxa"/>
              <w:left w:w="0" w:type="dxa"/>
              <w:bottom w:w="40" w:type="dxa"/>
              <w:right w:w="20" w:type="dxa"/>
            </w:tcMar>
            <w:vAlign w:val="bottom"/>
          </w:tcPr>
          <w:p w14:paraId="5CD8F526" w14:textId="77777777" w:rsidR="00BA49F5" w:rsidRDefault="00BA49F5">
            <w:pPr>
              <w:jc w:val="right"/>
              <w:rPr>
                <w:rFonts w:ascii="宋体"/>
              </w:rPr>
            </w:pPr>
          </w:p>
        </w:tc>
      </w:tr>
      <w:tr w:rsidR="00BA49F5" w14:paraId="5CD8F531" w14:textId="77777777">
        <w:trPr>
          <w:jc w:val="center"/>
        </w:trPr>
        <w:tc>
          <w:tcPr>
            <w:tcW w:w="0" w:type="auto"/>
            <w:gridSpan w:val="3"/>
            <w:shd w:val="clear" w:color="auto" w:fill="FFFFFF"/>
            <w:tcMar>
              <w:top w:w="40" w:type="dxa"/>
              <w:left w:w="560" w:type="dxa"/>
              <w:bottom w:w="40" w:type="dxa"/>
              <w:right w:w="20" w:type="dxa"/>
            </w:tcMar>
            <w:vAlign w:val="bottom"/>
          </w:tcPr>
          <w:p w14:paraId="5CD8F528" w14:textId="77777777" w:rsidR="00BA49F5" w:rsidRDefault="007E5E49">
            <w:pPr>
              <w:textAlignment w:val="bottom"/>
            </w:pPr>
            <w:r>
              <w:rPr>
                <w:rFonts w:ascii="Times New Roman" w:eastAsia="宋体" w:hAnsi="Times New Roman"/>
                <w:b/>
                <w:bCs/>
                <w:color w:val="000000"/>
                <w:sz w:val="20"/>
                <w:szCs w:val="20"/>
              </w:rPr>
              <w:t xml:space="preserve">Net </w:t>
            </w:r>
            <w:r>
              <w:rPr>
                <w:rFonts w:ascii="Times New Roman" w:eastAsia="宋体" w:hAnsi="Times New Roman"/>
                <w:b/>
                <w:bCs/>
                <w:color w:val="000000"/>
                <w:sz w:val="20"/>
                <w:szCs w:val="20"/>
              </w:rPr>
              <w:t>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29" w14:textId="77777777" w:rsidR="00BA49F5" w:rsidRDefault="007E5E49">
            <w:pPr>
              <w:jc w:val="right"/>
              <w:textAlignment w:val="bottom"/>
            </w:pPr>
            <w:r>
              <w:rPr>
                <w:rFonts w:ascii="Times New Roman" w:eastAsia="宋体" w:hAnsi="Times New Roman"/>
                <w:color w:val="000000"/>
                <w:sz w:val="20"/>
                <w:szCs w:val="20"/>
              </w:rPr>
              <w:t>(22,136)</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2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2B"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2C" w14:textId="77777777" w:rsidR="00BA49F5" w:rsidRDefault="007E5E49">
            <w:pPr>
              <w:jc w:val="right"/>
              <w:textAlignment w:val="bottom"/>
            </w:pPr>
            <w:r>
              <w:rPr>
                <w:rFonts w:ascii="Times New Roman" w:eastAsia="宋体" w:hAnsi="Times New Roman"/>
                <w:color w:val="000000"/>
                <w:sz w:val="20"/>
                <w:szCs w:val="20"/>
              </w:rPr>
              <w:t>(50,728)</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2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2E"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2F" w14:textId="77777777" w:rsidR="00BA49F5" w:rsidRDefault="007E5E49">
            <w:pPr>
              <w:jc w:val="right"/>
              <w:textAlignment w:val="bottom"/>
            </w:pPr>
            <w:r>
              <w:rPr>
                <w:rFonts w:ascii="Times New Roman" w:eastAsia="宋体" w:hAnsi="Times New Roman"/>
                <w:color w:val="000000"/>
                <w:sz w:val="20"/>
                <w:szCs w:val="20"/>
              </w:rPr>
              <w:t>(10,292)</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30" w14:textId="77777777" w:rsidR="00BA49F5" w:rsidRDefault="00BA49F5">
            <w:pPr>
              <w:jc w:val="right"/>
              <w:rPr>
                <w:rFonts w:ascii="宋体"/>
              </w:rPr>
            </w:pPr>
          </w:p>
        </w:tc>
      </w:tr>
      <w:tr w:rsidR="00BA49F5" w14:paraId="5CD8F53B" w14:textId="77777777">
        <w:trPr>
          <w:jc w:val="center"/>
        </w:trPr>
        <w:tc>
          <w:tcPr>
            <w:tcW w:w="0" w:type="auto"/>
            <w:gridSpan w:val="3"/>
            <w:shd w:val="clear" w:color="auto" w:fill="CCEEFF"/>
            <w:tcMar>
              <w:top w:w="40" w:type="dxa"/>
              <w:left w:w="20" w:type="dxa"/>
              <w:bottom w:w="40" w:type="dxa"/>
              <w:right w:w="20" w:type="dxa"/>
            </w:tcMar>
            <w:vAlign w:val="bottom"/>
          </w:tcPr>
          <w:p w14:paraId="5CD8F532" w14:textId="77777777" w:rsidR="00BA49F5" w:rsidRDefault="007E5E49">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bottom"/>
          </w:tcPr>
          <w:p w14:paraId="5CD8F533" w14:textId="77777777" w:rsidR="00BA49F5" w:rsidRDefault="007E5E49">
            <w:pPr>
              <w:jc w:val="right"/>
              <w:textAlignment w:val="bottom"/>
            </w:pPr>
            <w:r>
              <w:rPr>
                <w:rFonts w:ascii="Times New Roman" w:eastAsia="宋体" w:hAnsi="Times New Roman"/>
                <w:color w:val="000000"/>
                <w:sz w:val="20"/>
                <w:szCs w:val="20"/>
              </w:rPr>
              <w:t>(638)</w:t>
            </w:r>
          </w:p>
        </w:tc>
        <w:tc>
          <w:tcPr>
            <w:tcW w:w="0" w:type="auto"/>
            <w:shd w:val="clear" w:color="auto" w:fill="CCEEFF"/>
            <w:tcMar>
              <w:top w:w="40" w:type="dxa"/>
              <w:left w:w="0" w:type="dxa"/>
              <w:bottom w:w="40" w:type="dxa"/>
              <w:right w:w="20" w:type="dxa"/>
            </w:tcMar>
            <w:vAlign w:val="bottom"/>
          </w:tcPr>
          <w:p w14:paraId="5CD8F53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3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36" w14:textId="77777777" w:rsidR="00BA49F5" w:rsidRDefault="007E5E49">
            <w:pPr>
              <w:jc w:val="right"/>
              <w:textAlignment w:val="bottom"/>
            </w:pPr>
            <w:r>
              <w:rPr>
                <w:rFonts w:ascii="Times New Roman" w:eastAsia="宋体" w:hAnsi="Times New Roman"/>
                <w:color w:val="000000"/>
                <w:sz w:val="20"/>
                <w:szCs w:val="20"/>
              </w:rPr>
              <w:t>(474)</w:t>
            </w:r>
          </w:p>
        </w:tc>
        <w:tc>
          <w:tcPr>
            <w:tcW w:w="0" w:type="auto"/>
            <w:shd w:val="clear" w:color="auto" w:fill="CCEEFF"/>
            <w:tcMar>
              <w:top w:w="40" w:type="dxa"/>
              <w:left w:w="0" w:type="dxa"/>
              <w:bottom w:w="40" w:type="dxa"/>
              <w:right w:w="20" w:type="dxa"/>
            </w:tcMar>
            <w:vAlign w:val="bottom"/>
          </w:tcPr>
          <w:p w14:paraId="5CD8F53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3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39" w14:textId="77777777" w:rsidR="00BA49F5" w:rsidRDefault="007E5E49">
            <w:pPr>
              <w:jc w:val="right"/>
              <w:textAlignment w:val="bottom"/>
            </w:pPr>
            <w:r>
              <w:rPr>
                <w:rFonts w:ascii="Times New Roman" w:eastAsia="宋体" w:hAnsi="Times New Roman"/>
                <w:color w:val="000000"/>
                <w:sz w:val="20"/>
                <w:szCs w:val="20"/>
              </w:rPr>
              <w:t>279 </w:t>
            </w:r>
          </w:p>
        </w:tc>
        <w:tc>
          <w:tcPr>
            <w:tcW w:w="0" w:type="auto"/>
            <w:shd w:val="clear" w:color="auto" w:fill="CCEEFF"/>
            <w:tcMar>
              <w:top w:w="40" w:type="dxa"/>
              <w:left w:w="0" w:type="dxa"/>
              <w:bottom w:w="40" w:type="dxa"/>
              <w:right w:w="20" w:type="dxa"/>
            </w:tcMar>
            <w:vAlign w:val="bottom"/>
          </w:tcPr>
          <w:p w14:paraId="5CD8F53A" w14:textId="77777777" w:rsidR="00BA49F5" w:rsidRDefault="00BA49F5">
            <w:pPr>
              <w:jc w:val="right"/>
              <w:rPr>
                <w:rFonts w:ascii="宋体"/>
              </w:rPr>
            </w:pPr>
          </w:p>
        </w:tc>
      </w:tr>
      <w:tr w:rsidR="00BA49F5" w14:paraId="5CD8F545" w14:textId="77777777">
        <w:trPr>
          <w:jc w:val="center"/>
        </w:trPr>
        <w:tc>
          <w:tcPr>
            <w:tcW w:w="0" w:type="auto"/>
            <w:gridSpan w:val="3"/>
            <w:shd w:val="clear" w:color="auto" w:fill="FFFFFF"/>
            <w:tcMar>
              <w:top w:w="40" w:type="dxa"/>
              <w:left w:w="20" w:type="dxa"/>
              <w:bottom w:w="40" w:type="dxa"/>
              <w:right w:w="20" w:type="dxa"/>
            </w:tcMar>
            <w:vAlign w:val="bottom"/>
          </w:tcPr>
          <w:p w14:paraId="5CD8F53C" w14:textId="77777777" w:rsidR="00BA49F5" w:rsidRDefault="007E5E49">
            <w:pPr>
              <w:textAlignment w:val="bottom"/>
            </w:pPr>
            <w:r>
              <w:rPr>
                <w:rFonts w:ascii="Times New Roman" w:eastAsia="宋体" w:hAnsi="Times New Roman"/>
                <w:color w:val="000000"/>
                <w:sz w:val="20"/>
                <w:szCs w:val="20"/>
              </w:rPr>
              <w:t>Net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3D" w14:textId="77777777" w:rsidR="00BA49F5" w:rsidRDefault="007E5E49">
            <w:pPr>
              <w:jc w:val="right"/>
              <w:textAlignment w:val="bottom"/>
            </w:pPr>
            <w:r>
              <w:rPr>
                <w:rFonts w:ascii="Times New Roman" w:eastAsia="宋体" w:hAnsi="Times New Roman"/>
                <w:color w:val="000000"/>
                <w:sz w:val="20"/>
                <w:szCs w:val="20"/>
              </w:rPr>
              <w:t>(1,269)</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3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3F"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40" w14:textId="77777777" w:rsidR="00BA49F5" w:rsidRDefault="007E5E49">
            <w:pPr>
              <w:jc w:val="right"/>
              <w:textAlignment w:val="bottom"/>
            </w:pPr>
            <w:r>
              <w:rPr>
                <w:rFonts w:ascii="Times New Roman" w:eastAsia="宋体" w:hAnsi="Times New Roman"/>
                <w:color w:val="000000"/>
                <w:sz w:val="20"/>
                <w:szCs w:val="20"/>
              </w:rPr>
              <w:t>(1,089)</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4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42"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543" w14:textId="77777777" w:rsidR="00BA49F5" w:rsidRDefault="007E5E49">
            <w:pPr>
              <w:jc w:val="right"/>
              <w:textAlignment w:val="bottom"/>
            </w:pPr>
            <w:r>
              <w:rPr>
                <w:rFonts w:ascii="Times New Roman" w:eastAsia="宋体" w:hAnsi="Times New Roman"/>
                <w:color w:val="000000"/>
                <w:sz w:val="20"/>
                <w:szCs w:val="20"/>
              </w:rPr>
              <w:t>(1,325)</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44" w14:textId="77777777" w:rsidR="00BA49F5" w:rsidRDefault="00BA49F5">
            <w:pPr>
              <w:jc w:val="right"/>
              <w:rPr>
                <w:rFonts w:ascii="宋体"/>
              </w:rPr>
            </w:pPr>
          </w:p>
        </w:tc>
      </w:tr>
      <w:tr w:rsidR="00BA49F5" w14:paraId="5CD8F54F" w14:textId="77777777">
        <w:trPr>
          <w:jc w:val="center"/>
        </w:trPr>
        <w:tc>
          <w:tcPr>
            <w:tcW w:w="0" w:type="auto"/>
            <w:gridSpan w:val="3"/>
            <w:shd w:val="clear" w:color="auto" w:fill="CCEEFF"/>
            <w:tcMar>
              <w:top w:w="40" w:type="dxa"/>
              <w:left w:w="20" w:type="dxa"/>
              <w:bottom w:w="40" w:type="dxa"/>
              <w:right w:w="20" w:type="dxa"/>
            </w:tcMar>
            <w:vAlign w:val="bottom"/>
          </w:tcPr>
          <w:p w14:paraId="5CD8F546" w14:textId="77777777" w:rsidR="00BA49F5" w:rsidRDefault="007E5E49">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CCEEFF"/>
            <w:tcMar>
              <w:top w:w="40" w:type="dxa"/>
              <w:left w:w="20" w:type="dxa"/>
              <w:bottom w:w="40" w:type="dxa"/>
              <w:right w:w="0" w:type="dxa"/>
            </w:tcMar>
            <w:vAlign w:val="bottom"/>
          </w:tcPr>
          <w:p w14:paraId="5CD8F547" w14:textId="77777777" w:rsidR="00BA49F5" w:rsidRDefault="007E5E49">
            <w:pPr>
              <w:jc w:val="right"/>
              <w:textAlignment w:val="bottom"/>
            </w:pPr>
            <w:r>
              <w:rPr>
                <w:rFonts w:ascii="Times New Roman" w:eastAsia="宋体" w:hAnsi="Times New Roman"/>
                <w:color w:val="000000"/>
                <w:sz w:val="20"/>
                <w:szCs w:val="20"/>
              </w:rPr>
              <w:t>16,865 </w:t>
            </w:r>
          </w:p>
        </w:tc>
        <w:tc>
          <w:tcPr>
            <w:tcW w:w="0" w:type="auto"/>
            <w:shd w:val="clear" w:color="auto" w:fill="CCEEFF"/>
            <w:tcMar>
              <w:top w:w="40" w:type="dxa"/>
              <w:left w:w="0" w:type="dxa"/>
              <w:bottom w:w="40" w:type="dxa"/>
              <w:right w:w="20" w:type="dxa"/>
            </w:tcMar>
            <w:vAlign w:val="bottom"/>
          </w:tcPr>
          <w:p w14:paraId="5CD8F54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4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4A" w14:textId="77777777" w:rsidR="00BA49F5" w:rsidRDefault="007E5E49">
            <w:pPr>
              <w:jc w:val="right"/>
              <w:textAlignment w:val="bottom"/>
            </w:pPr>
            <w:r>
              <w:rPr>
                <w:rFonts w:ascii="Times New Roman" w:eastAsia="宋体" w:hAnsi="Times New Roman"/>
                <w:color w:val="000000"/>
                <w:sz w:val="20"/>
                <w:szCs w:val="20"/>
              </w:rPr>
              <w:t>17,954 </w:t>
            </w:r>
          </w:p>
        </w:tc>
        <w:tc>
          <w:tcPr>
            <w:tcW w:w="0" w:type="auto"/>
            <w:shd w:val="clear" w:color="auto" w:fill="CCEEFF"/>
            <w:tcMar>
              <w:top w:w="40" w:type="dxa"/>
              <w:left w:w="0" w:type="dxa"/>
              <w:bottom w:w="40" w:type="dxa"/>
              <w:right w:w="20" w:type="dxa"/>
            </w:tcMar>
            <w:vAlign w:val="bottom"/>
          </w:tcPr>
          <w:p w14:paraId="5CD8F54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4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4D" w14:textId="77777777" w:rsidR="00BA49F5" w:rsidRDefault="007E5E49">
            <w:pPr>
              <w:jc w:val="right"/>
              <w:textAlignment w:val="bottom"/>
            </w:pPr>
            <w:r>
              <w:rPr>
                <w:rFonts w:ascii="Times New Roman" w:eastAsia="宋体" w:hAnsi="Times New Roman"/>
                <w:color w:val="000000"/>
                <w:sz w:val="20"/>
                <w:szCs w:val="20"/>
              </w:rPr>
              <w:t>19,279 </w:t>
            </w:r>
          </w:p>
        </w:tc>
        <w:tc>
          <w:tcPr>
            <w:tcW w:w="0" w:type="auto"/>
            <w:shd w:val="clear" w:color="auto" w:fill="CCEEFF"/>
            <w:tcMar>
              <w:top w:w="40" w:type="dxa"/>
              <w:left w:w="0" w:type="dxa"/>
              <w:bottom w:w="40" w:type="dxa"/>
              <w:right w:w="20" w:type="dxa"/>
            </w:tcMar>
            <w:vAlign w:val="bottom"/>
          </w:tcPr>
          <w:p w14:paraId="5CD8F54E" w14:textId="77777777" w:rsidR="00BA49F5" w:rsidRDefault="00BA49F5">
            <w:pPr>
              <w:jc w:val="right"/>
              <w:rPr>
                <w:rFonts w:ascii="宋体"/>
              </w:rPr>
            </w:pPr>
          </w:p>
        </w:tc>
      </w:tr>
      <w:tr w:rsidR="00BA49F5" w14:paraId="5CD8F55C" w14:textId="77777777">
        <w:trPr>
          <w:jc w:val="center"/>
        </w:trPr>
        <w:tc>
          <w:tcPr>
            <w:tcW w:w="0" w:type="auto"/>
            <w:gridSpan w:val="3"/>
            <w:shd w:val="clear" w:color="auto" w:fill="FFFFFF"/>
            <w:tcMar>
              <w:top w:w="40" w:type="dxa"/>
              <w:left w:w="20" w:type="dxa"/>
              <w:bottom w:w="40" w:type="dxa"/>
              <w:right w:w="20" w:type="dxa"/>
            </w:tcMar>
            <w:vAlign w:val="bottom"/>
          </w:tcPr>
          <w:p w14:paraId="5CD8F550" w14:textId="77777777" w:rsidR="00BA49F5" w:rsidRDefault="007E5E49">
            <w:pPr>
              <w:textAlignment w:val="bottom"/>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5CD8F55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552" w14:textId="77777777" w:rsidR="00BA49F5" w:rsidRDefault="007E5E49">
            <w:pPr>
              <w:jc w:val="right"/>
              <w:textAlignment w:val="bottom"/>
            </w:pPr>
            <w:r>
              <w:rPr>
                <w:rFonts w:ascii="Times New Roman" w:eastAsia="宋体" w:hAnsi="Times New Roman"/>
                <w:color w:val="000000"/>
                <w:sz w:val="20"/>
                <w:szCs w:val="20"/>
              </w:rPr>
              <w:t>15,596 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5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54"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55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556" w14:textId="77777777" w:rsidR="00BA49F5" w:rsidRDefault="007E5E49">
            <w:pPr>
              <w:jc w:val="right"/>
              <w:textAlignment w:val="bottom"/>
            </w:pPr>
            <w:r>
              <w:rPr>
                <w:rFonts w:ascii="Times New Roman" w:eastAsia="宋体" w:hAnsi="Times New Roman"/>
                <w:color w:val="000000"/>
                <w:sz w:val="20"/>
                <w:szCs w:val="20"/>
              </w:rPr>
              <w:t>16,865 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5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58"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55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55A" w14:textId="77777777" w:rsidR="00BA49F5" w:rsidRDefault="007E5E49">
            <w:pPr>
              <w:jc w:val="right"/>
              <w:textAlignment w:val="bottom"/>
            </w:pPr>
            <w:r>
              <w:rPr>
                <w:rFonts w:ascii="Times New Roman" w:eastAsia="宋体" w:hAnsi="Times New Roman"/>
                <w:color w:val="000000"/>
                <w:sz w:val="20"/>
                <w:szCs w:val="20"/>
              </w:rPr>
              <w:t>17,954 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55B" w14:textId="77777777" w:rsidR="00BA49F5" w:rsidRDefault="00BA49F5">
            <w:pPr>
              <w:jc w:val="right"/>
              <w:rPr>
                <w:rFonts w:ascii="宋体"/>
              </w:rPr>
            </w:pPr>
          </w:p>
        </w:tc>
      </w:tr>
      <w:tr w:rsidR="00BA49F5" w14:paraId="5CD8F563" w14:textId="77777777">
        <w:trPr>
          <w:jc w:val="center"/>
          <w:hidden/>
        </w:trPr>
        <w:tc>
          <w:tcPr>
            <w:tcW w:w="0" w:type="auto"/>
            <w:gridSpan w:val="3"/>
            <w:shd w:val="clear" w:color="auto" w:fill="auto"/>
            <w:vAlign w:val="bottom"/>
          </w:tcPr>
          <w:p w14:paraId="5CD8F55D" w14:textId="77777777" w:rsidR="00BA49F5" w:rsidRDefault="00BA49F5">
            <w:pPr>
              <w:rPr>
                <w:rFonts w:ascii="宋体"/>
                <w:vanish/>
              </w:rPr>
            </w:pPr>
          </w:p>
        </w:tc>
        <w:tc>
          <w:tcPr>
            <w:tcW w:w="0" w:type="auto"/>
            <w:gridSpan w:val="3"/>
            <w:shd w:val="clear" w:color="auto" w:fill="auto"/>
            <w:vAlign w:val="bottom"/>
          </w:tcPr>
          <w:p w14:paraId="5CD8F55E" w14:textId="77777777" w:rsidR="00BA49F5" w:rsidRDefault="00BA49F5">
            <w:pPr>
              <w:rPr>
                <w:rFonts w:ascii="宋体"/>
                <w:vanish/>
              </w:rPr>
            </w:pPr>
          </w:p>
        </w:tc>
        <w:tc>
          <w:tcPr>
            <w:tcW w:w="0" w:type="auto"/>
            <w:gridSpan w:val="3"/>
            <w:shd w:val="clear" w:color="auto" w:fill="auto"/>
            <w:vAlign w:val="bottom"/>
          </w:tcPr>
          <w:p w14:paraId="5CD8F55F" w14:textId="77777777" w:rsidR="00BA49F5" w:rsidRDefault="00BA49F5">
            <w:pPr>
              <w:rPr>
                <w:rFonts w:ascii="宋体"/>
                <w:vanish/>
              </w:rPr>
            </w:pPr>
          </w:p>
        </w:tc>
        <w:tc>
          <w:tcPr>
            <w:tcW w:w="0" w:type="auto"/>
            <w:gridSpan w:val="3"/>
            <w:shd w:val="clear" w:color="auto" w:fill="auto"/>
            <w:vAlign w:val="bottom"/>
          </w:tcPr>
          <w:p w14:paraId="5CD8F560" w14:textId="77777777" w:rsidR="00BA49F5" w:rsidRDefault="00BA49F5">
            <w:pPr>
              <w:rPr>
                <w:rFonts w:ascii="宋体"/>
                <w:vanish/>
              </w:rPr>
            </w:pPr>
          </w:p>
        </w:tc>
        <w:tc>
          <w:tcPr>
            <w:tcW w:w="0" w:type="auto"/>
            <w:gridSpan w:val="3"/>
            <w:shd w:val="clear" w:color="auto" w:fill="auto"/>
            <w:vAlign w:val="bottom"/>
          </w:tcPr>
          <w:p w14:paraId="5CD8F561" w14:textId="77777777" w:rsidR="00BA49F5" w:rsidRDefault="00BA49F5">
            <w:pPr>
              <w:rPr>
                <w:rFonts w:ascii="宋体"/>
                <w:vanish/>
              </w:rPr>
            </w:pPr>
          </w:p>
        </w:tc>
        <w:tc>
          <w:tcPr>
            <w:tcW w:w="0" w:type="auto"/>
            <w:gridSpan w:val="3"/>
            <w:shd w:val="clear" w:color="auto" w:fill="auto"/>
            <w:vAlign w:val="bottom"/>
          </w:tcPr>
          <w:p w14:paraId="5CD8F562" w14:textId="77777777" w:rsidR="00BA49F5" w:rsidRDefault="00BA49F5">
            <w:pPr>
              <w:rPr>
                <w:rFonts w:ascii="宋体"/>
                <w:vanish/>
              </w:rPr>
            </w:pPr>
          </w:p>
        </w:tc>
      </w:tr>
      <w:tr w:rsidR="00BA49F5" w14:paraId="5CD8F56A" w14:textId="77777777">
        <w:trPr>
          <w:jc w:val="center"/>
        </w:trPr>
        <w:tc>
          <w:tcPr>
            <w:tcW w:w="0" w:type="auto"/>
            <w:gridSpan w:val="3"/>
            <w:shd w:val="clear" w:color="auto" w:fill="CCEEFF"/>
            <w:tcMar>
              <w:top w:w="40" w:type="dxa"/>
              <w:left w:w="20" w:type="dxa"/>
              <w:bottom w:w="40" w:type="dxa"/>
              <w:right w:w="20" w:type="dxa"/>
            </w:tcMar>
            <w:vAlign w:val="bottom"/>
          </w:tcPr>
          <w:p w14:paraId="5CD8F564" w14:textId="77777777" w:rsidR="00BA49F5" w:rsidRDefault="007E5E49">
            <w:pPr>
              <w:textAlignment w:val="bottom"/>
            </w:pPr>
            <w:r>
              <w:rPr>
                <w:rFonts w:ascii="Times New Roman" w:eastAsia="宋体" w:hAnsi="Times New Roman"/>
                <w:b/>
                <w:bCs/>
                <w:color w:val="000000"/>
                <w:sz w:val="20"/>
                <w:szCs w:val="20"/>
              </w:rPr>
              <w:t>Reconciliation of cash, cash equivalents, and restricted cash to the consolidated balance sheets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F565"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66"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F56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68"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F569" w14:textId="77777777" w:rsidR="00BA49F5" w:rsidRDefault="00BA49F5">
            <w:pPr>
              <w:rPr>
                <w:rFonts w:ascii="宋体"/>
              </w:rPr>
            </w:pPr>
          </w:p>
        </w:tc>
      </w:tr>
      <w:tr w:rsidR="00BA49F5" w14:paraId="5CD8F577" w14:textId="77777777">
        <w:trPr>
          <w:jc w:val="center"/>
        </w:trPr>
        <w:tc>
          <w:tcPr>
            <w:tcW w:w="0" w:type="auto"/>
            <w:gridSpan w:val="3"/>
            <w:shd w:val="clear" w:color="auto" w:fill="FFFFFF"/>
            <w:tcMar>
              <w:top w:w="40" w:type="dxa"/>
              <w:left w:w="200" w:type="dxa"/>
              <w:bottom w:w="40" w:type="dxa"/>
              <w:right w:w="20" w:type="dxa"/>
            </w:tcMar>
            <w:vAlign w:val="bottom"/>
          </w:tcPr>
          <w:p w14:paraId="5CD8F56B" w14:textId="77777777" w:rsidR="00BA49F5" w:rsidRDefault="007E5E49">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5CD8F56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6D" w14:textId="77777777" w:rsidR="00BA49F5" w:rsidRDefault="007E5E49">
            <w:pPr>
              <w:jc w:val="right"/>
              <w:textAlignment w:val="bottom"/>
            </w:pPr>
            <w:r>
              <w:rPr>
                <w:rFonts w:ascii="Times New Roman" w:eastAsia="宋体" w:hAnsi="Times New Roman"/>
                <w:color w:val="000000"/>
                <w:sz w:val="20"/>
                <w:szCs w:val="20"/>
              </w:rPr>
              <w:t>14,681 </w:t>
            </w:r>
          </w:p>
        </w:tc>
        <w:tc>
          <w:tcPr>
            <w:tcW w:w="0" w:type="auto"/>
            <w:shd w:val="clear" w:color="auto" w:fill="FFFFFF"/>
            <w:tcMar>
              <w:top w:w="40" w:type="dxa"/>
              <w:left w:w="0" w:type="dxa"/>
              <w:bottom w:w="40" w:type="dxa"/>
              <w:right w:w="20" w:type="dxa"/>
            </w:tcMar>
            <w:vAlign w:val="bottom"/>
          </w:tcPr>
          <w:p w14:paraId="5CD8F56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6F"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7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71" w14:textId="77777777" w:rsidR="00BA49F5" w:rsidRDefault="007E5E49">
            <w:pPr>
              <w:jc w:val="right"/>
              <w:textAlignment w:val="bottom"/>
            </w:pPr>
            <w:r>
              <w:rPr>
                <w:rFonts w:ascii="Times New Roman" w:eastAsia="宋体" w:hAnsi="Times New Roman"/>
                <w:color w:val="000000"/>
                <w:sz w:val="20"/>
                <w:szCs w:val="20"/>
              </w:rPr>
              <w:t>16,601 </w:t>
            </w:r>
          </w:p>
        </w:tc>
        <w:tc>
          <w:tcPr>
            <w:tcW w:w="0" w:type="auto"/>
            <w:shd w:val="clear" w:color="auto" w:fill="FFFFFF"/>
            <w:tcMar>
              <w:top w:w="40" w:type="dxa"/>
              <w:left w:w="0" w:type="dxa"/>
              <w:bottom w:w="40" w:type="dxa"/>
              <w:right w:w="20" w:type="dxa"/>
            </w:tcMar>
            <w:vAlign w:val="bottom"/>
          </w:tcPr>
          <w:p w14:paraId="5CD8F57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73"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7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75" w14:textId="77777777" w:rsidR="00BA49F5" w:rsidRDefault="007E5E49">
            <w:pPr>
              <w:jc w:val="right"/>
              <w:textAlignment w:val="bottom"/>
            </w:pPr>
            <w:r>
              <w:rPr>
                <w:rFonts w:ascii="Times New Roman" w:eastAsia="宋体" w:hAnsi="Times New Roman"/>
                <w:color w:val="000000"/>
                <w:sz w:val="20"/>
                <w:szCs w:val="20"/>
              </w:rPr>
              <w:t>17,576 </w:t>
            </w:r>
          </w:p>
        </w:tc>
        <w:tc>
          <w:tcPr>
            <w:tcW w:w="0" w:type="auto"/>
            <w:shd w:val="clear" w:color="auto" w:fill="FFFFFF"/>
            <w:tcMar>
              <w:top w:w="40" w:type="dxa"/>
              <w:left w:w="0" w:type="dxa"/>
              <w:bottom w:w="40" w:type="dxa"/>
              <w:right w:w="20" w:type="dxa"/>
            </w:tcMar>
            <w:vAlign w:val="bottom"/>
          </w:tcPr>
          <w:p w14:paraId="5CD8F576" w14:textId="77777777" w:rsidR="00BA49F5" w:rsidRDefault="00BA49F5">
            <w:pPr>
              <w:jc w:val="right"/>
              <w:rPr>
                <w:rFonts w:ascii="宋体"/>
              </w:rPr>
            </w:pPr>
          </w:p>
        </w:tc>
      </w:tr>
      <w:tr w:rsidR="00BA49F5" w14:paraId="5CD8F581" w14:textId="77777777">
        <w:trPr>
          <w:jc w:val="center"/>
        </w:trPr>
        <w:tc>
          <w:tcPr>
            <w:tcW w:w="0" w:type="auto"/>
            <w:gridSpan w:val="3"/>
            <w:shd w:val="clear" w:color="auto" w:fill="CCEEFF"/>
            <w:tcMar>
              <w:top w:w="40" w:type="dxa"/>
              <w:left w:w="200" w:type="dxa"/>
              <w:bottom w:w="40" w:type="dxa"/>
              <w:right w:w="20" w:type="dxa"/>
            </w:tcMar>
            <w:vAlign w:val="bottom"/>
          </w:tcPr>
          <w:p w14:paraId="5CD8F578" w14:textId="77777777" w:rsidR="00BA49F5" w:rsidRDefault="007E5E49">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5CD8F579" w14:textId="77777777" w:rsidR="00BA49F5" w:rsidRDefault="007E5E49">
            <w:pPr>
              <w:jc w:val="right"/>
              <w:textAlignment w:val="bottom"/>
            </w:pPr>
            <w:r>
              <w:rPr>
                <w:rFonts w:ascii="Times New Roman" w:eastAsia="宋体" w:hAnsi="Times New Roman"/>
                <w:color w:val="000000"/>
                <w:sz w:val="20"/>
                <w:szCs w:val="20"/>
              </w:rPr>
              <w:t>294 </w:t>
            </w:r>
          </w:p>
        </w:tc>
        <w:tc>
          <w:tcPr>
            <w:tcW w:w="0" w:type="auto"/>
            <w:shd w:val="clear" w:color="auto" w:fill="CCEEFF"/>
            <w:tcMar>
              <w:top w:w="40" w:type="dxa"/>
              <w:left w:w="0" w:type="dxa"/>
              <w:bottom w:w="40" w:type="dxa"/>
              <w:right w:w="20" w:type="dxa"/>
            </w:tcMar>
            <w:vAlign w:val="bottom"/>
          </w:tcPr>
          <w:p w14:paraId="5CD8F57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7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7C" w14:textId="77777777" w:rsidR="00BA49F5" w:rsidRDefault="007E5E49">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5CD8F57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7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57F" w14:textId="77777777" w:rsidR="00BA49F5" w:rsidRDefault="007E5E49">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left w:w="0" w:type="dxa"/>
              <w:bottom w:w="40" w:type="dxa"/>
              <w:right w:w="20" w:type="dxa"/>
            </w:tcMar>
            <w:vAlign w:val="bottom"/>
          </w:tcPr>
          <w:p w14:paraId="5CD8F580" w14:textId="77777777" w:rsidR="00BA49F5" w:rsidRDefault="00BA49F5">
            <w:pPr>
              <w:jc w:val="right"/>
              <w:rPr>
                <w:rFonts w:ascii="宋体"/>
              </w:rPr>
            </w:pPr>
          </w:p>
        </w:tc>
      </w:tr>
      <w:tr w:rsidR="00BA49F5" w14:paraId="5CD8F58B" w14:textId="77777777">
        <w:trPr>
          <w:jc w:val="center"/>
        </w:trPr>
        <w:tc>
          <w:tcPr>
            <w:tcW w:w="0" w:type="auto"/>
            <w:gridSpan w:val="3"/>
            <w:shd w:val="clear" w:color="auto" w:fill="FFFFFF"/>
            <w:tcMar>
              <w:top w:w="40" w:type="dxa"/>
              <w:left w:w="200" w:type="dxa"/>
              <w:bottom w:w="40" w:type="dxa"/>
              <w:right w:w="20" w:type="dxa"/>
            </w:tcMar>
            <w:vAlign w:val="bottom"/>
          </w:tcPr>
          <w:p w14:paraId="5CD8F582" w14:textId="77777777" w:rsidR="00BA49F5" w:rsidRDefault="007E5E49">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5CD8F583" w14:textId="77777777" w:rsidR="00BA49F5" w:rsidRDefault="007E5E49">
            <w:pPr>
              <w:jc w:val="right"/>
              <w:textAlignment w:val="bottom"/>
            </w:pPr>
            <w:r>
              <w:rPr>
                <w:rFonts w:ascii="Times New Roman" w:eastAsia="宋体" w:hAnsi="Times New Roman"/>
                <w:color w:val="000000"/>
                <w:sz w:val="20"/>
                <w:szCs w:val="20"/>
              </w:rPr>
              <w:t>621 </w:t>
            </w:r>
          </w:p>
        </w:tc>
        <w:tc>
          <w:tcPr>
            <w:tcW w:w="0" w:type="auto"/>
            <w:shd w:val="clear" w:color="auto" w:fill="FFFFFF"/>
            <w:tcMar>
              <w:top w:w="40" w:type="dxa"/>
              <w:left w:w="0" w:type="dxa"/>
              <w:bottom w:w="40" w:type="dxa"/>
              <w:right w:w="20" w:type="dxa"/>
            </w:tcMar>
            <w:vAlign w:val="bottom"/>
          </w:tcPr>
          <w:p w14:paraId="5CD8F58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8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586" w14:textId="77777777" w:rsidR="00BA49F5" w:rsidRDefault="007E5E49">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5CD8F58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8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589" w14:textId="77777777" w:rsidR="00BA49F5" w:rsidRDefault="007E5E49">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5CD8F58A" w14:textId="77777777" w:rsidR="00BA49F5" w:rsidRDefault="00BA49F5">
            <w:pPr>
              <w:jc w:val="right"/>
              <w:rPr>
                <w:rFonts w:ascii="宋体"/>
              </w:rPr>
            </w:pPr>
          </w:p>
        </w:tc>
      </w:tr>
      <w:tr w:rsidR="00BA49F5" w14:paraId="5CD8F598" w14:textId="77777777">
        <w:trPr>
          <w:jc w:val="center"/>
        </w:trPr>
        <w:tc>
          <w:tcPr>
            <w:tcW w:w="0" w:type="auto"/>
            <w:gridSpan w:val="3"/>
            <w:shd w:val="clear" w:color="auto" w:fill="CCEEFF"/>
            <w:tcMar>
              <w:top w:w="40" w:type="dxa"/>
              <w:left w:w="20" w:type="dxa"/>
              <w:bottom w:w="40" w:type="dxa"/>
              <w:right w:w="20" w:type="dxa"/>
            </w:tcMar>
            <w:vAlign w:val="bottom"/>
          </w:tcPr>
          <w:p w14:paraId="5CD8F58C" w14:textId="77777777" w:rsidR="00BA49F5" w:rsidRDefault="007E5E49">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58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58E" w14:textId="77777777" w:rsidR="00BA49F5" w:rsidRDefault="007E5E49">
            <w:pPr>
              <w:jc w:val="right"/>
              <w:textAlignment w:val="bottom"/>
            </w:pPr>
            <w:r>
              <w:rPr>
                <w:rFonts w:ascii="Times New Roman" w:eastAsia="宋体" w:hAnsi="Times New Roman"/>
                <w:color w:val="000000"/>
                <w:sz w:val="20"/>
                <w:szCs w:val="20"/>
              </w:rPr>
              <w:t>15,596 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58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90"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59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592" w14:textId="77777777" w:rsidR="00BA49F5" w:rsidRDefault="007E5E49">
            <w:pPr>
              <w:jc w:val="right"/>
              <w:textAlignment w:val="bottom"/>
            </w:pPr>
            <w:r>
              <w:rPr>
                <w:rFonts w:ascii="Times New Roman" w:eastAsia="宋体" w:hAnsi="Times New Roman"/>
                <w:color w:val="000000"/>
                <w:sz w:val="20"/>
                <w:szCs w:val="20"/>
              </w:rPr>
              <w:t>16,865 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59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9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59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596" w14:textId="77777777" w:rsidR="00BA49F5" w:rsidRDefault="007E5E49">
            <w:pPr>
              <w:jc w:val="right"/>
              <w:textAlignment w:val="bottom"/>
            </w:pPr>
            <w:r>
              <w:rPr>
                <w:rFonts w:ascii="Times New Roman" w:eastAsia="宋体" w:hAnsi="Times New Roman"/>
                <w:color w:val="000000"/>
                <w:sz w:val="20"/>
                <w:szCs w:val="20"/>
              </w:rPr>
              <w:t>17,954 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597" w14:textId="77777777" w:rsidR="00BA49F5" w:rsidRDefault="00BA49F5">
            <w:pPr>
              <w:jc w:val="right"/>
              <w:rPr>
                <w:rFonts w:ascii="宋体"/>
              </w:rPr>
            </w:pPr>
          </w:p>
        </w:tc>
      </w:tr>
    </w:tbl>
    <w:p w14:paraId="5CD8F599" w14:textId="77777777" w:rsidR="00BA49F5" w:rsidRDefault="007E5E49">
      <w:r>
        <w:rPr>
          <w:rFonts w:ascii="Times New Roman" w:eastAsia="宋体" w:hAnsi="Times New Roman"/>
          <w:color w:val="000000"/>
          <w:sz w:val="20"/>
          <w:szCs w:val="20"/>
        </w:rPr>
        <w:t>    </w:t>
      </w:r>
    </w:p>
    <w:p w14:paraId="5CD8F59A" w14:textId="77777777" w:rsidR="00BA49F5" w:rsidRDefault="00BA49F5">
      <w:pPr>
        <w:jc w:val="center"/>
      </w:pPr>
    </w:p>
    <w:p w14:paraId="5CD8F59B" w14:textId="77777777" w:rsidR="00BA49F5" w:rsidRDefault="007E5E49">
      <w:pPr>
        <w:jc w:val="center"/>
      </w:pPr>
      <w:r>
        <w:rPr>
          <w:rFonts w:ascii="Times New Roman" w:eastAsia="宋体" w:hAnsi="Times New Roman"/>
          <w:i/>
          <w:iCs/>
          <w:color w:val="000000"/>
          <w:sz w:val="20"/>
          <w:szCs w:val="20"/>
        </w:rPr>
        <w:t>See Accompanying Notes to Consolidated Financial Statements.</w:t>
      </w:r>
    </w:p>
    <w:p w14:paraId="5CD8F59C" w14:textId="77777777" w:rsidR="00BA49F5" w:rsidRDefault="007E5E49">
      <w:pPr>
        <w:jc w:val="center"/>
      </w:pPr>
      <w:r>
        <w:rPr>
          <w:rFonts w:ascii="Times New Roman" w:eastAsia="宋体" w:hAnsi="Times New Roman"/>
          <w:color w:val="000000"/>
          <w:sz w:val="20"/>
          <w:szCs w:val="20"/>
        </w:rPr>
        <w:t>89</w:t>
      </w:r>
    </w:p>
    <w:p w14:paraId="5CD8F59D" w14:textId="77777777" w:rsidR="00BA49F5" w:rsidRDefault="007E5E49">
      <w:r>
        <w:pict w14:anchorId="5CD90D4E">
          <v:rect id="_x0000_i1113" style="width:415.3pt;height:1.5pt" o:hralign="center" o:hrstd="t" o:hr="t" fillcolor="#a0a0a0" stroked="f"/>
        </w:pict>
      </w:r>
    </w:p>
    <w:p w14:paraId="5CD8F59E" w14:textId="77777777" w:rsidR="00BA49F5" w:rsidRDefault="00BA49F5"/>
    <w:p w14:paraId="5CD8F59F" w14:textId="77777777" w:rsidR="00BA49F5" w:rsidRDefault="00BA49F5"/>
    <w:p w14:paraId="5CD8F5A0" w14:textId="77777777" w:rsidR="00BA49F5" w:rsidRDefault="007E5E49">
      <w:hyperlink r:id="rId273" w:anchor="i6df229dad1864210ab76200083e26819_7" w:history="1">
        <w:r>
          <w:rPr>
            <w:rStyle w:val="a5"/>
            <w:rFonts w:ascii="Times New Roman" w:eastAsia="宋体" w:hAnsi="Times New Roman"/>
            <w:sz w:val="20"/>
            <w:szCs w:val="20"/>
          </w:rPr>
          <w:t>T</w:t>
        </w:r>
      </w:hyperlink>
      <w:hyperlink r:id="rId274" w:anchor="i6df229dad1864210ab76200083e26819_7" w:history="1">
        <w:r>
          <w:rPr>
            <w:rStyle w:val="a5"/>
            <w:rFonts w:ascii="Times New Roman" w:eastAsia="宋体" w:hAnsi="Times New Roman"/>
            <w:sz w:val="20"/>
            <w:szCs w:val="20"/>
          </w:rPr>
          <w:t>able of Contents</w:t>
        </w:r>
      </w:hyperlink>
    </w:p>
    <w:p w14:paraId="5CD8F5A1" w14:textId="77777777" w:rsidR="00BA49F5" w:rsidRDefault="007E5E49">
      <w:pPr>
        <w:jc w:val="center"/>
      </w:pPr>
      <w:r>
        <w:rPr>
          <w:rFonts w:ascii="Times New Roman" w:eastAsia="宋体" w:hAnsi="Times New Roman"/>
          <w:b/>
          <w:bCs/>
          <w:color w:val="000000"/>
          <w:sz w:val="20"/>
          <w:szCs w:val="20"/>
        </w:rPr>
        <w:t>META PLATFORMS, INC.</w:t>
      </w:r>
    </w:p>
    <w:p w14:paraId="5CD8F5A2" w14:textId="77777777" w:rsidR="00BA49F5" w:rsidRDefault="007E5E49">
      <w:pPr>
        <w:jc w:val="center"/>
      </w:pPr>
      <w:r>
        <w:rPr>
          <w:rFonts w:ascii="Times New Roman" w:eastAsia="宋体" w:hAnsi="Times New Roman"/>
          <w:b/>
          <w:bCs/>
          <w:color w:val="000000"/>
          <w:sz w:val="20"/>
          <w:szCs w:val="20"/>
        </w:rPr>
        <w:t>CONSOLIDATED STATEMENTS OF CASH FLOWS</w:t>
      </w:r>
    </w:p>
    <w:p w14:paraId="5CD8F5A3" w14:textId="77777777" w:rsidR="00BA49F5" w:rsidRDefault="007E5E4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1"/>
        <w:gridCol w:w="38"/>
        <w:gridCol w:w="120"/>
        <w:gridCol w:w="940"/>
        <w:gridCol w:w="36"/>
        <w:gridCol w:w="36"/>
        <w:gridCol w:w="36"/>
        <w:gridCol w:w="36"/>
        <w:gridCol w:w="120"/>
        <w:gridCol w:w="902"/>
        <w:gridCol w:w="36"/>
        <w:gridCol w:w="36"/>
        <w:gridCol w:w="36"/>
        <w:gridCol w:w="36"/>
        <w:gridCol w:w="120"/>
        <w:gridCol w:w="902"/>
        <w:gridCol w:w="36"/>
      </w:tblGrid>
      <w:tr w:rsidR="00BA49F5" w14:paraId="5CD8F5B6" w14:textId="77777777">
        <w:trPr>
          <w:jc w:val="center"/>
        </w:trPr>
        <w:tc>
          <w:tcPr>
            <w:tcW w:w="50" w:type="pct"/>
            <w:shd w:val="clear" w:color="auto" w:fill="auto"/>
            <w:vAlign w:val="bottom"/>
          </w:tcPr>
          <w:p w14:paraId="5CD8F5A4" w14:textId="77777777" w:rsidR="00BA49F5" w:rsidRDefault="00BA49F5">
            <w:pPr>
              <w:rPr>
                <w:rFonts w:ascii="宋体"/>
              </w:rPr>
            </w:pPr>
          </w:p>
        </w:tc>
        <w:tc>
          <w:tcPr>
            <w:tcW w:w="2928" w:type="pct"/>
            <w:shd w:val="clear" w:color="auto" w:fill="auto"/>
            <w:vAlign w:val="bottom"/>
          </w:tcPr>
          <w:p w14:paraId="5CD8F5A5" w14:textId="77777777" w:rsidR="00BA49F5" w:rsidRDefault="00BA49F5">
            <w:pPr>
              <w:rPr>
                <w:rFonts w:ascii="宋体"/>
              </w:rPr>
            </w:pPr>
          </w:p>
        </w:tc>
        <w:tc>
          <w:tcPr>
            <w:tcW w:w="5" w:type="pct"/>
            <w:shd w:val="clear" w:color="auto" w:fill="auto"/>
            <w:vAlign w:val="bottom"/>
          </w:tcPr>
          <w:p w14:paraId="5CD8F5A6" w14:textId="77777777" w:rsidR="00BA49F5" w:rsidRDefault="00BA49F5">
            <w:pPr>
              <w:rPr>
                <w:rFonts w:ascii="宋体"/>
              </w:rPr>
            </w:pPr>
          </w:p>
        </w:tc>
        <w:tc>
          <w:tcPr>
            <w:tcW w:w="50" w:type="pct"/>
            <w:shd w:val="clear" w:color="auto" w:fill="auto"/>
            <w:vAlign w:val="bottom"/>
          </w:tcPr>
          <w:p w14:paraId="5CD8F5A7" w14:textId="77777777" w:rsidR="00BA49F5" w:rsidRDefault="00BA49F5">
            <w:pPr>
              <w:rPr>
                <w:rFonts w:ascii="宋体"/>
              </w:rPr>
            </w:pPr>
          </w:p>
        </w:tc>
        <w:tc>
          <w:tcPr>
            <w:tcW w:w="592" w:type="pct"/>
            <w:shd w:val="clear" w:color="auto" w:fill="auto"/>
            <w:vAlign w:val="bottom"/>
          </w:tcPr>
          <w:p w14:paraId="5CD8F5A8" w14:textId="77777777" w:rsidR="00BA49F5" w:rsidRDefault="00BA49F5">
            <w:pPr>
              <w:rPr>
                <w:rFonts w:ascii="宋体"/>
              </w:rPr>
            </w:pPr>
          </w:p>
        </w:tc>
        <w:tc>
          <w:tcPr>
            <w:tcW w:w="5" w:type="pct"/>
            <w:shd w:val="clear" w:color="auto" w:fill="auto"/>
            <w:vAlign w:val="bottom"/>
          </w:tcPr>
          <w:p w14:paraId="5CD8F5A9" w14:textId="77777777" w:rsidR="00BA49F5" w:rsidRDefault="00BA49F5">
            <w:pPr>
              <w:rPr>
                <w:rFonts w:ascii="宋体"/>
              </w:rPr>
            </w:pPr>
          </w:p>
        </w:tc>
        <w:tc>
          <w:tcPr>
            <w:tcW w:w="5" w:type="pct"/>
            <w:shd w:val="clear" w:color="auto" w:fill="auto"/>
            <w:vAlign w:val="bottom"/>
          </w:tcPr>
          <w:p w14:paraId="5CD8F5AA" w14:textId="77777777" w:rsidR="00BA49F5" w:rsidRDefault="00BA49F5">
            <w:pPr>
              <w:rPr>
                <w:rFonts w:ascii="宋体"/>
              </w:rPr>
            </w:pPr>
          </w:p>
        </w:tc>
        <w:tc>
          <w:tcPr>
            <w:tcW w:w="27" w:type="pct"/>
            <w:shd w:val="clear" w:color="auto" w:fill="auto"/>
            <w:vAlign w:val="bottom"/>
          </w:tcPr>
          <w:p w14:paraId="5CD8F5AB" w14:textId="77777777" w:rsidR="00BA49F5" w:rsidRDefault="00BA49F5">
            <w:pPr>
              <w:rPr>
                <w:rFonts w:ascii="宋体"/>
              </w:rPr>
            </w:pPr>
          </w:p>
        </w:tc>
        <w:tc>
          <w:tcPr>
            <w:tcW w:w="5" w:type="pct"/>
            <w:shd w:val="clear" w:color="auto" w:fill="auto"/>
            <w:vAlign w:val="bottom"/>
          </w:tcPr>
          <w:p w14:paraId="5CD8F5AC" w14:textId="77777777" w:rsidR="00BA49F5" w:rsidRDefault="00BA49F5">
            <w:pPr>
              <w:rPr>
                <w:rFonts w:ascii="宋体"/>
              </w:rPr>
            </w:pPr>
          </w:p>
        </w:tc>
        <w:tc>
          <w:tcPr>
            <w:tcW w:w="50" w:type="pct"/>
            <w:shd w:val="clear" w:color="auto" w:fill="auto"/>
            <w:vAlign w:val="bottom"/>
          </w:tcPr>
          <w:p w14:paraId="5CD8F5AD" w14:textId="77777777" w:rsidR="00BA49F5" w:rsidRDefault="00BA49F5">
            <w:pPr>
              <w:rPr>
                <w:rFonts w:ascii="宋体"/>
              </w:rPr>
            </w:pPr>
          </w:p>
        </w:tc>
        <w:tc>
          <w:tcPr>
            <w:tcW w:w="592" w:type="pct"/>
            <w:shd w:val="clear" w:color="auto" w:fill="auto"/>
            <w:vAlign w:val="bottom"/>
          </w:tcPr>
          <w:p w14:paraId="5CD8F5AE" w14:textId="77777777" w:rsidR="00BA49F5" w:rsidRDefault="00BA49F5">
            <w:pPr>
              <w:rPr>
                <w:rFonts w:ascii="宋体"/>
              </w:rPr>
            </w:pPr>
          </w:p>
        </w:tc>
        <w:tc>
          <w:tcPr>
            <w:tcW w:w="5" w:type="pct"/>
            <w:shd w:val="clear" w:color="auto" w:fill="auto"/>
            <w:vAlign w:val="bottom"/>
          </w:tcPr>
          <w:p w14:paraId="5CD8F5AF" w14:textId="77777777" w:rsidR="00BA49F5" w:rsidRDefault="00BA49F5">
            <w:pPr>
              <w:rPr>
                <w:rFonts w:ascii="宋体"/>
              </w:rPr>
            </w:pPr>
          </w:p>
        </w:tc>
        <w:tc>
          <w:tcPr>
            <w:tcW w:w="5" w:type="pct"/>
            <w:shd w:val="clear" w:color="auto" w:fill="auto"/>
            <w:vAlign w:val="bottom"/>
          </w:tcPr>
          <w:p w14:paraId="5CD8F5B0" w14:textId="77777777" w:rsidR="00BA49F5" w:rsidRDefault="00BA49F5">
            <w:pPr>
              <w:rPr>
                <w:rFonts w:ascii="宋体"/>
              </w:rPr>
            </w:pPr>
          </w:p>
        </w:tc>
        <w:tc>
          <w:tcPr>
            <w:tcW w:w="27" w:type="pct"/>
            <w:shd w:val="clear" w:color="auto" w:fill="auto"/>
            <w:vAlign w:val="bottom"/>
          </w:tcPr>
          <w:p w14:paraId="5CD8F5B1" w14:textId="77777777" w:rsidR="00BA49F5" w:rsidRDefault="00BA49F5">
            <w:pPr>
              <w:rPr>
                <w:rFonts w:ascii="宋体"/>
              </w:rPr>
            </w:pPr>
          </w:p>
        </w:tc>
        <w:tc>
          <w:tcPr>
            <w:tcW w:w="5" w:type="pct"/>
            <w:shd w:val="clear" w:color="auto" w:fill="auto"/>
            <w:vAlign w:val="bottom"/>
          </w:tcPr>
          <w:p w14:paraId="5CD8F5B2" w14:textId="77777777" w:rsidR="00BA49F5" w:rsidRDefault="00BA49F5">
            <w:pPr>
              <w:rPr>
                <w:rFonts w:ascii="宋体"/>
              </w:rPr>
            </w:pPr>
          </w:p>
        </w:tc>
        <w:tc>
          <w:tcPr>
            <w:tcW w:w="50" w:type="pct"/>
            <w:shd w:val="clear" w:color="auto" w:fill="auto"/>
            <w:vAlign w:val="bottom"/>
          </w:tcPr>
          <w:p w14:paraId="5CD8F5B3" w14:textId="77777777" w:rsidR="00BA49F5" w:rsidRDefault="00BA49F5">
            <w:pPr>
              <w:rPr>
                <w:rFonts w:ascii="宋体"/>
              </w:rPr>
            </w:pPr>
          </w:p>
        </w:tc>
        <w:tc>
          <w:tcPr>
            <w:tcW w:w="592" w:type="pct"/>
            <w:shd w:val="clear" w:color="auto" w:fill="auto"/>
            <w:vAlign w:val="bottom"/>
          </w:tcPr>
          <w:p w14:paraId="5CD8F5B4" w14:textId="77777777" w:rsidR="00BA49F5" w:rsidRDefault="00BA49F5">
            <w:pPr>
              <w:rPr>
                <w:rFonts w:ascii="宋体"/>
              </w:rPr>
            </w:pPr>
          </w:p>
        </w:tc>
        <w:tc>
          <w:tcPr>
            <w:tcW w:w="5" w:type="pct"/>
            <w:shd w:val="clear" w:color="auto" w:fill="auto"/>
            <w:vAlign w:val="bottom"/>
          </w:tcPr>
          <w:p w14:paraId="5CD8F5B5" w14:textId="77777777" w:rsidR="00BA49F5" w:rsidRDefault="00BA49F5">
            <w:pPr>
              <w:rPr>
                <w:rFonts w:ascii="宋体"/>
              </w:rPr>
            </w:pPr>
          </w:p>
        </w:tc>
      </w:tr>
      <w:tr w:rsidR="00BA49F5" w14:paraId="5CD8F5B9" w14:textId="77777777">
        <w:trPr>
          <w:jc w:val="center"/>
        </w:trPr>
        <w:tc>
          <w:tcPr>
            <w:tcW w:w="0" w:type="auto"/>
            <w:gridSpan w:val="3"/>
            <w:shd w:val="clear" w:color="auto" w:fill="auto"/>
            <w:tcMar>
              <w:top w:w="0" w:type="dxa"/>
              <w:left w:w="20" w:type="dxa"/>
              <w:bottom w:w="0" w:type="dxa"/>
              <w:right w:w="20" w:type="dxa"/>
            </w:tcMar>
            <w:vAlign w:val="bottom"/>
          </w:tcPr>
          <w:p w14:paraId="5CD8F5B7"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5B8"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8F5C0" w14:textId="77777777">
        <w:trPr>
          <w:jc w:val="center"/>
        </w:trPr>
        <w:tc>
          <w:tcPr>
            <w:tcW w:w="0" w:type="auto"/>
            <w:gridSpan w:val="3"/>
            <w:shd w:val="clear" w:color="auto" w:fill="auto"/>
            <w:tcMar>
              <w:top w:w="0" w:type="dxa"/>
              <w:left w:w="20" w:type="dxa"/>
              <w:bottom w:w="0" w:type="dxa"/>
              <w:right w:w="20" w:type="dxa"/>
            </w:tcMar>
            <w:vAlign w:val="bottom"/>
          </w:tcPr>
          <w:p w14:paraId="5CD8F5BA"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5BB"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5BC"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5BD"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5B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5CD8F5BF"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5C7" w14:textId="77777777">
        <w:trPr>
          <w:jc w:val="center"/>
        </w:trPr>
        <w:tc>
          <w:tcPr>
            <w:tcW w:w="0" w:type="auto"/>
            <w:gridSpan w:val="3"/>
            <w:shd w:val="clear" w:color="auto" w:fill="CCEEFF"/>
            <w:tcMar>
              <w:top w:w="40" w:type="dxa"/>
              <w:left w:w="20" w:type="dxa"/>
              <w:bottom w:w="40" w:type="dxa"/>
              <w:right w:w="20" w:type="dxa"/>
            </w:tcMar>
            <w:vAlign w:val="bottom"/>
          </w:tcPr>
          <w:p w14:paraId="5CD8F5C1" w14:textId="77777777" w:rsidR="00BA49F5" w:rsidRDefault="007E5E49">
            <w:pPr>
              <w:textAlignment w:val="bottom"/>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5C2"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C3"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5C4"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C5"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5C6" w14:textId="77777777" w:rsidR="00BA49F5" w:rsidRDefault="00BA49F5">
            <w:pPr>
              <w:rPr>
                <w:rFonts w:ascii="宋体"/>
              </w:rPr>
            </w:pPr>
          </w:p>
        </w:tc>
      </w:tr>
      <w:tr w:rsidR="00BA49F5" w14:paraId="5CD8F5D4" w14:textId="77777777">
        <w:trPr>
          <w:jc w:val="center"/>
        </w:trPr>
        <w:tc>
          <w:tcPr>
            <w:tcW w:w="0" w:type="auto"/>
            <w:gridSpan w:val="3"/>
            <w:shd w:val="clear" w:color="auto" w:fill="FFFFFF"/>
            <w:tcMar>
              <w:top w:w="40" w:type="dxa"/>
              <w:left w:w="200" w:type="dxa"/>
              <w:bottom w:w="40" w:type="dxa"/>
              <w:right w:w="20" w:type="dxa"/>
            </w:tcMar>
            <w:vAlign w:val="bottom"/>
          </w:tcPr>
          <w:p w14:paraId="5CD8F5C8" w14:textId="77777777" w:rsidR="00BA49F5" w:rsidRDefault="007E5E49">
            <w:pPr>
              <w:textAlignment w:val="bottom"/>
            </w:pPr>
            <w:r>
              <w:rPr>
                <w:rFonts w:ascii="Times New Roman" w:eastAsia="宋体" w:hAnsi="Times New Roman"/>
                <w:color w:val="000000"/>
                <w:sz w:val="20"/>
                <w:szCs w:val="20"/>
              </w:rPr>
              <w:t xml:space="preserve">Cash paid for </w:t>
            </w:r>
            <w:r>
              <w:rPr>
                <w:rFonts w:ascii="Times New Roman" w:eastAsia="宋体" w:hAnsi="Times New Roman"/>
                <w:color w:val="000000"/>
                <w:sz w:val="20"/>
                <w:szCs w:val="20"/>
              </w:rPr>
              <w:t>income taxes, net</w:t>
            </w:r>
          </w:p>
        </w:tc>
        <w:tc>
          <w:tcPr>
            <w:tcW w:w="0" w:type="auto"/>
            <w:shd w:val="clear" w:color="auto" w:fill="FFFFFF"/>
            <w:tcMar>
              <w:top w:w="40" w:type="dxa"/>
              <w:left w:w="20" w:type="dxa"/>
              <w:bottom w:w="40" w:type="dxa"/>
              <w:right w:w="0" w:type="dxa"/>
            </w:tcMar>
            <w:vAlign w:val="bottom"/>
          </w:tcPr>
          <w:p w14:paraId="5CD8F5C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CA" w14:textId="77777777" w:rsidR="00BA49F5" w:rsidRDefault="007E5E49">
            <w:pPr>
              <w:jc w:val="right"/>
              <w:textAlignment w:val="bottom"/>
            </w:pPr>
            <w:r>
              <w:rPr>
                <w:rFonts w:ascii="Times New Roman" w:eastAsia="宋体" w:hAnsi="Times New Roman"/>
                <w:color w:val="000000"/>
                <w:sz w:val="20"/>
                <w:szCs w:val="20"/>
              </w:rPr>
              <w:t>6,407 </w:t>
            </w:r>
          </w:p>
        </w:tc>
        <w:tc>
          <w:tcPr>
            <w:tcW w:w="0" w:type="auto"/>
            <w:shd w:val="clear" w:color="auto" w:fill="FFFFFF"/>
            <w:tcMar>
              <w:top w:w="40" w:type="dxa"/>
              <w:left w:w="0" w:type="dxa"/>
              <w:bottom w:w="40" w:type="dxa"/>
              <w:right w:w="20" w:type="dxa"/>
            </w:tcMar>
            <w:vAlign w:val="bottom"/>
          </w:tcPr>
          <w:p w14:paraId="5CD8F5C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CC"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C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CE" w14:textId="77777777" w:rsidR="00BA49F5" w:rsidRDefault="007E5E49">
            <w:pPr>
              <w:jc w:val="right"/>
              <w:textAlignment w:val="bottom"/>
            </w:pPr>
            <w:r>
              <w:rPr>
                <w:rFonts w:ascii="Times New Roman" w:eastAsia="宋体" w:hAnsi="Times New Roman"/>
                <w:color w:val="000000"/>
                <w:sz w:val="20"/>
                <w:szCs w:val="20"/>
              </w:rPr>
              <w:t>8,525 </w:t>
            </w:r>
          </w:p>
        </w:tc>
        <w:tc>
          <w:tcPr>
            <w:tcW w:w="0" w:type="auto"/>
            <w:shd w:val="clear" w:color="auto" w:fill="FFFFFF"/>
            <w:tcMar>
              <w:top w:w="40" w:type="dxa"/>
              <w:left w:w="0" w:type="dxa"/>
              <w:bottom w:w="40" w:type="dxa"/>
              <w:right w:w="20" w:type="dxa"/>
            </w:tcMar>
            <w:vAlign w:val="bottom"/>
          </w:tcPr>
          <w:p w14:paraId="5CD8F5C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D0"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D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D2" w14:textId="77777777" w:rsidR="00BA49F5" w:rsidRDefault="007E5E49">
            <w:pPr>
              <w:jc w:val="right"/>
              <w:textAlignment w:val="bottom"/>
            </w:pPr>
            <w:r>
              <w:rPr>
                <w:rFonts w:ascii="Times New Roman" w:eastAsia="宋体" w:hAnsi="Times New Roman"/>
                <w:color w:val="000000"/>
                <w:sz w:val="20"/>
                <w:szCs w:val="20"/>
              </w:rPr>
              <w:t>4,229 </w:t>
            </w:r>
          </w:p>
        </w:tc>
        <w:tc>
          <w:tcPr>
            <w:tcW w:w="0" w:type="auto"/>
            <w:shd w:val="clear" w:color="auto" w:fill="FFFFFF"/>
            <w:tcMar>
              <w:top w:w="40" w:type="dxa"/>
              <w:left w:w="0" w:type="dxa"/>
              <w:bottom w:w="40" w:type="dxa"/>
              <w:right w:w="20" w:type="dxa"/>
            </w:tcMar>
            <w:vAlign w:val="bottom"/>
          </w:tcPr>
          <w:p w14:paraId="5CD8F5D3" w14:textId="77777777" w:rsidR="00BA49F5" w:rsidRDefault="00BA49F5">
            <w:pPr>
              <w:jc w:val="right"/>
              <w:rPr>
                <w:rFonts w:ascii="宋体"/>
              </w:rPr>
            </w:pPr>
          </w:p>
        </w:tc>
      </w:tr>
      <w:tr w:rsidR="00BA49F5" w14:paraId="5CD8F5DB" w14:textId="77777777">
        <w:trPr>
          <w:jc w:val="center"/>
        </w:trPr>
        <w:tc>
          <w:tcPr>
            <w:tcW w:w="0" w:type="auto"/>
            <w:gridSpan w:val="3"/>
            <w:shd w:val="clear" w:color="auto" w:fill="CCEEFF"/>
            <w:tcMar>
              <w:top w:w="40" w:type="dxa"/>
              <w:left w:w="200" w:type="dxa"/>
              <w:bottom w:w="40" w:type="dxa"/>
              <w:right w:w="20" w:type="dxa"/>
            </w:tcMar>
            <w:vAlign w:val="bottom"/>
          </w:tcPr>
          <w:p w14:paraId="5CD8F5D5" w14:textId="77777777" w:rsidR="00BA49F5" w:rsidRDefault="007E5E49">
            <w:pPr>
              <w:textAlignment w:val="bottom"/>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5CD8F5D6"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D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D8"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D9"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5DA" w14:textId="77777777" w:rsidR="00BA49F5" w:rsidRDefault="00BA49F5">
            <w:pPr>
              <w:rPr>
                <w:rFonts w:ascii="宋体"/>
              </w:rPr>
            </w:pPr>
          </w:p>
        </w:tc>
      </w:tr>
      <w:tr w:rsidR="00BA49F5" w14:paraId="5CD8F5E8" w14:textId="77777777">
        <w:trPr>
          <w:jc w:val="center"/>
        </w:trPr>
        <w:tc>
          <w:tcPr>
            <w:tcW w:w="0" w:type="auto"/>
            <w:gridSpan w:val="3"/>
            <w:shd w:val="clear" w:color="auto" w:fill="FFFFFF"/>
            <w:tcMar>
              <w:top w:w="40" w:type="dxa"/>
              <w:left w:w="380" w:type="dxa"/>
              <w:bottom w:w="40" w:type="dxa"/>
              <w:right w:w="20" w:type="dxa"/>
            </w:tcMar>
            <w:vAlign w:val="bottom"/>
          </w:tcPr>
          <w:p w14:paraId="5CD8F5DC" w14:textId="77777777" w:rsidR="00BA49F5" w:rsidRDefault="007E5E49">
            <w:pPr>
              <w:textAlignment w:val="bottom"/>
            </w:pPr>
            <w:r>
              <w:rPr>
                <w:rFonts w:ascii="Times New Roman" w:eastAsia="宋体" w:hAnsi="Times New Roman"/>
                <w:color w:val="000000"/>
                <w:sz w:val="20"/>
                <w:szCs w:val="20"/>
              </w:rPr>
              <w:t>Property and equipment in accounts payable and accrued expenses and other current liabilities</w:t>
            </w:r>
          </w:p>
        </w:tc>
        <w:tc>
          <w:tcPr>
            <w:tcW w:w="0" w:type="auto"/>
            <w:shd w:val="clear" w:color="auto" w:fill="FFFFFF"/>
            <w:tcMar>
              <w:top w:w="40" w:type="dxa"/>
              <w:left w:w="20" w:type="dxa"/>
              <w:bottom w:w="40" w:type="dxa"/>
              <w:right w:w="0" w:type="dxa"/>
            </w:tcMar>
            <w:vAlign w:val="bottom"/>
          </w:tcPr>
          <w:p w14:paraId="5CD8F5D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DE" w14:textId="77777777" w:rsidR="00BA49F5" w:rsidRDefault="007E5E49">
            <w:pPr>
              <w:jc w:val="right"/>
              <w:textAlignment w:val="bottom"/>
            </w:pPr>
            <w:r>
              <w:rPr>
                <w:rFonts w:ascii="Times New Roman" w:eastAsia="宋体" w:hAnsi="Times New Roman"/>
                <w:color w:val="000000"/>
                <w:sz w:val="20"/>
                <w:szCs w:val="20"/>
              </w:rPr>
              <w:t>3,319 </w:t>
            </w:r>
          </w:p>
        </w:tc>
        <w:tc>
          <w:tcPr>
            <w:tcW w:w="0" w:type="auto"/>
            <w:shd w:val="clear" w:color="auto" w:fill="FFFFFF"/>
            <w:tcMar>
              <w:top w:w="40" w:type="dxa"/>
              <w:left w:w="0" w:type="dxa"/>
              <w:bottom w:w="40" w:type="dxa"/>
              <w:right w:w="20" w:type="dxa"/>
            </w:tcMar>
            <w:vAlign w:val="bottom"/>
          </w:tcPr>
          <w:p w14:paraId="5CD8F5D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E0"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E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E2" w14:textId="77777777" w:rsidR="00BA49F5" w:rsidRDefault="007E5E49">
            <w:pPr>
              <w:jc w:val="right"/>
              <w:textAlignment w:val="bottom"/>
            </w:pPr>
            <w:r>
              <w:rPr>
                <w:rFonts w:ascii="Times New Roman" w:eastAsia="宋体" w:hAnsi="Times New Roman"/>
                <w:color w:val="000000"/>
                <w:sz w:val="20"/>
                <w:szCs w:val="20"/>
              </w:rPr>
              <w:t>3,404 </w:t>
            </w:r>
          </w:p>
        </w:tc>
        <w:tc>
          <w:tcPr>
            <w:tcW w:w="0" w:type="auto"/>
            <w:shd w:val="clear" w:color="auto" w:fill="FFFFFF"/>
            <w:tcMar>
              <w:top w:w="40" w:type="dxa"/>
              <w:left w:w="0" w:type="dxa"/>
              <w:bottom w:w="40" w:type="dxa"/>
              <w:right w:w="20" w:type="dxa"/>
            </w:tcMar>
            <w:vAlign w:val="bottom"/>
          </w:tcPr>
          <w:p w14:paraId="5CD8F5E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E4"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E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E6" w14:textId="77777777" w:rsidR="00BA49F5" w:rsidRDefault="007E5E49">
            <w:pPr>
              <w:jc w:val="right"/>
              <w:textAlignment w:val="bottom"/>
            </w:pPr>
            <w:r>
              <w:rPr>
                <w:rFonts w:ascii="Times New Roman" w:eastAsia="宋体" w:hAnsi="Times New Roman"/>
                <w:color w:val="000000"/>
                <w:sz w:val="20"/>
                <w:szCs w:val="20"/>
              </w:rPr>
              <w:t>2,201 </w:t>
            </w:r>
          </w:p>
        </w:tc>
        <w:tc>
          <w:tcPr>
            <w:tcW w:w="0" w:type="auto"/>
            <w:shd w:val="clear" w:color="auto" w:fill="FFFFFF"/>
            <w:tcMar>
              <w:top w:w="40" w:type="dxa"/>
              <w:left w:w="0" w:type="dxa"/>
              <w:bottom w:w="40" w:type="dxa"/>
              <w:right w:w="20" w:type="dxa"/>
            </w:tcMar>
            <w:vAlign w:val="bottom"/>
          </w:tcPr>
          <w:p w14:paraId="5CD8F5E7" w14:textId="77777777" w:rsidR="00BA49F5" w:rsidRDefault="00BA49F5">
            <w:pPr>
              <w:jc w:val="right"/>
              <w:rPr>
                <w:rFonts w:ascii="宋体"/>
              </w:rPr>
            </w:pPr>
          </w:p>
        </w:tc>
      </w:tr>
      <w:tr w:rsidR="00BA49F5" w14:paraId="5CD8F5F5" w14:textId="77777777">
        <w:trPr>
          <w:jc w:val="center"/>
        </w:trPr>
        <w:tc>
          <w:tcPr>
            <w:tcW w:w="0" w:type="auto"/>
            <w:gridSpan w:val="3"/>
            <w:shd w:val="clear" w:color="auto" w:fill="CCEEFF"/>
            <w:tcMar>
              <w:top w:w="40" w:type="dxa"/>
              <w:left w:w="380" w:type="dxa"/>
              <w:bottom w:w="40" w:type="dxa"/>
              <w:right w:w="20" w:type="dxa"/>
            </w:tcMar>
            <w:vAlign w:val="bottom"/>
          </w:tcPr>
          <w:p w14:paraId="5CD8F5E9" w14:textId="77777777" w:rsidR="00BA49F5" w:rsidRDefault="007E5E49">
            <w:pPr>
              <w:textAlignment w:val="bottom"/>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5CD8F5E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5EB" w14:textId="77777777" w:rsidR="00BA49F5" w:rsidRDefault="007E5E49">
            <w:pPr>
              <w:jc w:val="right"/>
              <w:textAlignment w:val="bottom"/>
            </w:pPr>
            <w:r>
              <w:rPr>
                <w:rFonts w:ascii="Times New Roman" w:eastAsia="宋体" w:hAnsi="Times New Roman"/>
                <w:color w:val="000000"/>
                <w:sz w:val="20"/>
                <w:szCs w:val="20"/>
              </w:rPr>
              <w:t>291 </w:t>
            </w:r>
          </w:p>
        </w:tc>
        <w:tc>
          <w:tcPr>
            <w:tcW w:w="0" w:type="auto"/>
            <w:shd w:val="clear" w:color="auto" w:fill="CCEEFF"/>
            <w:tcMar>
              <w:top w:w="40" w:type="dxa"/>
              <w:left w:w="0" w:type="dxa"/>
              <w:bottom w:w="40" w:type="dxa"/>
              <w:right w:w="20" w:type="dxa"/>
            </w:tcMar>
            <w:vAlign w:val="bottom"/>
          </w:tcPr>
          <w:p w14:paraId="5CD8F5E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E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5E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5EF" w14:textId="77777777" w:rsidR="00BA49F5" w:rsidRDefault="007E5E49">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5CD8F5F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5F1"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5F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5F3" w14:textId="77777777" w:rsidR="00BA49F5" w:rsidRDefault="007E5E49">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5CD8F5F4" w14:textId="77777777" w:rsidR="00BA49F5" w:rsidRDefault="00BA49F5">
            <w:pPr>
              <w:jc w:val="right"/>
              <w:rPr>
                <w:rFonts w:ascii="宋体"/>
              </w:rPr>
            </w:pPr>
          </w:p>
        </w:tc>
      </w:tr>
      <w:tr w:rsidR="00BA49F5" w14:paraId="5CD8F602" w14:textId="77777777">
        <w:trPr>
          <w:jc w:val="center"/>
        </w:trPr>
        <w:tc>
          <w:tcPr>
            <w:tcW w:w="0" w:type="auto"/>
            <w:gridSpan w:val="3"/>
            <w:shd w:val="clear" w:color="auto" w:fill="FFFFFF"/>
            <w:tcMar>
              <w:top w:w="40" w:type="dxa"/>
              <w:left w:w="380" w:type="dxa"/>
              <w:bottom w:w="40" w:type="dxa"/>
              <w:right w:w="20" w:type="dxa"/>
            </w:tcMar>
            <w:vAlign w:val="bottom"/>
          </w:tcPr>
          <w:p w14:paraId="5CD8F5F6" w14:textId="77777777" w:rsidR="00BA49F5" w:rsidRDefault="007E5E49">
            <w:pPr>
              <w:textAlignment w:val="bottom"/>
            </w:pPr>
            <w:r>
              <w:rPr>
                <w:rFonts w:ascii="Times New Roman" w:eastAsia="宋体" w:hAnsi="Times New Roman"/>
                <w:color w:val="000000"/>
                <w:sz w:val="20"/>
                <w:szCs w:val="20"/>
              </w:rPr>
              <w:t>Other current assets through financing arrangement in accrued expenses and other current liabil</w:t>
            </w:r>
            <w:r>
              <w:rPr>
                <w:rFonts w:ascii="Times New Roman" w:eastAsia="宋体" w:hAnsi="Times New Roman"/>
                <w:color w:val="000000"/>
                <w:sz w:val="20"/>
                <w:szCs w:val="20"/>
              </w:rPr>
              <w:t>ities</w:t>
            </w:r>
          </w:p>
        </w:tc>
        <w:tc>
          <w:tcPr>
            <w:tcW w:w="0" w:type="auto"/>
            <w:shd w:val="clear" w:color="auto" w:fill="FFFFFF"/>
            <w:tcMar>
              <w:top w:w="40" w:type="dxa"/>
              <w:left w:w="20" w:type="dxa"/>
              <w:bottom w:w="40" w:type="dxa"/>
              <w:right w:w="0" w:type="dxa"/>
            </w:tcMar>
            <w:vAlign w:val="bottom"/>
          </w:tcPr>
          <w:p w14:paraId="5CD8F5F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F8"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5CD8F5F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FA"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F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5FC" w14:textId="77777777" w:rsidR="00BA49F5" w:rsidRDefault="007E5E49">
            <w:pPr>
              <w:jc w:val="right"/>
              <w:textAlignment w:val="bottom"/>
            </w:pPr>
            <w:r>
              <w:rPr>
                <w:rFonts w:ascii="Times New Roman" w:eastAsia="宋体" w:hAnsi="Times New Roman"/>
                <w:color w:val="000000"/>
                <w:sz w:val="20"/>
                <w:szCs w:val="20"/>
              </w:rPr>
              <w:t>508 </w:t>
            </w:r>
          </w:p>
        </w:tc>
        <w:tc>
          <w:tcPr>
            <w:tcW w:w="0" w:type="auto"/>
            <w:shd w:val="clear" w:color="auto" w:fill="FFFFFF"/>
            <w:tcMar>
              <w:top w:w="40" w:type="dxa"/>
              <w:left w:w="0" w:type="dxa"/>
              <w:bottom w:w="40" w:type="dxa"/>
              <w:right w:w="20" w:type="dxa"/>
            </w:tcMar>
            <w:vAlign w:val="bottom"/>
          </w:tcPr>
          <w:p w14:paraId="5CD8F5F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5FE"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5F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60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601" w14:textId="77777777" w:rsidR="00BA49F5" w:rsidRDefault="00BA49F5">
            <w:pPr>
              <w:jc w:val="right"/>
              <w:rPr>
                <w:rFonts w:ascii="宋体"/>
              </w:rPr>
            </w:pPr>
          </w:p>
        </w:tc>
      </w:tr>
      <w:tr w:rsidR="00BA49F5" w14:paraId="5CD8F60F" w14:textId="77777777">
        <w:trPr>
          <w:jc w:val="center"/>
        </w:trPr>
        <w:tc>
          <w:tcPr>
            <w:tcW w:w="0" w:type="auto"/>
            <w:gridSpan w:val="3"/>
            <w:shd w:val="clear" w:color="auto" w:fill="CCEEFF"/>
            <w:tcMar>
              <w:top w:w="40" w:type="dxa"/>
              <w:left w:w="380" w:type="dxa"/>
              <w:bottom w:w="40" w:type="dxa"/>
              <w:right w:w="20" w:type="dxa"/>
            </w:tcMar>
            <w:vAlign w:val="bottom"/>
          </w:tcPr>
          <w:p w14:paraId="5CD8F603" w14:textId="77777777" w:rsidR="00BA49F5" w:rsidRDefault="007E5E49">
            <w:pPr>
              <w:textAlignment w:val="bottom"/>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5CD8F60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605" w14:textId="77777777" w:rsidR="00BA49F5" w:rsidRDefault="007E5E49">
            <w:pPr>
              <w:jc w:val="right"/>
              <w:textAlignment w:val="bottom"/>
            </w:pPr>
            <w:r>
              <w:rPr>
                <w:rFonts w:ascii="Times New Roman" w:eastAsia="宋体" w:hAnsi="Times New Roman"/>
                <w:color w:val="000000"/>
                <w:sz w:val="20"/>
                <w:szCs w:val="20"/>
              </w:rPr>
              <w:t>310 </w:t>
            </w:r>
          </w:p>
        </w:tc>
        <w:tc>
          <w:tcPr>
            <w:tcW w:w="0" w:type="auto"/>
            <w:shd w:val="clear" w:color="auto" w:fill="CCEEFF"/>
            <w:tcMar>
              <w:top w:w="40" w:type="dxa"/>
              <w:left w:w="0" w:type="dxa"/>
              <w:bottom w:w="40" w:type="dxa"/>
              <w:right w:w="20" w:type="dxa"/>
            </w:tcMar>
            <w:vAlign w:val="bottom"/>
          </w:tcPr>
          <w:p w14:paraId="5CD8F60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607"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60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609" w14:textId="77777777" w:rsidR="00BA49F5" w:rsidRDefault="007E5E49">
            <w:pPr>
              <w:jc w:val="right"/>
              <w:textAlignment w:val="bottom"/>
            </w:pPr>
            <w:r>
              <w:rPr>
                <w:rFonts w:ascii="Times New Roman" w:eastAsia="宋体" w:hAnsi="Times New Roman"/>
                <w:color w:val="000000"/>
                <w:sz w:val="20"/>
                <w:szCs w:val="20"/>
              </w:rPr>
              <w:t>340 </w:t>
            </w:r>
          </w:p>
        </w:tc>
        <w:tc>
          <w:tcPr>
            <w:tcW w:w="0" w:type="auto"/>
            <w:shd w:val="clear" w:color="auto" w:fill="CCEEFF"/>
            <w:tcMar>
              <w:top w:w="40" w:type="dxa"/>
              <w:left w:w="0" w:type="dxa"/>
              <w:bottom w:w="40" w:type="dxa"/>
              <w:right w:w="20" w:type="dxa"/>
            </w:tcMar>
            <w:vAlign w:val="bottom"/>
          </w:tcPr>
          <w:p w14:paraId="5CD8F60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60B"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60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60D" w14:textId="77777777" w:rsidR="00BA49F5" w:rsidRDefault="007E5E49">
            <w:pPr>
              <w:jc w:val="right"/>
              <w:textAlignment w:val="bottom"/>
            </w:pPr>
            <w:r>
              <w:rPr>
                <w:rFonts w:ascii="Times New Roman" w:eastAsia="宋体" w:hAnsi="Times New Roman"/>
                <w:color w:val="000000"/>
                <w:sz w:val="20"/>
                <w:szCs w:val="20"/>
              </w:rPr>
              <w:t>68 </w:t>
            </w:r>
          </w:p>
        </w:tc>
        <w:tc>
          <w:tcPr>
            <w:tcW w:w="0" w:type="auto"/>
            <w:shd w:val="clear" w:color="auto" w:fill="CCEEFF"/>
            <w:tcMar>
              <w:top w:w="40" w:type="dxa"/>
              <w:left w:w="0" w:type="dxa"/>
              <w:bottom w:w="40" w:type="dxa"/>
              <w:right w:w="20" w:type="dxa"/>
            </w:tcMar>
            <w:vAlign w:val="bottom"/>
          </w:tcPr>
          <w:p w14:paraId="5CD8F60E" w14:textId="77777777" w:rsidR="00BA49F5" w:rsidRDefault="00BA49F5">
            <w:pPr>
              <w:jc w:val="right"/>
              <w:rPr>
                <w:rFonts w:ascii="宋体"/>
              </w:rPr>
            </w:pPr>
          </w:p>
        </w:tc>
      </w:tr>
    </w:tbl>
    <w:p w14:paraId="5CD8F610" w14:textId="77777777" w:rsidR="00BA49F5" w:rsidRDefault="00BA49F5">
      <w:pPr>
        <w:spacing w:before="60"/>
        <w:jc w:val="center"/>
      </w:pPr>
    </w:p>
    <w:p w14:paraId="5CD8F611" w14:textId="77777777" w:rsidR="00BA49F5" w:rsidRDefault="007E5E49">
      <w:pPr>
        <w:spacing w:before="60"/>
        <w:jc w:val="center"/>
      </w:pPr>
      <w:r>
        <w:rPr>
          <w:rFonts w:ascii="Times New Roman" w:eastAsia="宋体" w:hAnsi="Times New Roman"/>
          <w:i/>
          <w:iCs/>
          <w:color w:val="000000"/>
          <w:sz w:val="20"/>
          <w:szCs w:val="20"/>
        </w:rPr>
        <w:t>See Accompanying Notes to Consolidated Financial Statements.</w:t>
      </w:r>
    </w:p>
    <w:p w14:paraId="5CD8F612" w14:textId="77777777" w:rsidR="00BA49F5" w:rsidRDefault="00BA49F5">
      <w:pPr>
        <w:jc w:val="center"/>
      </w:pPr>
    </w:p>
    <w:p w14:paraId="5CD8F613" w14:textId="77777777" w:rsidR="00BA49F5" w:rsidRDefault="007E5E49">
      <w:pPr>
        <w:jc w:val="center"/>
      </w:pPr>
      <w:r>
        <w:rPr>
          <w:rFonts w:ascii="Times New Roman" w:eastAsia="宋体" w:hAnsi="Times New Roman"/>
          <w:color w:val="000000"/>
          <w:sz w:val="20"/>
          <w:szCs w:val="20"/>
        </w:rPr>
        <w:t>90</w:t>
      </w:r>
    </w:p>
    <w:p w14:paraId="5CD8F614" w14:textId="77777777" w:rsidR="00BA49F5" w:rsidRDefault="007E5E49">
      <w:r>
        <w:pict w14:anchorId="5CD90D4F">
          <v:rect id="_x0000_i1114" style="width:415.3pt;height:1.5pt" o:hralign="center" o:hrstd="t" o:hr="t" fillcolor="#a0a0a0" stroked="f"/>
        </w:pict>
      </w:r>
    </w:p>
    <w:p w14:paraId="5CD8F615" w14:textId="77777777" w:rsidR="00BA49F5" w:rsidRDefault="00BA49F5"/>
    <w:p w14:paraId="5CD8F616" w14:textId="77777777" w:rsidR="00BA49F5" w:rsidRDefault="00BA49F5"/>
    <w:p w14:paraId="5CD8F617" w14:textId="77777777" w:rsidR="00BA49F5" w:rsidRDefault="007E5E49">
      <w:hyperlink r:id="rId275" w:anchor="i6df229dad1864210ab76200083e26819_7" w:history="1">
        <w:r>
          <w:rPr>
            <w:rStyle w:val="a5"/>
            <w:rFonts w:ascii="Times New Roman" w:eastAsia="宋体" w:hAnsi="Times New Roman"/>
            <w:sz w:val="20"/>
            <w:szCs w:val="20"/>
          </w:rPr>
          <w:t>T</w:t>
        </w:r>
      </w:hyperlink>
      <w:hyperlink r:id="rId276" w:anchor="i6df229dad1864210ab76200083e26819_7" w:history="1">
        <w:r>
          <w:rPr>
            <w:rStyle w:val="a5"/>
            <w:rFonts w:ascii="Times New Roman" w:eastAsia="宋体" w:hAnsi="Times New Roman"/>
            <w:sz w:val="20"/>
            <w:szCs w:val="20"/>
          </w:rPr>
          <w:t>able of Contents</w:t>
        </w:r>
      </w:hyperlink>
    </w:p>
    <w:p w14:paraId="5CD8F618" w14:textId="77777777" w:rsidR="00BA49F5" w:rsidRDefault="007E5E49">
      <w:pPr>
        <w:jc w:val="center"/>
      </w:pPr>
      <w:r>
        <w:rPr>
          <w:rFonts w:ascii="Times New Roman" w:eastAsia="宋体" w:hAnsi="Times New Roman"/>
          <w:b/>
          <w:bCs/>
          <w:color w:val="000000"/>
          <w:sz w:val="20"/>
          <w:szCs w:val="20"/>
        </w:rPr>
        <w:t xml:space="preserve">META PLATFORMS, INC. </w:t>
      </w:r>
    </w:p>
    <w:p w14:paraId="5CD8F619" w14:textId="77777777" w:rsidR="00BA49F5" w:rsidRDefault="007E5E49">
      <w:pPr>
        <w:jc w:val="center"/>
      </w:pPr>
      <w:r>
        <w:rPr>
          <w:rFonts w:ascii="Times New Roman" w:eastAsia="宋体" w:hAnsi="Times New Roman"/>
          <w:b/>
          <w:bCs/>
          <w:color w:val="000000"/>
          <w:sz w:val="20"/>
          <w:szCs w:val="20"/>
        </w:rPr>
        <w:t xml:space="preserve">NOTES TO CONSOLIDATED FINANCIAL STATEMENTS </w:t>
      </w:r>
    </w:p>
    <w:p w14:paraId="5CD8F61A" w14:textId="77777777" w:rsidR="00BA49F5" w:rsidRDefault="00BA49F5">
      <w:pPr>
        <w:jc w:val="center"/>
      </w:pPr>
    </w:p>
    <w:p w14:paraId="5CD8F61B" w14:textId="77777777" w:rsidR="00BA49F5" w:rsidRDefault="007E5E49">
      <w:pPr>
        <w:spacing w:before="180"/>
        <w:jc w:val="both"/>
      </w:pPr>
      <w:r>
        <w:rPr>
          <w:rFonts w:ascii="Times New Roman" w:eastAsia="宋体" w:hAnsi="Times New Roman"/>
          <w:b/>
          <w:bCs/>
          <w:color w:val="000000"/>
          <w:sz w:val="20"/>
          <w:szCs w:val="20"/>
        </w:rPr>
        <w:t>Note 1.</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Summary of Significant Accounting Policies</w:t>
      </w:r>
    </w:p>
    <w:p w14:paraId="5CD8F61C" w14:textId="77777777" w:rsidR="00BA49F5" w:rsidRDefault="00BA49F5">
      <w:pPr>
        <w:jc w:val="both"/>
      </w:pPr>
    </w:p>
    <w:p w14:paraId="5CD8F61D" w14:textId="77777777" w:rsidR="00BA49F5" w:rsidRDefault="007E5E49">
      <w:pPr>
        <w:jc w:val="both"/>
      </w:pPr>
      <w:r>
        <w:rPr>
          <w:rFonts w:ascii="Times New Roman" w:eastAsia="宋体" w:hAnsi="Times New Roman"/>
          <w:b/>
          <w:bCs/>
          <w:i/>
          <w:iCs/>
          <w:color w:val="000000"/>
          <w:sz w:val="20"/>
          <w:szCs w:val="20"/>
          <w:shd w:val="clear" w:color="auto" w:fill="FFFFFF"/>
        </w:rPr>
        <w:t xml:space="preserve">Organization and Description of Business </w:t>
      </w:r>
    </w:p>
    <w:p w14:paraId="5CD8F61E" w14:textId="77777777" w:rsidR="00BA49F5" w:rsidRDefault="00BA49F5">
      <w:pPr>
        <w:ind w:firstLine="540"/>
        <w:jc w:val="both"/>
      </w:pPr>
    </w:p>
    <w:p w14:paraId="5CD8F61F" w14:textId="77777777" w:rsidR="00BA49F5" w:rsidRDefault="007E5E49">
      <w:pPr>
        <w:ind w:firstLine="540"/>
        <w:jc w:val="both"/>
      </w:pPr>
      <w:r>
        <w:rPr>
          <w:rFonts w:ascii="Times New Roman" w:eastAsia="宋体" w:hAnsi="Times New Roman"/>
          <w:color w:val="000000"/>
          <w:sz w:val="20"/>
          <w:szCs w:val="20"/>
          <w:shd w:val="clear" w:color="auto" w:fill="FFFFFF"/>
        </w:rPr>
        <w:t xml:space="preserve">We were </w:t>
      </w:r>
      <w:r>
        <w:rPr>
          <w:rFonts w:ascii="Times New Roman" w:eastAsia="宋体" w:hAnsi="Times New Roman"/>
          <w:color w:val="000000"/>
          <w:sz w:val="20"/>
          <w:szCs w:val="20"/>
          <w:shd w:val="clear" w:color="auto" w:fill="FFFFFF"/>
        </w:rPr>
        <w:t>incorporated in Delaware in July 2004.</w:t>
      </w:r>
      <w:r>
        <w:rPr>
          <w:rFonts w:ascii="Times New Roman" w:eastAsia="宋体" w:hAnsi="Times New Roman"/>
          <w:color w:val="000000"/>
          <w:sz w:val="20"/>
          <w:szCs w:val="20"/>
        </w:rPr>
        <w:t xml:space="preserve"> </w:t>
      </w:r>
      <w:r>
        <w:rPr>
          <w:rFonts w:ascii="Times New Roman" w:eastAsia="宋体" w:hAnsi="Times New Roman"/>
          <w:color w:val="000000"/>
          <w:sz w:val="20"/>
          <w:szCs w:val="20"/>
          <w:shd w:val="clear" w:color="auto" w:fill="FFFFFF"/>
        </w:rPr>
        <w:t xml:space="preserve">Our mission is to give people the power to build community and bring the world closer together. </w:t>
      </w:r>
      <w:r>
        <w:rPr>
          <w:rFonts w:ascii="Times New Roman" w:eastAsia="宋体" w:hAnsi="Times New Roman"/>
          <w:color w:val="000000"/>
          <w:sz w:val="20"/>
          <w:szCs w:val="20"/>
        </w:rPr>
        <w:t>All of our products, including our apps, share the vision of helping to bring the metaverse to life.</w:t>
      </w:r>
    </w:p>
    <w:p w14:paraId="5CD8F620" w14:textId="77777777" w:rsidR="00BA49F5" w:rsidRDefault="00BA49F5">
      <w:pPr>
        <w:ind w:firstLine="540"/>
        <w:jc w:val="both"/>
      </w:pPr>
    </w:p>
    <w:p w14:paraId="5CD8F621" w14:textId="77777777" w:rsidR="00BA49F5" w:rsidRDefault="007E5E49">
      <w:pPr>
        <w:ind w:firstLine="540"/>
        <w:jc w:val="both"/>
      </w:pPr>
      <w:r>
        <w:rPr>
          <w:rFonts w:ascii="Times New Roman" w:eastAsia="宋体" w:hAnsi="Times New Roman"/>
          <w:color w:val="000000"/>
          <w:sz w:val="20"/>
          <w:szCs w:val="20"/>
          <w:shd w:val="clear" w:color="auto" w:fill="FFFFFF"/>
        </w:rPr>
        <w:t>W</w:t>
      </w:r>
      <w:r>
        <w:rPr>
          <w:rFonts w:ascii="Times New Roman" w:eastAsia="宋体" w:hAnsi="Times New Roman"/>
          <w:color w:val="000000"/>
          <w:sz w:val="20"/>
          <w:szCs w:val="20"/>
        </w:rPr>
        <w:t>e report our finan</w:t>
      </w:r>
      <w:r>
        <w:rPr>
          <w:rFonts w:ascii="Times New Roman" w:eastAsia="宋体" w:hAnsi="Times New Roman"/>
          <w:color w:val="000000"/>
          <w:sz w:val="20"/>
          <w:szCs w:val="20"/>
        </w:rPr>
        <w:t xml:space="preserve">cial results based on two reportable segments: </w:t>
      </w:r>
      <w:r>
        <w:rPr>
          <w:rFonts w:ascii="Times New Roman" w:eastAsia="宋体" w:hAnsi="Times New Roman"/>
          <w:color w:val="000000"/>
          <w:sz w:val="20"/>
          <w:szCs w:val="20"/>
          <w:shd w:val="clear" w:color="auto" w:fill="FFFFFF"/>
        </w:rPr>
        <w:t>Family of Apps (FoA) and Reality Labs (RL)</w:t>
      </w:r>
      <w:r>
        <w:rPr>
          <w:rFonts w:ascii="Times New Roman" w:eastAsia="宋体" w:hAnsi="Times New Roman"/>
          <w:color w:val="000000"/>
          <w:sz w:val="20"/>
          <w:szCs w:val="20"/>
        </w:rPr>
        <w:t>. The segment information aligns with how the chief operating decision maker (CODM), who is our Chief Executive Officer (CEO), reviews and manages the business. W</w:t>
      </w:r>
      <w:r>
        <w:rPr>
          <w:rFonts w:ascii="Times New Roman" w:eastAsia="宋体" w:hAnsi="Times New Roman"/>
          <w:color w:val="000000"/>
          <w:sz w:val="20"/>
          <w:szCs w:val="20"/>
          <w:shd w:val="clear" w:color="auto" w:fill="FFFFFF"/>
        </w:rPr>
        <w:t>e gen</w:t>
      </w:r>
      <w:r>
        <w:rPr>
          <w:rFonts w:ascii="Times New Roman" w:eastAsia="宋体" w:hAnsi="Times New Roman"/>
          <w:color w:val="000000"/>
          <w:sz w:val="20"/>
          <w:szCs w:val="20"/>
          <w:shd w:val="clear" w:color="auto" w:fill="FFFFFF"/>
        </w:rPr>
        <w:t>erate substantially all of our revenue from advertising.</w:t>
      </w:r>
    </w:p>
    <w:p w14:paraId="5CD8F622" w14:textId="77777777" w:rsidR="00BA49F5" w:rsidRDefault="00BA49F5">
      <w:pPr>
        <w:ind w:firstLine="540"/>
        <w:jc w:val="both"/>
      </w:pPr>
    </w:p>
    <w:p w14:paraId="5CD8F623" w14:textId="77777777" w:rsidR="00BA49F5" w:rsidRDefault="007E5E49">
      <w:pPr>
        <w:jc w:val="both"/>
      </w:pPr>
      <w:r>
        <w:rPr>
          <w:rFonts w:ascii="Times New Roman" w:eastAsia="宋体" w:hAnsi="Times New Roman"/>
          <w:b/>
          <w:bCs/>
          <w:i/>
          <w:iCs/>
          <w:color w:val="000000"/>
          <w:sz w:val="20"/>
          <w:szCs w:val="20"/>
        </w:rPr>
        <w:t>Basis of Presentation</w:t>
      </w:r>
    </w:p>
    <w:p w14:paraId="5CD8F624" w14:textId="77777777" w:rsidR="00BA49F5" w:rsidRDefault="00BA49F5">
      <w:pPr>
        <w:ind w:firstLine="540"/>
        <w:jc w:val="both"/>
      </w:pPr>
    </w:p>
    <w:p w14:paraId="5CD8F625" w14:textId="77777777" w:rsidR="00BA49F5" w:rsidRDefault="007E5E49">
      <w:pPr>
        <w:ind w:firstLine="540"/>
        <w:jc w:val="both"/>
      </w:pPr>
      <w:r>
        <w:rPr>
          <w:rFonts w:ascii="Times New Roman" w:eastAsia="宋体" w:hAnsi="Times New Roman"/>
          <w:color w:val="000000"/>
          <w:sz w:val="20"/>
          <w:szCs w:val="20"/>
        </w:rPr>
        <w:t>We prepared the consolidated financial statements in accordance with U.S. generally accepted accounting principles (GAAP). The consolidated financial statements include the ac</w:t>
      </w:r>
      <w:r>
        <w:rPr>
          <w:rFonts w:ascii="Times New Roman" w:eastAsia="宋体" w:hAnsi="Times New Roman"/>
          <w:color w:val="000000"/>
          <w:sz w:val="20"/>
          <w:szCs w:val="20"/>
        </w:rPr>
        <w:t>counts of Meta Platforms, Inc., its subsidiaries where we have controlling financial interests, and any variable interest entities for which we are deemed to be the primary beneficiary. All intercompany balances and transactions have been eliminated.</w:t>
      </w:r>
    </w:p>
    <w:p w14:paraId="5CD8F626" w14:textId="77777777" w:rsidR="00BA49F5" w:rsidRDefault="00BA49F5">
      <w:pPr>
        <w:ind w:firstLine="540"/>
        <w:jc w:val="both"/>
      </w:pPr>
    </w:p>
    <w:p w14:paraId="5CD8F627" w14:textId="77777777" w:rsidR="00BA49F5" w:rsidRDefault="007E5E49">
      <w:pPr>
        <w:jc w:val="both"/>
      </w:pPr>
      <w:r>
        <w:rPr>
          <w:rFonts w:ascii="Times New Roman" w:eastAsia="宋体" w:hAnsi="Times New Roman"/>
          <w:b/>
          <w:bCs/>
          <w:i/>
          <w:iCs/>
          <w:color w:val="000000"/>
          <w:sz w:val="20"/>
          <w:szCs w:val="20"/>
        </w:rPr>
        <w:t xml:space="preserve">Use </w:t>
      </w:r>
      <w:r>
        <w:rPr>
          <w:rFonts w:ascii="Times New Roman" w:eastAsia="宋体" w:hAnsi="Times New Roman"/>
          <w:b/>
          <w:bCs/>
          <w:i/>
          <w:iCs/>
          <w:color w:val="000000"/>
          <w:sz w:val="20"/>
          <w:szCs w:val="20"/>
        </w:rPr>
        <w:t>of Estimates</w:t>
      </w:r>
    </w:p>
    <w:p w14:paraId="5CD8F628" w14:textId="77777777" w:rsidR="00BA49F5" w:rsidRDefault="00BA49F5">
      <w:pPr>
        <w:ind w:firstLine="540"/>
        <w:jc w:val="both"/>
      </w:pPr>
    </w:p>
    <w:p w14:paraId="5CD8F629" w14:textId="77777777" w:rsidR="00BA49F5" w:rsidRDefault="007E5E49">
      <w:pPr>
        <w:ind w:firstLine="540"/>
        <w:jc w:val="both"/>
      </w:pPr>
      <w:r>
        <w:rPr>
          <w:rFonts w:ascii="Times New Roman" w:eastAsia="宋体" w:hAnsi="Times New Roman"/>
          <w:color w:val="000000"/>
          <w:sz w:val="20"/>
          <w:szCs w:val="20"/>
        </w:rPr>
        <w:t xml:space="preserve">Preparation of consolidated financial statements in conformity with GAAP requires the use of estimates and judgments that affect the reported amounts in the consolidated financial statements and accompanying notes. These estimates form the </w:t>
      </w:r>
      <w:r>
        <w:rPr>
          <w:rFonts w:ascii="Times New Roman" w:eastAsia="宋体" w:hAnsi="Times New Roman"/>
          <w:color w:val="000000"/>
          <w:sz w:val="20"/>
          <w:szCs w:val="20"/>
        </w:rPr>
        <w:t>basis for judgments we make about the carrying values of our assets and liabilities, which are not readily apparent from other sources. We base our estimates and judgments on historical information and on various other assumptions that we believe are reaso</w:t>
      </w:r>
      <w:r>
        <w:rPr>
          <w:rFonts w:ascii="Times New Roman" w:eastAsia="宋体" w:hAnsi="Times New Roman"/>
          <w:color w:val="000000"/>
          <w:sz w:val="20"/>
          <w:szCs w:val="20"/>
        </w:rPr>
        <w:t>nable under the circumstances. GAAP requires us to make estimates and judgments in several areas, including, but not limited to, those related to revenue recognition, valuation of non-marketable equity securities, income taxes, loss contingencies, includin</w:t>
      </w:r>
      <w:r>
        <w:rPr>
          <w:rFonts w:ascii="Times New Roman" w:eastAsia="宋体" w:hAnsi="Times New Roman"/>
          <w:color w:val="000000"/>
          <w:sz w:val="20"/>
          <w:szCs w:val="20"/>
        </w:rPr>
        <w:t>g the ultimate resolution of litigation, regulatory matters, and asserted and unasserted claims, valuation of long-lived assets including goodwill, intangible assets, and property and equipment, and their associated estimated useful lives, credit losses of</w:t>
      </w:r>
      <w:r>
        <w:rPr>
          <w:rFonts w:ascii="Times New Roman" w:eastAsia="宋体" w:hAnsi="Times New Roman"/>
          <w:color w:val="000000"/>
          <w:sz w:val="20"/>
          <w:szCs w:val="20"/>
        </w:rPr>
        <w:t xml:space="preserve"> available-for-sale (AFS) debt securities and accounts receivable, fair value of financial instruments, and fair value of leases. These estimates are based on management's knowledge about current events, interpretation of regulations, and expectations abou</w:t>
      </w:r>
      <w:r>
        <w:rPr>
          <w:rFonts w:ascii="Times New Roman" w:eastAsia="宋体" w:hAnsi="Times New Roman"/>
          <w:color w:val="000000"/>
          <w:sz w:val="20"/>
          <w:szCs w:val="20"/>
        </w:rPr>
        <w:t>t actions we may undertake in the future. Actual results could differ materially from those estimates.</w:t>
      </w:r>
    </w:p>
    <w:p w14:paraId="5CD8F62A" w14:textId="77777777" w:rsidR="00BA49F5" w:rsidRDefault="00BA49F5">
      <w:pPr>
        <w:ind w:firstLine="540"/>
        <w:jc w:val="both"/>
      </w:pPr>
    </w:p>
    <w:p w14:paraId="5CD8F62B" w14:textId="77777777" w:rsidR="00BA49F5" w:rsidRDefault="007E5E49">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estimated average useful lives of a maj</w:t>
      </w:r>
      <w:r>
        <w:rPr>
          <w:rFonts w:ascii="Times New Roman" w:eastAsia="宋体" w:hAnsi="Times New Roman"/>
          <w:color w:val="000000"/>
          <w:sz w:val="20"/>
          <w:szCs w:val="20"/>
        </w:rPr>
        <w:t>ority of the servers and network assets from four years to 4.5 years, effective the second quarter of 2022, and further extended the useful lives to five years effective the fourth quarter of 2022. The changes in estimated useful lives were due to expected</w:t>
      </w:r>
      <w:r>
        <w:rPr>
          <w:rFonts w:ascii="Times New Roman" w:eastAsia="宋体" w:hAnsi="Times New Roman"/>
          <w:color w:val="000000"/>
          <w:sz w:val="20"/>
          <w:szCs w:val="20"/>
        </w:rPr>
        <w:t xml:space="preserve"> longer refresh cycles in our data centers. The financial impact of the changes was a reduction in depreciation expense of $860 million and an increase in net income of $693 million, or $0.26 per diluted share for the year ended December 31, 2022. The impa</w:t>
      </w:r>
      <w:r>
        <w:rPr>
          <w:rFonts w:ascii="Times New Roman" w:eastAsia="宋体" w:hAnsi="Times New Roman"/>
          <w:color w:val="000000"/>
          <w:sz w:val="20"/>
          <w:szCs w:val="20"/>
        </w:rPr>
        <w:t>ct from the changes in our estimates was calculated based on the servers and network assets existing as of the effective dates of the changes and applying the revised estimated useful lives prospectively.</w:t>
      </w:r>
    </w:p>
    <w:p w14:paraId="5CD8F62C" w14:textId="77777777" w:rsidR="00BA49F5" w:rsidRDefault="00BA49F5">
      <w:pPr>
        <w:ind w:firstLine="540"/>
        <w:jc w:val="both"/>
      </w:pPr>
    </w:p>
    <w:p w14:paraId="5CD8F62D" w14:textId="77777777" w:rsidR="00BA49F5" w:rsidRDefault="007E5E49">
      <w:pPr>
        <w:jc w:val="both"/>
      </w:pPr>
      <w:r>
        <w:rPr>
          <w:rFonts w:ascii="Times New Roman" w:eastAsia="宋体" w:hAnsi="Times New Roman"/>
          <w:b/>
          <w:bCs/>
          <w:i/>
          <w:iCs/>
          <w:color w:val="000000"/>
          <w:sz w:val="20"/>
          <w:szCs w:val="20"/>
        </w:rPr>
        <w:t>Revenue Recognition</w:t>
      </w:r>
    </w:p>
    <w:p w14:paraId="5CD8F62E" w14:textId="77777777" w:rsidR="00BA49F5" w:rsidRDefault="00BA49F5">
      <w:pPr>
        <w:ind w:firstLine="540"/>
        <w:jc w:val="both"/>
      </w:pPr>
    </w:p>
    <w:p w14:paraId="5CD8F62F" w14:textId="77777777" w:rsidR="00BA49F5" w:rsidRDefault="007E5E49">
      <w:pPr>
        <w:ind w:firstLine="540"/>
        <w:jc w:val="both"/>
      </w:pPr>
      <w:r>
        <w:rPr>
          <w:rFonts w:ascii="Times New Roman" w:eastAsia="宋体" w:hAnsi="Times New Roman"/>
          <w:color w:val="000000"/>
          <w:sz w:val="20"/>
          <w:szCs w:val="20"/>
        </w:rPr>
        <w:t>Revenue is recognized when co</w:t>
      </w:r>
      <w:r>
        <w:rPr>
          <w:rFonts w:ascii="Times New Roman" w:eastAsia="宋体" w:hAnsi="Times New Roman"/>
          <w:color w:val="000000"/>
          <w:sz w:val="20"/>
          <w:szCs w:val="20"/>
        </w:rPr>
        <w:t xml:space="preserve">ntrol of the promised goods or services is transferred to our customers, in an amount that reflects the consideration we expect to be entitled to in exchange for those goods or services. </w:t>
      </w:r>
    </w:p>
    <w:p w14:paraId="5CD8F630" w14:textId="77777777" w:rsidR="00BA49F5" w:rsidRDefault="00BA49F5">
      <w:pPr>
        <w:ind w:firstLine="540"/>
        <w:jc w:val="both"/>
      </w:pPr>
    </w:p>
    <w:p w14:paraId="5CD8F631" w14:textId="77777777" w:rsidR="00BA49F5" w:rsidRDefault="007E5E49">
      <w:pPr>
        <w:ind w:firstLine="540"/>
        <w:jc w:val="both"/>
      </w:pPr>
      <w:r>
        <w:rPr>
          <w:rFonts w:ascii="Times New Roman" w:eastAsia="宋体" w:hAnsi="Times New Roman"/>
          <w:color w:val="000000"/>
          <w:sz w:val="20"/>
          <w:szCs w:val="20"/>
        </w:rPr>
        <w:t>We determine revenue recognition by applying the following steps:</w:t>
      </w:r>
    </w:p>
    <w:p w14:paraId="5CD8F632" w14:textId="77777777" w:rsidR="00BA49F5" w:rsidRDefault="00BA49F5">
      <w:pPr>
        <w:ind w:firstLine="540"/>
        <w:jc w:val="both"/>
      </w:pPr>
    </w:p>
    <w:p w14:paraId="5CD8F633" w14:textId="77777777" w:rsidR="00BA49F5" w:rsidRDefault="007E5E49">
      <w:pPr>
        <w:ind w:hanging="360"/>
      </w:pPr>
      <w:r>
        <w:rPr>
          <w:rFonts w:ascii="Times New Roman" w:eastAsia="宋体" w:hAnsi="Times New Roman"/>
          <w:color w:val="000000"/>
          <w:sz w:val="20"/>
          <w:szCs w:val="20"/>
        </w:rPr>
        <w:t>•identification of the contract, or contracts, with a customer;</w:t>
      </w:r>
    </w:p>
    <w:p w14:paraId="5CD8F634" w14:textId="77777777" w:rsidR="00BA49F5" w:rsidRDefault="007E5E49">
      <w:pPr>
        <w:ind w:hanging="360"/>
      </w:pPr>
      <w:r>
        <w:rPr>
          <w:rFonts w:ascii="Times New Roman" w:eastAsia="宋体" w:hAnsi="Times New Roman"/>
          <w:color w:val="000000"/>
          <w:sz w:val="20"/>
          <w:szCs w:val="20"/>
        </w:rPr>
        <w:t>•identification of the performance obligations in the contract;</w:t>
      </w:r>
    </w:p>
    <w:p w14:paraId="5CD8F635" w14:textId="77777777" w:rsidR="00BA49F5" w:rsidRDefault="007E5E49">
      <w:pPr>
        <w:ind w:hanging="360"/>
      </w:pPr>
      <w:r>
        <w:rPr>
          <w:rFonts w:ascii="Times New Roman" w:eastAsia="宋体" w:hAnsi="Times New Roman"/>
          <w:color w:val="000000"/>
          <w:sz w:val="20"/>
          <w:szCs w:val="20"/>
        </w:rPr>
        <w:t>•determination of the transaction price;</w:t>
      </w:r>
    </w:p>
    <w:p w14:paraId="5CD8F636" w14:textId="77777777" w:rsidR="00BA49F5" w:rsidRDefault="007E5E49">
      <w:pPr>
        <w:ind w:hanging="360"/>
      </w:pPr>
      <w:r>
        <w:rPr>
          <w:rFonts w:ascii="Times New Roman" w:eastAsia="宋体" w:hAnsi="Times New Roman"/>
          <w:color w:val="000000"/>
          <w:sz w:val="20"/>
          <w:szCs w:val="20"/>
        </w:rPr>
        <w:t>•allocation of the transaction price to the performance obligations in the contract; an</w:t>
      </w:r>
      <w:r>
        <w:rPr>
          <w:rFonts w:ascii="Times New Roman" w:eastAsia="宋体" w:hAnsi="Times New Roman"/>
          <w:color w:val="000000"/>
          <w:sz w:val="20"/>
          <w:szCs w:val="20"/>
        </w:rPr>
        <w:t>d</w:t>
      </w:r>
    </w:p>
    <w:p w14:paraId="5CD8F637" w14:textId="77777777" w:rsidR="00BA49F5" w:rsidRDefault="007E5E49">
      <w:pPr>
        <w:jc w:val="center"/>
      </w:pPr>
      <w:r>
        <w:rPr>
          <w:rFonts w:ascii="Times New Roman" w:eastAsia="宋体" w:hAnsi="Times New Roman"/>
          <w:color w:val="000000"/>
          <w:sz w:val="20"/>
          <w:szCs w:val="20"/>
        </w:rPr>
        <w:t>91</w:t>
      </w:r>
    </w:p>
    <w:p w14:paraId="5CD8F638" w14:textId="77777777" w:rsidR="00BA49F5" w:rsidRDefault="007E5E49">
      <w:r>
        <w:pict w14:anchorId="5CD90D50">
          <v:rect id="_x0000_i1115" style="width:415.3pt;height:1.5pt" o:hralign="center" o:hrstd="t" o:hr="t" fillcolor="#a0a0a0" stroked="f"/>
        </w:pict>
      </w:r>
    </w:p>
    <w:p w14:paraId="5CD8F639" w14:textId="77777777" w:rsidR="00BA49F5" w:rsidRDefault="00BA49F5"/>
    <w:p w14:paraId="5CD8F63A" w14:textId="77777777" w:rsidR="00BA49F5" w:rsidRDefault="00BA49F5"/>
    <w:p w14:paraId="5CD8F63B" w14:textId="77777777" w:rsidR="00BA49F5" w:rsidRDefault="007E5E49">
      <w:hyperlink r:id="rId277" w:anchor="i6df229dad1864210ab76200083e26819_7" w:history="1">
        <w:r>
          <w:rPr>
            <w:rStyle w:val="a5"/>
            <w:rFonts w:ascii="Times New Roman" w:eastAsia="宋体" w:hAnsi="Times New Roman"/>
            <w:sz w:val="20"/>
            <w:szCs w:val="20"/>
          </w:rPr>
          <w:t>T</w:t>
        </w:r>
      </w:hyperlink>
      <w:hyperlink r:id="rId278" w:anchor="i6df229dad1864210ab76200083e26819_7" w:history="1">
        <w:r>
          <w:rPr>
            <w:rStyle w:val="a5"/>
            <w:rFonts w:ascii="Times New Roman" w:eastAsia="宋体" w:hAnsi="Times New Roman"/>
            <w:sz w:val="20"/>
            <w:szCs w:val="20"/>
          </w:rPr>
          <w:t>able of Contents</w:t>
        </w:r>
      </w:hyperlink>
    </w:p>
    <w:p w14:paraId="5CD8F63C" w14:textId="77777777" w:rsidR="00BA49F5" w:rsidRDefault="007E5E49">
      <w:pPr>
        <w:ind w:hanging="360"/>
      </w:pPr>
      <w:r>
        <w:rPr>
          <w:rFonts w:ascii="Times New Roman" w:eastAsia="宋体" w:hAnsi="Times New Roman"/>
          <w:color w:val="000000"/>
          <w:sz w:val="20"/>
          <w:szCs w:val="20"/>
        </w:rPr>
        <w:t>•recognition of revenue when, or as, we satisfy a performance obligation.</w:t>
      </w:r>
    </w:p>
    <w:p w14:paraId="5CD8F63D" w14:textId="77777777" w:rsidR="00BA49F5" w:rsidRDefault="00BA49F5"/>
    <w:p w14:paraId="5CD8F63E" w14:textId="77777777" w:rsidR="00BA49F5" w:rsidRDefault="007E5E49">
      <w:pPr>
        <w:ind w:firstLine="540"/>
        <w:jc w:val="both"/>
      </w:pPr>
      <w:r>
        <w:rPr>
          <w:rFonts w:ascii="Times New Roman" w:eastAsia="宋体" w:hAnsi="Times New Roman"/>
          <w:color w:val="000000"/>
          <w:sz w:val="20"/>
          <w:szCs w:val="20"/>
        </w:rPr>
        <w:t xml:space="preserve">We expense </w:t>
      </w:r>
      <w:r>
        <w:rPr>
          <w:rFonts w:ascii="Times New Roman" w:eastAsia="宋体" w:hAnsi="Times New Roman"/>
          <w:color w:val="000000"/>
          <w:sz w:val="20"/>
          <w:szCs w:val="20"/>
        </w:rPr>
        <w:t>sales commissions when incurred if the amortization period is one year or less. These costs are recorded within marketing and sales on our consolidated statements of income.</w:t>
      </w:r>
    </w:p>
    <w:p w14:paraId="5CD8F63F" w14:textId="77777777" w:rsidR="00BA49F5" w:rsidRDefault="00BA49F5">
      <w:pPr>
        <w:ind w:firstLine="540"/>
        <w:jc w:val="both"/>
      </w:pPr>
    </w:p>
    <w:p w14:paraId="5CD8F640" w14:textId="77777777" w:rsidR="00BA49F5" w:rsidRDefault="007E5E49">
      <w:pPr>
        <w:ind w:firstLine="540"/>
        <w:jc w:val="both"/>
      </w:pPr>
      <w:r>
        <w:rPr>
          <w:rFonts w:ascii="Times New Roman" w:eastAsia="宋体" w:hAnsi="Times New Roman"/>
          <w:color w:val="000000"/>
          <w:sz w:val="20"/>
          <w:szCs w:val="20"/>
        </w:rPr>
        <w:t>We do not disclose the value of unsatisfied performance obligations for (i) contr</w:t>
      </w:r>
      <w:r>
        <w:rPr>
          <w:rFonts w:ascii="Times New Roman" w:eastAsia="宋体" w:hAnsi="Times New Roman"/>
          <w:color w:val="000000"/>
          <w:sz w:val="20"/>
          <w:szCs w:val="20"/>
        </w:rPr>
        <w:t>acts with an original expected length of one year or less and (ii) contracts for which we recognize revenue at the amount to which we have the right to invoice for services performed.</w:t>
      </w:r>
    </w:p>
    <w:p w14:paraId="5CD8F641" w14:textId="77777777" w:rsidR="00BA49F5" w:rsidRDefault="00BA49F5">
      <w:pPr>
        <w:ind w:firstLine="540"/>
        <w:jc w:val="both"/>
      </w:pPr>
    </w:p>
    <w:p w14:paraId="5CD8F642" w14:textId="77777777" w:rsidR="00BA49F5" w:rsidRDefault="007E5E49">
      <w:pPr>
        <w:ind w:firstLine="540"/>
        <w:jc w:val="both"/>
      </w:pPr>
      <w:r>
        <w:rPr>
          <w:rFonts w:ascii="Times New Roman" w:eastAsia="宋体" w:hAnsi="Times New Roman"/>
          <w:color w:val="000000"/>
          <w:sz w:val="20"/>
          <w:szCs w:val="20"/>
        </w:rPr>
        <w:t>Revenue excludes sales and usage</w:t>
      </w:r>
      <w:r>
        <w:rPr>
          <w:rFonts w:ascii="Times New Roman" w:eastAsia="宋体" w:hAnsi="Times New Roman"/>
          <w:color w:val="000000"/>
          <w:sz w:val="20"/>
          <w:szCs w:val="20"/>
        </w:rPr>
        <w:noBreakHyphen/>
        <w:t>based taxes where it has been determin</w:t>
      </w:r>
      <w:r>
        <w:rPr>
          <w:rFonts w:ascii="Times New Roman" w:eastAsia="宋体" w:hAnsi="Times New Roman"/>
          <w:color w:val="000000"/>
          <w:sz w:val="20"/>
          <w:szCs w:val="20"/>
        </w:rPr>
        <w:t>ed that we are acting as a pass</w:t>
      </w:r>
      <w:r>
        <w:rPr>
          <w:rFonts w:ascii="Times New Roman" w:eastAsia="宋体" w:hAnsi="Times New Roman"/>
          <w:color w:val="000000"/>
          <w:sz w:val="20"/>
          <w:szCs w:val="20"/>
        </w:rPr>
        <w:noBreakHyphen/>
        <w:t>through agent.</w:t>
      </w:r>
    </w:p>
    <w:p w14:paraId="5CD8F643" w14:textId="77777777" w:rsidR="00BA49F5" w:rsidRDefault="00BA49F5">
      <w:pPr>
        <w:ind w:firstLine="540"/>
        <w:jc w:val="both"/>
      </w:pPr>
    </w:p>
    <w:p w14:paraId="5CD8F644" w14:textId="77777777" w:rsidR="00BA49F5" w:rsidRDefault="007E5E49">
      <w:pPr>
        <w:ind w:firstLine="540"/>
        <w:jc w:val="both"/>
      </w:pPr>
      <w:r>
        <w:rPr>
          <w:rFonts w:ascii="Times New Roman" w:eastAsia="宋体" w:hAnsi="Times New Roman"/>
          <w:i/>
          <w:iCs/>
          <w:color w:val="000000"/>
          <w:sz w:val="20"/>
          <w:szCs w:val="20"/>
        </w:rPr>
        <w:t>Advertising</w:t>
      </w:r>
    </w:p>
    <w:p w14:paraId="5CD8F645" w14:textId="77777777" w:rsidR="00BA49F5" w:rsidRDefault="00BA49F5">
      <w:pPr>
        <w:ind w:firstLine="540"/>
        <w:jc w:val="both"/>
      </w:pPr>
    </w:p>
    <w:p w14:paraId="5CD8F646" w14:textId="77777777" w:rsidR="00BA49F5" w:rsidRDefault="007E5E49">
      <w:pPr>
        <w:ind w:firstLine="540"/>
        <w:jc w:val="both"/>
      </w:pPr>
      <w:r>
        <w:rPr>
          <w:rFonts w:ascii="Times New Roman" w:eastAsia="宋体" w:hAnsi="Times New Roman"/>
          <w:color w:val="000000"/>
          <w:sz w:val="20"/>
          <w:szCs w:val="20"/>
        </w:rPr>
        <w:t xml:space="preserve">Advertising revenue is generated by displaying ad products on Facebook, Instagram, Messenger, and third-party mobile applications. Marketers pay for ad products either directly or through </w:t>
      </w:r>
      <w:r>
        <w:rPr>
          <w:rFonts w:ascii="Times New Roman" w:eastAsia="宋体" w:hAnsi="Times New Roman"/>
          <w:color w:val="000000"/>
          <w:sz w:val="20"/>
          <w:szCs w:val="20"/>
        </w:rPr>
        <w:t>their relationships with advertising agencies or resellers, based on the number of impressions delivered or the number of actions, such as clicks, taken by our users.</w:t>
      </w:r>
    </w:p>
    <w:p w14:paraId="5CD8F647" w14:textId="77777777" w:rsidR="00BA49F5" w:rsidRDefault="00BA49F5">
      <w:pPr>
        <w:ind w:firstLine="540"/>
        <w:jc w:val="both"/>
      </w:pPr>
    </w:p>
    <w:p w14:paraId="5CD8F648" w14:textId="77777777" w:rsidR="00BA49F5" w:rsidRDefault="007E5E49">
      <w:pPr>
        <w:ind w:firstLine="540"/>
        <w:jc w:val="both"/>
      </w:pPr>
      <w:r>
        <w:rPr>
          <w:rFonts w:ascii="Times New Roman" w:eastAsia="宋体" w:hAnsi="Times New Roman"/>
          <w:color w:val="000000"/>
          <w:sz w:val="20"/>
          <w:szCs w:val="20"/>
        </w:rPr>
        <w:t>We recognize revenue from the display of impression-based ads in the contracted period i</w:t>
      </w:r>
      <w:r>
        <w:rPr>
          <w:rFonts w:ascii="Times New Roman" w:eastAsia="宋体" w:hAnsi="Times New Roman"/>
          <w:color w:val="000000"/>
          <w:sz w:val="20"/>
          <w:szCs w:val="20"/>
        </w:rPr>
        <w:t>n which the impressions are delivered. Impressions are considered delivered when an ad is displayed to users. We recognize revenue from the delivery of action-based ads in the period in which a user takes the action the marketer contracted for. In general,</w:t>
      </w:r>
      <w:r>
        <w:rPr>
          <w:rFonts w:ascii="Times New Roman" w:eastAsia="宋体" w:hAnsi="Times New Roman"/>
          <w:color w:val="000000"/>
          <w:sz w:val="20"/>
          <w:szCs w:val="20"/>
        </w:rPr>
        <w:t xml:space="preserve"> we report advertising revenue on a gross basis, since we control the advertising inventory before it is transferred to our customers. Our control is evidenced by our sole ability to monetize the advertising inventory before it is transferred to our custom</w:t>
      </w:r>
      <w:r>
        <w:rPr>
          <w:rFonts w:ascii="Times New Roman" w:eastAsia="宋体" w:hAnsi="Times New Roman"/>
          <w:color w:val="000000"/>
          <w:sz w:val="20"/>
          <w:szCs w:val="20"/>
        </w:rPr>
        <w:t>ers. For revenue generated from arrangements that involve third-party publishers, we evaluate whether we are the principal or the agent, and for those advertising revenue arrangements where we are the agent, we recognize revenue on a net basis.</w:t>
      </w:r>
    </w:p>
    <w:p w14:paraId="5CD8F649" w14:textId="77777777" w:rsidR="00BA49F5" w:rsidRDefault="00BA49F5">
      <w:pPr>
        <w:ind w:firstLine="540"/>
        <w:jc w:val="both"/>
      </w:pPr>
    </w:p>
    <w:p w14:paraId="5CD8F64A" w14:textId="77777777" w:rsidR="00BA49F5" w:rsidRDefault="007E5E49">
      <w:pPr>
        <w:ind w:firstLine="540"/>
        <w:jc w:val="both"/>
      </w:pPr>
      <w:r>
        <w:rPr>
          <w:rFonts w:ascii="Times New Roman" w:eastAsia="宋体" w:hAnsi="Times New Roman"/>
          <w:color w:val="000000"/>
          <w:sz w:val="20"/>
          <w:szCs w:val="20"/>
        </w:rPr>
        <w:t>We may acc</w:t>
      </w:r>
      <w:r>
        <w:rPr>
          <w:rFonts w:ascii="Times New Roman" w:eastAsia="宋体" w:hAnsi="Times New Roman"/>
          <w:color w:val="000000"/>
          <w:sz w:val="20"/>
          <w:szCs w:val="20"/>
        </w:rPr>
        <w:t>ept lower consideration than the amount promised per the contract for certain revenue transactions and certain customers may receive cash-based incentives, credits, or refunds, which are accounted for as variable consideration when estimating the amount of</w:t>
      </w:r>
      <w:r>
        <w:rPr>
          <w:rFonts w:ascii="Times New Roman" w:eastAsia="宋体" w:hAnsi="Times New Roman"/>
          <w:color w:val="000000"/>
          <w:sz w:val="20"/>
          <w:szCs w:val="20"/>
        </w:rPr>
        <w:t xml:space="preserve"> revenue to recognize. We estimate these amounts and reduce revenue based on the amounts expected to be provided to customers. We believe that there will not be significant changes to our estimates of variable consideration.</w:t>
      </w:r>
    </w:p>
    <w:p w14:paraId="5CD8F64B" w14:textId="77777777" w:rsidR="00BA49F5" w:rsidRDefault="00BA49F5">
      <w:pPr>
        <w:ind w:firstLine="540"/>
        <w:jc w:val="both"/>
      </w:pPr>
    </w:p>
    <w:p w14:paraId="5CD8F64C" w14:textId="77777777" w:rsidR="00BA49F5" w:rsidRDefault="007E5E49">
      <w:pPr>
        <w:ind w:firstLine="540"/>
        <w:jc w:val="both"/>
      </w:pPr>
      <w:r>
        <w:rPr>
          <w:rFonts w:ascii="Times New Roman" w:eastAsia="宋体" w:hAnsi="Times New Roman"/>
          <w:i/>
          <w:iCs/>
          <w:color w:val="000000"/>
          <w:sz w:val="20"/>
          <w:szCs w:val="20"/>
          <w:shd w:val="clear" w:color="auto" w:fill="FFFFFF"/>
        </w:rPr>
        <w:t>Reality Labs Revenue</w:t>
      </w:r>
    </w:p>
    <w:p w14:paraId="5CD8F64D" w14:textId="77777777" w:rsidR="00BA49F5" w:rsidRDefault="00BA49F5">
      <w:pPr>
        <w:jc w:val="both"/>
      </w:pPr>
    </w:p>
    <w:p w14:paraId="5CD8F64E" w14:textId="77777777" w:rsidR="00BA49F5" w:rsidRDefault="007E5E49">
      <w:pPr>
        <w:ind w:firstLine="540"/>
        <w:jc w:val="both"/>
      </w:pPr>
      <w:r>
        <w:rPr>
          <w:rFonts w:ascii="Times New Roman" w:eastAsia="宋体" w:hAnsi="Times New Roman"/>
          <w:color w:val="000000"/>
          <w:sz w:val="20"/>
          <w:szCs w:val="20"/>
          <w:shd w:val="clear" w:color="auto" w:fill="FFFFFF"/>
        </w:rPr>
        <w:t>RL reven</w:t>
      </w:r>
      <w:r>
        <w:rPr>
          <w:rFonts w:ascii="Times New Roman" w:eastAsia="宋体" w:hAnsi="Times New Roman"/>
          <w:color w:val="000000"/>
          <w:sz w:val="20"/>
          <w:szCs w:val="20"/>
          <w:shd w:val="clear" w:color="auto" w:fill="FFFFFF"/>
        </w:rPr>
        <w:t>ue is generated from the delivery of consumer hardware products, such as Meta Quest, wearables, and related software and content. Revenue is recognized at the time control of the products is transferred to customers, which is generally at the time of deliv</w:t>
      </w:r>
      <w:r>
        <w:rPr>
          <w:rFonts w:ascii="Times New Roman" w:eastAsia="宋体" w:hAnsi="Times New Roman"/>
          <w:color w:val="000000"/>
          <w:sz w:val="20"/>
          <w:szCs w:val="20"/>
          <w:shd w:val="clear" w:color="auto" w:fill="FFFFFF"/>
        </w:rPr>
        <w:t>ery, in an amount that reflects the consideration RL expects to be entitled to in exchange for the products.</w:t>
      </w:r>
    </w:p>
    <w:p w14:paraId="5CD8F64F" w14:textId="77777777" w:rsidR="00BA49F5" w:rsidRDefault="00BA49F5">
      <w:pPr>
        <w:ind w:firstLine="540"/>
        <w:jc w:val="both"/>
      </w:pPr>
    </w:p>
    <w:p w14:paraId="5CD8F650" w14:textId="77777777" w:rsidR="00BA49F5" w:rsidRDefault="007E5E49">
      <w:pPr>
        <w:ind w:firstLine="540"/>
        <w:jc w:val="both"/>
      </w:pPr>
      <w:r>
        <w:rPr>
          <w:rFonts w:ascii="Times New Roman" w:eastAsia="宋体" w:hAnsi="Times New Roman"/>
          <w:i/>
          <w:iCs/>
          <w:color w:val="000000"/>
          <w:sz w:val="20"/>
          <w:szCs w:val="20"/>
          <w:shd w:val="clear" w:color="auto" w:fill="FFFFFF"/>
        </w:rPr>
        <w:t>Other Revenue</w:t>
      </w:r>
    </w:p>
    <w:p w14:paraId="5CD8F651" w14:textId="77777777" w:rsidR="00BA49F5" w:rsidRDefault="00BA49F5">
      <w:pPr>
        <w:jc w:val="both"/>
      </w:pPr>
    </w:p>
    <w:p w14:paraId="5CD8F652" w14:textId="77777777" w:rsidR="00BA49F5" w:rsidRDefault="007E5E49">
      <w:pPr>
        <w:ind w:firstLine="540"/>
        <w:jc w:val="both"/>
      </w:pPr>
      <w:r>
        <w:rPr>
          <w:rFonts w:ascii="Times New Roman" w:eastAsia="宋体" w:hAnsi="Times New Roman"/>
          <w:color w:val="000000"/>
          <w:sz w:val="20"/>
          <w:szCs w:val="20"/>
          <w:shd w:val="clear" w:color="auto" w:fill="FFFFFF"/>
        </w:rPr>
        <w:t xml:space="preserve">Other revenue consists of net fees we receive from developers using our Payments infrastructure and revenue from WhatsApp Business </w:t>
      </w:r>
      <w:r>
        <w:rPr>
          <w:rFonts w:ascii="Times New Roman" w:eastAsia="宋体" w:hAnsi="Times New Roman"/>
          <w:color w:val="000000"/>
          <w:sz w:val="20"/>
          <w:szCs w:val="20"/>
          <w:shd w:val="clear" w:color="auto" w:fill="FFFFFF"/>
        </w:rPr>
        <w:t>Platform and various other sources.</w:t>
      </w:r>
    </w:p>
    <w:p w14:paraId="5CD8F653" w14:textId="77777777" w:rsidR="00BA49F5" w:rsidRDefault="00BA49F5">
      <w:pPr>
        <w:jc w:val="both"/>
      </w:pPr>
    </w:p>
    <w:p w14:paraId="5CD8F654" w14:textId="77777777" w:rsidR="00BA49F5" w:rsidRDefault="007E5E49">
      <w:pPr>
        <w:jc w:val="both"/>
      </w:pPr>
      <w:r>
        <w:rPr>
          <w:rFonts w:ascii="Times New Roman" w:eastAsia="宋体" w:hAnsi="Times New Roman"/>
          <w:b/>
          <w:bCs/>
          <w:i/>
          <w:iCs/>
          <w:color w:val="000000"/>
          <w:sz w:val="20"/>
          <w:szCs w:val="20"/>
        </w:rPr>
        <w:t>Cost of Revenue</w:t>
      </w:r>
    </w:p>
    <w:p w14:paraId="5CD8F655" w14:textId="77777777" w:rsidR="00BA49F5" w:rsidRDefault="00BA49F5">
      <w:pPr>
        <w:ind w:firstLine="540"/>
        <w:jc w:val="both"/>
      </w:pPr>
    </w:p>
    <w:p w14:paraId="5CD8F656" w14:textId="77777777" w:rsidR="00BA49F5" w:rsidRDefault="007E5E49">
      <w:pPr>
        <w:ind w:firstLine="540"/>
        <w:jc w:val="both"/>
      </w:pPr>
      <w:r>
        <w:rPr>
          <w:rFonts w:ascii="Times New Roman" w:eastAsia="宋体" w:hAnsi="Times New Roman"/>
          <w:color w:val="000000"/>
          <w:sz w:val="20"/>
          <w:szCs w:val="20"/>
        </w:rPr>
        <w:t xml:space="preserve">Our cost of revenue consists mostly of expenses associated with the delivery and distribution of our products. These include expenses related to the operation of our data centers and technical </w:t>
      </w:r>
      <w:r>
        <w:rPr>
          <w:rFonts w:ascii="Times New Roman" w:eastAsia="宋体" w:hAnsi="Times New Roman"/>
          <w:color w:val="000000"/>
          <w:sz w:val="20"/>
          <w:szCs w:val="20"/>
        </w:rPr>
        <w:t>infrastructure, such as depreciation expense from servers, network infrastructure and buildings, as well as payroll and related expenses which include share-based compensation for employees on our operations teams, and energy and bandwidth costs. Cost of r</w:t>
      </w:r>
      <w:r>
        <w:rPr>
          <w:rFonts w:ascii="Times New Roman" w:eastAsia="宋体" w:hAnsi="Times New Roman"/>
          <w:color w:val="000000"/>
          <w:sz w:val="20"/>
          <w:szCs w:val="20"/>
        </w:rPr>
        <w:t>evenue also includes costs associated with partner arrangements, including traffic acquisition costs and credit card and other fees related to processing customer transactions, and content costs. Additionally, cost of revenue includes RL inventory costs, w</w:t>
      </w:r>
      <w:r>
        <w:rPr>
          <w:rFonts w:ascii="Times New Roman" w:eastAsia="宋体" w:hAnsi="Times New Roman"/>
          <w:color w:val="000000"/>
          <w:sz w:val="20"/>
          <w:szCs w:val="20"/>
        </w:rPr>
        <w:t>hich consist of cost of products sold and estimated losses on non-cancelable contractual commitments.</w:t>
      </w:r>
    </w:p>
    <w:p w14:paraId="5CD8F657" w14:textId="77777777" w:rsidR="00BA49F5" w:rsidRDefault="00BA49F5">
      <w:pPr>
        <w:ind w:firstLine="540"/>
        <w:jc w:val="both"/>
      </w:pPr>
    </w:p>
    <w:p w14:paraId="5CD8F658" w14:textId="77777777" w:rsidR="00BA49F5" w:rsidRDefault="007E5E49">
      <w:pPr>
        <w:jc w:val="both"/>
      </w:pPr>
      <w:r>
        <w:rPr>
          <w:rFonts w:ascii="Times New Roman" w:eastAsia="宋体" w:hAnsi="Times New Roman"/>
          <w:b/>
          <w:bCs/>
          <w:i/>
          <w:iCs/>
          <w:color w:val="000000"/>
          <w:sz w:val="20"/>
          <w:szCs w:val="20"/>
        </w:rPr>
        <w:t>Content Costs</w:t>
      </w:r>
    </w:p>
    <w:p w14:paraId="5CD8F659" w14:textId="77777777" w:rsidR="00BA49F5" w:rsidRDefault="00BA49F5">
      <w:pPr>
        <w:ind w:firstLine="540"/>
        <w:jc w:val="both"/>
      </w:pPr>
    </w:p>
    <w:p w14:paraId="5CD8F65A" w14:textId="77777777" w:rsidR="00BA49F5" w:rsidRDefault="007E5E49">
      <w:pPr>
        <w:ind w:firstLine="540"/>
        <w:jc w:val="both"/>
      </w:pPr>
      <w:r>
        <w:rPr>
          <w:rFonts w:ascii="Times New Roman" w:eastAsia="宋体" w:hAnsi="Times New Roman"/>
          <w:color w:val="000000"/>
          <w:sz w:val="20"/>
          <w:szCs w:val="20"/>
        </w:rPr>
        <w:t>Our content costs are mostly related to payments to content providers from whom we license video and music to increase engagement on the p</w:t>
      </w:r>
      <w:r>
        <w:rPr>
          <w:rFonts w:ascii="Times New Roman" w:eastAsia="宋体" w:hAnsi="Times New Roman"/>
          <w:color w:val="000000"/>
          <w:sz w:val="20"/>
          <w:szCs w:val="20"/>
        </w:rPr>
        <w:t xml:space="preserve">latform. For licensed video, we expense the cost per title when the title is accepted and available </w:t>
      </w:r>
    </w:p>
    <w:p w14:paraId="5CD8F65B" w14:textId="77777777" w:rsidR="00BA49F5" w:rsidRDefault="007E5E49">
      <w:pPr>
        <w:jc w:val="center"/>
      </w:pPr>
      <w:r>
        <w:rPr>
          <w:rFonts w:ascii="Times New Roman" w:eastAsia="宋体" w:hAnsi="Times New Roman"/>
          <w:color w:val="000000"/>
          <w:sz w:val="20"/>
          <w:szCs w:val="20"/>
        </w:rPr>
        <w:t>92</w:t>
      </w:r>
    </w:p>
    <w:p w14:paraId="5CD8F65C" w14:textId="77777777" w:rsidR="00BA49F5" w:rsidRDefault="007E5E49">
      <w:r>
        <w:pict w14:anchorId="5CD90D51">
          <v:rect id="_x0000_i1116" style="width:415.3pt;height:1.5pt" o:hralign="center" o:hrstd="t" o:hr="t" fillcolor="#a0a0a0" stroked="f"/>
        </w:pict>
      </w:r>
    </w:p>
    <w:p w14:paraId="5CD8F65D" w14:textId="77777777" w:rsidR="00BA49F5" w:rsidRDefault="00BA49F5"/>
    <w:p w14:paraId="5CD8F65E" w14:textId="77777777" w:rsidR="00BA49F5" w:rsidRDefault="00BA49F5"/>
    <w:p w14:paraId="5CD8F65F" w14:textId="77777777" w:rsidR="00BA49F5" w:rsidRDefault="007E5E49">
      <w:hyperlink r:id="rId279" w:anchor="i6df229dad1864210ab76200083e26819_7" w:history="1">
        <w:r>
          <w:rPr>
            <w:rStyle w:val="a5"/>
            <w:rFonts w:ascii="Times New Roman" w:eastAsia="宋体" w:hAnsi="Times New Roman"/>
            <w:sz w:val="20"/>
            <w:szCs w:val="20"/>
          </w:rPr>
          <w:t>T</w:t>
        </w:r>
      </w:hyperlink>
      <w:hyperlink r:id="rId280" w:anchor="i6df229dad1864210ab76200083e26819_7" w:history="1">
        <w:r>
          <w:rPr>
            <w:rStyle w:val="a5"/>
            <w:rFonts w:ascii="Times New Roman" w:eastAsia="宋体" w:hAnsi="Times New Roman"/>
            <w:sz w:val="20"/>
            <w:szCs w:val="20"/>
          </w:rPr>
          <w:t>able of Contents</w:t>
        </w:r>
      </w:hyperlink>
    </w:p>
    <w:p w14:paraId="5CD8F660" w14:textId="77777777" w:rsidR="00BA49F5" w:rsidRDefault="007E5E49">
      <w:pPr>
        <w:jc w:val="both"/>
      </w:pPr>
      <w:r>
        <w:rPr>
          <w:rFonts w:ascii="Times New Roman" w:eastAsia="宋体" w:hAnsi="Times New Roman"/>
          <w:color w:val="000000"/>
          <w:sz w:val="20"/>
          <w:szCs w:val="20"/>
        </w:rPr>
        <w:t>for viewing if the capitalization criteria are not met. Video content costs that meet the criteria for capitalization were not material to date.</w:t>
      </w:r>
    </w:p>
    <w:p w14:paraId="5CD8F661" w14:textId="77777777" w:rsidR="00BA49F5" w:rsidRDefault="00BA49F5">
      <w:pPr>
        <w:ind w:firstLine="540"/>
        <w:jc w:val="both"/>
      </w:pPr>
    </w:p>
    <w:p w14:paraId="5CD8F662" w14:textId="77777777" w:rsidR="00BA49F5" w:rsidRDefault="007E5E49">
      <w:pPr>
        <w:ind w:firstLine="540"/>
        <w:jc w:val="both"/>
      </w:pPr>
      <w:r>
        <w:rPr>
          <w:rFonts w:ascii="Times New Roman" w:eastAsia="宋体" w:hAnsi="Times New Roman"/>
          <w:color w:val="000000"/>
          <w:sz w:val="20"/>
          <w:szCs w:val="20"/>
        </w:rPr>
        <w:t>For licensed music, we expense the license</w:t>
      </w:r>
      <w:r>
        <w:rPr>
          <w:rFonts w:ascii="Times New Roman" w:eastAsia="宋体" w:hAnsi="Times New Roman"/>
          <w:color w:val="000000"/>
          <w:sz w:val="20"/>
          <w:szCs w:val="20"/>
        </w:rPr>
        <w:t xml:space="preserve"> fees over the contractual license period. Expensed content costs are included in cost of revenue on the consolidated statements of income.</w:t>
      </w:r>
    </w:p>
    <w:p w14:paraId="5CD8F663" w14:textId="77777777" w:rsidR="00BA49F5" w:rsidRDefault="00BA49F5">
      <w:pPr>
        <w:ind w:firstLine="540"/>
      </w:pPr>
    </w:p>
    <w:p w14:paraId="5CD8F664" w14:textId="77777777" w:rsidR="00BA49F5" w:rsidRDefault="007E5E49">
      <w:pPr>
        <w:jc w:val="both"/>
      </w:pPr>
      <w:r>
        <w:rPr>
          <w:rFonts w:ascii="Times New Roman" w:eastAsia="宋体" w:hAnsi="Times New Roman"/>
          <w:b/>
          <w:bCs/>
          <w:i/>
          <w:iCs/>
          <w:color w:val="000000"/>
          <w:sz w:val="20"/>
          <w:szCs w:val="20"/>
        </w:rPr>
        <w:t>Software Development Costs</w:t>
      </w:r>
    </w:p>
    <w:p w14:paraId="5CD8F665" w14:textId="77777777" w:rsidR="00BA49F5" w:rsidRDefault="00BA49F5">
      <w:pPr>
        <w:ind w:firstLine="540"/>
        <w:jc w:val="both"/>
      </w:pPr>
    </w:p>
    <w:p w14:paraId="5CD8F666" w14:textId="77777777" w:rsidR="00BA49F5" w:rsidRDefault="007E5E49">
      <w:pPr>
        <w:ind w:firstLine="540"/>
        <w:jc w:val="both"/>
      </w:pPr>
      <w:r>
        <w:rPr>
          <w:rFonts w:ascii="Times New Roman" w:eastAsia="宋体" w:hAnsi="Times New Roman"/>
          <w:color w:val="000000"/>
          <w:sz w:val="20"/>
          <w:szCs w:val="20"/>
        </w:rPr>
        <w:t>Software development costs, including costs to develop software products or the softwar</w:t>
      </w:r>
      <w:r>
        <w:rPr>
          <w:rFonts w:ascii="Times New Roman" w:eastAsia="宋体" w:hAnsi="Times New Roman"/>
          <w:color w:val="000000"/>
          <w:sz w:val="20"/>
          <w:szCs w:val="20"/>
        </w:rPr>
        <w:t>e component of products to be marketed or sold to external users, are expensed before the software or technology reach technological feasibility, which is typically reached shortly before the release of such products.</w:t>
      </w:r>
    </w:p>
    <w:p w14:paraId="5CD8F667" w14:textId="77777777" w:rsidR="00BA49F5" w:rsidRDefault="00BA49F5">
      <w:pPr>
        <w:ind w:firstLine="540"/>
        <w:jc w:val="both"/>
      </w:pPr>
    </w:p>
    <w:p w14:paraId="5CD8F668" w14:textId="77777777" w:rsidR="00BA49F5" w:rsidRDefault="007E5E49">
      <w:pPr>
        <w:ind w:firstLine="540"/>
        <w:jc w:val="both"/>
      </w:pPr>
      <w:r>
        <w:rPr>
          <w:rFonts w:ascii="Times New Roman" w:eastAsia="宋体" w:hAnsi="Times New Roman"/>
          <w:color w:val="000000"/>
          <w:sz w:val="20"/>
          <w:szCs w:val="20"/>
        </w:rPr>
        <w:t>Software development costs also inclu</w:t>
      </w:r>
      <w:r>
        <w:rPr>
          <w:rFonts w:ascii="Times New Roman" w:eastAsia="宋体" w:hAnsi="Times New Roman"/>
          <w:color w:val="000000"/>
          <w:sz w:val="20"/>
          <w:szCs w:val="20"/>
        </w:rPr>
        <w:t>de costs to develop software to be used solely to meet internal needs and applications used to deliver our services. These software development costs meet the criteria for capitalization once the preliminary project stage is complete and it is probable tha</w:t>
      </w:r>
      <w:r>
        <w:rPr>
          <w:rFonts w:ascii="Times New Roman" w:eastAsia="宋体" w:hAnsi="Times New Roman"/>
          <w:color w:val="000000"/>
          <w:sz w:val="20"/>
          <w:szCs w:val="20"/>
        </w:rPr>
        <w:t>t the project will be completed and the software will be used to perform the function intended.</w:t>
      </w:r>
    </w:p>
    <w:p w14:paraId="5CD8F669" w14:textId="77777777" w:rsidR="00BA49F5" w:rsidRDefault="00BA49F5">
      <w:pPr>
        <w:ind w:firstLine="540"/>
        <w:jc w:val="both"/>
      </w:pPr>
    </w:p>
    <w:p w14:paraId="5CD8F66A" w14:textId="77777777" w:rsidR="00BA49F5" w:rsidRDefault="007E5E49">
      <w:pPr>
        <w:ind w:firstLine="540"/>
        <w:jc w:val="both"/>
      </w:pPr>
      <w:r>
        <w:rPr>
          <w:rFonts w:ascii="Times New Roman" w:eastAsia="宋体" w:hAnsi="Times New Roman"/>
          <w:color w:val="000000"/>
          <w:sz w:val="20"/>
          <w:szCs w:val="20"/>
        </w:rPr>
        <w:t>Development costs that meet the criteria for capitalization were not material to date.</w:t>
      </w:r>
    </w:p>
    <w:p w14:paraId="5CD8F66B" w14:textId="77777777" w:rsidR="00BA49F5" w:rsidRDefault="00BA49F5">
      <w:pPr>
        <w:ind w:firstLine="540"/>
        <w:jc w:val="both"/>
      </w:pPr>
    </w:p>
    <w:p w14:paraId="5CD8F66C" w14:textId="77777777" w:rsidR="00BA49F5" w:rsidRDefault="007E5E49">
      <w:pPr>
        <w:jc w:val="both"/>
      </w:pPr>
      <w:r>
        <w:rPr>
          <w:rFonts w:ascii="Times New Roman" w:eastAsia="宋体" w:hAnsi="Times New Roman"/>
          <w:b/>
          <w:bCs/>
          <w:i/>
          <w:iCs/>
          <w:color w:val="000000"/>
          <w:sz w:val="20"/>
          <w:szCs w:val="20"/>
        </w:rPr>
        <w:t>Share-based Compensation</w:t>
      </w:r>
    </w:p>
    <w:p w14:paraId="5CD8F66D" w14:textId="77777777" w:rsidR="00BA49F5" w:rsidRDefault="00BA49F5">
      <w:pPr>
        <w:jc w:val="both"/>
      </w:pPr>
    </w:p>
    <w:p w14:paraId="5CD8F66E" w14:textId="77777777" w:rsidR="00BA49F5" w:rsidRDefault="007E5E49">
      <w:pPr>
        <w:ind w:firstLine="540"/>
        <w:jc w:val="both"/>
      </w:pPr>
      <w:r>
        <w:rPr>
          <w:rFonts w:ascii="Times New Roman" w:eastAsia="宋体" w:hAnsi="Times New Roman"/>
          <w:color w:val="000000"/>
          <w:sz w:val="20"/>
          <w:szCs w:val="20"/>
        </w:rPr>
        <w:t xml:space="preserve">Share-based compensation expense consists of </w:t>
      </w:r>
      <w:r>
        <w:rPr>
          <w:rFonts w:ascii="Times New Roman" w:eastAsia="宋体" w:hAnsi="Times New Roman"/>
          <w:color w:val="000000"/>
          <w:sz w:val="20"/>
          <w:szCs w:val="20"/>
        </w:rPr>
        <w:t>the company's restricted stock units (RSUs) expense. RSUs granted to employees are measured based on the grant-date fair value. In general, our RSUs vest over a service period of four years. Share-based compensation expense is generally recognized based on</w:t>
      </w:r>
      <w:r>
        <w:rPr>
          <w:rFonts w:ascii="Times New Roman" w:eastAsia="宋体" w:hAnsi="Times New Roman"/>
          <w:color w:val="000000"/>
          <w:sz w:val="20"/>
          <w:szCs w:val="20"/>
        </w:rPr>
        <w:t xml:space="preserve"> the straight-line basis over the requisite service period. We account for forfeitures as they occur.</w:t>
      </w:r>
    </w:p>
    <w:p w14:paraId="5CD8F66F" w14:textId="77777777" w:rsidR="00BA49F5" w:rsidRDefault="00BA49F5">
      <w:pPr>
        <w:ind w:firstLine="720"/>
        <w:jc w:val="both"/>
      </w:pPr>
    </w:p>
    <w:p w14:paraId="5CD8F670" w14:textId="77777777" w:rsidR="00BA49F5" w:rsidRDefault="007E5E49">
      <w:pPr>
        <w:jc w:val="both"/>
      </w:pPr>
      <w:r>
        <w:rPr>
          <w:rFonts w:ascii="Times New Roman" w:eastAsia="宋体" w:hAnsi="Times New Roman"/>
          <w:b/>
          <w:bCs/>
          <w:i/>
          <w:iCs/>
          <w:color w:val="000000"/>
          <w:sz w:val="20"/>
          <w:szCs w:val="20"/>
        </w:rPr>
        <w:t>Income Taxes</w:t>
      </w:r>
    </w:p>
    <w:p w14:paraId="5CD8F671" w14:textId="77777777" w:rsidR="00BA49F5" w:rsidRDefault="00BA49F5">
      <w:pPr>
        <w:ind w:firstLine="540"/>
        <w:jc w:val="both"/>
      </w:pPr>
    </w:p>
    <w:p w14:paraId="5CD8F672" w14:textId="77777777" w:rsidR="00BA49F5" w:rsidRDefault="007E5E49">
      <w:pPr>
        <w:ind w:firstLine="540"/>
        <w:jc w:val="both"/>
      </w:pPr>
      <w:r>
        <w:rPr>
          <w:rFonts w:ascii="Times New Roman" w:eastAsia="宋体" w:hAnsi="Times New Roman"/>
          <w:color w:val="000000"/>
          <w:sz w:val="20"/>
          <w:szCs w:val="20"/>
        </w:rPr>
        <w:t>We are subject to income taxes in the United States and numerous foreign jurisdictions. Significant judgment is required in determining our</w:t>
      </w:r>
      <w:r>
        <w:rPr>
          <w:rFonts w:ascii="Times New Roman" w:eastAsia="宋体" w:hAnsi="Times New Roman"/>
          <w:color w:val="000000"/>
          <w:sz w:val="20"/>
          <w:szCs w:val="20"/>
        </w:rPr>
        <w:t xml:space="preserve"> provision for income taxes and income tax assets and liabilities, including evaluating uncertainties in the application of accounting principles and complex tax laws.</w:t>
      </w:r>
    </w:p>
    <w:p w14:paraId="5CD8F673" w14:textId="77777777" w:rsidR="00BA49F5" w:rsidRDefault="00BA49F5">
      <w:pPr>
        <w:ind w:firstLine="540"/>
        <w:jc w:val="both"/>
      </w:pPr>
    </w:p>
    <w:p w14:paraId="5CD8F674" w14:textId="77777777" w:rsidR="00BA49F5" w:rsidRDefault="007E5E49">
      <w:pPr>
        <w:ind w:firstLine="540"/>
        <w:jc w:val="both"/>
      </w:pPr>
      <w:r>
        <w:rPr>
          <w:rFonts w:ascii="Times New Roman" w:eastAsia="宋体" w:hAnsi="Times New Roman"/>
          <w:color w:val="000000"/>
          <w:sz w:val="20"/>
          <w:szCs w:val="20"/>
        </w:rPr>
        <w:t>We record a provision for income taxes for the anticipated tax consequences of the repo</w:t>
      </w:r>
      <w:r>
        <w:rPr>
          <w:rFonts w:ascii="Times New Roman" w:eastAsia="宋体" w:hAnsi="Times New Roman"/>
          <w:color w:val="000000"/>
          <w:sz w:val="20"/>
          <w:szCs w:val="20"/>
        </w:rPr>
        <w:t>rted results of operations using the asset and liability method. Under this method, we recognize deferred income tax assets and liabilities for the expected future consequences of temporary differences between the financial reporting and tax bases of asset</w:t>
      </w:r>
      <w:r>
        <w:rPr>
          <w:rFonts w:ascii="Times New Roman" w:eastAsia="宋体" w:hAnsi="Times New Roman"/>
          <w:color w:val="000000"/>
          <w:sz w:val="20"/>
          <w:szCs w:val="20"/>
        </w:rPr>
        <w:t>s and liabilities, as well as for loss and tax credit carryforwards. Deferred tax assets and liabilities are measured using the tax rates that are expected to apply to taxable income for the years in which those tax assets and liabilities are expected to b</w:t>
      </w:r>
      <w:r>
        <w:rPr>
          <w:rFonts w:ascii="Times New Roman" w:eastAsia="宋体" w:hAnsi="Times New Roman"/>
          <w:color w:val="000000"/>
          <w:sz w:val="20"/>
          <w:szCs w:val="20"/>
        </w:rPr>
        <w:t>e realized or settled. We recognize the deferred income tax effects of a change in tax rates in the period of the enactment.</w:t>
      </w:r>
    </w:p>
    <w:p w14:paraId="5CD8F675" w14:textId="77777777" w:rsidR="00BA49F5" w:rsidRDefault="00BA49F5">
      <w:pPr>
        <w:ind w:firstLine="540"/>
        <w:jc w:val="both"/>
      </w:pPr>
    </w:p>
    <w:p w14:paraId="5CD8F676" w14:textId="77777777" w:rsidR="00BA49F5" w:rsidRDefault="007E5E49">
      <w:pPr>
        <w:ind w:firstLine="540"/>
        <w:jc w:val="both"/>
      </w:pPr>
      <w:r>
        <w:rPr>
          <w:rFonts w:ascii="Times New Roman" w:eastAsia="宋体" w:hAnsi="Times New Roman"/>
          <w:color w:val="000000"/>
          <w:sz w:val="20"/>
          <w:szCs w:val="20"/>
        </w:rPr>
        <w:t xml:space="preserve">We record a valuation allowance to reduce our deferred tax assets to the net amount that we believe is more likely than not to be </w:t>
      </w:r>
      <w:r>
        <w:rPr>
          <w:rFonts w:ascii="Times New Roman" w:eastAsia="宋体" w:hAnsi="Times New Roman"/>
          <w:color w:val="000000"/>
          <w:sz w:val="20"/>
          <w:szCs w:val="20"/>
        </w:rPr>
        <w:t>realized. We consider all available evidence, both positive and negative, including historical levels of income, expectations and risks associated with estimates of future taxable income and ongoing tax planning strategies in assessing the need for a valua</w:t>
      </w:r>
      <w:r>
        <w:rPr>
          <w:rFonts w:ascii="Times New Roman" w:eastAsia="宋体" w:hAnsi="Times New Roman"/>
          <w:color w:val="000000"/>
          <w:sz w:val="20"/>
          <w:szCs w:val="20"/>
        </w:rPr>
        <w:t xml:space="preserve">tion allowance. </w:t>
      </w:r>
    </w:p>
    <w:p w14:paraId="5CD8F677" w14:textId="77777777" w:rsidR="00BA49F5" w:rsidRDefault="00BA49F5">
      <w:pPr>
        <w:ind w:firstLine="540"/>
        <w:jc w:val="both"/>
      </w:pPr>
    </w:p>
    <w:p w14:paraId="5CD8F678" w14:textId="77777777" w:rsidR="00BA49F5" w:rsidRDefault="007E5E49">
      <w:pPr>
        <w:ind w:firstLine="540"/>
        <w:jc w:val="both"/>
      </w:pPr>
      <w:r>
        <w:rPr>
          <w:rFonts w:ascii="Times New Roman" w:eastAsia="宋体" w:hAnsi="Times New Roman"/>
          <w:color w:val="000000"/>
          <w:sz w:val="20"/>
          <w:szCs w:val="20"/>
        </w:rPr>
        <w:t>We recognize tax benefits from uncertain tax positions only if we believe that it is more likely than not that the tax position will be sustained on examination by the taxing authorities based on the technical merits of the position. These uncertain tax po</w:t>
      </w:r>
      <w:r>
        <w:rPr>
          <w:rFonts w:ascii="Times New Roman" w:eastAsia="宋体" w:hAnsi="Times New Roman"/>
          <w:color w:val="000000"/>
          <w:sz w:val="20"/>
          <w:szCs w:val="20"/>
        </w:rPr>
        <w:t>sitions include our estimates for transfer pricing that have been developed based upon analyses of appropriate arms-length prices. Similarly, our estimates related to uncertain tax positions concerning research tax credits are based on an assessment of whe</w:t>
      </w:r>
      <w:r>
        <w:rPr>
          <w:rFonts w:ascii="Times New Roman" w:eastAsia="宋体" w:hAnsi="Times New Roman"/>
          <w:color w:val="000000"/>
          <w:sz w:val="20"/>
          <w:szCs w:val="20"/>
        </w:rPr>
        <w:t>ther our available documentation corroborating the nature of our activities supporting the tax credits will be sufficient. Although we believe that we have adequately reserved for our uncertain tax positions (including net interest and penalties), we can p</w:t>
      </w:r>
      <w:r>
        <w:rPr>
          <w:rFonts w:ascii="Times New Roman" w:eastAsia="宋体" w:hAnsi="Times New Roman"/>
          <w:color w:val="000000"/>
          <w:sz w:val="20"/>
          <w:szCs w:val="20"/>
        </w:rPr>
        <w:t xml:space="preserve">rovide no assurance that the final tax outcome of these matters will not be materially different. We make adjustments to these reserves in accordance with the income tax accounting guidance when facts and circumstances change, such as the closing of a tax </w:t>
      </w:r>
      <w:r>
        <w:rPr>
          <w:rFonts w:ascii="Times New Roman" w:eastAsia="宋体" w:hAnsi="Times New Roman"/>
          <w:color w:val="000000"/>
          <w:sz w:val="20"/>
          <w:szCs w:val="20"/>
        </w:rPr>
        <w:t>audit or the refinement of an estimate. To the extent that the final tax outcome of these matters is different from the amounts recorded, such differences will affect the provision for income taxes in the period in which such determination is made, and cou</w:t>
      </w:r>
      <w:r>
        <w:rPr>
          <w:rFonts w:ascii="Times New Roman" w:eastAsia="宋体" w:hAnsi="Times New Roman"/>
          <w:color w:val="000000"/>
          <w:sz w:val="20"/>
          <w:szCs w:val="20"/>
        </w:rPr>
        <w:t xml:space="preserve">ld have a material impact on our financial condition and operating results. </w:t>
      </w:r>
    </w:p>
    <w:p w14:paraId="5CD8F679" w14:textId="77777777" w:rsidR="00BA49F5" w:rsidRDefault="00BA49F5">
      <w:pPr>
        <w:ind w:firstLine="540"/>
        <w:jc w:val="both"/>
      </w:pPr>
    </w:p>
    <w:p w14:paraId="5CD8F67A" w14:textId="77777777" w:rsidR="00BA49F5" w:rsidRDefault="007E5E49">
      <w:pPr>
        <w:jc w:val="center"/>
      </w:pPr>
      <w:r>
        <w:rPr>
          <w:rFonts w:ascii="Times New Roman" w:eastAsia="宋体" w:hAnsi="Times New Roman"/>
          <w:color w:val="000000"/>
          <w:sz w:val="20"/>
          <w:szCs w:val="20"/>
        </w:rPr>
        <w:t>93</w:t>
      </w:r>
    </w:p>
    <w:p w14:paraId="5CD8F67B" w14:textId="77777777" w:rsidR="00BA49F5" w:rsidRDefault="007E5E49">
      <w:r>
        <w:pict w14:anchorId="5CD90D52">
          <v:rect id="_x0000_i1117" style="width:415.3pt;height:1.5pt" o:hralign="center" o:hrstd="t" o:hr="t" fillcolor="#a0a0a0" stroked="f"/>
        </w:pict>
      </w:r>
    </w:p>
    <w:p w14:paraId="5CD8F67C" w14:textId="77777777" w:rsidR="00BA49F5" w:rsidRDefault="00BA49F5"/>
    <w:p w14:paraId="5CD8F67D" w14:textId="77777777" w:rsidR="00BA49F5" w:rsidRDefault="00BA49F5"/>
    <w:p w14:paraId="5CD8F67E" w14:textId="77777777" w:rsidR="00BA49F5" w:rsidRDefault="007E5E49">
      <w:hyperlink r:id="rId281" w:anchor="i6df229dad1864210ab76200083e26819_7" w:history="1">
        <w:r>
          <w:rPr>
            <w:rStyle w:val="a5"/>
            <w:rFonts w:ascii="Times New Roman" w:eastAsia="宋体" w:hAnsi="Times New Roman"/>
            <w:sz w:val="20"/>
            <w:szCs w:val="20"/>
          </w:rPr>
          <w:t>T</w:t>
        </w:r>
      </w:hyperlink>
      <w:hyperlink r:id="rId282" w:anchor="i6df229dad1864210ab76200083e26819_7" w:history="1">
        <w:r>
          <w:rPr>
            <w:rStyle w:val="a5"/>
            <w:rFonts w:ascii="Times New Roman" w:eastAsia="宋体" w:hAnsi="Times New Roman"/>
            <w:sz w:val="20"/>
            <w:szCs w:val="20"/>
          </w:rPr>
          <w:t>able of Contents</w:t>
        </w:r>
      </w:hyperlink>
    </w:p>
    <w:p w14:paraId="5CD8F67F" w14:textId="77777777" w:rsidR="00BA49F5" w:rsidRDefault="007E5E49">
      <w:pPr>
        <w:jc w:val="both"/>
      </w:pPr>
      <w:r>
        <w:rPr>
          <w:rFonts w:ascii="Times New Roman" w:eastAsia="宋体" w:hAnsi="Times New Roman"/>
          <w:b/>
          <w:bCs/>
          <w:i/>
          <w:iCs/>
          <w:color w:val="000000"/>
          <w:sz w:val="20"/>
          <w:szCs w:val="20"/>
        </w:rPr>
        <w:t>Advertising Expense</w:t>
      </w:r>
    </w:p>
    <w:p w14:paraId="5CD8F680" w14:textId="77777777" w:rsidR="00BA49F5" w:rsidRDefault="00BA49F5">
      <w:pPr>
        <w:ind w:firstLine="540"/>
        <w:jc w:val="both"/>
      </w:pPr>
    </w:p>
    <w:p w14:paraId="5CD8F681" w14:textId="77777777" w:rsidR="00BA49F5" w:rsidRDefault="007E5E49">
      <w:pPr>
        <w:ind w:firstLine="540"/>
        <w:jc w:val="both"/>
      </w:pPr>
      <w:r>
        <w:rPr>
          <w:rFonts w:ascii="Times New Roman" w:eastAsia="宋体" w:hAnsi="Times New Roman"/>
          <w:color w:val="000000"/>
          <w:sz w:val="20"/>
          <w:szCs w:val="20"/>
        </w:rPr>
        <w:t xml:space="preserve">Advertising costs are expensed when incurred and are included in </w:t>
      </w:r>
      <w:r>
        <w:rPr>
          <w:rFonts w:ascii="Times New Roman" w:eastAsia="宋体" w:hAnsi="Times New Roman"/>
          <w:color w:val="000000"/>
          <w:sz w:val="20"/>
          <w:szCs w:val="20"/>
        </w:rPr>
        <w:t>marketing and sales expenses on the consolidated statements of income. We incurred advertising expenses of $2.65 billion, $2.99 billion, and $2.26 billion for the years ended December 31, 2022, 2021, and 2020, respectively.</w:t>
      </w:r>
    </w:p>
    <w:p w14:paraId="5CD8F682" w14:textId="77777777" w:rsidR="00BA49F5" w:rsidRDefault="00BA49F5">
      <w:pPr>
        <w:ind w:firstLine="540"/>
        <w:jc w:val="both"/>
      </w:pPr>
    </w:p>
    <w:p w14:paraId="5CD8F683" w14:textId="77777777" w:rsidR="00BA49F5" w:rsidRDefault="007E5E49">
      <w:pPr>
        <w:jc w:val="both"/>
      </w:pPr>
      <w:r>
        <w:rPr>
          <w:rFonts w:ascii="Times New Roman" w:eastAsia="宋体" w:hAnsi="Times New Roman"/>
          <w:b/>
          <w:bCs/>
          <w:i/>
          <w:iCs/>
          <w:color w:val="000000"/>
          <w:sz w:val="20"/>
          <w:szCs w:val="20"/>
        </w:rPr>
        <w:t>Cash and Cash Equivalents, Mark</w:t>
      </w:r>
      <w:r>
        <w:rPr>
          <w:rFonts w:ascii="Times New Roman" w:eastAsia="宋体" w:hAnsi="Times New Roman"/>
          <w:b/>
          <w:bCs/>
          <w:i/>
          <w:iCs/>
          <w:color w:val="000000"/>
          <w:sz w:val="20"/>
          <w:szCs w:val="20"/>
        </w:rPr>
        <w:t>etable Securities, and Restricted Cash</w:t>
      </w:r>
    </w:p>
    <w:p w14:paraId="5CD8F684" w14:textId="77777777" w:rsidR="00BA49F5" w:rsidRDefault="00BA49F5">
      <w:pPr>
        <w:ind w:firstLine="540"/>
        <w:jc w:val="both"/>
      </w:pPr>
    </w:p>
    <w:p w14:paraId="5CD8F685" w14:textId="77777777" w:rsidR="00BA49F5" w:rsidRDefault="007E5E49">
      <w:pPr>
        <w:ind w:firstLine="540"/>
        <w:jc w:val="both"/>
      </w:pPr>
      <w:r>
        <w:rPr>
          <w:rFonts w:ascii="Times New Roman" w:eastAsia="宋体" w:hAnsi="Times New Roman"/>
          <w:color w:val="000000"/>
          <w:sz w:val="20"/>
          <w:szCs w:val="20"/>
        </w:rPr>
        <w:t>Cash and cash equivalents consist of cash on deposit with banks and highly liquid investments with maturities of 90 days or less from the date of purchase.</w:t>
      </w:r>
    </w:p>
    <w:p w14:paraId="5CD8F686" w14:textId="77777777" w:rsidR="00BA49F5" w:rsidRDefault="00BA49F5">
      <w:pPr>
        <w:ind w:firstLine="540"/>
        <w:jc w:val="both"/>
      </w:pPr>
    </w:p>
    <w:p w14:paraId="5CD8F687" w14:textId="77777777" w:rsidR="00BA49F5" w:rsidRDefault="007E5E49">
      <w:pPr>
        <w:ind w:firstLine="540"/>
        <w:jc w:val="both"/>
      </w:pPr>
      <w:r>
        <w:rPr>
          <w:rFonts w:ascii="Times New Roman" w:eastAsia="宋体" w:hAnsi="Times New Roman"/>
          <w:color w:val="000000"/>
          <w:sz w:val="20"/>
          <w:szCs w:val="20"/>
        </w:rPr>
        <w:t>We hold investments in marketable securities, consisting mo</w:t>
      </w:r>
      <w:r>
        <w:rPr>
          <w:rFonts w:ascii="Times New Roman" w:eastAsia="宋体" w:hAnsi="Times New Roman"/>
          <w:color w:val="000000"/>
          <w:sz w:val="20"/>
          <w:szCs w:val="20"/>
        </w:rPr>
        <w:t>stly of U.S. government securities, U.S. government agency securities, and investment grade corporate debt securities. We classify our marketable securities as available-for-sale (AFS) investments in our current assets because they represent investments of</w:t>
      </w:r>
      <w:r>
        <w:rPr>
          <w:rFonts w:ascii="Times New Roman" w:eastAsia="宋体" w:hAnsi="Times New Roman"/>
          <w:color w:val="000000"/>
          <w:sz w:val="20"/>
          <w:szCs w:val="20"/>
        </w:rPr>
        <w:t xml:space="preserve"> cash available for current operations. Our AFS investments are carried at estimated fair value with any unrealized gains and losses, net of taxes, included in accumulated other comprehensive income (loss) in stockholders' equity. AFS debt securities with </w:t>
      </w:r>
      <w:r>
        <w:rPr>
          <w:rFonts w:ascii="Times New Roman" w:eastAsia="宋体" w:hAnsi="Times New Roman"/>
          <w:color w:val="000000"/>
          <w:sz w:val="20"/>
          <w:szCs w:val="20"/>
        </w:rPr>
        <w:t>an amortized cost basis in excess of estimated fair value are assessed to determine what amount of that difference, if any, is caused by expected credit losses. Allowance for credit losses on AFS debt securities are recognized as a charge in interest and o</w:t>
      </w:r>
      <w:r>
        <w:rPr>
          <w:rFonts w:ascii="Times New Roman" w:eastAsia="宋体" w:hAnsi="Times New Roman"/>
          <w:color w:val="000000"/>
          <w:sz w:val="20"/>
          <w:szCs w:val="20"/>
        </w:rPr>
        <w:t>ther income (expense), net on our consolidated statements of income, and any remaining unrealized losses, net of taxes, are included in accumulated other comprehensive income (loss) in stockholders' equity. The amounts of credit losses recorded for the yea</w:t>
      </w:r>
      <w:r>
        <w:rPr>
          <w:rFonts w:ascii="Times New Roman" w:eastAsia="宋体" w:hAnsi="Times New Roman"/>
          <w:color w:val="000000"/>
          <w:sz w:val="20"/>
          <w:szCs w:val="20"/>
        </w:rPr>
        <w:t>rs ended December 31, 2022, 2021, and 2020 were not material. We determine realized gains or losses on sale of marketable securities on a specific identification method and include such gains or losses in interest and other income (expense), net on the con</w:t>
      </w:r>
      <w:r>
        <w:rPr>
          <w:rFonts w:ascii="Times New Roman" w:eastAsia="宋体" w:hAnsi="Times New Roman"/>
          <w:color w:val="000000"/>
          <w:sz w:val="20"/>
          <w:szCs w:val="20"/>
        </w:rPr>
        <w:t>solidated statements of income.</w:t>
      </w:r>
    </w:p>
    <w:p w14:paraId="5CD8F688" w14:textId="77777777" w:rsidR="00BA49F5" w:rsidRDefault="00BA49F5">
      <w:pPr>
        <w:ind w:firstLine="540"/>
        <w:jc w:val="both"/>
      </w:pPr>
    </w:p>
    <w:p w14:paraId="5CD8F689" w14:textId="77777777" w:rsidR="00BA49F5" w:rsidRDefault="007E5E49">
      <w:pPr>
        <w:ind w:firstLine="540"/>
        <w:jc w:val="both"/>
      </w:pPr>
      <w:r>
        <w:rPr>
          <w:rFonts w:ascii="Times New Roman" w:eastAsia="宋体" w:hAnsi="Times New Roman"/>
          <w:color w:val="000000"/>
          <w:sz w:val="20"/>
          <w:szCs w:val="20"/>
        </w:rPr>
        <w:t>We classify certain restricted cash balances, consisting mostly of cash related to insurance policies, and retention and indemnification holdback for our acquisitions, within prepaid expenses and other current assets and ot</w:t>
      </w:r>
      <w:r>
        <w:rPr>
          <w:rFonts w:ascii="Times New Roman" w:eastAsia="宋体" w:hAnsi="Times New Roman"/>
          <w:color w:val="000000"/>
          <w:sz w:val="20"/>
          <w:szCs w:val="20"/>
        </w:rPr>
        <w:t>her assets on the consolidated balance sheets based upon the expected duration of the restrictions.</w:t>
      </w:r>
    </w:p>
    <w:p w14:paraId="5CD8F68A" w14:textId="77777777" w:rsidR="00BA49F5" w:rsidRDefault="00BA49F5">
      <w:pPr>
        <w:ind w:firstLine="540"/>
        <w:jc w:val="both"/>
      </w:pPr>
    </w:p>
    <w:p w14:paraId="5CD8F68B" w14:textId="77777777" w:rsidR="00BA49F5" w:rsidRDefault="007E5E49">
      <w:pPr>
        <w:jc w:val="both"/>
      </w:pPr>
      <w:r>
        <w:rPr>
          <w:rFonts w:ascii="Times New Roman" w:eastAsia="宋体" w:hAnsi="Times New Roman"/>
          <w:b/>
          <w:bCs/>
          <w:i/>
          <w:iCs/>
          <w:color w:val="000000"/>
          <w:sz w:val="20"/>
          <w:szCs w:val="20"/>
        </w:rPr>
        <w:t>Non-marketable Equity Securities</w:t>
      </w:r>
      <w:r>
        <w:rPr>
          <w:rFonts w:ascii="Times New Roman" w:eastAsia="宋体" w:hAnsi="Times New Roman"/>
          <w:b/>
          <w:bCs/>
          <w:color w:val="000000"/>
          <w:sz w:val="20"/>
          <w:szCs w:val="20"/>
        </w:rPr>
        <w:t xml:space="preserve"> </w:t>
      </w:r>
    </w:p>
    <w:p w14:paraId="5CD8F68C" w14:textId="77777777" w:rsidR="00BA49F5" w:rsidRDefault="00BA49F5">
      <w:pPr>
        <w:ind w:firstLine="540"/>
        <w:jc w:val="both"/>
      </w:pPr>
    </w:p>
    <w:p w14:paraId="5CD8F68D" w14:textId="77777777" w:rsidR="00BA49F5" w:rsidRDefault="007E5E49">
      <w:pPr>
        <w:ind w:firstLine="540"/>
        <w:jc w:val="both"/>
      </w:pPr>
      <w:r>
        <w:rPr>
          <w:rFonts w:ascii="Times New Roman" w:eastAsia="宋体" w:hAnsi="Times New Roman"/>
          <w:color w:val="000000"/>
          <w:sz w:val="20"/>
          <w:szCs w:val="20"/>
        </w:rPr>
        <w:t>Our non-marketable equity securities are investments in privately-held companies without readily determinable fair value</w:t>
      </w:r>
      <w:r>
        <w:rPr>
          <w:rFonts w:ascii="Times New Roman" w:eastAsia="宋体" w:hAnsi="Times New Roman"/>
          <w:color w:val="000000"/>
          <w:sz w:val="20"/>
          <w:szCs w:val="20"/>
        </w:rPr>
        <w:t>s. We elected to account for substantially all of our non-marketable equity securities using the measurement alternative, which is cost, less any impairment, adjusted for changes in fair value resulting from observable transactions for identical or similar</w:t>
      </w:r>
      <w:r>
        <w:rPr>
          <w:rFonts w:ascii="Times New Roman" w:eastAsia="宋体" w:hAnsi="Times New Roman"/>
          <w:color w:val="000000"/>
          <w:sz w:val="20"/>
          <w:szCs w:val="20"/>
        </w:rPr>
        <w:t xml:space="preserve"> investments of the same issuer as of the respective transaction dates. The change in carrying value, if any, is recognized in interest and other income (expense), net on our consolidated statements of income. We periodically review our non-marketable equi</w:t>
      </w:r>
      <w:r>
        <w:rPr>
          <w:rFonts w:ascii="Times New Roman" w:eastAsia="宋体" w:hAnsi="Times New Roman"/>
          <w:color w:val="000000"/>
          <w:sz w:val="20"/>
          <w:szCs w:val="20"/>
        </w:rPr>
        <w:t>ty securities for impairment. When indicators exist and the estimated fair value of an investment is below the carrying amount, we write down the investment to fair value. During the year ended December 31, 2022, losses resulted from such remeasurements we</w:t>
      </w:r>
      <w:r>
        <w:rPr>
          <w:rFonts w:ascii="Times New Roman" w:eastAsia="宋体" w:hAnsi="Times New Roman"/>
          <w:color w:val="000000"/>
          <w:sz w:val="20"/>
          <w:szCs w:val="20"/>
        </w:rPr>
        <w:t xml:space="preserve">re $447 million. Gains and losses recorded in the years ended December 31, 2021 and 2020 were immaterial. For additional information, see Note 6 — Non-marketable Equity Securities. </w:t>
      </w:r>
    </w:p>
    <w:p w14:paraId="5CD8F68E" w14:textId="77777777" w:rsidR="00BA49F5" w:rsidRDefault="00BA49F5">
      <w:pPr>
        <w:ind w:firstLine="540"/>
        <w:jc w:val="both"/>
      </w:pPr>
    </w:p>
    <w:p w14:paraId="5CD8F68F" w14:textId="77777777" w:rsidR="00BA49F5" w:rsidRDefault="007E5E49">
      <w:pPr>
        <w:ind w:firstLine="540"/>
        <w:jc w:val="both"/>
      </w:pPr>
      <w:r>
        <w:rPr>
          <w:rFonts w:ascii="Times New Roman" w:eastAsia="宋体" w:hAnsi="Times New Roman"/>
          <w:color w:val="000000"/>
          <w:sz w:val="20"/>
          <w:szCs w:val="20"/>
        </w:rPr>
        <w:t>In addition, we also held other non-marketable equity securities accounte</w:t>
      </w:r>
      <w:r>
        <w:rPr>
          <w:rFonts w:ascii="Times New Roman" w:eastAsia="宋体" w:hAnsi="Times New Roman"/>
          <w:color w:val="000000"/>
          <w:sz w:val="20"/>
          <w:szCs w:val="20"/>
        </w:rPr>
        <w:t xml:space="preserve">d for under the equity method which were immaterial as of December 31, 2022 and 2021. </w:t>
      </w:r>
    </w:p>
    <w:p w14:paraId="5CD8F690" w14:textId="77777777" w:rsidR="00BA49F5" w:rsidRDefault="00BA49F5">
      <w:pPr>
        <w:ind w:firstLine="540"/>
        <w:jc w:val="both"/>
      </w:pPr>
    </w:p>
    <w:p w14:paraId="5CD8F691" w14:textId="77777777" w:rsidR="00BA49F5" w:rsidRDefault="007E5E49">
      <w:pPr>
        <w:jc w:val="both"/>
      </w:pPr>
      <w:r>
        <w:rPr>
          <w:rFonts w:ascii="Times New Roman" w:eastAsia="宋体" w:hAnsi="Times New Roman"/>
          <w:b/>
          <w:bCs/>
          <w:i/>
          <w:iCs/>
          <w:color w:val="000000"/>
          <w:sz w:val="20"/>
          <w:szCs w:val="20"/>
        </w:rPr>
        <w:t>Fair Value Measurements</w:t>
      </w:r>
    </w:p>
    <w:p w14:paraId="5CD8F692" w14:textId="77777777" w:rsidR="00BA49F5" w:rsidRDefault="00BA49F5">
      <w:pPr>
        <w:ind w:firstLine="540"/>
        <w:jc w:val="both"/>
      </w:pPr>
    </w:p>
    <w:p w14:paraId="5CD8F693" w14:textId="77777777" w:rsidR="00BA49F5" w:rsidRDefault="007E5E49">
      <w:pPr>
        <w:ind w:firstLine="540"/>
        <w:jc w:val="both"/>
      </w:pPr>
      <w:r>
        <w:rPr>
          <w:rFonts w:ascii="Times New Roman" w:eastAsia="宋体" w:hAnsi="Times New Roman"/>
          <w:color w:val="000000"/>
          <w:sz w:val="20"/>
          <w:szCs w:val="20"/>
        </w:rPr>
        <w:t xml:space="preserve">We apply fair value accounting for all financial assets and liabilities and non-financial assets and liabilities that are recognized or </w:t>
      </w:r>
      <w:r>
        <w:rPr>
          <w:rFonts w:ascii="Times New Roman" w:eastAsia="宋体" w:hAnsi="Times New Roman"/>
          <w:color w:val="000000"/>
          <w:sz w:val="20"/>
          <w:szCs w:val="20"/>
        </w:rPr>
        <w:t>disclosed at fair value in the financial statements on a recurring basis. We define fair value as the price that would be received from selling an asset or paid to transfer a liability in an orderly transaction between market participants at the measuremen</w:t>
      </w:r>
      <w:r>
        <w:rPr>
          <w:rFonts w:ascii="Times New Roman" w:eastAsia="宋体" w:hAnsi="Times New Roman"/>
          <w:color w:val="000000"/>
          <w:sz w:val="20"/>
          <w:szCs w:val="20"/>
        </w:rPr>
        <w:t>t date. When determining the fair value measurements for assets and liabilities, which are required to be recorded at fair value, we consider the principal or most advantageous market in which we would transact and the market-based risk measurements or ass</w:t>
      </w:r>
      <w:r>
        <w:rPr>
          <w:rFonts w:ascii="Times New Roman" w:eastAsia="宋体" w:hAnsi="Times New Roman"/>
          <w:color w:val="000000"/>
          <w:sz w:val="20"/>
          <w:szCs w:val="20"/>
        </w:rPr>
        <w:t xml:space="preserve">umptions that market participants would use in pricing the asset or liability, such as risks inherent in valuation techniques, transfer restrictions and credit risk. Fair value is estimated by applying the following hierarchy, which prioritizes the inputs </w:t>
      </w:r>
      <w:r>
        <w:rPr>
          <w:rFonts w:ascii="Times New Roman" w:eastAsia="宋体" w:hAnsi="Times New Roman"/>
          <w:color w:val="000000"/>
          <w:sz w:val="20"/>
          <w:szCs w:val="20"/>
        </w:rPr>
        <w:t>used to measure fair value into three levels and bases the categorization within the hierarchy upon the lowest level of input that is available and significant to the fair value measurement:</w:t>
      </w:r>
    </w:p>
    <w:p w14:paraId="5CD8F694" w14:textId="77777777" w:rsidR="00BA49F5" w:rsidRDefault="00BA49F5">
      <w:pPr>
        <w:ind w:firstLine="540"/>
        <w:jc w:val="both"/>
      </w:pPr>
    </w:p>
    <w:p w14:paraId="5CD8F695" w14:textId="77777777" w:rsidR="00BA49F5" w:rsidRDefault="007E5E49">
      <w:pPr>
        <w:ind w:firstLine="540"/>
        <w:jc w:val="both"/>
      </w:pPr>
      <w:r>
        <w:rPr>
          <w:rFonts w:ascii="Times New Roman" w:eastAsia="宋体" w:hAnsi="Times New Roman"/>
          <w:i/>
          <w:iCs/>
          <w:color w:val="000000"/>
          <w:sz w:val="20"/>
          <w:szCs w:val="20"/>
        </w:rPr>
        <w:t>Level 1</w:t>
      </w:r>
      <w:r>
        <w:rPr>
          <w:rFonts w:ascii="Times New Roman" w:eastAsia="宋体" w:hAnsi="Times New Roman"/>
          <w:color w:val="000000"/>
          <w:sz w:val="20"/>
          <w:szCs w:val="20"/>
        </w:rPr>
        <w:t>- Quoted prices in active markets for identical assets or</w:t>
      </w:r>
      <w:r>
        <w:rPr>
          <w:rFonts w:ascii="Times New Roman" w:eastAsia="宋体" w:hAnsi="Times New Roman"/>
          <w:color w:val="000000"/>
          <w:sz w:val="20"/>
          <w:szCs w:val="20"/>
        </w:rPr>
        <w:t xml:space="preserve"> liabilities.</w:t>
      </w:r>
    </w:p>
    <w:p w14:paraId="5CD8F696" w14:textId="77777777" w:rsidR="00BA49F5" w:rsidRDefault="00BA49F5">
      <w:pPr>
        <w:ind w:firstLine="540"/>
        <w:jc w:val="both"/>
      </w:pPr>
    </w:p>
    <w:p w14:paraId="5CD8F697" w14:textId="77777777" w:rsidR="00BA49F5" w:rsidRDefault="007E5E49">
      <w:pPr>
        <w:jc w:val="center"/>
      </w:pPr>
      <w:r>
        <w:rPr>
          <w:rFonts w:ascii="Times New Roman" w:eastAsia="宋体" w:hAnsi="Times New Roman"/>
          <w:color w:val="000000"/>
          <w:sz w:val="20"/>
          <w:szCs w:val="20"/>
        </w:rPr>
        <w:t>94</w:t>
      </w:r>
    </w:p>
    <w:p w14:paraId="5CD8F698" w14:textId="77777777" w:rsidR="00BA49F5" w:rsidRDefault="007E5E49">
      <w:r>
        <w:pict w14:anchorId="5CD90D53">
          <v:rect id="_x0000_i1118" style="width:415.3pt;height:1.5pt" o:hralign="center" o:hrstd="t" o:hr="t" fillcolor="#a0a0a0" stroked="f"/>
        </w:pict>
      </w:r>
    </w:p>
    <w:p w14:paraId="5CD8F699" w14:textId="77777777" w:rsidR="00BA49F5" w:rsidRDefault="00BA49F5"/>
    <w:p w14:paraId="5CD8F69A" w14:textId="77777777" w:rsidR="00BA49F5" w:rsidRDefault="00BA49F5"/>
    <w:p w14:paraId="5CD8F69B" w14:textId="77777777" w:rsidR="00BA49F5" w:rsidRDefault="007E5E49">
      <w:hyperlink r:id="rId283" w:anchor="i6df229dad1864210ab76200083e26819_7" w:history="1">
        <w:r>
          <w:rPr>
            <w:rStyle w:val="a5"/>
            <w:rFonts w:ascii="Times New Roman" w:eastAsia="宋体" w:hAnsi="Times New Roman"/>
            <w:sz w:val="20"/>
            <w:szCs w:val="20"/>
          </w:rPr>
          <w:t>T</w:t>
        </w:r>
      </w:hyperlink>
      <w:hyperlink r:id="rId284" w:anchor="i6df229dad1864210ab76200083e26819_7" w:history="1">
        <w:r>
          <w:rPr>
            <w:rStyle w:val="a5"/>
            <w:rFonts w:ascii="Times New Roman" w:eastAsia="宋体" w:hAnsi="Times New Roman"/>
            <w:sz w:val="20"/>
            <w:szCs w:val="20"/>
          </w:rPr>
          <w:t>able of Contents</w:t>
        </w:r>
      </w:hyperlink>
    </w:p>
    <w:p w14:paraId="5CD8F69C" w14:textId="77777777" w:rsidR="00BA49F5" w:rsidRDefault="007E5E49">
      <w:pPr>
        <w:ind w:firstLine="540"/>
        <w:jc w:val="both"/>
      </w:pPr>
      <w:r>
        <w:rPr>
          <w:rFonts w:ascii="Times New Roman" w:eastAsia="宋体" w:hAnsi="Times New Roman"/>
          <w:i/>
          <w:iCs/>
          <w:color w:val="000000"/>
          <w:sz w:val="20"/>
          <w:szCs w:val="20"/>
        </w:rPr>
        <w:t>Level 2</w:t>
      </w:r>
      <w:r>
        <w:rPr>
          <w:rFonts w:ascii="Times New Roman" w:eastAsia="宋体" w:hAnsi="Times New Roman"/>
          <w:color w:val="000000"/>
          <w:sz w:val="20"/>
          <w:szCs w:val="20"/>
        </w:rPr>
        <w:t>- Observable inputs other than quoted prices in active markets for identical as</w:t>
      </w:r>
      <w:r>
        <w:rPr>
          <w:rFonts w:ascii="Times New Roman" w:eastAsia="宋体" w:hAnsi="Times New Roman"/>
          <w:color w:val="000000"/>
          <w:sz w:val="20"/>
          <w:szCs w:val="20"/>
        </w:rPr>
        <w:t>sets and liabilities, quoted prices for identical or similar assets or liabilities in inactive markets, or other inputs that are observable or can be corroborated by observable market data for substantially the full term of the assets or liabilities.</w:t>
      </w:r>
    </w:p>
    <w:p w14:paraId="5CD8F69D" w14:textId="77777777" w:rsidR="00BA49F5" w:rsidRDefault="00BA49F5">
      <w:pPr>
        <w:ind w:firstLine="540"/>
        <w:jc w:val="both"/>
      </w:pPr>
    </w:p>
    <w:p w14:paraId="5CD8F69E" w14:textId="77777777" w:rsidR="00BA49F5" w:rsidRDefault="007E5E49">
      <w:pPr>
        <w:ind w:firstLine="540"/>
        <w:jc w:val="both"/>
      </w:pPr>
      <w:r>
        <w:rPr>
          <w:rFonts w:ascii="Times New Roman" w:eastAsia="宋体" w:hAnsi="Times New Roman"/>
          <w:i/>
          <w:iCs/>
          <w:color w:val="000000"/>
          <w:sz w:val="20"/>
          <w:szCs w:val="20"/>
        </w:rPr>
        <w:t>Leve</w:t>
      </w:r>
      <w:r>
        <w:rPr>
          <w:rFonts w:ascii="Times New Roman" w:eastAsia="宋体" w:hAnsi="Times New Roman"/>
          <w:i/>
          <w:iCs/>
          <w:color w:val="000000"/>
          <w:sz w:val="20"/>
          <w:szCs w:val="20"/>
        </w:rPr>
        <w:t>l 3</w:t>
      </w:r>
      <w:r>
        <w:rPr>
          <w:rFonts w:ascii="Times New Roman" w:eastAsia="宋体" w:hAnsi="Times New Roman"/>
          <w:color w:val="000000"/>
          <w:sz w:val="20"/>
          <w:szCs w:val="20"/>
        </w:rPr>
        <w:t>- Inputs that are generally unobservable and typically reflect management's estimate of assumptions that market participants would use in pricing the asset or liability.</w:t>
      </w:r>
    </w:p>
    <w:p w14:paraId="5CD8F69F" w14:textId="77777777" w:rsidR="00BA49F5" w:rsidRDefault="00BA49F5">
      <w:pPr>
        <w:ind w:firstLine="540"/>
        <w:jc w:val="both"/>
      </w:pPr>
    </w:p>
    <w:p w14:paraId="5CD8F6A0" w14:textId="77777777" w:rsidR="00BA49F5" w:rsidRDefault="007E5E49">
      <w:pPr>
        <w:ind w:firstLine="540"/>
        <w:jc w:val="both"/>
      </w:pPr>
      <w:r>
        <w:rPr>
          <w:rFonts w:ascii="Times New Roman" w:eastAsia="宋体" w:hAnsi="Times New Roman"/>
          <w:color w:val="000000"/>
          <w:sz w:val="20"/>
          <w:szCs w:val="20"/>
        </w:rPr>
        <w:t xml:space="preserve">Our cash equivalents and marketable debt securities are classified within Level 1 </w:t>
      </w:r>
      <w:r>
        <w:rPr>
          <w:rFonts w:ascii="Times New Roman" w:eastAsia="宋体" w:hAnsi="Times New Roman"/>
          <w:color w:val="000000"/>
          <w:sz w:val="20"/>
          <w:szCs w:val="20"/>
        </w:rPr>
        <w:t xml:space="preserve">or Level 2 of the fair value hierarchy because their fair value is derived from quoted market prices or alternative pricing sources and models utilizing observable market inputs. Our marketable equity securities are publicly traded stocks measured at fair </w:t>
      </w:r>
      <w:r>
        <w:rPr>
          <w:rFonts w:ascii="Times New Roman" w:eastAsia="宋体" w:hAnsi="Times New Roman"/>
          <w:color w:val="000000"/>
          <w:sz w:val="20"/>
          <w:szCs w:val="20"/>
        </w:rPr>
        <w:t>value and classified within Level 1 in the fair value hierarchy because we use quoted prices for identical assets in active markets to estimate their fair value. Certain other assets are classified within Level 3 because factors used to develop the estimat</w:t>
      </w:r>
      <w:r>
        <w:rPr>
          <w:rFonts w:ascii="Times New Roman" w:eastAsia="宋体" w:hAnsi="Times New Roman"/>
          <w:color w:val="000000"/>
          <w:sz w:val="20"/>
          <w:szCs w:val="20"/>
        </w:rPr>
        <w:t>ed fair value are unobservable inputs that are not supported by market activity.</w:t>
      </w:r>
    </w:p>
    <w:p w14:paraId="5CD8F6A1" w14:textId="77777777" w:rsidR="00BA49F5" w:rsidRDefault="00BA49F5">
      <w:pPr>
        <w:ind w:firstLine="540"/>
        <w:jc w:val="both"/>
      </w:pPr>
    </w:p>
    <w:p w14:paraId="5CD8F6A2" w14:textId="77777777" w:rsidR="00BA49F5" w:rsidRDefault="007E5E49">
      <w:pPr>
        <w:ind w:firstLine="540"/>
        <w:jc w:val="both"/>
      </w:pPr>
      <w:r>
        <w:rPr>
          <w:rFonts w:ascii="Times New Roman" w:eastAsia="宋体" w:hAnsi="Times New Roman"/>
          <w:color w:val="000000"/>
          <w:sz w:val="20"/>
          <w:szCs w:val="20"/>
        </w:rPr>
        <w:t xml:space="preserve">Our non-marketable equity securities accounted for using the measurement alternative are recorded at fair value on a non-recurring basis. When indicators of impairment exist </w:t>
      </w:r>
      <w:r>
        <w:rPr>
          <w:rFonts w:ascii="Times New Roman" w:eastAsia="宋体" w:hAnsi="Times New Roman"/>
          <w:color w:val="000000"/>
          <w:sz w:val="20"/>
          <w:szCs w:val="20"/>
        </w:rPr>
        <w:t>or observable price changes of qualified transactions occur, the respective non-marketable equity security would be classified within Level 3 of the fair value hierarchy because the valuation methods include a combination of the observable transaction pric</w:t>
      </w:r>
      <w:r>
        <w:rPr>
          <w:rFonts w:ascii="Times New Roman" w:eastAsia="宋体" w:hAnsi="Times New Roman"/>
          <w:color w:val="000000"/>
          <w:sz w:val="20"/>
          <w:szCs w:val="20"/>
        </w:rPr>
        <w:t xml:space="preserve">e at the transaction date and other unobservable inputs including volatility, rights, and obligations of the securities we hold. </w:t>
      </w:r>
    </w:p>
    <w:p w14:paraId="5CD8F6A3" w14:textId="77777777" w:rsidR="00BA49F5" w:rsidRDefault="00BA49F5">
      <w:pPr>
        <w:ind w:firstLine="540"/>
        <w:jc w:val="both"/>
      </w:pPr>
    </w:p>
    <w:p w14:paraId="5CD8F6A4" w14:textId="77777777" w:rsidR="00BA49F5" w:rsidRDefault="007E5E49">
      <w:pPr>
        <w:jc w:val="both"/>
      </w:pPr>
      <w:r>
        <w:rPr>
          <w:rFonts w:ascii="Times New Roman" w:eastAsia="宋体" w:hAnsi="Times New Roman"/>
          <w:b/>
          <w:bCs/>
          <w:i/>
          <w:iCs/>
          <w:color w:val="000000"/>
          <w:sz w:val="20"/>
          <w:szCs w:val="20"/>
        </w:rPr>
        <w:t>Accounts Receivable and Allowances</w:t>
      </w:r>
    </w:p>
    <w:p w14:paraId="5CD8F6A5" w14:textId="77777777" w:rsidR="00BA49F5" w:rsidRDefault="00BA49F5">
      <w:pPr>
        <w:ind w:firstLine="540"/>
        <w:jc w:val="both"/>
      </w:pPr>
    </w:p>
    <w:p w14:paraId="5CD8F6A6" w14:textId="77777777" w:rsidR="00BA49F5" w:rsidRDefault="007E5E49">
      <w:pPr>
        <w:ind w:firstLine="540"/>
        <w:jc w:val="both"/>
      </w:pPr>
      <w:r>
        <w:rPr>
          <w:rFonts w:ascii="Times New Roman" w:eastAsia="宋体" w:hAnsi="Times New Roman"/>
          <w:color w:val="000000"/>
          <w:sz w:val="20"/>
          <w:szCs w:val="20"/>
        </w:rPr>
        <w:t>Accounts receivable are recorded and carried at the original invoiced amount less an allo</w:t>
      </w:r>
      <w:r>
        <w:rPr>
          <w:rFonts w:ascii="Times New Roman" w:eastAsia="宋体" w:hAnsi="Times New Roman"/>
          <w:color w:val="000000"/>
          <w:sz w:val="20"/>
          <w:szCs w:val="20"/>
        </w:rPr>
        <w:t>wance for any potential uncollectible amounts. We make estimates of expected credit and collectibility trends for the allowance for credit losses and allowance for unbilled receivables based upon our assessment of various factors, including historical expe</w:t>
      </w:r>
      <w:r>
        <w:rPr>
          <w:rFonts w:ascii="Times New Roman" w:eastAsia="宋体" w:hAnsi="Times New Roman"/>
          <w:color w:val="000000"/>
          <w:sz w:val="20"/>
          <w:szCs w:val="20"/>
        </w:rPr>
        <w:t xml:space="preserve">rience, the age of the accounts receivable balances, credit quality of our customers, current economic conditions, reasonable and supportable forecasts of future economic conditions, and other factors that may affect our ability to collect from customers. </w:t>
      </w:r>
      <w:r>
        <w:rPr>
          <w:rFonts w:ascii="Times New Roman" w:eastAsia="宋体" w:hAnsi="Times New Roman"/>
          <w:color w:val="000000"/>
          <w:sz w:val="20"/>
          <w:szCs w:val="20"/>
        </w:rPr>
        <w:t xml:space="preserve">Expected credit losses are recorded as general and administrative expenses on our consolidated statements of income. As of December 31, 2022 and 2021, the allowances for accounts receivable were immaterial. </w:t>
      </w:r>
    </w:p>
    <w:p w14:paraId="5CD8F6A7" w14:textId="77777777" w:rsidR="00BA49F5" w:rsidRDefault="00BA49F5">
      <w:pPr>
        <w:ind w:firstLine="540"/>
        <w:jc w:val="both"/>
      </w:pPr>
    </w:p>
    <w:p w14:paraId="5CD8F6A8" w14:textId="77777777" w:rsidR="00BA49F5" w:rsidRDefault="007E5E49">
      <w:pPr>
        <w:jc w:val="both"/>
      </w:pPr>
      <w:r>
        <w:rPr>
          <w:rFonts w:ascii="Times New Roman" w:eastAsia="宋体" w:hAnsi="Times New Roman"/>
          <w:b/>
          <w:bCs/>
          <w:i/>
          <w:iCs/>
          <w:color w:val="000000"/>
          <w:sz w:val="20"/>
          <w:szCs w:val="20"/>
        </w:rPr>
        <w:t>Property and Equipment</w:t>
      </w:r>
    </w:p>
    <w:p w14:paraId="5CD8F6A9" w14:textId="77777777" w:rsidR="00BA49F5" w:rsidRDefault="00BA49F5">
      <w:pPr>
        <w:ind w:firstLine="540"/>
        <w:jc w:val="both"/>
      </w:pPr>
    </w:p>
    <w:p w14:paraId="5CD8F6AA" w14:textId="77777777" w:rsidR="00BA49F5" w:rsidRDefault="007E5E49">
      <w:pPr>
        <w:ind w:firstLine="540"/>
        <w:jc w:val="both"/>
      </w:pPr>
      <w:r>
        <w:rPr>
          <w:rFonts w:ascii="Times New Roman" w:eastAsia="宋体" w:hAnsi="Times New Roman"/>
          <w:color w:val="000000"/>
          <w:sz w:val="20"/>
          <w:szCs w:val="20"/>
        </w:rPr>
        <w:t>Property and equipment,</w:t>
      </w:r>
      <w:r>
        <w:rPr>
          <w:rFonts w:ascii="Times New Roman" w:eastAsia="宋体" w:hAnsi="Times New Roman"/>
          <w:color w:val="000000"/>
          <w:sz w:val="20"/>
          <w:szCs w:val="20"/>
        </w:rPr>
        <w:t xml:space="preserve"> which includes amounts recorded under finance leases, which are amortized, are stated at cost less accumulated depreciation. Depreciation is computed using the straight-line method over the estimated useful lives of the assets or the remaining lease term,</w:t>
      </w:r>
      <w:r>
        <w:rPr>
          <w:rFonts w:ascii="Times New Roman" w:eastAsia="宋体" w:hAnsi="Times New Roman"/>
          <w:color w:val="000000"/>
          <w:sz w:val="20"/>
          <w:szCs w:val="20"/>
        </w:rPr>
        <w:t xml:space="preserve"> whichever is shorter.</w:t>
      </w:r>
    </w:p>
    <w:p w14:paraId="5CD8F6AB" w14:textId="77777777" w:rsidR="00BA49F5" w:rsidRDefault="00BA49F5">
      <w:pPr>
        <w:ind w:firstLine="540"/>
        <w:jc w:val="both"/>
      </w:pPr>
    </w:p>
    <w:p w14:paraId="5CD8F6AC" w14:textId="77777777" w:rsidR="00BA49F5" w:rsidRDefault="007E5E49">
      <w:pPr>
        <w:spacing w:before="180"/>
        <w:ind w:firstLine="540"/>
        <w:jc w:val="both"/>
      </w:pPr>
      <w:r>
        <w:rPr>
          <w:rFonts w:ascii="Times New Roman" w:eastAsia="宋体" w:hAnsi="Times New Roman"/>
          <w:color w:val="000000"/>
          <w:sz w:val="20"/>
          <w:szCs w:val="20"/>
        </w:rPr>
        <w:t>The estimated useful lives of property and equipment and amortization periods of finance lease right-of-use assets are described below:</w:t>
      </w:r>
    </w:p>
    <w:tbl>
      <w:tblPr>
        <w:tblW w:w="5000" w:type="pct"/>
        <w:tblCellMar>
          <w:top w:w="15" w:type="dxa"/>
          <w:left w:w="15" w:type="dxa"/>
          <w:bottom w:w="15" w:type="dxa"/>
          <w:right w:w="15" w:type="dxa"/>
        </w:tblCellMar>
        <w:tblLook w:val="04A0" w:firstRow="1" w:lastRow="0" w:firstColumn="1" w:lastColumn="0" w:noHBand="0" w:noVBand="1"/>
      </w:tblPr>
      <w:tblGrid>
        <w:gridCol w:w="60"/>
        <w:gridCol w:w="4102"/>
        <w:gridCol w:w="39"/>
        <w:gridCol w:w="36"/>
        <w:gridCol w:w="36"/>
        <w:gridCol w:w="36"/>
        <w:gridCol w:w="48"/>
        <w:gridCol w:w="3943"/>
        <w:gridCol w:w="36"/>
      </w:tblGrid>
      <w:tr w:rsidR="00BA49F5" w14:paraId="5CD8F6B6" w14:textId="77777777">
        <w:tc>
          <w:tcPr>
            <w:tcW w:w="50" w:type="pct"/>
            <w:shd w:val="clear" w:color="auto" w:fill="auto"/>
            <w:vAlign w:val="bottom"/>
          </w:tcPr>
          <w:p w14:paraId="5CD8F6AD" w14:textId="77777777" w:rsidR="00BA49F5" w:rsidRDefault="00BA49F5">
            <w:pPr>
              <w:rPr>
                <w:rFonts w:ascii="宋体"/>
              </w:rPr>
            </w:pPr>
          </w:p>
        </w:tc>
        <w:tc>
          <w:tcPr>
            <w:tcW w:w="2474" w:type="pct"/>
            <w:shd w:val="clear" w:color="auto" w:fill="auto"/>
            <w:vAlign w:val="bottom"/>
          </w:tcPr>
          <w:p w14:paraId="5CD8F6AE" w14:textId="77777777" w:rsidR="00BA49F5" w:rsidRDefault="00BA49F5">
            <w:pPr>
              <w:rPr>
                <w:rFonts w:ascii="宋体"/>
              </w:rPr>
            </w:pPr>
          </w:p>
        </w:tc>
        <w:tc>
          <w:tcPr>
            <w:tcW w:w="5" w:type="pct"/>
            <w:shd w:val="clear" w:color="auto" w:fill="auto"/>
            <w:vAlign w:val="bottom"/>
          </w:tcPr>
          <w:p w14:paraId="5CD8F6AF" w14:textId="77777777" w:rsidR="00BA49F5" w:rsidRDefault="00BA49F5">
            <w:pPr>
              <w:rPr>
                <w:rFonts w:ascii="宋体"/>
              </w:rPr>
            </w:pPr>
          </w:p>
        </w:tc>
        <w:tc>
          <w:tcPr>
            <w:tcW w:w="5" w:type="pct"/>
            <w:shd w:val="clear" w:color="auto" w:fill="auto"/>
            <w:vAlign w:val="bottom"/>
          </w:tcPr>
          <w:p w14:paraId="5CD8F6B0" w14:textId="77777777" w:rsidR="00BA49F5" w:rsidRDefault="00BA49F5">
            <w:pPr>
              <w:rPr>
                <w:rFonts w:ascii="宋体"/>
              </w:rPr>
            </w:pPr>
          </w:p>
        </w:tc>
        <w:tc>
          <w:tcPr>
            <w:tcW w:w="27" w:type="pct"/>
            <w:shd w:val="clear" w:color="auto" w:fill="auto"/>
            <w:vAlign w:val="bottom"/>
          </w:tcPr>
          <w:p w14:paraId="5CD8F6B1" w14:textId="77777777" w:rsidR="00BA49F5" w:rsidRDefault="00BA49F5">
            <w:pPr>
              <w:rPr>
                <w:rFonts w:ascii="宋体"/>
              </w:rPr>
            </w:pPr>
          </w:p>
        </w:tc>
        <w:tc>
          <w:tcPr>
            <w:tcW w:w="5" w:type="pct"/>
            <w:shd w:val="clear" w:color="auto" w:fill="auto"/>
            <w:vAlign w:val="bottom"/>
          </w:tcPr>
          <w:p w14:paraId="5CD8F6B2" w14:textId="77777777" w:rsidR="00BA49F5" w:rsidRDefault="00BA49F5">
            <w:pPr>
              <w:rPr>
                <w:rFonts w:ascii="宋体"/>
              </w:rPr>
            </w:pPr>
          </w:p>
        </w:tc>
        <w:tc>
          <w:tcPr>
            <w:tcW w:w="50" w:type="pct"/>
            <w:shd w:val="clear" w:color="auto" w:fill="auto"/>
            <w:vAlign w:val="bottom"/>
          </w:tcPr>
          <w:p w14:paraId="5CD8F6B3" w14:textId="77777777" w:rsidR="00BA49F5" w:rsidRDefault="00BA49F5">
            <w:pPr>
              <w:rPr>
                <w:rFonts w:ascii="宋体"/>
              </w:rPr>
            </w:pPr>
          </w:p>
        </w:tc>
        <w:tc>
          <w:tcPr>
            <w:tcW w:w="2378" w:type="pct"/>
            <w:shd w:val="clear" w:color="auto" w:fill="auto"/>
            <w:vAlign w:val="bottom"/>
          </w:tcPr>
          <w:p w14:paraId="5CD8F6B4" w14:textId="77777777" w:rsidR="00BA49F5" w:rsidRDefault="00BA49F5">
            <w:pPr>
              <w:rPr>
                <w:rFonts w:ascii="宋体"/>
              </w:rPr>
            </w:pPr>
          </w:p>
        </w:tc>
        <w:tc>
          <w:tcPr>
            <w:tcW w:w="5" w:type="pct"/>
            <w:shd w:val="clear" w:color="auto" w:fill="auto"/>
            <w:vAlign w:val="bottom"/>
          </w:tcPr>
          <w:p w14:paraId="5CD8F6B5" w14:textId="77777777" w:rsidR="00BA49F5" w:rsidRDefault="00BA49F5">
            <w:pPr>
              <w:rPr>
                <w:rFonts w:ascii="宋体"/>
              </w:rPr>
            </w:pPr>
          </w:p>
        </w:tc>
      </w:tr>
      <w:tr w:rsidR="00BA49F5" w14:paraId="5CD8F6BA" w14:textId="77777777">
        <w:tc>
          <w:tcPr>
            <w:tcW w:w="0" w:type="auto"/>
            <w:gridSpan w:val="3"/>
            <w:shd w:val="clear" w:color="auto" w:fill="auto"/>
            <w:tcMar>
              <w:top w:w="40" w:type="dxa"/>
              <w:left w:w="20" w:type="dxa"/>
              <w:bottom w:w="40" w:type="dxa"/>
              <w:right w:w="20" w:type="dxa"/>
            </w:tcMar>
            <w:vAlign w:val="bottom"/>
          </w:tcPr>
          <w:p w14:paraId="5CD8F6B7" w14:textId="77777777" w:rsidR="00BA49F5" w:rsidRDefault="007E5E49">
            <w:pPr>
              <w:jc w:val="both"/>
              <w:textAlignment w:val="bottom"/>
            </w:pPr>
            <w:r>
              <w:rPr>
                <w:rFonts w:ascii="Times New Roman" w:eastAsia="宋体" w:hAnsi="Times New Roman"/>
                <w:b/>
                <w:bCs/>
                <w:color w:val="000000"/>
                <w:sz w:val="16"/>
                <w:szCs w:val="16"/>
              </w:rPr>
              <w:t>Property and Equipment</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CD8F6B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6B9" w14:textId="77777777" w:rsidR="00BA49F5" w:rsidRDefault="007E5E49">
            <w:pPr>
              <w:jc w:val="both"/>
              <w:textAlignment w:val="bottom"/>
            </w:pPr>
            <w:r>
              <w:rPr>
                <w:rFonts w:ascii="Times New Roman" w:eastAsia="宋体" w:hAnsi="Times New Roman"/>
                <w:b/>
                <w:bCs/>
                <w:color w:val="000000"/>
                <w:sz w:val="16"/>
                <w:szCs w:val="16"/>
              </w:rPr>
              <w:t>Useful Life/ Amortization period</w:t>
            </w:r>
          </w:p>
        </w:tc>
      </w:tr>
      <w:tr w:rsidR="00BA49F5" w14:paraId="5CD8F6B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6BB" w14:textId="77777777" w:rsidR="00BA49F5" w:rsidRDefault="007E5E49">
            <w:pPr>
              <w:textAlignment w:val="bottom"/>
            </w:pPr>
            <w:r>
              <w:rPr>
                <w:rFonts w:ascii="Times New Roman" w:eastAsia="宋体" w:hAnsi="Times New Roman"/>
                <w:color w:val="000000"/>
                <w:sz w:val="20"/>
                <w:szCs w:val="20"/>
              </w:rPr>
              <w:t xml:space="preserve">Servers and network </w:t>
            </w:r>
            <w:r>
              <w:rPr>
                <w:rFonts w:ascii="Times New Roman" w:eastAsia="宋体" w:hAnsi="Times New Roman"/>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5CD8F6BC"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6BD" w14:textId="77777777" w:rsidR="00BA49F5" w:rsidRDefault="007E5E49">
            <w:pPr>
              <w:textAlignment w:val="bottom"/>
            </w:pPr>
            <w:r>
              <w:rPr>
                <w:rFonts w:ascii="Times New Roman" w:eastAsia="宋体" w:hAnsi="Times New Roman"/>
                <w:color w:val="000000"/>
                <w:sz w:val="20"/>
                <w:szCs w:val="20"/>
              </w:rPr>
              <w:t>Four to Five years</w:t>
            </w:r>
          </w:p>
        </w:tc>
      </w:tr>
      <w:tr w:rsidR="00BA49F5" w14:paraId="5CD8F6C2" w14:textId="77777777">
        <w:tc>
          <w:tcPr>
            <w:tcW w:w="0" w:type="auto"/>
            <w:gridSpan w:val="3"/>
            <w:shd w:val="clear" w:color="auto" w:fill="FFFFFF"/>
            <w:tcMar>
              <w:top w:w="40" w:type="dxa"/>
              <w:left w:w="20" w:type="dxa"/>
              <w:bottom w:w="40" w:type="dxa"/>
              <w:right w:w="20" w:type="dxa"/>
            </w:tcMar>
            <w:vAlign w:val="bottom"/>
          </w:tcPr>
          <w:p w14:paraId="5CD8F6BF" w14:textId="77777777" w:rsidR="00BA49F5" w:rsidRDefault="007E5E49">
            <w:pPr>
              <w:textAlignment w:val="bottom"/>
            </w:pPr>
            <w:r>
              <w:rPr>
                <w:rFonts w:ascii="Times New Roman" w:eastAsia="宋体" w:hAnsi="Times New Roman"/>
                <w:color w:val="000000"/>
                <w:sz w:val="20"/>
                <w:szCs w:val="20"/>
              </w:rPr>
              <w:t>Buildings</w:t>
            </w:r>
          </w:p>
        </w:tc>
        <w:tc>
          <w:tcPr>
            <w:tcW w:w="0" w:type="auto"/>
            <w:gridSpan w:val="3"/>
            <w:shd w:val="clear" w:color="auto" w:fill="FFFFFF"/>
            <w:tcMar>
              <w:top w:w="0" w:type="dxa"/>
              <w:left w:w="20" w:type="dxa"/>
              <w:bottom w:w="0" w:type="dxa"/>
              <w:right w:w="20" w:type="dxa"/>
            </w:tcMar>
            <w:vAlign w:val="bottom"/>
          </w:tcPr>
          <w:p w14:paraId="5CD8F6C0"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6C1" w14:textId="77777777" w:rsidR="00BA49F5" w:rsidRDefault="007E5E49">
            <w:pPr>
              <w:textAlignment w:val="bottom"/>
            </w:pPr>
            <w:r>
              <w:rPr>
                <w:rFonts w:ascii="Times New Roman" w:eastAsia="宋体" w:hAnsi="Times New Roman"/>
                <w:color w:val="000000"/>
                <w:sz w:val="20"/>
                <w:szCs w:val="20"/>
              </w:rPr>
              <w:t>25 to 30 years</w:t>
            </w:r>
          </w:p>
        </w:tc>
      </w:tr>
      <w:tr w:rsidR="00BA49F5" w14:paraId="5CD8F6C6" w14:textId="77777777">
        <w:tc>
          <w:tcPr>
            <w:tcW w:w="0" w:type="auto"/>
            <w:gridSpan w:val="3"/>
            <w:shd w:val="clear" w:color="auto" w:fill="CCEEFF"/>
            <w:tcMar>
              <w:top w:w="40" w:type="dxa"/>
              <w:left w:w="20" w:type="dxa"/>
              <w:bottom w:w="40" w:type="dxa"/>
              <w:right w:w="20" w:type="dxa"/>
            </w:tcMar>
            <w:vAlign w:val="bottom"/>
          </w:tcPr>
          <w:p w14:paraId="5CD8F6C3" w14:textId="77777777" w:rsidR="00BA49F5" w:rsidRDefault="007E5E49">
            <w:pPr>
              <w:textAlignment w:val="bottom"/>
            </w:pPr>
            <w:r>
              <w:rPr>
                <w:rFonts w:ascii="Times New Roman" w:eastAsia="宋体" w:hAnsi="Times New Roman"/>
                <w:color w:val="000000"/>
                <w:sz w:val="20"/>
                <w:szCs w:val="20"/>
              </w:rPr>
              <w:t>Equipment and other</w:t>
            </w:r>
          </w:p>
        </w:tc>
        <w:tc>
          <w:tcPr>
            <w:tcW w:w="0" w:type="auto"/>
            <w:gridSpan w:val="3"/>
            <w:shd w:val="clear" w:color="auto" w:fill="CCEEFF"/>
            <w:tcMar>
              <w:top w:w="0" w:type="dxa"/>
              <w:left w:w="20" w:type="dxa"/>
              <w:bottom w:w="0" w:type="dxa"/>
              <w:right w:w="20" w:type="dxa"/>
            </w:tcMar>
            <w:vAlign w:val="bottom"/>
          </w:tcPr>
          <w:p w14:paraId="5CD8F6C4"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F6C5" w14:textId="77777777" w:rsidR="00BA49F5" w:rsidRDefault="007E5E49">
            <w:pPr>
              <w:textAlignment w:val="bottom"/>
            </w:pPr>
            <w:r>
              <w:rPr>
                <w:rFonts w:ascii="Times New Roman" w:eastAsia="宋体" w:hAnsi="Times New Roman"/>
                <w:color w:val="000000"/>
                <w:sz w:val="20"/>
                <w:szCs w:val="20"/>
              </w:rPr>
              <w:t>One to 25 years</w:t>
            </w:r>
          </w:p>
        </w:tc>
      </w:tr>
      <w:tr w:rsidR="00BA49F5" w14:paraId="5CD8F6CA" w14:textId="77777777">
        <w:tc>
          <w:tcPr>
            <w:tcW w:w="0" w:type="auto"/>
            <w:gridSpan w:val="3"/>
            <w:shd w:val="clear" w:color="auto" w:fill="FFFFFF"/>
            <w:tcMar>
              <w:top w:w="40" w:type="dxa"/>
              <w:left w:w="20" w:type="dxa"/>
              <w:bottom w:w="40" w:type="dxa"/>
              <w:right w:w="20" w:type="dxa"/>
            </w:tcMar>
            <w:vAlign w:val="bottom"/>
          </w:tcPr>
          <w:p w14:paraId="5CD8F6C7" w14:textId="77777777" w:rsidR="00BA49F5" w:rsidRDefault="007E5E49">
            <w:pPr>
              <w:textAlignment w:val="bottom"/>
            </w:pPr>
            <w:r>
              <w:rPr>
                <w:rFonts w:ascii="Times New Roman" w:eastAsia="宋体" w:hAnsi="Times New Roman"/>
                <w:color w:val="000000"/>
                <w:sz w:val="20"/>
                <w:szCs w:val="20"/>
              </w:rPr>
              <w:t>Finance lease right-of-use assets</w:t>
            </w:r>
          </w:p>
        </w:tc>
        <w:tc>
          <w:tcPr>
            <w:tcW w:w="0" w:type="auto"/>
            <w:gridSpan w:val="3"/>
            <w:shd w:val="clear" w:color="auto" w:fill="FFFFFF"/>
            <w:tcMar>
              <w:top w:w="0" w:type="dxa"/>
              <w:left w:w="20" w:type="dxa"/>
              <w:bottom w:w="0" w:type="dxa"/>
              <w:right w:w="20" w:type="dxa"/>
            </w:tcMar>
            <w:vAlign w:val="bottom"/>
          </w:tcPr>
          <w:p w14:paraId="5CD8F6C8"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6C9" w14:textId="77777777" w:rsidR="00BA49F5" w:rsidRDefault="007E5E49">
            <w:pPr>
              <w:textAlignment w:val="bottom"/>
            </w:pPr>
            <w:r>
              <w:rPr>
                <w:rFonts w:ascii="Times New Roman" w:eastAsia="宋体" w:hAnsi="Times New Roman"/>
                <w:color w:val="000000"/>
                <w:sz w:val="20"/>
                <w:szCs w:val="20"/>
              </w:rPr>
              <w:t>Three to 20 years</w:t>
            </w:r>
          </w:p>
        </w:tc>
      </w:tr>
      <w:tr w:rsidR="00BA49F5" w14:paraId="5CD8F6CE" w14:textId="77777777">
        <w:tc>
          <w:tcPr>
            <w:tcW w:w="0" w:type="auto"/>
            <w:gridSpan w:val="3"/>
            <w:shd w:val="clear" w:color="auto" w:fill="CCEEFF"/>
            <w:tcMar>
              <w:top w:w="40" w:type="dxa"/>
              <w:left w:w="20" w:type="dxa"/>
              <w:bottom w:w="40" w:type="dxa"/>
              <w:right w:w="20" w:type="dxa"/>
            </w:tcMar>
            <w:vAlign w:val="bottom"/>
          </w:tcPr>
          <w:p w14:paraId="5CD8F6CB" w14:textId="77777777" w:rsidR="00BA49F5" w:rsidRDefault="007E5E49">
            <w:pPr>
              <w:textAlignment w:val="bottom"/>
            </w:pPr>
            <w:r>
              <w:rPr>
                <w:rFonts w:ascii="Times New Roman" w:eastAsia="宋体" w:hAnsi="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bottom"/>
          </w:tcPr>
          <w:p w14:paraId="5CD8F6CC"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F6CD" w14:textId="77777777" w:rsidR="00BA49F5" w:rsidRDefault="007E5E49">
            <w:pPr>
              <w:textAlignment w:val="bottom"/>
            </w:pPr>
            <w:r>
              <w:rPr>
                <w:rFonts w:ascii="Times New Roman" w:eastAsia="宋体" w:hAnsi="Times New Roman"/>
                <w:color w:val="000000"/>
                <w:sz w:val="20"/>
                <w:szCs w:val="20"/>
              </w:rPr>
              <w:t>Lesser of estimated useful life or remaining lease term</w:t>
            </w:r>
          </w:p>
        </w:tc>
      </w:tr>
    </w:tbl>
    <w:p w14:paraId="5CD8F6CF" w14:textId="77777777" w:rsidR="00BA49F5" w:rsidRDefault="00BA49F5">
      <w:pPr>
        <w:ind w:firstLine="540"/>
        <w:jc w:val="both"/>
      </w:pPr>
    </w:p>
    <w:p w14:paraId="5CD8F6D0" w14:textId="77777777" w:rsidR="00BA49F5" w:rsidRDefault="007E5E49">
      <w:pPr>
        <w:ind w:firstLine="540"/>
        <w:jc w:val="both"/>
      </w:pPr>
      <w:r>
        <w:rPr>
          <w:rFonts w:ascii="Times New Roman" w:eastAsia="宋体" w:hAnsi="Times New Roman"/>
          <w:color w:val="000000"/>
          <w:sz w:val="20"/>
          <w:szCs w:val="20"/>
        </w:rPr>
        <w:t xml:space="preserve">We evaluate at least </w:t>
      </w:r>
      <w:r>
        <w:rPr>
          <w:rFonts w:ascii="Times New Roman" w:eastAsia="宋体" w:hAnsi="Times New Roman"/>
          <w:color w:val="000000"/>
          <w:sz w:val="20"/>
          <w:szCs w:val="20"/>
        </w:rPr>
        <w:t>annually the recoverability of property and equipment for possible impairment whenever events or circumstances indicate that the carrying amount of such assets may not be recoverable. If such review indicates that the carrying amount of property and equipm</w:t>
      </w:r>
      <w:r>
        <w:rPr>
          <w:rFonts w:ascii="Times New Roman" w:eastAsia="宋体" w:hAnsi="Times New Roman"/>
          <w:color w:val="000000"/>
          <w:sz w:val="20"/>
          <w:szCs w:val="20"/>
        </w:rPr>
        <w:t>ent assets is not recoverable, and the asset's fair value is less than the carrying amount, an impairment charge is recognized. During the year ended December 31, 2022</w:t>
      </w: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rPr>
        <w:t xml:space="preserve"> we recorded $1.34 billion of abandonment charges for data center construction in progre</w:t>
      </w:r>
      <w:r>
        <w:rPr>
          <w:rFonts w:ascii="Times New Roman" w:eastAsia="宋体" w:hAnsi="Times New Roman"/>
          <w:color w:val="000000"/>
          <w:sz w:val="20"/>
          <w:szCs w:val="20"/>
        </w:rPr>
        <w:t xml:space="preserve">ss (CIP) assets </w:t>
      </w:r>
      <w:r>
        <w:rPr>
          <w:rFonts w:ascii="Times New Roman" w:eastAsia="宋体" w:hAnsi="Times New Roman"/>
          <w:color w:val="000000"/>
          <w:sz w:val="20"/>
          <w:szCs w:val="20"/>
          <w:shd w:val="clear" w:color="auto" w:fill="FFFFFF"/>
        </w:rPr>
        <w:t xml:space="preserve">under </w:t>
      </w:r>
      <w:r>
        <w:rPr>
          <w:rFonts w:ascii="Times New Roman" w:eastAsia="宋体" w:hAnsi="Times New Roman"/>
          <w:color w:val="000000"/>
          <w:sz w:val="20"/>
          <w:szCs w:val="20"/>
        </w:rPr>
        <w:t>Accounting Standards Codification</w:t>
      </w:r>
      <w:r>
        <w:rPr>
          <w:rFonts w:ascii="Times New Roman" w:eastAsia="宋体" w:hAnsi="Times New Roman"/>
          <w:color w:val="000000"/>
          <w:sz w:val="20"/>
          <w:szCs w:val="20"/>
          <w:shd w:val="clear" w:color="auto" w:fill="FFFFFF"/>
        </w:rPr>
        <w:t xml:space="preserve"> (ASC) Topic 360 related to our restructuring efforts</w:t>
      </w:r>
      <w:r>
        <w:rPr>
          <w:rFonts w:ascii="Times New Roman" w:eastAsia="宋体" w:hAnsi="Times New Roman"/>
          <w:color w:val="000000"/>
          <w:sz w:val="20"/>
          <w:szCs w:val="20"/>
        </w:rPr>
        <w:t xml:space="preserve">. </w:t>
      </w:r>
      <w:r>
        <w:rPr>
          <w:rFonts w:ascii="Times New Roman" w:eastAsia="宋体" w:hAnsi="Times New Roman"/>
          <w:color w:val="212529"/>
          <w:sz w:val="20"/>
          <w:szCs w:val="20"/>
        </w:rPr>
        <w:t xml:space="preserve">For additional information regarding our restructuring efforts, see </w:t>
      </w:r>
      <w:r>
        <w:rPr>
          <w:rFonts w:ascii="Times New Roman" w:eastAsia="宋体" w:hAnsi="Times New Roman"/>
          <w:color w:val="000000"/>
          <w:sz w:val="20"/>
          <w:szCs w:val="20"/>
        </w:rPr>
        <w:t>Note 3 — Restructuring.</w:t>
      </w:r>
    </w:p>
    <w:p w14:paraId="5CD8F6D1" w14:textId="77777777" w:rsidR="00BA49F5" w:rsidRDefault="00BA49F5">
      <w:pPr>
        <w:ind w:firstLine="540"/>
        <w:jc w:val="both"/>
      </w:pPr>
    </w:p>
    <w:p w14:paraId="5CD8F6D2" w14:textId="77777777" w:rsidR="00BA49F5" w:rsidRDefault="007E5E49">
      <w:pPr>
        <w:jc w:val="center"/>
      </w:pPr>
      <w:r>
        <w:rPr>
          <w:rFonts w:ascii="Times New Roman" w:eastAsia="宋体" w:hAnsi="Times New Roman"/>
          <w:color w:val="000000"/>
          <w:sz w:val="20"/>
          <w:szCs w:val="20"/>
        </w:rPr>
        <w:t>95</w:t>
      </w:r>
    </w:p>
    <w:p w14:paraId="5CD8F6D3" w14:textId="77777777" w:rsidR="00BA49F5" w:rsidRDefault="007E5E49">
      <w:r>
        <w:pict w14:anchorId="5CD90D54">
          <v:rect id="_x0000_i1119" style="width:415.3pt;height:1.5pt" o:hralign="center" o:hrstd="t" o:hr="t" fillcolor="#a0a0a0" stroked="f"/>
        </w:pict>
      </w:r>
    </w:p>
    <w:p w14:paraId="5CD8F6D4" w14:textId="77777777" w:rsidR="00BA49F5" w:rsidRDefault="00BA49F5"/>
    <w:p w14:paraId="5CD8F6D5" w14:textId="77777777" w:rsidR="00BA49F5" w:rsidRDefault="00BA49F5"/>
    <w:p w14:paraId="5CD8F6D6" w14:textId="77777777" w:rsidR="00BA49F5" w:rsidRDefault="007E5E49">
      <w:hyperlink r:id="rId285" w:anchor="i6df229dad1864210ab76200083e26819_7" w:history="1">
        <w:r>
          <w:rPr>
            <w:rStyle w:val="a5"/>
            <w:rFonts w:ascii="Times New Roman" w:eastAsia="宋体" w:hAnsi="Times New Roman"/>
            <w:sz w:val="20"/>
            <w:szCs w:val="20"/>
          </w:rPr>
          <w:t>T</w:t>
        </w:r>
      </w:hyperlink>
      <w:hyperlink r:id="rId286" w:anchor="i6df229dad1864210ab76200083e26819_7" w:history="1">
        <w:r>
          <w:rPr>
            <w:rStyle w:val="a5"/>
            <w:rFonts w:ascii="Times New Roman" w:eastAsia="宋体" w:hAnsi="Times New Roman"/>
            <w:sz w:val="20"/>
            <w:szCs w:val="20"/>
          </w:rPr>
          <w:t>able of Contents</w:t>
        </w:r>
      </w:hyperlink>
    </w:p>
    <w:p w14:paraId="5CD8F6D7" w14:textId="77777777" w:rsidR="00BA49F5" w:rsidRDefault="007E5E49">
      <w:pPr>
        <w:ind w:firstLine="540"/>
        <w:jc w:val="both"/>
      </w:pPr>
      <w:r>
        <w:rPr>
          <w:rFonts w:ascii="Times New Roman" w:eastAsia="宋体" w:hAnsi="Times New Roman"/>
          <w:color w:val="000000"/>
          <w:sz w:val="20"/>
          <w:szCs w:val="20"/>
        </w:rPr>
        <w:t>The useful lives of our property and equipment are determined by management when those</w:t>
      </w:r>
      <w:r>
        <w:rPr>
          <w:rFonts w:ascii="Times New Roman" w:eastAsia="宋体" w:hAnsi="Times New Roman"/>
          <w:color w:val="000000"/>
          <w:sz w:val="20"/>
          <w:szCs w:val="20"/>
        </w:rPr>
        <w:t xml:space="preserve"> assets are initially recognized and are routinely reviewed for the remaining estimated useful lives. Our current estimate of useful lives represents the best estimate of the useful lives based on current facts and circumstances, but may differ from the ac</w:t>
      </w:r>
      <w:r>
        <w:rPr>
          <w:rFonts w:ascii="Times New Roman" w:eastAsia="宋体" w:hAnsi="Times New Roman"/>
          <w:color w:val="000000"/>
          <w:sz w:val="20"/>
          <w:szCs w:val="20"/>
        </w:rPr>
        <w:t>tual useful lives due to changes to our business operations, changes in the planned use of assets, and technological advancements. When we change the estimated useful life assumption for any asset, the remaining carrying amount of the asset is accounted fo</w:t>
      </w:r>
      <w:r>
        <w:rPr>
          <w:rFonts w:ascii="Times New Roman" w:eastAsia="宋体" w:hAnsi="Times New Roman"/>
          <w:color w:val="000000"/>
          <w:sz w:val="20"/>
          <w:szCs w:val="20"/>
        </w:rPr>
        <w:t>r prospectively and depreciated or amortized over the revised estimated useful life. See section "Use of Estimates" above for additional information regarding changes in the estimated useful lives of our servers and network assets.</w:t>
      </w:r>
    </w:p>
    <w:p w14:paraId="5CD8F6D8" w14:textId="77777777" w:rsidR="00BA49F5" w:rsidRDefault="00BA49F5">
      <w:pPr>
        <w:ind w:firstLine="540"/>
        <w:jc w:val="both"/>
      </w:pPr>
    </w:p>
    <w:p w14:paraId="5CD8F6D9" w14:textId="77777777" w:rsidR="00BA49F5" w:rsidRDefault="007E5E49">
      <w:pPr>
        <w:ind w:firstLine="540"/>
        <w:jc w:val="both"/>
      </w:pPr>
      <w:r>
        <w:rPr>
          <w:rFonts w:ascii="Times New Roman" w:eastAsia="宋体" w:hAnsi="Times New Roman"/>
          <w:color w:val="000000"/>
          <w:sz w:val="20"/>
          <w:szCs w:val="20"/>
        </w:rPr>
        <w:t>Servers and network ass</w:t>
      </w:r>
      <w:r>
        <w:rPr>
          <w:rFonts w:ascii="Times New Roman" w:eastAsia="宋体" w:hAnsi="Times New Roman"/>
          <w:color w:val="000000"/>
          <w:sz w:val="20"/>
          <w:szCs w:val="20"/>
        </w:rPr>
        <w:t xml:space="preserve">ets include property and equipment mostly in our data centers, which is used to support production traffic. Land and assets held within construction in progress are not depreciated. Construction in progress is related to the construction or development of </w:t>
      </w:r>
      <w:r>
        <w:rPr>
          <w:rFonts w:ascii="Times New Roman" w:eastAsia="宋体" w:hAnsi="Times New Roman"/>
          <w:color w:val="000000"/>
          <w:sz w:val="20"/>
          <w:szCs w:val="20"/>
        </w:rPr>
        <w:t>property and equipment that have not yet been placed in service for their intended use.</w:t>
      </w:r>
    </w:p>
    <w:p w14:paraId="5CD8F6DA" w14:textId="77777777" w:rsidR="00BA49F5" w:rsidRDefault="00BA49F5">
      <w:pPr>
        <w:ind w:firstLine="540"/>
        <w:jc w:val="both"/>
      </w:pPr>
    </w:p>
    <w:p w14:paraId="5CD8F6DB" w14:textId="77777777" w:rsidR="00BA49F5" w:rsidRDefault="007E5E49">
      <w:pPr>
        <w:ind w:firstLine="540"/>
        <w:jc w:val="both"/>
      </w:pPr>
      <w:r>
        <w:rPr>
          <w:rFonts w:ascii="Times New Roman" w:eastAsia="宋体" w:hAnsi="Times New Roman"/>
          <w:color w:val="000000"/>
          <w:sz w:val="20"/>
          <w:szCs w:val="20"/>
        </w:rPr>
        <w:t>The cost of maintenance and repairs is expensed as incurred. When assets are retired or otherwise disposed of, the cost and related accumulated depreciation are remove</w:t>
      </w:r>
      <w:r>
        <w:rPr>
          <w:rFonts w:ascii="Times New Roman" w:eastAsia="宋体" w:hAnsi="Times New Roman"/>
          <w:color w:val="000000"/>
          <w:sz w:val="20"/>
          <w:szCs w:val="20"/>
        </w:rPr>
        <w:t>d from their respective accounts, and any gain or loss on such sale or disposal is reflected in income from operations.</w:t>
      </w:r>
    </w:p>
    <w:p w14:paraId="5CD8F6DC" w14:textId="77777777" w:rsidR="00BA49F5" w:rsidRDefault="00BA49F5">
      <w:pPr>
        <w:jc w:val="both"/>
      </w:pPr>
    </w:p>
    <w:p w14:paraId="5CD8F6DD" w14:textId="77777777" w:rsidR="00BA49F5" w:rsidRDefault="007E5E49">
      <w:pPr>
        <w:jc w:val="both"/>
      </w:pPr>
      <w:r>
        <w:rPr>
          <w:rFonts w:ascii="Times New Roman" w:eastAsia="宋体" w:hAnsi="Times New Roman"/>
          <w:b/>
          <w:bCs/>
          <w:i/>
          <w:iCs/>
          <w:color w:val="000000"/>
          <w:sz w:val="20"/>
          <w:szCs w:val="20"/>
        </w:rPr>
        <w:t>Lease Obligations</w:t>
      </w:r>
    </w:p>
    <w:p w14:paraId="5CD8F6DE" w14:textId="77777777" w:rsidR="00BA49F5" w:rsidRDefault="00BA49F5">
      <w:pPr>
        <w:ind w:firstLine="540"/>
        <w:jc w:val="both"/>
      </w:pPr>
    </w:p>
    <w:p w14:paraId="5CD8F6DF" w14:textId="77777777" w:rsidR="00BA49F5" w:rsidRDefault="007E5E49">
      <w:pPr>
        <w:ind w:firstLine="540"/>
        <w:jc w:val="both"/>
      </w:pPr>
      <w:r>
        <w:rPr>
          <w:rFonts w:ascii="Times New Roman" w:eastAsia="宋体" w:hAnsi="Times New Roman"/>
          <w:color w:val="212529"/>
          <w:sz w:val="20"/>
          <w:szCs w:val="20"/>
        </w:rPr>
        <w:t>We</w:t>
      </w:r>
      <w:r>
        <w:rPr>
          <w:rFonts w:ascii="Times New Roman" w:eastAsia="宋体" w:hAnsi="Times New Roman"/>
          <w:color w:val="000000"/>
          <w:sz w:val="20"/>
          <w:szCs w:val="20"/>
        </w:rPr>
        <w:t xml:space="preserve"> have operating leases comprised of certain offices, data centers, colocations, land, network infrastructure, and other equipment. We also have finance leases for certain network infrastructure. We</w:t>
      </w:r>
      <w:r>
        <w:rPr>
          <w:rFonts w:ascii="Times New Roman" w:eastAsia="宋体" w:hAnsi="Times New Roman"/>
          <w:color w:val="212529"/>
          <w:sz w:val="20"/>
          <w:szCs w:val="20"/>
        </w:rPr>
        <w:t xml:space="preserve"> determine if an arrangement is a lease at inception. Most </w:t>
      </w:r>
      <w:r>
        <w:rPr>
          <w:rFonts w:ascii="Times New Roman" w:eastAsia="宋体" w:hAnsi="Times New Roman"/>
          <w:color w:val="212529"/>
          <w:sz w:val="20"/>
          <w:szCs w:val="20"/>
        </w:rPr>
        <w:t xml:space="preserve">of our leases contain lease and non-lease components. Non-lease components include fixed payments for maintenance, utilities, real estate taxes, and management fees. We </w:t>
      </w:r>
      <w:r>
        <w:rPr>
          <w:rFonts w:ascii="Times New Roman" w:eastAsia="宋体" w:hAnsi="Times New Roman"/>
          <w:color w:val="000000"/>
          <w:sz w:val="20"/>
          <w:szCs w:val="20"/>
        </w:rPr>
        <w:t>combine fixed lease and non-lease components and account for them as a single lease com</w:t>
      </w:r>
      <w:r>
        <w:rPr>
          <w:rFonts w:ascii="Times New Roman" w:eastAsia="宋体" w:hAnsi="Times New Roman"/>
          <w:color w:val="000000"/>
          <w:sz w:val="20"/>
          <w:szCs w:val="20"/>
        </w:rPr>
        <w:t xml:space="preserve">ponent. </w:t>
      </w:r>
      <w:r>
        <w:rPr>
          <w:rFonts w:ascii="Times New Roman" w:eastAsia="宋体" w:hAnsi="Times New Roman"/>
          <w:color w:val="212529"/>
          <w:sz w:val="20"/>
          <w:szCs w:val="20"/>
        </w:rPr>
        <w:t>Our lease agreements may contain variable costs such as contingent rent escalations, common area maintenance, insurance, real estate taxes, or other costs. Such variable lease costs are expensed as incurred on the consolidated statements of income.</w:t>
      </w:r>
      <w:r>
        <w:rPr>
          <w:rFonts w:ascii="Times New Roman" w:eastAsia="宋体" w:hAnsi="Times New Roman"/>
          <w:color w:val="212529"/>
          <w:sz w:val="20"/>
          <w:szCs w:val="20"/>
        </w:rPr>
        <w:t xml:space="preserve"> For certain colocation and equipment leases, we apply a portfolio approach to effectively account for the operating lease right-of-use (ROU) assets and lease liabilities.</w:t>
      </w:r>
    </w:p>
    <w:p w14:paraId="5CD8F6E0" w14:textId="77777777" w:rsidR="00BA49F5" w:rsidRDefault="00BA49F5">
      <w:pPr>
        <w:ind w:firstLine="540"/>
        <w:jc w:val="both"/>
      </w:pPr>
    </w:p>
    <w:p w14:paraId="5CD8F6E1" w14:textId="77777777" w:rsidR="00BA49F5" w:rsidRDefault="007E5E49">
      <w:pPr>
        <w:ind w:firstLine="540"/>
        <w:jc w:val="both"/>
      </w:pPr>
      <w:r>
        <w:rPr>
          <w:rFonts w:ascii="Times New Roman" w:eastAsia="宋体" w:hAnsi="Times New Roman"/>
          <w:color w:val="212529"/>
          <w:sz w:val="20"/>
          <w:szCs w:val="20"/>
        </w:rPr>
        <w:t>For leases with a lease term greater than 12 months, ROU assets and lease liabiliti</w:t>
      </w:r>
      <w:r>
        <w:rPr>
          <w:rFonts w:ascii="Times New Roman" w:eastAsia="宋体" w:hAnsi="Times New Roman"/>
          <w:color w:val="212529"/>
          <w:sz w:val="20"/>
          <w:szCs w:val="20"/>
        </w:rPr>
        <w:t>es are recognized on the consolidated balance sheets at the commencement date based on the present value of the remaining fixed lease payments and includes only payments that are fixed and determinable at the time of commencement.</w:t>
      </w:r>
      <w:r>
        <w:rPr>
          <w:rFonts w:ascii="Times New Roman" w:eastAsia="宋体" w:hAnsi="Times New Roman"/>
          <w:color w:val="000000"/>
          <w:sz w:val="20"/>
          <w:szCs w:val="20"/>
        </w:rPr>
        <w:t xml:space="preserve"> </w:t>
      </w:r>
    </w:p>
    <w:p w14:paraId="5CD8F6E2" w14:textId="77777777" w:rsidR="00BA49F5" w:rsidRDefault="00BA49F5">
      <w:pPr>
        <w:ind w:firstLine="540"/>
        <w:jc w:val="both"/>
      </w:pPr>
    </w:p>
    <w:p w14:paraId="5CD8F6E3" w14:textId="77777777" w:rsidR="00BA49F5" w:rsidRDefault="007E5E49">
      <w:pPr>
        <w:ind w:firstLine="540"/>
        <w:jc w:val="both"/>
      </w:pPr>
      <w:r>
        <w:rPr>
          <w:rFonts w:ascii="Times New Roman" w:eastAsia="宋体" w:hAnsi="Times New Roman"/>
          <w:color w:val="212529"/>
          <w:sz w:val="20"/>
          <w:szCs w:val="20"/>
        </w:rPr>
        <w:t>Our lease terms may inc</w:t>
      </w:r>
      <w:r>
        <w:rPr>
          <w:rFonts w:ascii="Times New Roman" w:eastAsia="宋体" w:hAnsi="Times New Roman"/>
          <w:color w:val="212529"/>
          <w:sz w:val="20"/>
          <w:szCs w:val="20"/>
        </w:rPr>
        <w:t>lude options to extend or terminate the lease when it is reasonably certain that we will exercise such options. When determining the probability of exercising such options, we consider contract-based, asset-based, entity-based, and market-based factors.</w:t>
      </w:r>
    </w:p>
    <w:p w14:paraId="5CD8F6E4" w14:textId="77777777" w:rsidR="00BA49F5" w:rsidRDefault="00BA49F5">
      <w:pPr>
        <w:ind w:firstLine="540"/>
        <w:jc w:val="both"/>
      </w:pPr>
    </w:p>
    <w:p w14:paraId="5CD8F6E5" w14:textId="77777777" w:rsidR="00BA49F5" w:rsidRDefault="007E5E49">
      <w:pPr>
        <w:ind w:firstLine="540"/>
        <w:jc w:val="both"/>
      </w:pPr>
      <w:r>
        <w:rPr>
          <w:rFonts w:ascii="Times New Roman" w:eastAsia="宋体" w:hAnsi="Times New Roman"/>
          <w:color w:val="212529"/>
          <w:sz w:val="20"/>
          <w:szCs w:val="20"/>
        </w:rPr>
        <w:t>A</w:t>
      </w:r>
      <w:r>
        <w:rPr>
          <w:rFonts w:ascii="Times New Roman" w:eastAsia="宋体" w:hAnsi="Times New Roman"/>
          <w:color w:val="212529"/>
          <w:sz w:val="20"/>
          <w:szCs w:val="20"/>
        </w:rPr>
        <w:t>s most of our leases do not provide an implicit rate, we use our incremental borrowing rate based on the information available at the commencement date in determining the present value of lease payments. Our incremental borrowing rate is a hypothetical rat</w:t>
      </w:r>
      <w:r>
        <w:rPr>
          <w:rFonts w:ascii="Times New Roman" w:eastAsia="宋体" w:hAnsi="Times New Roman"/>
          <w:color w:val="212529"/>
          <w:sz w:val="20"/>
          <w:szCs w:val="20"/>
        </w:rPr>
        <w:t>e based on our understanding of what our credit rating would be in a similar economic environment.</w:t>
      </w:r>
    </w:p>
    <w:p w14:paraId="5CD8F6E6" w14:textId="77777777" w:rsidR="00BA49F5" w:rsidRDefault="00BA49F5">
      <w:pPr>
        <w:ind w:firstLine="540"/>
        <w:jc w:val="both"/>
      </w:pPr>
    </w:p>
    <w:p w14:paraId="5CD8F6E7" w14:textId="77777777" w:rsidR="00BA49F5" w:rsidRDefault="007E5E49">
      <w:pPr>
        <w:ind w:firstLine="540"/>
        <w:jc w:val="both"/>
      </w:pPr>
      <w:r>
        <w:rPr>
          <w:rFonts w:ascii="Times New Roman" w:eastAsia="宋体" w:hAnsi="Times New Roman"/>
          <w:color w:val="212529"/>
          <w:sz w:val="20"/>
          <w:szCs w:val="20"/>
        </w:rPr>
        <w:t>Operating leases are included in operating lease ROU assets, operating lease liabilities, current, and operating lease liabilities, non-current on our conso</w:t>
      </w:r>
      <w:r>
        <w:rPr>
          <w:rFonts w:ascii="Times New Roman" w:eastAsia="宋体" w:hAnsi="Times New Roman"/>
          <w:color w:val="212529"/>
          <w:sz w:val="20"/>
          <w:szCs w:val="20"/>
        </w:rPr>
        <w:t>lidated balance sheets. Finance leases are included in property and equipment, net, accrued expenses and other current liabilities, and other liabilities on our consolidated balance sheets.</w:t>
      </w:r>
    </w:p>
    <w:p w14:paraId="5CD8F6E8" w14:textId="77777777" w:rsidR="00BA49F5" w:rsidRDefault="00BA49F5">
      <w:pPr>
        <w:ind w:firstLine="540"/>
        <w:jc w:val="both"/>
      </w:pPr>
    </w:p>
    <w:p w14:paraId="5CD8F6E9" w14:textId="77777777" w:rsidR="00BA49F5" w:rsidRDefault="007E5E49">
      <w:pPr>
        <w:ind w:firstLine="540"/>
        <w:jc w:val="both"/>
      </w:pPr>
      <w:r>
        <w:rPr>
          <w:rFonts w:ascii="Times New Roman" w:eastAsia="宋体" w:hAnsi="Times New Roman"/>
          <w:color w:val="212529"/>
          <w:sz w:val="20"/>
          <w:szCs w:val="20"/>
        </w:rPr>
        <w:t>Operating lease costs are recognized on a straight-line basis ove</w:t>
      </w:r>
      <w:r>
        <w:rPr>
          <w:rFonts w:ascii="Times New Roman" w:eastAsia="宋体" w:hAnsi="Times New Roman"/>
          <w:color w:val="212529"/>
          <w:sz w:val="20"/>
          <w:szCs w:val="20"/>
        </w:rPr>
        <w:t>r the lease terms. Finance lease assets are amortized on a straight-line basis over the shorter of the estimated useful lives of the assets or the lease terms.</w:t>
      </w:r>
    </w:p>
    <w:p w14:paraId="5CD8F6EA" w14:textId="77777777" w:rsidR="00BA49F5" w:rsidRDefault="00BA49F5">
      <w:pPr>
        <w:ind w:firstLine="540"/>
        <w:jc w:val="both"/>
      </w:pPr>
    </w:p>
    <w:p w14:paraId="5CD8F6EB" w14:textId="77777777" w:rsidR="00BA49F5" w:rsidRDefault="007E5E49">
      <w:pPr>
        <w:ind w:firstLine="540"/>
        <w:jc w:val="both"/>
      </w:pPr>
      <w:r>
        <w:rPr>
          <w:rFonts w:ascii="Times New Roman" w:eastAsia="宋体" w:hAnsi="Times New Roman"/>
          <w:color w:val="212529"/>
          <w:sz w:val="20"/>
          <w:szCs w:val="20"/>
        </w:rPr>
        <w:t>During the year ended December 31, 2022, we recorded impairment losses of $2.22 billion in aggr</w:t>
      </w:r>
      <w:r>
        <w:rPr>
          <w:rFonts w:ascii="Times New Roman" w:eastAsia="宋体" w:hAnsi="Times New Roman"/>
          <w:color w:val="212529"/>
          <w:sz w:val="20"/>
          <w:szCs w:val="20"/>
        </w:rPr>
        <w:t>egate for operating lease ROU assets and leasehold improvements under ASC Topic 360 as a part of our facilities consolidation restructuring efforts. The fair values of the impaired assets were estimated using discounted cash flow models (income approach) b</w:t>
      </w:r>
      <w:r>
        <w:rPr>
          <w:rFonts w:ascii="Times New Roman" w:eastAsia="宋体" w:hAnsi="Times New Roman"/>
          <w:color w:val="212529"/>
          <w:sz w:val="20"/>
          <w:szCs w:val="20"/>
        </w:rPr>
        <w:t xml:space="preserve">ased on market participant assumptions with Level 3 inputs. The assumptions used in estimating fair value include the expected downtime prior to the commencement of future subleases, projected sublease income over the remaining lease periods, and discount </w:t>
      </w:r>
      <w:r>
        <w:rPr>
          <w:rFonts w:ascii="Times New Roman" w:eastAsia="宋体" w:hAnsi="Times New Roman"/>
          <w:color w:val="212529"/>
          <w:sz w:val="20"/>
          <w:szCs w:val="20"/>
        </w:rPr>
        <w:t xml:space="preserve">rates that reflect the level of risk associated with receiving future cash flows. For additional information regarding our restructuring efforts, see </w:t>
      </w:r>
      <w:r>
        <w:rPr>
          <w:rFonts w:ascii="Times New Roman" w:eastAsia="宋体" w:hAnsi="Times New Roman"/>
          <w:color w:val="000000"/>
          <w:sz w:val="20"/>
          <w:szCs w:val="20"/>
        </w:rPr>
        <w:t>Note 3 — Restructuring.</w:t>
      </w:r>
    </w:p>
    <w:p w14:paraId="5CD8F6EC" w14:textId="77777777" w:rsidR="00BA49F5" w:rsidRDefault="00BA49F5">
      <w:pPr>
        <w:ind w:firstLine="540"/>
        <w:jc w:val="both"/>
      </w:pPr>
    </w:p>
    <w:p w14:paraId="5CD8F6ED" w14:textId="77777777" w:rsidR="00BA49F5" w:rsidRDefault="007E5E49">
      <w:pPr>
        <w:jc w:val="center"/>
      </w:pPr>
      <w:r>
        <w:rPr>
          <w:rFonts w:ascii="Times New Roman" w:eastAsia="宋体" w:hAnsi="Times New Roman"/>
          <w:color w:val="000000"/>
          <w:sz w:val="20"/>
          <w:szCs w:val="20"/>
        </w:rPr>
        <w:t>96</w:t>
      </w:r>
    </w:p>
    <w:p w14:paraId="5CD8F6EE" w14:textId="77777777" w:rsidR="00BA49F5" w:rsidRDefault="007E5E49">
      <w:r>
        <w:pict w14:anchorId="5CD90D55">
          <v:rect id="_x0000_i1120" style="width:415.3pt;height:1.5pt" o:hralign="center" o:hrstd="t" o:hr="t" fillcolor="#a0a0a0" stroked="f"/>
        </w:pict>
      </w:r>
    </w:p>
    <w:p w14:paraId="5CD8F6EF" w14:textId="77777777" w:rsidR="00BA49F5" w:rsidRDefault="00BA49F5"/>
    <w:p w14:paraId="5CD8F6F0" w14:textId="77777777" w:rsidR="00BA49F5" w:rsidRDefault="00BA49F5"/>
    <w:p w14:paraId="5CD8F6F1" w14:textId="77777777" w:rsidR="00BA49F5" w:rsidRDefault="007E5E49">
      <w:hyperlink r:id="rId287" w:anchor="i6df229dad1864210ab76200083e26819_7" w:history="1">
        <w:r>
          <w:rPr>
            <w:rStyle w:val="a5"/>
            <w:rFonts w:ascii="Times New Roman" w:eastAsia="宋体" w:hAnsi="Times New Roman"/>
            <w:sz w:val="20"/>
            <w:szCs w:val="20"/>
          </w:rPr>
          <w:t>T</w:t>
        </w:r>
      </w:hyperlink>
      <w:hyperlink r:id="rId288" w:anchor="i6df229dad1864210ab76200083e26819_7" w:history="1">
        <w:r>
          <w:rPr>
            <w:rStyle w:val="a5"/>
            <w:rFonts w:ascii="Times New Roman" w:eastAsia="宋体" w:hAnsi="Times New Roman"/>
            <w:sz w:val="20"/>
            <w:szCs w:val="20"/>
          </w:rPr>
          <w:t>able of Contents</w:t>
        </w:r>
      </w:hyperlink>
    </w:p>
    <w:p w14:paraId="5CD8F6F2" w14:textId="77777777" w:rsidR="00BA49F5" w:rsidRDefault="007E5E49">
      <w:pPr>
        <w:jc w:val="both"/>
      </w:pPr>
      <w:r>
        <w:rPr>
          <w:rFonts w:ascii="Times New Roman" w:eastAsia="宋体" w:hAnsi="Times New Roman"/>
          <w:b/>
          <w:bCs/>
          <w:i/>
          <w:iCs/>
          <w:color w:val="000000"/>
          <w:sz w:val="20"/>
          <w:szCs w:val="20"/>
        </w:rPr>
        <w:t>Loss Contingencies</w:t>
      </w:r>
    </w:p>
    <w:p w14:paraId="5CD8F6F3" w14:textId="77777777" w:rsidR="00BA49F5" w:rsidRDefault="00BA49F5">
      <w:pPr>
        <w:ind w:firstLine="540"/>
        <w:jc w:val="both"/>
      </w:pPr>
    </w:p>
    <w:p w14:paraId="5CD8F6F4" w14:textId="77777777" w:rsidR="00BA49F5" w:rsidRDefault="007E5E49">
      <w:pPr>
        <w:ind w:firstLine="540"/>
        <w:jc w:val="both"/>
      </w:pPr>
      <w:r>
        <w:rPr>
          <w:rFonts w:ascii="Times New Roman" w:eastAsia="宋体" w:hAnsi="Times New Roman"/>
          <w:color w:val="000000"/>
          <w:sz w:val="20"/>
          <w:szCs w:val="20"/>
        </w:rPr>
        <w:t>We are involved in legal proceedings, claims, and regulatory, tax or government inquiries and investigations that arise in the ordinary course of business. Certain of these matters include speculative claims for substantial or indetermi</w:t>
      </w:r>
      <w:r>
        <w:rPr>
          <w:rFonts w:ascii="Times New Roman" w:eastAsia="宋体" w:hAnsi="Times New Roman"/>
          <w:color w:val="000000"/>
          <w:sz w:val="20"/>
          <w:szCs w:val="20"/>
        </w:rPr>
        <w:t>nate amounts of damages. Additionally, we are required to comply with various legal and regulatory obligations around the world, and we regularly become subject to new laws and regulations in the jurisdictions in which we operate. The requirements for comp</w:t>
      </w:r>
      <w:r>
        <w:rPr>
          <w:rFonts w:ascii="Times New Roman" w:eastAsia="宋体" w:hAnsi="Times New Roman"/>
          <w:color w:val="000000"/>
          <w:sz w:val="20"/>
          <w:szCs w:val="20"/>
        </w:rPr>
        <w:t>lying with these obligations may be uncertain and subject to interpretation and enforcement by regulatory and other authorities, and any failure to comply with such obligations could eventually lead to asserted legal or regulatory action. With respect to t</w:t>
      </w:r>
      <w:r>
        <w:rPr>
          <w:rFonts w:ascii="Times New Roman" w:eastAsia="宋体" w:hAnsi="Times New Roman"/>
          <w:color w:val="000000"/>
          <w:sz w:val="20"/>
          <w:szCs w:val="20"/>
        </w:rPr>
        <w:t>hese matters, asserted and unasserted, we evaluate the associated developments on a regular basis and accrue a liability when we believe that it is both probable that a loss has been incurred and the amount can be reasonably estimated. If we determine ther</w:t>
      </w:r>
      <w:r>
        <w:rPr>
          <w:rFonts w:ascii="Times New Roman" w:eastAsia="宋体" w:hAnsi="Times New Roman"/>
          <w:color w:val="000000"/>
          <w:sz w:val="20"/>
          <w:szCs w:val="20"/>
        </w:rPr>
        <w:t xml:space="preserve">e is a reasonable possibility that we may incur a loss and the loss or range of loss can be reasonably estimated, we disclose the possible loss in the accompanying notes to the consolidated financial statements to the extent material. </w:t>
      </w:r>
    </w:p>
    <w:p w14:paraId="5CD8F6F5" w14:textId="77777777" w:rsidR="00BA49F5" w:rsidRDefault="00BA49F5">
      <w:pPr>
        <w:ind w:firstLine="540"/>
        <w:jc w:val="both"/>
      </w:pPr>
    </w:p>
    <w:p w14:paraId="5CD8F6F6" w14:textId="77777777" w:rsidR="00BA49F5" w:rsidRDefault="007E5E49">
      <w:pPr>
        <w:ind w:firstLine="540"/>
        <w:jc w:val="both"/>
      </w:pPr>
      <w:r>
        <w:rPr>
          <w:rFonts w:ascii="Times New Roman" w:eastAsia="宋体" w:hAnsi="Times New Roman"/>
          <w:color w:val="000000"/>
          <w:sz w:val="20"/>
          <w:szCs w:val="20"/>
        </w:rPr>
        <w:t>We review the devel</w:t>
      </w:r>
      <w:r>
        <w:rPr>
          <w:rFonts w:ascii="Times New Roman" w:eastAsia="宋体" w:hAnsi="Times New Roman"/>
          <w:color w:val="000000"/>
          <w:sz w:val="20"/>
          <w:szCs w:val="20"/>
        </w:rPr>
        <w:t>opments in our contingencies that could affect the amount of the provisions that have been previously recorded, and the matters and related reasonably possible losses disclosed. We make adjustments to our provisions and changes to our disclosures according</w:t>
      </w:r>
      <w:r>
        <w:rPr>
          <w:rFonts w:ascii="Times New Roman" w:eastAsia="宋体" w:hAnsi="Times New Roman"/>
          <w:color w:val="000000"/>
          <w:sz w:val="20"/>
          <w:szCs w:val="20"/>
        </w:rPr>
        <w:t>ly to reflect the merits of our defenses and the impact of negotiations, settlements, regulatory proceedings, rulings, advice of legal counsel, and updated information. Significant judgment is required to determine the probability of loss and the estimated</w:t>
      </w:r>
      <w:r>
        <w:rPr>
          <w:rFonts w:ascii="Times New Roman" w:eastAsia="宋体" w:hAnsi="Times New Roman"/>
          <w:color w:val="000000"/>
          <w:sz w:val="20"/>
          <w:szCs w:val="20"/>
        </w:rPr>
        <w:t xml:space="preserve"> amount of loss, including when and if the probability and estimate has changed for asserted and unasserted matters. Certain factors, in particular, have resulted in significant changes to these estimates and judgments in prior quarters based on updated in</w:t>
      </w:r>
      <w:r>
        <w:rPr>
          <w:rFonts w:ascii="Times New Roman" w:eastAsia="宋体" w:hAnsi="Times New Roman"/>
          <w:color w:val="000000"/>
          <w:sz w:val="20"/>
          <w:szCs w:val="20"/>
        </w:rPr>
        <w:t>formation available. For example, in certain jurisdictions where we operate, fines and penalties may be the result of new laws and preliminary interpretations regarding the basis of assessing damages, which may make it difficult to estimate what such fines</w:t>
      </w:r>
      <w:r>
        <w:rPr>
          <w:rFonts w:ascii="Times New Roman" w:eastAsia="宋体" w:hAnsi="Times New Roman"/>
          <w:color w:val="000000"/>
          <w:sz w:val="20"/>
          <w:szCs w:val="20"/>
        </w:rPr>
        <w:t xml:space="preserve"> and penalties would amount to if successfully asserted against us. In addition, certain government inquiries and investigations, such as matters before our lead European Union privacy regulator, the IDPC, are subject to review by other regulatory bodies b</w:t>
      </w:r>
      <w:r>
        <w:rPr>
          <w:rFonts w:ascii="Times New Roman" w:eastAsia="宋体" w:hAnsi="Times New Roman"/>
          <w:color w:val="000000"/>
          <w:sz w:val="20"/>
          <w:szCs w:val="20"/>
        </w:rPr>
        <w:t>efore decisions can be finalized, which can lead to significant changes in the outcome of an inquiry. As a result of these and other factors, we reasonably expect that our estimates and judgments with respect to our contingencies may continue to be revised</w:t>
      </w:r>
      <w:r>
        <w:rPr>
          <w:rFonts w:ascii="Times New Roman" w:eastAsia="宋体" w:hAnsi="Times New Roman"/>
          <w:color w:val="000000"/>
          <w:sz w:val="20"/>
          <w:szCs w:val="20"/>
        </w:rPr>
        <w:t xml:space="preserve"> in future quarters. </w:t>
      </w:r>
    </w:p>
    <w:p w14:paraId="5CD8F6F7" w14:textId="77777777" w:rsidR="00BA49F5" w:rsidRDefault="00BA49F5">
      <w:pPr>
        <w:ind w:firstLine="540"/>
        <w:jc w:val="both"/>
      </w:pPr>
    </w:p>
    <w:p w14:paraId="5CD8F6F8" w14:textId="77777777" w:rsidR="00BA49F5" w:rsidRDefault="007E5E49">
      <w:pPr>
        <w:jc w:val="both"/>
      </w:pPr>
      <w:r>
        <w:rPr>
          <w:rFonts w:ascii="Times New Roman" w:eastAsia="宋体" w:hAnsi="Times New Roman"/>
          <w:b/>
          <w:bCs/>
          <w:i/>
          <w:iCs/>
          <w:color w:val="000000"/>
          <w:sz w:val="20"/>
          <w:szCs w:val="20"/>
        </w:rPr>
        <w:t>Business Combinations</w:t>
      </w:r>
    </w:p>
    <w:p w14:paraId="5CD8F6F9" w14:textId="77777777" w:rsidR="00BA49F5" w:rsidRDefault="00BA49F5">
      <w:pPr>
        <w:ind w:firstLine="540"/>
        <w:jc w:val="both"/>
      </w:pPr>
    </w:p>
    <w:p w14:paraId="5CD8F6FA" w14:textId="77777777" w:rsidR="00BA49F5" w:rsidRDefault="007E5E49">
      <w:pPr>
        <w:ind w:firstLine="540"/>
        <w:jc w:val="both"/>
      </w:pPr>
      <w:r>
        <w:rPr>
          <w:rFonts w:ascii="Times New Roman" w:eastAsia="宋体" w:hAnsi="Times New Roman"/>
          <w:color w:val="000000"/>
          <w:sz w:val="20"/>
          <w:szCs w:val="20"/>
        </w:rPr>
        <w:t xml:space="preserve">We allocate the fair value of purchase consideration to the tangible assets acquired, liabilities assumed and intangible assets acquired based on their estimated fair values. The excess of the fair value of </w:t>
      </w:r>
      <w:r>
        <w:rPr>
          <w:rFonts w:ascii="Times New Roman" w:eastAsia="宋体" w:hAnsi="Times New Roman"/>
          <w:color w:val="000000"/>
          <w:sz w:val="20"/>
          <w:szCs w:val="20"/>
        </w:rPr>
        <w:t>purchase consideration over the fair values of these identifiable assets and liabilities is recorded as goodwill to reporting units based on the expected benefit from the business combination. Allocation of purchase consideration to identifiable assets and</w:t>
      </w:r>
      <w:r>
        <w:rPr>
          <w:rFonts w:ascii="Times New Roman" w:eastAsia="宋体" w:hAnsi="Times New Roman"/>
          <w:color w:val="000000"/>
          <w:sz w:val="20"/>
          <w:szCs w:val="20"/>
        </w:rPr>
        <w:t xml:space="preserve"> liabilities affects the amortization expense, as acquired finite-lived intangible assets are amortized over the useful life, whereas any indefinite-lived intangible assets, including goodwill, are not amortized. During the measurement period, which is not</w:t>
      </w:r>
      <w:r>
        <w:rPr>
          <w:rFonts w:ascii="Times New Roman" w:eastAsia="宋体" w:hAnsi="Times New Roman"/>
          <w:color w:val="000000"/>
          <w:sz w:val="20"/>
          <w:szCs w:val="20"/>
        </w:rPr>
        <w:t xml:space="preserve"> to exceed one year from the acquisition date, we record adjustments to the assets acquired and liabilities assumed, with the corresponding offset to goodwill. Upon the conclusion of the measurement period, any subsequent adjustments are recorded to earnin</w:t>
      </w:r>
      <w:r>
        <w:rPr>
          <w:rFonts w:ascii="Times New Roman" w:eastAsia="宋体" w:hAnsi="Times New Roman"/>
          <w:color w:val="000000"/>
          <w:sz w:val="20"/>
          <w:szCs w:val="20"/>
        </w:rPr>
        <w:t>gs. Acquisition-related expenses are recognized separately from business combinations and are expensed as incurred.</w:t>
      </w:r>
    </w:p>
    <w:p w14:paraId="5CD8F6FB" w14:textId="77777777" w:rsidR="00BA49F5" w:rsidRDefault="00BA49F5">
      <w:pPr>
        <w:ind w:firstLine="540"/>
        <w:jc w:val="both"/>
      </w:pPr>
    </w:p>
    <w:p w14:paraId="5CD8F6FC" w14:textId="77777777" w:rsidR="00BA49F5" w:rsidRDefault="007E5E49">
      <w:pPr>
        <w:jc w:val="both"/>
      </w:pPr>
      <w:r>
        <w:rPr>
          <w:rFonts w:ascii="Times New Roman" w:eastAsia="宋体" w:hAnsi="Times New Roman"/>
          <w:b/>
          <w:bCs/>
          <w:i/>
          <w:iCs/>
          <w:color w:val="000000"/>
          <w:sz w:val="20"/>
          <w:szCs w:val="20"/>
        </w:rPr>
        <w:t>Goodwill and Intangibles Assets</w:t>
      </w:r>
    </w:p>
    <w:p w14:paraId="5CD8F6FD" w14:textId="77777777" w:rsidR="00BA49F5" w:rsidRDefault="00BA49F5">
      <w:pPr>
        <w:ind w:firstLine="540"/>
        <w:jc w:val="both"/>
      </w:pPr>
    </w:p>
    <w:p w14:paraId="5CD8F6FE" w14:textId="77777777" w:rsidR="00BA49F5" w:rsidRDefault="007E5E49">
      <w:pPr>
        <w:ind w:firstLine="540"/>
        <w:jc w:val="both"/>
      </w:pPr>
      <w:r>
        <w:rPr>
          <w:rFonts w:ascii="Times New Roman" w:eastAsia="宋体" w:hAnsi="Times New Roman"/>
          <w:color w:val="000000"/>
          <w:sz w:val="20"/>
          <w:szCs w:val="20"/>
        </w:rPr>
        <w:t>We allocate goodwill to reporting units based on the expected benefit from business combinations. We evalu</w:t>
      </w:r>
      <w:r>
        <w:rPr>
          <w:rFonts w:ascii="Times New Roman" w:eastAsia="宋体" w:hAnsi="Times New Roman"/>
          <w:color w:val="000000"/>
          <w:sz w:val="20"/>
          <w:szCs w:val="20"/>
        </w:rPr>
        <w:t>ate our reporting units annually, as well as when changes in our operating segments occur. For changes in reporting units, we reassign goodwill using a relative fair value allocation approach. Goodwill is tested for impairment at the reporting unit level a</w:t>
      </w:r>
      <w:r>
        <w:rPr>
          <w:rFonts w:ascii="Times New Roman" w:eastAsia="宋体" w:hAnsi="Times New Roman"/>
          <w:color w:val="000000"/>
          <w:sz w:val="20"/>
          <w:szCs w:val="20"/>
        </w:rPr>
        <w:t xml:space="preserve">nnually or more frequently if events or changes in circumstances would more likely than not reduce the fair value of a reporting unit below its carrying value. We have two reporting units subject to goodwill impairment testing. As of December 31, 2022, no </w:t>
      </w:r>
      <w:r>
        <w:rPr>
          <w:rFonts w:ascii="Times New Roman" w:eastAsia="宋体" w:hAnsi="Times New Roman"/>
          <w:color w:val="000000"/>
          <w:sz w:val="20"/>
          <w:szCs w:val="20"/>
        </w:rPr>
        <w:t>impairment of goodwill has been identified.</w:t>
      </w:r>
    </w:p>
    <w:p w14:paraId="5CD8F6FF" w14:textId="77777777" w:rsidR="00BA49F5" w:rsidRDefault="00BA49F5">
      <w:pPr>
        <w:ind w:firstLine="540"/>
        <w:jc w:val="both"/>
      </w:pPr>
    </w:p>
    <w:p w14:paraId="5CD8F700" w14:textId="77777777" w:rsidR="00BA49F5" w:rsidRDefault="007E5E49">
      <w:pPr>
        <w:ind w:firstLine="540"/>
        <w:jc w:val="both"/>
      </w:pPr>
      <w:r>
        <w:rPr>
          <w:rFonts w:ascii="Times New Roman" w:eastAsia="宋体" w:hAnsi="Times New Roman"/>
          <w:color w:val="000000"/>
          <w:sz w:val="20"/>
          <w:szCs w:val="20"/>
        </w:rPr>
        <w:t>We evaluate the recoverability of finite-lived intangible assets for possible impairment whenever events or circumstances indicate that the carrying amount of such assets may not be recoverable. The evaluation o</w:t>
      </w:r>
      <w:r>
        <w:rPr>
          <w:rFonts w:ascii="Times New Roman" w:eastAsia="宋体" w:hAnsi="Times New Roman"/>
          <w:color w:val="000000"/>
          <w:sz w:val="20"/>
          <w:szCs w:val="20"/>
        </w:rPr>
        <w:t>f these intangible assets are performed at the lowest level for which identifiable cash flows are largely independent of the cash flows of other assets and liabilities. Recoverability of these assets is measured by a comparison of the carrying amounts to t</w:t>
      </w:r>
      <w:r>
        <w:rPr>
          <w:rFonts w:ascii="Times New Roman" w:eastAsia="宋体" w:hAnsi="Times New Roman"/>
          <w:color w:val="000000"/>
          <w:sz w:val="20"/>
          <w:szCs w:val="20"/>
        </w:rPr>
        <w:t xml:space="preserve">he future undiscounted cash flows the assets are expected to generate from the use and eventual disposition. If such review indicates that the carrying amount of finite-lived intangible assets is not recoverable, and the assets fair value is less than the </w:t>
      </w:r>
      <w:r>
        <w:rPr>
          <w:rFonts w:ascii="Times New Roman" w:eastAsia="宋体" w:hAnsi="Times New Roman"/>
          <w:color w:val="000000"/>
          <w:sz w:val="20"/>
          <w:szCs w:val="20"/>
        </w:rPr>
        <w:t>carrying amount, an impairment charge is recognized. We have not recorded any material impairment charges during the years presented.</w:t>
      </w:r>
    </w:p>
    <w:p w14:paraId="5CD8F701" w14:textId="77777777" w:rsidR="00BA49F5" w:rsidRDefault="007E5E49">
      <w:pPr>
        <w:jc w:val="center"/>
      </w:pPr>
      <w:r>
        <w:rPr>
          <w:rFonts w:ascii="Times New Roman" w:eastAsia="宋体" w:hAnsi="Times New Roman"/>
          <w:color w:val="000000"/>
          <w:sz w:val="20"/>
          <w:szCs w:val="20"/>
        </w:rPr>
        <w:t>97</w:t>
      </w:r>
    </w:p>
    <w:p w14:paraId="5CD8F702" w14:textId="77777777" w:rsidR="00BA49F5" w:rsidRDefault="007E5E49">
      <w:r>
        <w:pict w14:anchorId="5CD90D56">
          <v:rect id="_x0000_i1121" style="width:415.3pt;height:1.5pt" o:hralign="center" o:hrstd="t" o:hr="t" fillcolor="#a0a0a0" stroked="f"/>
        </w:pict>
      </w:r>
    </w:p>
    <w:p w14:paraId="5CD8F703" w14:textId="77777777" w:rsidR="00BA49F5" w:rsidRDefault="00BA49F5"/>
    <w:p w14:paraId="5CD8F704" w14:textId="77777777" w:rsidR="00BA49F5" w:rsidRDefault="00BA49F5"/>
    <w:p w14:paraId="5CD8F705" w14:textId="77777777" w:rsidR="00BA49F5" w:rsidRDefault="007E5E49">
      <w:hyperlink r:id="rId289" w:anchor="i6df229dad1864210ab76200083e26819_7" w:history="1">
        <w:r>
          <w:rPr>
            <w:rStyle w:val="a5"/>
            <w:rFonts w:ascii="Times New Roman" w:eastAsia="宋体" w:hAnsi="Times New Roman"/>
            <w:sz w:val="20"/>
            <w:szCs w:val="20"/>
          </w:rPr>
          <w:t>T</w:t>
        </w:r>
      </w:hyperlink>
      <w:hyperlink r:id="rId290" w:anchor="i6df229dad1864210ab76200083e26819_7" w:history="1">
        <w:r>
          <w:rPr>
            <w:rStyle w:val="a5"/>
            <w:rFonts w:ascii="Times New Roman" w:eastAsia="宋体" w:hAnsi="Times New Roman"/>
            <w:sz w:val="20"/>
            <w:szCs w:val="20"/>
          </w:rPr>
          <w:t>able of Contents</w:t>
        </w:r>
      </w:hyperlink>
    </w:p>
    <w:p w14:paraId="5CD8F706" w14:textId="77777777" w:rsidR="00BA49F5" w:rsidRDefault="00BA49F5"/>
    <w:p w14:paraId="5CD8F707" w14:textId="77777777" w:rsidR="00BA49F5" w:rsidRDefault="007E5E49">
      <w:pPr>
        <w:ind w:firstLine="540"/>
        <w:jc w:val="both"/>
      </w:pPr>
      <w:r>
        <w:rPr>
          <w:rFonts w:ascii="Times New Roman" w:eastAsia="宋体" w:hAnsi="Times New Roman"/>
          <w:color w:val="000000"/>
          <w:sz w:val="20"/>
          <w:szCs w:val="20"/>
        </w:rPr>
        <w:t>Our finite-lived intangible assets are amortiz</w:t>
      </w:r>
      <w:r>
        <w:rPr>
          <w:rFonts w:ascii="Times New Roman" w:eastAsia="宋体" w:hAnsi="Times New Roman"/>
          <w:color w:val="000000"/>
          <w:sz w:val="20"/>
          <w:szCs w:val="20"/>
        </w:rPr>
        <w:t>ed on a straight-line basis over the estimated useful lives of the assets. Indefinite-lived intangible assets are not amortized. If an indefinite-lived intangible asset is subsequently determined to have a finite useful life, the asset will be tested for i</w:t>
      </w:r>
      <w:r>
        <w:rPr>
          <w:rFonts w:ascii="Times New Roman" w:eastAsia="宋体" w:hAnsi="Times New Roman"/>
          <w:color w:val="000000"/>
          <w:sz w:val="20"/>
          <w:szCs w:val="20"/>
        </w:rPr>
        <w:t>mpairment and accounted for as a finite-lived intangible asset prospectively over its estimated remaining useful life. We routinely review the remaining estimated useful lives of finite-lived intangible assets. If we change the estimated useful life assump</w:t>
      </w:r>
      <w:r>
        <w:rPr>
          <w:rFonts w:ascii="Times New Roman" w:eastAsia="宋体" w:hAnsi="Times New Roman"/>
          <w:color w:val="000000"/>
          <w:sz w:val="20"/>
          <w:szCs w:val="20"/>
        </w:rPr>
        <w:t>tion for any asset, the remaining unamortized balance is amortized over the revised estimated useful life.</w:t>
      </w:r>
    </w:p>
    <w:p w14:paraId="5CD8F708" w14:textId="77777777" w:rsidR="00BA49F5" w:rsidRDefault="00BA49F5">
      <w:pPr>
        <w:ind w:firstLine="540"/>
        <w:jc w:val="both"/>
      </w:pPr>
    </w:p>
    <w:p w14:paraId="5CD8F709" w14:textId="77777777" w:rsidR="00BA49F5" w:rsidRDefault="007E5E49">
      <w:pPr>
        <w:jc w:val="both"/>
      </w:pPr>
      <w:r>
        <w:rPr>
          <w:rFonts w:ascii="Times New Roman" w:eastAsia="宋体" w:hAnsi="Times New Roman"/>
          <w:b/>
          <w:bCs/>
          <w:i/>
          <w:iCs/>
          <w:color w:val="000000"/>
          <w:sz w:val="20"/>
          <w:szCs w:val="20"/>
        </w:rPr>
        <w:t>Foreign Currency</w:t>
      </w:r>
    </w:p>
    <w:p w14:paraId="5CD8F70A" w14:textId="77777777" w:rsidR="00BA49F5" w:rsidRDefault="00BA49F5">
      <w:pPr>
        <w:ind w:firstLine="540"/>
        <w:jc w:val="both"/>
      </w:pPr>
    </w:p>
    <w:p w14:paraId="5CD8F70B" w14:textId="77777777" w:rsidR="00BA49F5" w:rsidRDefault="007E5E49">
      <w:pPr>
        <w:ind w:firstLine="540"/>
        <w:jc w:val="both"/>
      </w:pPr>
      <w:r>
        <w:rPr>
          <w:rFonts w:ascii="Times New Roman" w:eastAsia="宋体" w:hAnsi="Times New Roman"/>
          <w:color w:val="000000"/>
          <w:sz w:val="20"/>
          <w:szCs w:val="20"/>
        </w:rPr>
        <w:t xml:space="preserve">Generally, the functional currency of our international subsidiaries is the local currency. We translate the financial statements </w:t>
      </w:r>
      <w:r>
        <w:rPr>
          <w:rFonts w:ascii="Times New Roman" w:eastAsia="宋体" w:hAnsi="Times New Roman"/>
          <w:color w:val="000000"/>
          <w:sz w:val="20"/>
          <w:szCs w:val="20"/>
        </w:rPr>
        <w:t>of these subsidiaries to U.S. dollars using month-end rates of exchange for assets and liabilities, and average rates of exchange for revenue, costs, and expenses. Translation gains and losses are recorded in accumulated other comprehensive income (loss) a</w:t>
      </w:r>
      <w:r>
        <w:rPr>
          <w:rFonts w:ascii="Times New Roman" w:eastAsia="宋体" w:hAnsi="Times New Roman"/>
          <w:color w:val="000000"/>
          <w:sz w:val="20"/>
          <w:szCs w:val="20"/>
        </w:rPr>
        <w:t xml:space="preserve">s a component of stockholders' equity. As of December 31, 2022 and 2021, we had cumulative translation losses, net of tax of $1.86 billion and $677 million, respectively. </w:t>
      </w:r>
    </w:p>
    <w:p w14:paraId="5CD8F70C" w14:textId="77777777" w:rsidR="00BA49F5" w:rsidRDefault="00BA49F5">
      <w:pPr>
        <w:ind w:firstLine="540"/>
        <w:jc w:val="both"/>
      </w:pPr>
    </w:p>
    <w:p w14:paraId="5CD8F70D" w14:textId="77777777" w:rsidR="00BA49F5" w:rsidRDefault="007E5E49">
      <w:pPr>
        <w:ind w:firstLine="540"/>
        <w:jc w:val="both"/>
      </w:pPr>
      <w:r>
        <w:rPr>
          <w:rFonts w:ascii="Times New Roman" w:eastAsia="宋体" w:hAnsi="Times New Roman"/>
          <w:color w:val="000000"/>
          <w:sz w:val="20"/>
          <w:szCs w:val="20"/>
        </w:rPr>
        <w:t>Foreign currency transaction gains and losses from transactions denominated in a cu</w:t>
      </w:r>
      <w:r>
        <w:rPr>
          <w:rFonts w:ascii="Times New Roman" w:eastAsia="宋体" w:hAnsi="Times New Roman"/>
          <w:color w:val="000000"/>
          <w:sz w:val="20"/>
          <w:szCs w:val="20"/>
        </w:rPr>
        <w:t>rrency other than the functional currency of the subsidiary involved are recorded within interest and other income (expense), net on our consolidated statements of income. Net losses resulting from foreign currency transactions were $81 million, $140 milli</w:t>
      </w:r>
      <w:r>
        <w:rPr>
          <w:rFonts w:ascii="Times New Roman" w:eastAsia="宋体" w:hAnsi="Times New Roman"/>
          <w:color w:val="000000"/>
          <w:sz w:val="20"/>
          <w:szCs w:val="20"/>
        </w:rPr>
        <w:t>on, and $129 million for the years ended December 31, 2022, 2021, and 2020, respectively.</w:t>
      </w:r>
    </w:p>
    <w:p w14:paraId="5CD8F70E" w14:textId="77777777" w:rsidR="00BA49F5" w:rsidRDefault="00BA49F5">
      <w:pPr>
        <w:ind w:firstLine="540"/>
        <w:jc w:val="both"/>
      </w:pPr>
    </w:p>
    <w:p w14:paraId="5CD8F70F" w14:textId="77777777" w:rsidR="00BA49F5" w:rsidRDefault="007E5E49">
      <w:pPr>
        <w:jc w:val="both"/>
      </w:pPr>
      <w:r>
        <w:rPr>
          <w:rFonts w:ascii="Times New Roman" w:eastAsia="宋体" w:hAnsi="Times New Roman"/>
          <w:b/>
          <w:bCs/>
          <w:i/>
          <w:iCs/>
          <w:color w:val="000000"/>
          <w:sz w:val="20"/>
          <w:szCs w:val="20"/>
        </w:rPr>
        <w:t>Credit Risk and Concentration</w:t>
      </w:r>
    </w:p>
    <w:p w14:paraId="5CD8F710" w14:textId="77777777" w:rsidR="00BA49F5" w:rsidRDefault="00BA49F5">
      <w:pPr>
        <w:ind w:firstLine="540"/>
        <w:jc w:val="both"/>
      </w:pPr>
    </w:p>
    <w:p w14:paraId="5CD8F711" w14:textId="77777777" w:rsidR="00BA49F5" w:rsidRDefault="007E5E49">
      <w:pPr>
        <w:ind w:firstLine="540"/>
        <w:jc w:val="both"/>
      </w:pPr>
      <w:r>
        <w:rPr>
          <w:rFonts w:ascii="Times New Roman" w:eastAsia="宋体" w:hAnsi="Times New Roman"/>
          <w:color w:val="000000"/>
          <w:sz w:val="20"/>
          <w:szCs w:val="20"/>
        </w:rPr>
        <w:t>Our financial instruments that are potentially subject to concentrations of credit risk consist primarily of cash, cash equivalents, r</w:t>
      </w:r>
      <w:r>
        <w:rPr>
          <w:rFonts w:ascii="Times New Roman" w:eastAsia="宋体" w:hAnsi="Times New Roman"/>
          <w:color w:val="000000"/>
          <w:sz w:val="20"/>
          <w:szCs w:val="20"/>
        </w:rPr>
        <w:t>estricted cash, marketable securities, and accounts receivable. Cash equivalents consists mostly of money market funds, that primarily invest in U.S. government and agency securities. Marketable securities consist of investments in U.S. government securiti</w:t>
      </w:r>
      <w:r>
        <w:rPr>
          <w:rFonts w:ascii="Times New Roman" w:eastAsia="宋体" w:hAnsi="Times New Roman"/>
          <w:color w:val="000000"/>
          <w:sz w:val="20"/>
          <w:szCs w:val="20"/>
        </w:rPr>
        <w:t xml:space="preserve">es, U.S. government agency securities, and investment grade corporate debt securities. Our investment portfolio in corporate debt securities is highly liquid and diversified among individual issuers. The amount of credit losses recorded for the year ended </w:t>
      </w:r>
      <w:r>
        <w:rPr>
          <w:rFonts w:ascii="Times New Roman" w:eastAsia="宋体" w:hAnsi="Times New Roman"/>
          <w:color w:val="000000"/>
          <w:sz w:val="20"/>
          <w:szCs w:val="20"/>
        </w:rPr>
        <w:t>December 31, 2022 was not material.</w:t>
      </w:r>
    </w:p>
    <w:p w14:paraId="5CD8F712" w14:textId="77777777" w:rsidR="00BA49F5" w:rsidRDefault="00BA49F5">
      <w:pPr>
        <w:ind w:firstLine="540"/>
        <w:jc w:val="both"/>
      </w:pPr>
    </w:p>
    <w:p w14:paraId="5CD8F713" w14:textId="77777777" w:rsidR="00BA49F5" w:rsidRDefault="007E5E49">
      <w:pPr>
        <w:ind w:firstLine="540"/>
        <w:jc w:val="both"/>
      </w:pPr>
      <w:r>
        <w:rPr>
          <w:rFonts w:ascii="Times New Roman" w:eastAsia="宋体" w:hAnsi="Times New Roman"/>
          <w:color w:val="000000"/>
          <w:sz w:val="20"/>
          <w:szCs w:val="20"/>
        </w:rPr>
        <w:t>Accounts receivable are typically unsecured and are derived from revenue earned from customers across different industries and countries. We generated 40%, 41%, and 42% of our revenue for the years ended December 31, 20</w:t>
      </w:r>
      <w:r>
        <w:rPr>
          <w:rFonts w:ascii="Times New Roman" w:eastAsia="宋体" w:hAnsi="Times New Roman"/>
          <w:color w:val="000000"/>
          <w:sz w:val="20"/>
          <w:szCs w:val="20"/>
        </w:rPr>
        <w:t>22, 2021, and 2020, respectively, from marketers and developers based in the United States, with the majority of revenue outside of the United States coming from customers located in western Europe, China, Brazil, Canada, Australia and Japan.</w:t>
      </w:r>
    </w:p>
    <w:p w14:paraId="5CD8F714" w14:textId="77777777" w:rsidR="00BA49F5" w:rsidRDefault="00BA49F5">
      <w:pPr>
        <w:ind w:firstLine="540"/>
        <w:jc w:val="both"/>
      </w:pPr>
    </w:p>
    <w:p w14:paraId="5CD8F715" w14:textId="77777777" w:rsidR="00BA49F5" w:rsidRDefault="007E5E49">
      <w:pPr>
        <w:ind w:firstLine="54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perform ongoing credit evaluations of our customers and generally do not require collateral. We maintain an allowance for estimated credit losses, and bad debt expense on these losses was not material during the years ended December 31, 2022, 2021, or 2020</w:t>
      </w:r>
      <w:r>
        <w:rPr>
          <w:rFonts w:ascii="Times New Roman" w:eastAsia="宋体" w:hAnsi="Times New Roman"/>
          <w:color w:val="000000"/>
          <w:sz w:val="20"/>
          <w:szCs w:val="20"/>
        </w:rPr>
        <w:t>. In the event that accounts receivable collection cycles deteriorate, our operating results and financial position could be adversely affected.</w:t>
      </w:r>
    </w:p>
    <w:p w14:paraId="5CD8F716" w14:textId="77777777" w:rsidR="00BA49F5" w:rsidRDefault="00BA49F5">
      <w:pPr>
        <w:ind w:firstLine="540"/>
        <w:jc w:val="both"/>
      </w:pPr>
    </w:p>
    <w:p w14:paraId="5CD8F717" w14:textId="77777777" w:rsidR="00BA49F5" w:rsidRDefault="007E5E49">
      <w:pPr>
        <w:ind w:firstLine="540"/>
        <w:jc w:val="both"/>
      </w:pPr>
      <w:r>
        <w:rPr>
          <w:rFonts w:ascii="Times New Roman" w:eastAsia="宋体" w:hAnsi="Times New Roman"/>
          <w:color w:val="000000"/>
          <w:sz w:val="20"/>
          <w:szCs w:val="20"/>
        </w:rPr>
        <w:t>No customer represented 10% or more of total revenue during the years ended December 31, 2022, 2021, and 2020.</w:t>
      </w:r>
    </w:p>
    <w:p w14:paraId="5CD8F718" w14:textId="77777777" w:rsidR="00BA49F5" w:rsidRDefault="00BA49F5">
      <w:pPr>
        <w:ind w:firstLine="540"/>
        <w:jc w:val="both"/>
      </w:pPr>
    </w:p>
    <w:p w14:paraId="5CD8F719" w14:textId="77777777" w:rsidR="00BA49F5" w:rsidRDefault="007E5E49">
      <w:pPr>
        <w:jc w:val="both"/>
      </w:pPr>
      <w:r>
        <w:rPr>
          <w:rFonts w:ascii="Times New Roman" w:eastAsia="宋体" w:hAnsi="Times New Roman"/>
          <w:b/>
          <w:bCs/>
          <w:i/>
          <w:iCs/>
          <w:color w:val="000000"/>
          <w:sz w:val="20"/>
          <w:szCs w:val="20"/>
        </w:rPr>
        <w:t>Recently Adopted Accounting Pronouncements</w:t>
      </w:r>
    </w:p>
    <w:p w14:paraId="5CD8F71A" w14:textId="77777777" w:rsidR="00BA49F5" w:rsidRDefault="00BA49F5">
      <w:pPr>
        <w:ind w:firstLine="540"/>
        <w:jc w:val="both"/>
      </w:pPr>
    </w:p>
    <w:p w14:paraId="5CD8F71B" w14:textId="77777777" w:rsidR="00BA49F5" w:rsidRDefault="007E5E49">
      <w:pPr>
        <w:ind w:firstLine="540"/>
        <w:jc w:val="both"/>
      </w:pPr>
      <w:r>
        <w:rPr>
          <w:rFonts w:ascii="Times New Roman" w:eastAsia="宋体" w:hAnsi="Times New Roman"/>
          <w:color w:val="000000"/>
          <w:sz w:val="20"/>
          <w:szCs w:val="20"/>
        </w:rPr>
        <w:t xml:space="preserve">On January 1, 2022, we early adopted Accounting Standards Update (ASU) No. 2021-08, </w:t>
      </w:r>
      <w:r>
        <w:rPr>
          <w:rFonts w:ascii="Times New Roman" w:eastAsia="宋体" w:hAnsi="Times New Roman"/>
          <w:i/>
          <w:iCs/>
          <w:color w:val="000000"/>
          <w:sz w:val="20"/>
          <w:szCs w:val="20"/>
        </w:rPr>
        <w:t>Business Combinations (Topic 805): Accounting for Contract Assets and Contract Liabilities from Contracts with Customers</w:t>
      </w:r>
      <w:r>
        <w:rPr>
          <w:rFonts w:ascii="Times New Roman" w:eastAsia="宋体" w:hAnsi="Times New Roman"/>
          <w:color w:val="000000"/>
          <w:sz w:val="20"/>
          <w:szCs w:val="20"/>
        </w:rPr>
        <w:t xml:space="preserve"> (ASU 2021-08), which clarifies that an acquirer of a business should recognize and measure contract assets and contract liabilities in a business combination in accordance with Accounting Standards Codification (ASC) Topic 606, Revenue from Contracts with</w:t>
      </w:r>
      <w:r>
        <w:rPr>
          <w:rFonts w:ascii="Times New Roman" w:eastAsia="宋体" w:hAnsi="Times New Roman"/>
          <w:color w:val="000000"/>
          <w:sz w:val="20"/>
          <w:szCs w:val="20"/>
        </w:rPr>
        <w:t xml:space="preserve"> Customers. The adoption of this new standard did not have a material impact on our consolidated financial statements.</w:t>
      </w:r>
    </w:p>
    <w:p w14:paraId="5CD8F71C" w14:textId="77777777" w:rsidR="00BA49F5" w:rsidRDefault="00BA49F5"/>
    <w:p w14:paraId="5CD8F71D" w14:textId="77777777" w:rsidR="00BA49F5" w:rsidRDefault="007E5E49">
      <w:pPr>
        <w:ind w:firstLine="540"/>
        <w:jc w:val="both"/>
      </w:pPr>
      <w:r>
        <w:rPr>
          <w:rFonts w:ascii="Times New Roman" w:eastAsia="宋体" w:hAnsi="Times New Roman"/>
          <w:color w:val="000000"/>
          <w:sz w:val="20"/>
          <w:szCs w:val="20"/>
        </w:rPr>
        <w:t xml:space="preserve">On July 1, 2022, we early adopted ASU No. 2022-03, </w:t>
      </w:r>
      <w:r>
        <w:rPr>
          <w:rFonts w:ascii="Times New Roman" w:eastAsia="宋体" w:hAnsi="Times New Roman"/>
          <w:i/>
          <w:iCs/>
          <w:color w:val="000000"/>
          <w:sz w:val="20"/>
          <w:szCs w:val="20"/>
        </w:rPr>
        <w:t>Fair Value Measurement (Topic 820): Fair Value Measurement of Equity Securities Subje</w:t>
      </w:r>
      <w:r>
        <w:rPr>
          <w:rFonts w:ascii="Times New Roman" w:eastAsia="宋体" w:hAnsi="Times New Roman"/>
          <w:i/>
          <w:iCs/>
          <w:color w:val="000000"/>
          <w:sz w:val="20"/>
          <w:szCs w:val="20"/>
        </w:rPr>
        <w:t xml:space="preserve">ct to Contractual Sale Restrictions </w:t>
      </w:r>
      <w:r>
        <w:rPr>
          <w:rFonts w:ascii="Times New Roman" w:eastAsia="宋体" w:hAnsi="Times New Roman"/>
          <w:color w:val="000000"/>
          <w:sz w:val="20"/>
          <w:szCs w:val="20"/>
        </w:rPr>
        <w:t>(ASU 2022-03), which clarifies and amends the guidance of measuring the fair value of equity securities subject to contractual restrictions that prohibit the sale of the equity securities. The adoption of this new standa</w:t>
      </w:r>
      <w:r>
        <w:rPr>
          <w:rFonts w:ascii="Times New Roman" w:eastAsia="宋体" w:hAnsi="Times New Roman"/>
          <w:color w:val="000000"/>
          <w:sz w:val="20"/>
          <w:szCs w:val="20"/>
        </w:rPr>
        <w:t>rd did not have a material impact on our consolidated financial statements.</w:t>
      </w:r>
    </w:p>
    <w:p w14:paraId="5CD8F71E" w14:textId="77777777" w:rsidR="00BA49F5" w:rsidRDefault="00BA49F5">
      <w:pPr>
        <w:ind w:firstLine="540"/>
        <w:jc w:val="both"/>
      </w:pPr>
    </w:p>
    <w:p w14:paraId="5CD8F71F" w14:textId="77777777" w:rsidR="00BA49F5" w:rsidRDefault="007E5E49">
      <w:pPr>
        <w:ind w:firstLine="540"/>
        <w:jc w:val="both"/>
      </w:pPr>
      <w:r>
        <w:rPr>
          <w:rFonts w:ascii="Times New Roman" w:eastAsia="宋体" w:hAnsi="Times New Roman"/>
          <w:color w:val="000000"/>
          <w:sz w:val="20"/>
          <w:szCs w:val="20"/>
        </w:rPr>
        <w:t>On October 1, 2022, we adopted ASU No. 2021-10,</w:t>
      </w:r>
      <w:r>
        <w:rPr>
          <w:rFonts w:ascii="Times New Roman" w:eastAsia="宋体" w:hAnsi="Times New Roman"/>
          <w:i/>
          <w:iCs/>
          <w:color w:val="000000"/>
          <w:sz w:val="20"/>
          <w:szCs w:val="20"/>
        </w:rPr>
        <w:t xml:space="preserve"> Government Assistance (Topic 832): Disclosure by Business Entities about Government Assistance </w:t>
      </w:r>
      <w:r>
        <w:rPr>
          <w:rFonts w:ascii="Times New Roman" w:eastAsia="宋体" w:hAnsi="Times New Roman"/>
          <w:color w:val="000000"/>
          <w:sz w:val="20"/>
          <w:szCs w:val="20"/>
        </w:rPr>
        <w:t>(ASU 2021-10), which improves the tr</w:t>
      </w:r>
      <w:r>
        <w:rPr>
          <w:rFonts w:ascii="Times New Roman" w:eastAsia="宋体" w:hAnsi="Times New Roman"/>
          <w:color w:val="000000"/>
          <w:sz w:val="20"/>
          <w:szCs w:val="20"/>
        </w:rPr>
        <w:t xml:space="preserve">ansparency of government assistance received </w:t>
      </w:r>
    </w:p>
    <w:p w14:paraId="5CD8F720" w14:textId="77777777" w:rsidR="00BA49F5" w:rsidRDefault="007E5E49">
      <w:pPr>
        <w:jc w:val="center"/>
      </w:pPr>
      <w:r>
        <w:rPr>
          <w:rFonts w:ascii="Times New Roman" w:eastAsia="宋体" w:hAnsi="Times New Roman"/>
          <w:color w:val="000000"/>
          <w:sz w:val="20"/>
          <w:szCs w:val="20"/>
        </w:rPr>
        <w:t>98</w:t>
      </w:r>
    </w:p>
    <w:p w14:paraId="5CD8F721" w14:textId="77777777" w:rsidR="00BA49F5" w:rsidRDefault="007E5E49">
      <w:r>
        <w:pict w14:anchorId="5CD90D57">
          <v:rect id="_x0000_i1122" style="width:415.3pt;height:1.5pt" o:hralign="center" o:hrstd="t" o:hr="t" fillcolor="#a0a0a0" stroked="f"/>
        </w:pict>
      </w:r>
    </w:p>
    <w:p w14:paraId="5CD8F722" w14:textId="77777777" w:rsidR="00BA49F5" w:rsidRDefault="00BA49F5"/>
    <w:p w14:paraId="5CD8F723" w14:textId="77777777" w:rsidR="00BA49F5" w:rsidRDefault="00BA49F5"/>
    <w:p w14:paraId="5CD8F724" w14:textId="77777777" w:rsidR="00BA49F5" w:rsidRDefault="007E5E49">
      <w:hyperlink r:id="rId291" w:anchor="i6df229dad1864210ab76200083e26819_7" w:history="1">
        <w:r>
          <w:rPr>
            <w:rStyle w:val="a5"/>
            <w:rFonts w:ascii="Times New Roman" w:eastAsia="宋体" w:hAnsi="Times New Roman"/>
            <w:sz w:val="20"/>
            <w:szCs w:val="20"/>
          </w:rPr>
          <w:t>T</w:t>
        </w:r>
      </w:hyperlink>
      <w:hyperlink r:id="rId292" w:anchor="i6df229dad1864210ab76200083e26819_7" w:history="1">
        <w:r>
          <w:rPr>
            <w:rStyle w:val="a5"/>
            <w:rFonts w:ascii="Times New Roman" w:eastAsia="宋体" w:hAnsi="Times New Roman"/>
            <w:sz w:val="20"/>
            <w:szCs w:val="20"/>
          </w:rPr>
          <w:t>able of Contents</w:t>
        </w:r>
      </w:hyperlink>
    </w:p>
    <w:p w14:paraId="5CD8F725" w14:textId="77777777" w:rsidR="00BA49F5" w:rsidRDefault="007E5E49">
      <w:pPr>
        <w:jc w:val="both"/>
      </w:pPr>
      <w:r>
        <w:rPr>
          <w:rFonts w:ascii="Times New Roman" w:eastAsia="宋体" w:hAnsi="Times New Roman"/>
          <w:color w:val="000000"/>
          <w:sz w:val="20"/>
          <w:szCs w:val="20"/>
        </w:rPr>
        <w:t>by most business entities by requiring annual disclosures of: (1) the types of government assistance received; (2) the accounting for s</w:t>
      </w:r>
      <w:r>
        <w:rPr>
          <w:rFonts w:ascii="Times New Roman" w:eastAsia="宋体" w:hAnsi="Times New Roman"/>
          <w:color w:val="000000"/>
          <w:sz w:val="20"/>
          <w:szCs w:val="20"/>
        </w:rPr>
        <w:t>uch assistance; and (3) the effect of the assistance on a business entity's financial statements. The adoption of this new standard did not have a material impact on our consolidated financial statements.</w:t>
      </w:r>
    </w:p>
    <w:p w14:paraId="5CD8F726" w14:textId="77777777" w:rsidR="00BA49F5" w:rsidRDefault="00BA49F5">
      <w:pPr>
        <w:ind w:firstLine="540"/>
        <w:jc w:val="both"/>
      </w:pPr>
    </w:p>
    <w:p w14:paraId="5CD8F727" w14:textId="77777777" w:rsidR="00BA49F5" w:rsidRDefault="007E5E49">
      <w:pPr>
        <w:spacing w:before="180"/>
        <w:jc w:val="both"/>
      </w:pPr>
      <w:r>
        <w:rPr>
          <w:rFonts w:ascii="Times New Roman" w:eastAsia="宋体" w:hAnsi="Times New Roman"/>
          <w:b/>
          <w:bCs/>
          <w:color w:val="000000"/>
          <w:sz w:val="20"/>
          <w:szCs w:val="20"/>
        </w:rPr>
        <w:t>Note 2.</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Revenue</w:t>
      </w:r>
    </w:p>
    <w:p w14:paraId="5CD8F728" w14:textId="77777777" w:rsidR="00BA49F5" w:rsidRDefault="00BA49F5">
      <w:pPr>
        <w:ind w:firstLine="540"/>
        <w:jc w:val="both"/>
      </w:pPr>
    </w:p>
    <w:p w14:paraId="5CD8F729" w14:textId="77777777" w:rsidR="00BA49F5" w:rsidRDefault="007E5E49">
      <w:pPr>
        <w:ind w:firstLine="540"/>
        <w:jc w:val="both"/>
      </w:pPr>
      <w:r>
        <w:rPr>
          <w:rFonts w:ascii="Times New Roman" w:eastAsia="宋体" w:hAnsi="Times New Roman"/>
          <w:color w:val="000000"/>
          <w:sz w:val="20"/>
          <w:szCs w:val="20"/>
          <w:shd w:val="clear" w:color="auto" w:fill="FFFFFF"/>
        </w:rPr>
        <w:t xml:space="preserve">Revenue disaggregated by revenue </w:t>
      </w:r>
      <w:r>
        <w:rPr>
          <w:rFonts w:ascii="Times New Roman" w:eastAsia="宋体" w:hAnsi="Times New Roman"/>
          <w:color w:val="000000"/>
          <w:sz w:val="20"/>
          <w:szCs w:val="20"/>
          <w:shd w:val="clear" w:color="auto" w:fill="FFFFFF"/>
        </w:rPr>
        <w:t xml:space="preserve">source and by segment consists of the following (in millions). For comparative purposes, </w:t>
      </w:r>
      <w:r>
        <w:rPr>
          <w:rFonts w:ascii="Times New Roman" w:eastAsia="宋体" w:hAnsi="Times New Roman"/>
          <w:color w:val="000000"/>
          <w:sz w:val="20"/>
          <w:szCs w:val="20"/>
        </w:rPr>
        <w:t>amounts for the year ended December 31, 2020</w:t>
      </w:r>
      <w:r>
        <w:rPr>
          <w:rFonts w:ascii="Times New Roman" w:eastAsia="宋体" w:hAnsi="Times New Roman"/>
          <w:color w:val="000000"/>
          <w:sz w:val="20"/>
          <w:szCs w:val="20"/>
          <w:shd w:val="clear" w:color="auto" w:fill="FFFFFF"/>
        </w:rPr>
        <w:t xml:space="preserve">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A49F5" w14:paraId="5CD8F73C" w14:textId="77777777">
        <w:tc>
          <w:tcPr>
            <w:tcW w:w="50" w:type="pct"/>
            <w:shd w:val="clear" w:color="auto" w:fill="auto"/>
            <w:vAlign w:val="bottom"/>
          </w:tcPr>
          <w:p w14:paraId="5CD8F72A" w14:textId="77777777" w:rsidR="00BA49F5" w:rsidRDefault="00BA49F5">
            <w:pPr>
              <w:rPr>
                <w:rFonts w:ascii="宋体"/>
              </w:rPr>
            </w:pPr>
          </w:p>
        </w:tc>
        <w:tc>
          <w:tcPr>
            <w:tcW w:w="2928" w:type="pct"/>
            <w:shd w:val="clear" w:color="auto" w:fill="auto"/>
            <w:vAlign w:val="bottom"/>
          </w:tcPr>
          <w:p w14:paraId="5CD8F72B" w14:textId="77777777" w:rsidR="00BA49F5" w:rsidRDefault="00BA49F5">
            <w:pPr>
              <w:rPr>
                <w:rFonts w:ascii="宋体"/>
              </w:rPr>
            </w:pPr>
          </w:p>
        </w:tc>
        <w:tc>
          <w:tcPr>
            <w:tcW w:w="5" w:type="pct"/>
            <w:shd w:val="clear" w:color="auto" w:fill="auto"/>
            <w:vAlign w:val="bottom"/>
          </w:tcPr>
          <w:p w14:paraId="5CD8F72C" w14:textId="77777777" w:rsidR="00BA49F5" w:rsidRDefault="00BA49F5">
            <w:pPr>
              <w:rPr>
                <w:rFonts w:ascii="宋体"/>
              </w:rPr>
            </w:pPr>
          </w:p>
        </w:tc>
        <w:tc>
          <w:tcPr>
            <w:tcW w:w="50" w:type="pct"/>
            <w:shd w:val="clear" w:color="auto" w:fill="auto"/>
            <w:vAlign w:val="bottom"/>
          </w:tcPr>
          <w:p w14:paraId="5CD8F72D" w14:textId="77777777" w:rsidR="00BA49F5" w:rsidRDefault="00BA49F5">
            <w:pPr>
              <w:rPr>
                <w:rFonts w:ascii="宋体"/>
              </w:rPr>
            </w:pPr>
          </w:p>
        </w:tc>
        <w:tc>
          <w:tcPr>
            <w:tcW w:w="592" w:type="pct"/>
            <w:shd w:val="clear" w:color="auto" w:fill="auto"/>
            <w:vAlign w:val="bottom"/>
          </w:tcPr>
          <w:p w14:paraId="5CD8F72E" w14:textId="77777777" w:rsidR="00BA49F5" w:rsidRDefault="00BA49F5">
            <w:pPr>
              <w:rPr>
                <w:rFonts w:ascii="宋体"/>
              </w:rPr>
            </w:pPr>
          </w:p>
        </w:tc>
        <w:tc>
          <w:tcPr>
            <w:tcW w:w="5" w:type="pct"/>
            <w:shd w:val="clear" w:color="auto" w:fill="auto"/>
            <w:vAlign w:val="bottom"/>
          </w:tcPr>
          <w:p w14:paraId="5CD8F72F" w14:textId="77777777" w:rsidR="00BA49F5" w:rsidRDefault="00BA49F5">
            <w:pPr>
              <w:rPr>
                <w:rFonts w:ascii="宋体"/>
              </w:rPr>
            </w:pPr>
          </w:p>
        </w:tc>
        <w:tc>
          <w:tcPr>
            <w:tcW w:w="5" w:type="pct"/>
            <w:shd w:val="clear" w:color="auto" w:fill="auto"/>
            <w:vAlign w:val="bottom"/>
          </w:tcPr>
          <w:p w14:paraId="5CD8F730" w14:textId="77777777" w:rsidR="00BA49F5" w:rsidRDefault="00BA49F5">
            <w:pPr>
              <w:rPr>
                <w:rFonts w:ascii="宋体"/>
              </w:rPr>
            </w:pPr>
          </w:p>
        </w:tc>
        <w:tc>
          <w:tcPr>
            <w:tcW w:w="27" w:type="pct"/>
            <w:shd w:val="clear" w:color="auto" w:fill="auto"/>
            <w:vAlign w:val="bottom"/>
          </w:tcPr>
          <w:p w14:paraId="5CD8F731" w14:textId="77777777" w:rsidR="00BA49F5" w:rsidRDefault="00BA49F5">
            <w:pPr>
              <w:rPr>
                <w:rFonts w:ascii="宋体"/>
              </w:rPr>
            </w:pPr>
          </w:p>
        </w:tc>
        <w:tc>
          <w:tcPr>
            <w:tcW w:w="5" w:type="pct"/>
            <w:shd w:val="clear" w:color="auto" w:fill="auto"/>
            <w:vAlign w:val="bottom"/>
          </w:tcPr>
          <w:p w14:paraId="5CD8F732" w14:textId="77777777" w:rsidR="00BA49F5" w:rsidRDefault="00BA49F5">
            <w:pPr>
              <w:rPr>
                <w:rFonts w:ascii="宋体"/>
              </w:rPr>
            </w:pPr>
          </w:p>
        </w:tc>
        <w:tc>
          <w:tcPr>
            <w:tcW w:w="50" w:type="pct"/>
            <w:shd w:val="clear" w:color="auto" w:fill="auto"/>
            <w:vAlign w:val="bottom"/>
          </w:tcPr>
          <w:p w14:paraId="5CD8F733" w14:textId="77777777" w:rsidR="00BA49F5" w:rsidRDefault="00BA49F5">
            <w:pPr>
              <w:rPr>
                <w:rFonts w:ascii="宋体"/>
              </w:rPr>
            </w:pPr>
          </w:p>
        </w:tc>
        <w:tc>
          <w:tcPr>
            <w:tcW w:w="592" w:type="pct"/>
            <w:shd w:val="clear" w:color="auto" w:fill="auto"/>
            <w:vAlign w:val="bottom"/>
          </w:tcPr>
          <w:p w14:paraId="5CD8F734" w14:textId="77777777" w:rsidR="00BA49F5" w:rsidRDefault="00BA49F5">
            <w:pPr>
              <w:rPr>
                <w:rFonts w:ascii="宋体"/>
              </w:rPr>
            </w:pPr>
          </w:p>
        </w:tc>
        <w:tc>
          <w:tcPr>
            <w:tcW w:w="5" w:type="pct"/>
            <w:shd w:val="clear" w:color="auto" w:fill="auto"/>
            <w:vAlign w:val="bottom"/>
          </w:tcPr>
          <w:p w14:paraId="5CD8F735" w14:textId="77777777" w:rsidR="00BA49F5" w:rsidRDefault="00BA49F5">
            <w:pPr>
              <w:rPr>
                <w:rFonts w:ascii="宋体"/>
              </w:rPr>
            </w:pPr>
          </w:p>
        </w:tc>
        <w:tc>
          <w:tcPr>
            <w:tcW w:w="5" w:type="pct"/>
            <w:shd w:val="clear" w:color="auto" w:fill="auto"/>
            <w:vAlign w:val="bottom"/>
          </w:tcPr>
          <w:p w14:paraId="5CD8F736" w14:textId="77777777" w:rsidR="00BA49F5" w:rsidRDefault="00BA49F5">
            <w:pPr>
              <w:rPr>
                <w:rFonts w:ascii="宋体"/>
              </w:rPr>
            </w:pPr>
          </w:p>
        </w:tc>
        <w:tc>
          <w:tcPr>
            <w:tcW w:w="27" w:type="pct"/>
            <w:shd w:val="clear" w:color="auto" w:fill="auto"/>
            <w:vAlign w:val="bottom"/>
          </w:tcPr>
          <w:p w14:paraId="5CD8F737" w14:textId="77777777" w:rsidR="00BA49F5" w:rsidRDefault="00BA49F5">
            <w:pPr>
              <w:rPr>
                <w:rFonts w:ascii="宋体"/>
              </w:rPr>
            </w:pPr>
          </w:p>
        </w:tc>
        <w:tc>
          <w:tcPr>
            <w:tcW w:w="5" w:type="pct"/>
            <w:shd w:val="clear" w:color="auto" w:fill="auto"/>
            <w:vAlign w:val="bottom"/>
          </w:tcPr>
          <w:p w14:paraId="5CD8F738" w14:textId="77777777" w:rsidR="00BA49F5" w:rsidRDefault="00BA49F5">
            <w:pPr>
              <w:rPr>
                <w:rFonts w:ascii="宋体"/>
              </w:rPr>
            </w:pPr>
          </w:p>
        </w:tc>
        <w:tc>
          <w:tcPr>
            <w:tcW w:w="50" w:type="pct"/>
            <w:shd w:val="clear" w:color="auto" w:fill="auto"/>
            <w:vAlign w:val="bottom"/>
          </w:tcPr>
          <w:p w14:paraId="5CD8F739" w14:textId="77777777" w:rsidR="00BA49F5" w:rsidRDefault="00BA49F5">
            <w:pPr>
              <w:rPr>
                <w:rFonts w:ascii="宋体"/>
              </w:rPr>
            </w:pPr>
          </w:p>
        </w:tc>
        <w:tc>
          <w:tcPr>
            <w:tcW w:w="592" w:type="pct"/>
            <w:shd w:val="clear" w:color="auto" w:fill="auto"/>
            <w:vAlign w:val="bottom"/>
          </w:tcPr>
          <w:p w14:paraId="5CD8F73A" w14:textId="77777777" w:rsidR="00BA49F5" w:rsidRDefault="00BA49F5">
            <w:pPr>
              <w:rPr>
                <w:rFonts w:ascii="宋体"/>
              </w:rPr>
            </w:pPr>
          </w:p>
        </w:tc>
        <w:tc>
          <w:tcPr>
            <w:tcW w:w="5" w:type="pct"/>
            <w:shd w:val="clear" w:color="auto" w:fill="auto"/>
            <w:vAlign w:val="bottom"/>
          </w:tcPr>
          <w:p w14:paraId="5CD8F73B" w14:textId="77777777" w:rsidR="00BA49F5" w:rsidRDefault="00BA49F5">
            <w:pPr>
              <w:rPr>
                <w:rFonts w:ascii="宋体"/>
              </w:rPr>
            </w:pPr>
          </w:p>
        </w:tc>
      </w:tr>
      <w:tr w:rsidR="00BA49F5" w14:paraId="5CD8F73F" w14:textId="77777777">
        <w:tc>
          <w:tcPr>
            <w:tcW w:w="0" w:type="auto"/>
            <w:gridSpan w:val="3"/>
            <w:shd w:val="clear" w:color="auto" w:fill="FFFFFF"/>
            <w:tcMar>
              <w:top w:w="0" w:type="dxa"/>
              <w:left w:w="20" w:type="dxa"/>
              <w:bottom w:w="0" w:type="dxa"/>
              <w:right w:w="20" w:type="dxa"/>
            </w:tcMar>
            <w:vAlign w:val="bottom"/>
          </w:tcPr>
          <w:p w14:paraId="5CD8F73D" w14:textId="77777777" w:rsidR="00BA49F5" w:rsidRDefault="00BA49F5">
            <w:pPr>
              <w:rPr>
                <w:rFonts w:ascii="宋体"/>
              </w:rPr>
            </w:pPr>
          </w:p>
        </w:tc>
        <w:tc>
          <w:tcPr>
            <w:tcW w:w="0" w:type="auto"/>
            <w:gridSpan w:val="15"/>
            <w:shd w:val="clear" w:color="auto" w:fill="FFFFFF"/>
            <w:tcMar>
              <w:top w:w="40" w:type="dxa"/>
              <w:left w:w="20" w:type="dxa"/>
              <w:bottom w:w="40" w:type="dxa"/>
              <w:right w:w="20" w:type="dxa"/>
            </w:tcMar>
            <w:vAlign w:val="bottom"/>
          </w:tcPr>
          <w:p w14:paraId="5CD8F73E"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8F746" w14:textId="77777777">
        <w:tc>
          <w:tcPr>
            <w:tcW w:w="0" w:type="auto"/>
            <w:gridSpan w:val="3"/>
            <w:shd w:val="clear" w:color="auto" w:fill="FFFFFF"/>
            <w:tcMar>
              <w:top w:w="0" w:type="dxa"/>
              <w:left w:w="20" w:type="dxa"/>
              <w:bottom w:w="0" w:type="dxa"/>
              <w:right w:w="20" w:type="dxa"/>
            </w:tcMar>
            <w:vAlign w:val="bottom"/>
          </w:tcPr>
          <w:p w14:paraId="5CD8F740"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CD8F741"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F742"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CD8F743"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8F744" w14:textId="77777777" w:rsidR="00BA49F5" w:rsidRDefault="00BA49F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CD8F745"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753" w14:textId="77777777">
        <w:tc>
          <w:tcPr>
            <w:tcW w:w="0" w:type="auto"/>
            <w:gridSpan w:val="3"/>
            <w:shd w:val="clear" w:color="auto" w:fill="CCEEFF"/>
            <w:tcMar>
              <w:top w:w="40" w:type="dxa"/>
              <w:left w:w="200" w:type="dxa"/>
              <w:bottom w:w="40" w:type="dxa"/>
              <w:right w:w="20" w:type="dxa"/>
            </w:tcMar>
            <w:vAlign w:val="bottom"/>
          </w:tcPr>
          <w:p w14:paraId="5CD8F747" w14:textId="77777777" w:rsidR="00BA49F5" w:rsidRDefault="007E5E49">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74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49" w14:textId="77777777" w:rsidR="00BA49F5" w:rsidRDefault="007E5E49">
            <w:pPr>
              <w:jc w:val="right"/>
              <w:textAlignment w:val="bottom"/>
            </w:pPr>
            <w:r>
              <w:rPr>
                <w:rFonts w:ascii="Times New Roman" w:eastAsia="宋体" w:hAnsi="Times New Roman"/>
                <w:color w:val="000000"/>
                <w:sz w:val="20"/>
                <w:szCs w:val="20"/>
              </w:rPr>
              <w:t>113,642 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4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4B"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74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4D" w14:textId="77777777" w:rsidR="00BA49F5" w:rsidRDefault="007E5E49">
            <w:pPr>
              <w:jc w:val="right"/>
              <w:textAlignment w:val="bottom"/>
            </w:pPr>
            <w:r>
              <w:rPr>
                <w:rFonts w:ascii="Times New Roman" w:eastAsia="宋体" w:hAnsi="Times New Roman"/>
                <w:color w:val="000000"/>
                <w:sz w:val="20"/>
                <w:szCs w:val="20"/>
              </w:rPr>
              <w:t>114,934 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4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4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75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51" w14:textId="77777777" w:rsidR="00BA49F5" w:rsidRDefault="007E5E49">
            <w:pPr>
              <w:jc w:val="right"/>
              <w:textAlignment w:val="bottom"/>
            </w:pPr>
            <w:r>
              <w:rPr>
                <w:rFonts w:ascii="Times New Roman" w:eastAsia="宋体" w:hAnsi="Times New Roman"/>
                <w:color w:val="000000"/>
                <w:sz w:val="20"/>
                <w:szCs w:val="20"/>
              </w:rPr>
              <w:t>84,169 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52" w14:textId="77777777" w:rsidR="00BA49F5" w:rsidRDefault="00BA49F5">
            <w:pPr>
              <w:jc w:val="right"/>
              <w:rPr>
                <w:rFonts w:ascii="宋体"/>
              </w:rPr>
            </w:pPr>
          </w:p>
        </w:tc>
      </w:tr>
      <w:tr w:rsidR="00BA49F5" w14:paraId="5CD8F75D" w14:textId="77777777">
        <w:tc>
          <w:tcPr>
            <w:tcW w:w="0" w:type="auto"/>
            <w:gridSpan w:val="3"/>
            <w:shd w:val="clear" w:color="auto" w:fill="FFFFFF"/>
            <w:tcMar>
              <w:top w:w="40" w:type="dxa"/>
              <w:left w:w="200" w:type="dxa"/>
              <w:bottom w:w="40" w:type="dxa"/>
              <w:right w:w="20" w:type="dxa"/>
            </w:tcMar>
            <w:vAlign w:val="bottom"/>
          </w:tcPr>
          <w:p w14:paraId="5CD8F754" w14:textId="77777777" w:rsidR="00BA49F5" w:rsidRDefault="007E5E49">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5CD8F755" w14:textId="77777777" w:rsidR="00BA49F5" w:rsidRDefault="007E5E49">
            <w:pPr>
              <w:jc w:val="right"/>
              <w:textAlignment w:val="bottom"/>
            </w:pPr>
            <w:r>
              <w:rPr>
                <w:rFonts w:ascii="Times New Roman" w:eastAsia="宋体" w:hAnsi="Times New Roman"/>
                <w:color w:val="000000"/>
                <w:sz w:val="20"/>
                <w:szCs w:val="20"/>
              </w:rPr>
              <w:t>808 </w:t>
            </w:r>
          </w:p>
        </w:tc>
        <w:tc>
          <w:tcPr>
            <w:tcW w:w="0" w:type="auto"/>
            <w:shd w:val="clear" w:color="auto" w:fill="FFFFFF"/>
            <w:tcMar>
              <w:top w:w="40" w:type="dxa"/>
              <w:left w:w="0" w:type="dxa"/>
              <w:bottom w:w="40" w:type="dxa"/>
              <w:right w:w="20" w:type="dxa"/>
            </w:tcMar>
            <w:vAlign w:val="bottom"/>
          </w:tcPr>
          <w:p w14:paraId="5CD8F75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5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58" w14:textId="77777777" w:rsidR="00BA49F5" w:rsidRDefault="007E5E49">
            <w:pPr>
              <w:jc w:val="right"/>
              <w:textAlignment w:val="bottom"/>
            </w:pPr>
            <w:r>
              <w:rPr>
                <w:rFonts w:ascii="Times New Roman" w:eastAsia="宋体" w:hAnsi="Times New Roman"/>
                <w:color w:val="000000"/>
                <w:sz w:val="20"/>
                <w:szCs w:val="20"/>
              </w:rPr>
              <w:t>721 </w:t>
            </w:r>
          </w:p>
        </w:tc>
        <w:tc>
          <w:tcPr>
            <w:tcW w:w="0" w:type="auto"/>
            <w:shd w:val="clear" w:color="auto" w:fill="FFFFFF"/>
            <w:tcMar>
              <w:top w:w="40" w:type="dxa"/>
              <w:left w:w="0" w:type="dxa"/>
              <w:bottom w:w="40" w:type="dxa"/>
              <w:right w:w="20" w:type="dxa"/>
            </w:tcMar>
            <w:vAlign w:val="bottom"/>
          </w:tcPr>
          <w:p w14:paraId="5CD8F75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5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5B" w14:textId="77777777" w:rsidR="00BA49F5" w:rsidRDefault="007E5E49">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5CD8F75C" w14:textId="77777777" w:rsidR="00BA49F5" w:rsidRDefault="00BA49F5">
            <w:pPr>
              <w:jc w:val="right"/>
              <w:rPr>
                <w:rFonts w:ascii="宋体"/>
              </w:rPr>
            </w:pPr>
          </w:p>
        </w:tc>
      </w:tr>
      <w:tr w:rsidR="00BA49F5" w14:paraId="5CD8F767" w14:textId="77777777">
        <w:tc>
          <w:tcPr>
            <w:tcW w:w="0" w:type="auto"/>
            <w:gridSpan w:val="3"/>
            <w:shd w:val="clear" w:color="auto" w:fill="CCEEFF"/>
            <w:tcMar>
              <w:top w:w="40" w:type="dxa"/>
              <w:left w:w="20" w:type="dxa"/>
              <w:bottom w:w="40" w:type="dxa"/>
              <w:right w:w="20" w:type="dxa"/>
            </w:tcMar>
            <w:vAlign w:val="bottom"/>
          </w:tcPr>
          <w:p w14:paraId="5CD8F75E" w14:textId="77777777" w:rsidR="00BA49F5" w:rsidRDefault="007E5E49">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75F" w14:textId="77777777" w:rsidR="00BA49F5" w:rsidRDefault="007E5E49">
            <w:pPr>
              <w:jc w:val="right"/>
              <w:textAlignment w:val="bottom"/>
            </w:pPr>
            <w:r>
              <w:rPr>
                <w:rFonts w:ascii="Times New Roman" w:eastAsia="宋体" w:hAnsi="Times New Roman"/>
                <w:color w:val="000000"/>
                <w:sz w:val="20"/>
                <w:szCs w:val="20"/>
              </w:rPr>
              <w:t>114,450 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6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61"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762" w14:textId="77777777" w:rsidR="00BA49F5" w:rsidRDefault="007E5E49">
            <w:pPr>
              <w:jc w:val="right"/>
              <w:textAlignment w:val="bottom"/>
            </w:pPr>
            <w:r>
              <w:rPr>
                <w:rFonts w:ascii="Times New Roman" w:eastAsia="宋体" w:hAnsi="Times New Roman"/>
                <w:color w:val="000000"/>
                <w:sz w:val="20"/>
                <w:szCs w:val="20"/>
              </w:rPr>
              <w:t>115,655 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6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64"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765" w14:textId="77777777" w:rsidR="00BA49F5" w:rsidRDefault="007E5E49">
            <w:pPr>
              <w:jc w:val="right"/>
              <w:textAlignment w:val="bottom"/>
            </w:pPr>
            <w:r>
              <w:rPr>
                <w:rFonts w:ascii="Times New Roman" w:eastAsia="宋体" w:hAnsi="Times New Roman"/>
                <w:color w:val="000000"/>
                <w:sz w:val="20"/>
                <w:szCs w:val="20"/>
              </w:rPr>
              <w:t>84,826 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66" w14:textId="77777777" w:rsidR="00BA49F5" w:rsidRDefault="00BA49F5">
            <w:pPr>
              <w:jc w:val="right"/>
              <w:rPr>
                <w:rFonts w:ascii="宋体"/>
              </w:rPr>
            </w:pPr>
          </w:p>
        </w:tc>
      </w:tr>
      <w:tr w:rsidR="00BA49F5" w14:paraId="5CD8F771" w14:textId="77777777">
        <w:tc>
          <w:tcPr>
            <w:tcW w:w="0" w:type="auto"/>
            <w:gridSpan w:val="3"/>
            <w:shd w:val="clear" w:color="auto" w:fill="FFFFFF"/>
            <w:tcMar>
              <w:top w:w="40" w:type="dxa"/>
              <w:left w:w="20" w:type="dxa"/>
              <w:bottom w:w="40" w:type="dxa"/>
              <w:right w:w="20" w:type="dxa"/>
            </w:tcMar>
            <w:vAlign w:val="bottom"/>
          </w:tcPr>
          <w:p w14:paraId="5CD8F768" w14:textId="77777777" w:rsidR="00BA49F5" w:rsidRDefault="007E5E49">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5CD8F769" w14:textId="77777777" w:rsidR="00BA49F5" w:rsidRDefault="007E5E49">
            <w:pPr>
              <w:jc w:val="right"/>
              <w:textAlignment w:val="bottom"/>
            </w:pPr>
            <w:r>
              <w:rPr>
                <w:rFonts w:ascii="Times New Roman" w:eastAsia="宋体" w:hAnsi="Times New Roman"/>
                <w:color w:val="000000"/>
                <w:sz w:val="20"/>
                <w:szCs w:val="20"/>
              </w:rPr>
              <w:t>2,159 </w:t>
            </w:r>
          </w:p>
        </w:tc>
        <w:tc>
          <w:tcPr>
            <w:tcW w:w="0" w:type="auto"/>
            <w:shd w:val="clear" w:color="auto" w:fill="FFFFFF"/>
            <w:tcMar>
              <w:top w:w="40" w:type="dxa"/>
              <w:left w:w="0" w:type="dxa"/>
              <w:bottom w:w="40" w:type="dxa"/>
              <w:right w:w="20" w:type="dxa"/>
            </w:tcMar>
            <w:vAlign w:val="bottom"/>
          </w:tcPr>
          <w:p w14:paraId="5CD8F76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6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6C" w14:textId="77777777" w:rsidR="00BA49F5" w:rsidRDefault="007E5E49">
            <w:pPr>
              <w:jc w:val="right"/>
              <w:textAlignment w:val="bottom"/>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bottom"/>
          </w:tcPr>
          <w:p w14:paraId="5CD8F76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6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6F" w14:textId="77777777" w:rsidR="00BA49F5" w:rsidRDefault="007E5E49">
            <w:pPr>
              <w:jc w:val="right"/>
              <w:textAlignment w:val="bottom"/>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vAlign w:val="bottom"/>
          </w:tcPr>
          <w:p w14:paraId="5CD8F770" w14:textId="77777777" w:rsidR="00BA49F5" w:rsidRDefault="00BA49F5">
            <w:pPr>
              <w:jc w:val="right"/>
              <w:rPr>
                <w:rFonts w:ascii="宋体"/>
              </w:rPr>
            </w:pPr>
          </w:p>
        </w:tc>
      </w:tr>
      <w:tr w:rsidR="00BA49F5" w14:paraId="5CD8F77E" w14:textId="77777777">
        <w:tc>
          <w:tcPr>
            <w:tcW w:w="0" w:type="auto"/>
            <w:gridSpan w:val="3"/>
            <w:shd w:val="clear" w:color="auto" w:fill="CCEEFF"/>
            <w:tcMar>
              <w:top w:w="40" w:type="dxa"/>
              <w:left w:w="380" w:type="dxa"/>
              <w:bottom w:w="40" w:type="dxa"/>
              <w:right w:w="20" w:type="dxa"/>
            </w:tcMar>
            <w:vAlign w:val="bottom"/>
          </w:tcPr>
          <w:p w14:paraId="5CD8F772" w14:textId="77777777" w:rsidR="00BA49F5" w:rsidRDefault="007E5E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7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74"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7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76"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7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78"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7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7A"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7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7C"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7D" w14:textId="77777777" w:rsidR="00BA49F5" w:rsidRDefault="00BA49F5">
            <w:pPr>
              <w:jc w:val="right"/>
              <w:rPr>
                <w:rFonts w:ascii="宋体"/>
              </w:rPr>
            </w:pPr>
          </w:p>
        </w:tc>
      </w:tr>
    </w:tbl>
    <w:p w14:paraId="5CD8F77F" w14:textId="77777777" w:rsidR="00BA49F5" w:rsidRDefault="00BA49F5"/>
    <w:p w14:paraId="5CD8F780" w14:textId="77777777" w:rsidR="00BA49F5" w:rsidRDefault="007E5E49">
      <w:pPr>
        <w:ind w:firstLine="540"/>
        <w:jc w:val="both"/>
      </w:pPr>
      <w:r>
        <w:rPr>
          <w:rFonts w:ascii="Times New Roman" w:eastAsia="宋体" w:hAnsi="Times New Roman"/>
          <w:color w:val="000000"/>
          <w:sz w:val="20"/>
          <w:szCs w:val="20"/>
          <w:shd w:val="clear" w:color="auto" w:fill="FFFFFF"/>
        </w:rPr>
        <w:t xml:space="preserve">Revenue disaggregated by geography, based on the </w:t>
      </w:r>
      <w:r>
        <w:rPr>
          <w:rFonts w:ascii="Times New Roman" w:eastAsia="宋体" w:hAnsi="Times New Roman"/>
          <w:color w:val="000000"/>
          <w:sz w:val="20"/>
          <w:szCs w:val="20"/>
        </w:rPr>
        <w:t>addresses of our customers,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0"/>
        <w:gridCol w:w="940"/>
        <w:gridCol w:w="36"/>
        <w:gridCol w:w="36"/>
        <w:gridCol w:w="36"/>
        <w:gridCol w:w="36"/>
        <w:gridCol w:w="120"/>
        <w:gridCol w:w="902"/>
        <w:gridCol w:w="36"/>
        <w:gridCol w:w="36"/>
        <w:gridCol w:w="36"/>
        <w:gridCol w:w="36"/>
        <w:gridCol w:w="120"/>
        <w:gridCol w:w="902"/>
        <w:gridCol w:w="36"/>
      </w:tblGrid>
      <w:tr w:rsidR="00BA49F5" w14:paraId="5CD8F793" w14:textId="77777777">
        <w:tc>
          <w:tcPr>
            <w:tcW w:w="50" w:type="pct"/>
            <w:shd w:val="clear" w:color="auto" w:fill="auto"/>
            <w:vAlign w:val="bottom"/>
          </w:tcPr>
          <w:p w14:paraId="5CD8F781" w14:textId="77777777" w:rsidR="00BA49F5" w:rsidRDefault="00BA49F5">
            <w:pPr>
              <w:rPr>
                <w:rFonts w:ascii="宋体"/>
              </w:rPr>
            </w:pPr>
          </w:p>
        </w:tc>
        <w:tc>
          <w:tcPr>
            <w:tcW w:w="2928" w:type="pct"/>
            <w:shd w:val="clear" w:color="auto" w:fill="auto"/>
            <w:vAlign w:val="bottom"/>
          </w:tcPr>
          <w:p w14:paraId="5CD8F782" w14:textId="77777777" w:rsidR="00BA49F5" w:rsidRDefault="00BA49F5">
            <w:pPr>
              <w:rPr>
                <w:rFonts w:ascii="宋体"/>
              </w:rPr>
            </w:pPr>
          </w:p>
        </w:tc>
        <w:tc>
          <w:tcPr>
            <w:tcW w:w="5" w:type="pct"/>
            <w:shd w:val="clear" w:color="auto" w:fill="auto"/>
            <w:vAlign w:val="bottom"/>
          </w:tcPr>
          <w:p w14:paraId="5CD8F783" w14:textId="77777777" w:rsidR="00BA49F5" w:rsidRDefault="00BA49F5">
            <w:pPr>
              <w:rPr>
                <w:rFonts w:ascii="宋体"/>
              </w:rPr>
            </w:pPr>
          </w:p>
        </w:tc>
        <w:tc>
          <w:tcPr>
            <w:tcW w:w="50" w:type="pct"/>
            <w:shd w:val="clear" w:color="auto" w:fill="auto"/>
            <w:vAlign w:val="bottom"/>
          </w:tcPr>
          <w:p w14:paraId="5CD8F784" w14:textId="77777777" w:rsidR="00BA49F5" w:rsidRDefault="00BA49F5">
            <w:pPr>
              <w:rPr>
                <w:rFonts w:ascii="宋体"/>
              </w:rPr>
            </w:pPr>
          </w:p>
        </w:tc>
        <w:tc>
          <w:tcPr>
            <w:tcW w:w="592" w:type="pct"/>
            <w:shd w:val="clear" w:color="auto" w:fill="auto"/>
            <w:vAlign w:val="bottom"/>
          </w:tcPr>
          <w:p w14:paraId="5CD8F785" w14:textId="77777777" w:rsidR="00BA49F5" w:rsidRDefault="00BA49F5">
            <w:pPr>
              <w:rPr>
                <w:rFonts w:ascii="宋体"/>
              </w:rPr>
            </w:pPr>
          </w:p>
        </w:tc>
        <w:tc>
          <w:tcPr>
            <w:tcW w:w="5" w:type="pct"/>
            <w:shd w:val="clear" w:color="auto" w:fill="auto"/>
            <w:vAlign w:val="bottom"/>
          </w:tcPr>
          <w:p w14:paraId="5CD8F786" w14:textId="77777777" w:rsidR="00BA49F5" w:rsidRDefault="00BA49F5">
            <w:pPr>
              <w:rPr>
                <w:rFonts w:ascii="宋体"/>
              </w:rPr>
            </w:pPr>
          </w:p>
        </w:tc>
        <w:tc>
          <w:tcPr>
            <w:tcW w:w="5" w:type="pct"/>
            <w:shd w:val="clear" w:color="auto" w:fill="auto"/>
            <w:vAlign w:val="bottom"/>
          </w:tcPr>
          <w:p w14:paraId="5CD8F787" w14:textId="77777777" w:rsidR="00BA49F5" w:rsidRDefault="00BA49F5">
            <w:pPr>
              <w:rPr>
                <w:rFonts w:ascii="宋体"/>
              </w:rPr>
            </w:pPr>
          </w:p>
        </w:tc>
        <w:tc>
          <w:tcPr>
            <w:tcW w:w="27" w:type="pct"/>
            <w:shd w:val="clear" w:color="auto" w:fill="auto"/>
            <w:vAlign w:val="bottom"/>
          </w:tcPr>
          <w:p w14:paraId="5CD8F788" w14:textId="77777777" w:rsidR="00BA49F5" w:rsidRDefault="00BA49F5">
            <w:pPr>
              <w:rPr>
                <w:rFonts w:ascii="宋体"/>
              </w:rPr>
            </w:pPr>
          </w:p>
        </w:tc>
        <w:tc>
          <w:tcPr>
            <w:tcW w:w="5" w:type="pct"/>
            <w:shd w:val="clear" w:color="auto" w:fill="auto"/>
            <w:vAlign w:val="bottom"/>
          </w:tcPr>
          <w:p w14:paraId="5CD8F789" w14:textId="77777777" w:rsidR="00BA49F5" w:rsidRDefault="00BA49F5">
            <w:pPr>
              <w:rPr>
                <w:rFonts w:ascii="宋体"/>
              </w:rPr>
            </w:pPr>
          </w:p>
        </w:tc>
        <w:tc>
          <w:tcPr>
            <w:tcW w:w="50" w:type="pct"/>
            <w:shd w:val="clear" w:color="auto" w:fill="auto"/>
            <w:vAlign w:val="bottom"/>
          </w:tcPr>
          <w:p w14:paraId="5CD8F78A" w14:textId="77777777" w:rsidR="00BA49F5" w:rsidRDefault="00BA49F5">
            <w:pPr>
              <w:rPr>
                <w:rFonts w:ascii="宋体"/>
              </w:rPr>
            </w:pPr>
          </w:p>
        </w:tc>
        <w:tc>
          <w:tcPr>
            <w:tcW w:w="592" w:type="pct"/>
            <w:shd w:val="clear" w:color="auto" w:fill="auto"/>
            <w:vAlign w:val="bottom"/>
          </w:tcPr>
          <w:p w14:paraId="5CD8F78B" w14:textId="77777777" w:rsidR="00BA49F5" w:rsidRDefault="00BA49F5">
            <w:pPr>
              <w:rPr>
                <w:rFonts w:ascii="宋体"/>
              </w:rPr>
            </w:pPr>
          </w:p>
        </w:tc>
        <w:tc>
          <w:tcPr>
            <w:tcW w:w="5" w:type="pct"/>
            <w:shd w:val="clear" w:color="auto" w:fill="auto"/>
            <w:vAlign w:val="bottom"/>
          </w:tcPr>
          <w:p w14:paraId="5CD8F78C" w14:textId="77777777" w:rsidR="00BA49F5" w:rsidRDefault="00BA49F5">
            <w:pPr>
              <w:rPr>
                <w:rFonts w:ascii="宋体"/>
              </w:rPr>
            </w:pPr>
          </w:p>
        </w:tc>
        <w:tc>
          <w:tcPr>
            <w:tcW w:w="5" w:type="pct"/>
            <w:shd w:val="clear" w:color="auto" w:fill="auto"/>
            <w:vAlign w:val="bottom"/>
          </w:tcPr>
          <w:p w14:paraId="5CD8F78D" w14:textId="77777777" w:rsidR="00BA49F5" w:rsidRDefault="00BA49F5">
            <w:pPr>
              <w:rPr>
                <w:rFonts w:ascii="宋体"/>
              </w:rPr>
            </w:pPr>
          </w:p>
        </w:tc>
        <w:tc>
          <w:tcPr>
            <w:tcW w:w="27" w:type="pct"/>
            <w:shd w:val="clear" w:color="auto" w:fill="auto"/>
            <w:vAlign w:val="bottom"/>
          </w:tcPr>
          <w:p w14:paraId="5CD8F78E" w14:textId="77777777" w:rsidR="00BA49F5" w:rsidRDefault="00BA49F5">
            <w:pPr>
              <w:rPr>
                <w:rFonts w:ascii="宋体"/>
              </w:rPr>
            </w:pPr>
          </w:p>
        </w:tc>
        <w:tc>
          <w:tcPr>
            <w:tcW w:w="5" w:type="pct"/>
            <w:shd w:val="clear" w:color="auto" w:fill="auto"/>
            <w:vAlign w:val="bottom"/>
          </w:tcPr>
          <w:p w14:paraId="5CD8F78F" w14:textId="77777777" w:rsidR="00BA49F5" w:rsidRDefault="00BA49F5">
            <w:pPr>
              <w:rPr>
                <w:rFonts w:ascii="宋体"/>
              </w:rPr>
            </w:pPr>
          </w:p>
        </w:tc>
        <w:tc>
          <w:tcPr>
            <w:tcW w:w="50" w:type="pct"/>
            <w:shd w:val="clear" w:color="auto" w:fill="auto"/>
            <w:vAlign w:val="bottom"/>
          </w:tcPr>
          <w:p w14:paraId="5CD8F790" w14:textId="77777777" w:rsidR="00BA49F5" w:rsidRDefault="00BA49F5">
            <w:pPr>
              <w:rPr>
                <w:rFonts w:ascii="宋体"/>
              </w:rPr>
            </w:pPr>
          </w:p>
        </w:tc>
        <w:tc>
          <w:tcPr>
            <w:tcW w:w="592" w:type="pct"/>
            <w:shd w:val="clear" w:color="auto" w:fill="auto"/>
            <w:vAlign w:val="bottom"/>
          </w:tcPr>
          <w:p w14:paraId="5CD8F791" w14:textId="77777777" w:rsidR="00BA49F5" w:rsidRDefault="00BA49F5">
            <w:pPr>
              <w:rPr>
                <w:rFonts w:ascii="宋体"/>
              </w:rPr>
            </w:pPr>
          </w:p>
        </w:tc>
        <w:tc>
          <w:tcPr>
            <w:tcW w:w="5" w:type="pct"/>
            <w:shd w:val="clear" w:color="auto" w:fill="auto"/>
            <w:vAlign w:val="bottom"/>
          </w:tcPr>
          <w:p w14:paraId="5CD8F792" w14:textId="77777777" w:rsidR="00BA49F5" w:rsidRDefault="00BA49F5">
            <w:pPr>
              <w:rPr>
                <w:rFonts w:ascii="宋体"/>
              </w:rPr>
            </w:pPr>
          </w:p>
        </w:tc>
      </w:tr>
      <w:tr w:rsidR="00BA49F5" w14:paraId="5CD8F796" w14:textId="77777777">
        <w:tc>
          <w:tcPr>
            <w:tcW w:w="0" w:type="auto"/>
            <w:gridSpan w:val="3"/>
            <w:shd w:val="clear" w:color="auto" w:fill="auto"/>
            <w:tcMar>
              <w:top w:w="40" w:type="dxa"/>
              <w:left w:w="20" w:type="dxa"/>
              <w:bottom w:w="40" w:type="dxa"/>
              <w:right w:w="20" w:type="dxa"/>
            </w:tcMar>
            <w:vAlign w:val="bottom"/>
          </w:tcPr>
          <w:p w14:paraId="5CD8F794"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8F795"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8F79D" w14:textId="77777777">
        <w:tc>
          <w:tcPr>
            <w:tcW w:w="0" w:type="auto"/>
            <w:gridSpan w:val="3"/>
            <w:shd w:val="clear" w:color="auto" w:fill="auto"/>
            <w:tcMar>
              <w:top w:w="40" w:type="dxa"/>
              <w:left w:w="20" w:type="dxa"/>
              <w:bottom w:w="40" w:type="dxa"/>
              <w:right w:w="20" w:type="dxa"/>
            </w:tcMar>
            <w:vAlign w:val="bottom"/>
          </w:tcPr>
          <w:p w14:paraId="5CD8F797"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798"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79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79A"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79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79C"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7AA" w14:textId="77777777">
        <w:tc>
          <w:tcPr>
            <w:tcW w:w="0" w:type="auto"/>
            <w:gridSpan w:val="3"/>
            <w:shd w:val="clear" w:color="auto" w:fill="CCEEFF"/>
            <w:tcMar>
              <w:top w:w="40" w:type="dxa"/>
              <w:left w:w="20" w:type="dxa"/>
              <w:bottom w:w="40" w:type="dxa"/>
              <w:right w:w="20" w:type="dxa"/>
            </w:tcMar>
            <w:vAlign w:val="bottom"/>
          </w:tcPr>
          <w:p w14:paraId="5CD8F79E" w14:textId="77777777" w:rsidR="00BA49F5" w:rsidRDefault="007E5E49">
            <w:pPr>
              <w:textAlignment w:val="bottom"/>
            </w:pPr>
            <w:r>
              <w:rPr>
                <w:rFonts w:ascii="Times New Roman" w:eastAsia="宋体" w:hAnsi="Times New Roman"/>
                <w:color w:val="000000"/>
                <w:sz w:val="20"/>
                <w:szCs w:val="20"/>
              </w:rPr>
              <w:t xml:space="preserve">United States and Canada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79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A0" w14:textId="77777777" w:rsidR="00BA49F5" w:rsidRDefault="007E5E49">
            <w:pPr>
              <w:jc w:val="right"/>
              <w:textAlignment w:val="bottom"/>
            </w:pPr>
            <w:r>
              <w:rPr>
                <w:rFonts w:ascii="Times New Roman" w:eastAsia="宋体" w:hAnsi="Times New Roman"/>
                <w:color w:val="000000"/>
                <w:sz w:val="20"/>
                <w:szCs w:val="20"/>
              </w:rPr>
              <w:t>50,150 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A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A2"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7A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A4" w14:textId="77777777" w:rsidR="00BA49F5" w:rsidRDefault="007E5E49">
            <w:pPr>
              <w:jc w:val="right"/>
              <w:textAlignment w:val="bottom"/>
            </w:pPr>
            <w:r>
              <w:rPr>
                <w:rFonts w:ascii="Times New Roman" w:eastAsia="宋体" w:hAnsi="Times New Roman"/>
                <w:color w:val="000000"/>
                <w:sz w:val="20"/>
                <w:szCs w:val="20"/>
              </w:rPr>
              <w:t>51,541 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A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A6"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7A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7A8" w14:textId="77777777" w:rsidR="00BA49F5" w:rsidRDefault="007E5E49">
            <w:pPr>
              <w:jc w:val="right"/>
              <w:textAlignment w:val="bottom"/>
            </w:pPr>
            <w:r>
              <w:rPr>
                <w:rFonts w:ascii="Times New Roman" w:eastAsia="宋体" w:hAnsi="Times New Roman"/>
                <w:color w:val="000000"/>
                <w:sz w:val="20"/>
                <w:szCs w:val="20"/>
              </w:rPr>
              <w:t>38,433 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7A9" w14:textId="77777777" w:rsidR="00BA49F5" w:rsidRDefault="00BA49F5">
            <w:pPr>
              <w:jc w:val="right"/>
              <w:rPr>
                <w:rFonts w:ascii="宋体"/>
              </w:rPr>
            </w:pPr>
          </w:p>
        </w:tc>
      </w:tr>
      <w:tr w:rsidR="00BA49F5" w14:paraId="5CD8F7B4" w14:textId="77777777">
        <w:tc>
          <w:tcPr>
            <w:tcW w:w="0" w:type="auto"/>
            <w:gridSpan w:val="3"/>
            <w:shd w:val="clear" w:color="auto" w:fill="FFFFFF"/>
            <w:tcMar>
              <w:top w:w="40" w:type="dxa"/>
              <w:left w:w="20" w:type="dxa"/>
              <w:bottom w:w="40" w:type="dxa"/>
              <w:right w:w="20" w:type="dxa"/>
            </w:tcMar>
            <w:vAlign w:val="bottom"/>
          </w:tcPr>
          <w:p w14:paraId="5CD8F7AB" w14:textId="77777777" w:rsidR="00BA49F5" w:rsidRDefault="007E5E49">
            <w:pPr>
              <w:textAlignment w:val="bottom"/>
            </w:pPr>
            <w:r>
              <w:rPr>
                <w:rFonts w:ascii="Times New Roman" w:eastAsia="宋体" w:hAnsi="Times New Roman"/>
                <w:color w:val="000000"/>
                <w:sz w:val="20"/>
                <w:szCs w:val="20"/>
              </w:rPr>
              <w:t xml:space="preserve">Europe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5CD8F7AC" w14:textId="77777777" w:rsidR="00BA49F5" w:rsidRDefault="007E5E49">
            <w:pPr>
              <w:jc w:val="right"/>
              <w:textAlignment w:val="bottom"/>
            </w:pPr>
            <w:r>
              <w:rPr>
                <w:rFonts w:ascii="Times New Roman" w:eastAsia="宋体" w:hAnsi="Times New Roman"/>
                <w:color w:val="000000"/>
                <w:sz w:val="20"/>
                <w:szCs w:val="20"/>
              </w:rPr>
              <w:t>26,681 </w:t>
            </w:r>
          </w:p>
        </w:tc>
        <w:tc>
          <w:tcPr>
            <w:tcW w:w="0" w:type="auto"/>
            <w:shd w:val="clear" w:color="auto" w:fill="FFFFFF"/>
            <w:tcMar>
              <w:top w:w="40" w:type="dxa"/>
              <w:left w:w="0" w:type="dxa"/>
              <w:bottom w:w="40" w:type="dxa"/>
              <w:right w:w="20" w:type="dxa"/>
            </w:tcMar>
            <w:vAlign w:val="bottom"/>
          </w:tcPr>
          <w:p w14:paraId="5CD8F7A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A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AF" w14:textId="77777777" w:rsidR="00BA49F5" w:rsidRDefault="007E5E49">
            <w:pPr>
              <w:jc w:val="right"/>
              <w:textAlignment w:val="bottom"/>
            </w:pPr>
            <w:r>
              <w:rPr>
                <w:rFonts w:ascii="Times New Roman" w:eastAsia="宋体" w:hAnsi="Times New Roman"/>
                <w:color w:val="000000"/>
                <w:sz w:val="20"/>
                <w:szCs w:val="20"/>
              </w:rPr>
              <w:t>29,057 </w:t>
            </w:r>
          </w:p>
        </w:tc>
        <w:tc>
          <w:tcPr>
            <w:tcW w:w="0" w:type="auto"/>
            <w:shd w:val="clear" w:color="auto" w:fill="FFFFFF"/>
            <w:tcMar>
              <w:top w:w="40" w:type="dxa"/>
              <w:left w:w="0" w:type="dxa"/>
              <w:bottom w:w="40" w:type="dxa"/>
              <w:right w:w="20" w:type="dxa"/>
            </w:tcMar>
            <w:vAlign w:val="bottom"/>
          </w:tcPr>
          <w:p w14:paraId="5CD8F7B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B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B2" w14:textId="77777777" w:rsidR="00BA49F5" w:rsidRDefault="007E5E49">
            <w:pPr>
              <w:jc w:val="right"/>
              <w:textAlignment w:val="bottom"/>
            </w:pPr>
            <w:r>
              <w:rPr>
                <w:rFonts w:ascii="Times New Roman" w:eastAsia="宋体" w:hAnsi="Times New Roman"/>
                <w:color w:val="000000"/>
                <w:sz w:val="20"/>
                <w:szCs w:val="20"/>
              </w:rPr>
              <w:t>20,349 </w:t>
            </w:r>
          </w:p>
        </w:tc>
        <w:tc>
          <w:tcPr>
            <w:tcW w:w="0" w:type="auto"/>
            <w:shd w:val="clear" w:color="auto" w:fill="FFFFFF"/>
            <w:tcMar>
              <w:top w:w="40" w:type="dxa"/>
              <w:left w:w="0" w:type="dxa"/>
              <w:bottom w:w="40" w:type="dxa"/>
              <w:right w:w="20" w:type="dxa"/>
            </w:tcMar>
            <w:vAlign w:val="bottom"/>
          </w:tcPr>
          <w:p w14:paraId="5CD8F7B3" w14:textId="77777777" w:rsidR="00BA49F5" w:rsidRDefault="00BA49F5">
            <w:pPr>
              <w:jc w:val="right"/>
              <w:rPr>
                <w:rFonts w:ascii="宋体"/>
              </w:rPr>
            </w:pPr>
          </w:p>
        </w:tc>
      </w:tr>
      <w:tr w:rsidR="00BA49F5" w14:paraId="5CD8F7BE" w14:textId="77777777">
        <w:tc>
          <w:tcPr>
            <w:tcW w:w="0" w:type="auto"/>
            <w:gridSpan w:val="3"/>
            <w:shd w:val="clear" w:color="auto" w:fill="CCEEFF"/>
            <w:tcMar>
              <w:top w:w="40" w:type="dxa"/>
              <w:left w:w="20" w:type="dxa"/>
              <w:bottom w:w="40" w:type="dxa"/>
              <w:right w:w="20" w:type="dxa"/>
            </w:tcMar>
            <w:vAlign w:val="bottom"/>
          </w:tcPr>
          <w:p w14:paraId="5CD8F7B5" w14:textId="77777777" w:rsidR="00BA49F5" w:rsidRDefault="007E5E49">
            <w:pPr>
              <w:textAlignment w:val="bottom"/>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5CD8F7B6" w14:textId="77777777" w:rsidR="00BA49F5" w:rsidRDefault="007E5E49">
            <w:pPr>
              <w:jc w:val="right"/>
              <w:textAlignment w:val="bottom"/>
            </w:pPr>
            <w:r>
              <w:rPr>
                <w:rFonts w:ascii="Times New Roman" w:eastAsia="宋体" w:hAnsi="Times New Roman"/>
                <w:color w:val="000000"/>
                <w:sz w:val="20"/>
                <w:szCs w:val="20"/>
              </w:rPr>
              <w:t>27,760 </w:t>
            </w:r>
          </w:p>
        </w:tc>
        <w:tc>
          <w:tcPr>
            <w:tcW w:w="0" w:type="auto"/>
            <w:shd w:val="clear" w:color="auto" w:fill="CCEEFF"/>
            <w:tcMar>
              <w:top w:w="40" w:type="dxa"/>
              <w:left w:w="0" w:type="dxa"/>
              <w:bottom w:w="40" w:type="dxa"/>
              <w:right w:w="20" w:type="dxa"/>
            </w:tcMar>
            <w:vAlign w:val="bottom"/>
          </w:tcPr>
          <w:p w14:paraId="5CD8F7B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B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7B9" w14:textId="77777777" w:rsidR="00BA49F5" w:rsidRDefault="007E5E49">
            <w:pPr>
              <w:jc w:val="right"/>
              <w:textAlignment w:val="bottom"/>
            </w:pPr>
            <w:r>
              <w:rPr>
                <w:rFonts w:ascii="Times New Roman" w:eastAsia="宋体" w:hAnsi="Times New Roman"/>
                <w:color w:val="000000"/>
                <w:sz w:val="20"/>
                <w:szCs w:val="20"/>
              </w:rPr>
              <w:t>26,739 </w:t>
            </w:r>
          </w:p>
        </w:tc>
        <w:tc>
          <w:tcPr>
            <w:tcW w:w="0" w:type="auto"/>
            <w:shd w:val="clear" w:color="auto" w:fill="CCEEFF"/>
            <w:tcMar>
              <w:top w:w="40" w:type="dxa"/>
              <w:left w:w="0" w:type="dxa"/>
              <w:bottom w:w="40" w:type="dxa"/>
              <w:right w:w="20" w:type="dxa"/>
            </w:tcMar>
            <w:vAlign w:val="bottom"/>
          </w:tcPr>
          <w:p w14:paraId="5CD8F7B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B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7BC" w14:textId="77777777" w:rsidR="00BA49F5" w:rsidRDefault="007E5E49">
            <w:pPr>
              <w:jc w:val="right"/>
              <w:textAlignment w:val="bottom"/>
            </w:pPr>
            <w:r>
              <w:rPr>
                <w:rFonts w:ascii="Times New Roman" w:eastAsia="宋体" w:hAnsi="Times New Roman"/>
                <w:color w:val="000000"/>
                <w:sz w:val="20"/>
                <w:szCs w:val="20"/>
              </w:rPr>
              <w:t>19,848 </w:t>
            </w:r>
          </w:p>
        </w:tc>
        <w:tc>
          <w:tcPr>
            <w:tcW w:w="0" w:type="auto"/>
            <w:shd w:val="clear" w:color="auto" w:fill="CCEEFF"/>
            <w:tcMar>
              <w:top w:w="40" w:type="dxa"/>
              <w:left w:w="0" w:type="dxa"/>
              <w:bottom w:w="40" w:type="dxa"/>
              <w:right w:w="20" w:type="dxa"/>
            </w:tcMar>
            <w:vAlign w:val="bottom"/>
          </w:tcPr>
          <w:p w14:paraId="5CD8F7BD" w14:textId="77777777" w:rsidR="00BA49F5" w:rsidRDefault="00BA49F5">
            <w:pPr>
              <w:jc w:val="right"/>
              <w:rPr>
                <w:rFonts w:ascii="宋体"/>
              </w:rPr>
            </w:pPr>
          </w:p>
        </w:tc>
      </w:tr>
      <w:tr w:rsidR="00BA49F5" w14:paraId="5CD8F7C8" w14:textId="77777777">
        <w:tc>
          <w:tcPr>
            <w:tcW w:w="0" w:type="auto"/>
            <w:gridSpan w:val="3"/>
            <w:shd w:val="clear" w:color="auto" w:fill="FFFFFF"/>
            <w:tcMar>
              <w:top w:w="40" w:type="dxa"/>
              <w:left w:w="20" w:type="dxa"/>
              <w:bottom w:w="40" w:type="dxa"/>
              <w:right w:w="20" w:type="dxa"/>
            </w:tcMar>
            <w:vAlign w:val="bottom"/>
          </w:tcPr>
          <w:p w14:paraId="5CD8F7BF" w14:textId="77777777" w:rsidR="00BA49F5" w:rsidRDefault="007E5E49">
            <w:pPr>
              <w:textAlignment w:val="bottom"/>
            </w:pPr>
            <w:r>
              <w:rPr>
                <w:rFonts w:ascii="Times New Roman" w:eastAsia="宋体" w:hAnsi="Times New Roman"/>
                <w:color w:val="000000"/>
                <w:sz w:val="20"/>
                <w:szCs w:val="20"/>
              </w:rPr>
              <w:t xml:space="preserve">Rest of World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5CD8F7C0" w14:textId="77777777" w:rsidR="00BA49F5" w:rsidRDefault="007E5E49">
            <w:pPr>
              <w:jc w:val="right"/>
              <w:textAlignment w:val="bottom"/>
            </w:pPr>
            <w:r>
              <w:rPr>
                <w:rFonts w:ascii="Times New Roman" w:eastAsia="宋体" w:hAnsi="Times New Roman"/>
                <w:color w:val="000000"/>
                <w:sz w:val="20"/>
                <w:szCs w:val="20"/>
              </w:rPr>
              <w:t>12,018 </w:t>
            </w:r>
          </w:p>
        </w:tc>
        <w:tc>
          <w:tcPr>
            <w:tcW w:w="0" w:type="auto"/>
            <w:shd w:val="clear" w:color="auto" w:fill="FFFFFF"/>
            <w:tcMar>
              <w:top w:w="40" w:type="dxa"/>
              <w:left w:w="0" w:type="dxa"/>
              <w:bottom w:w="40" w:type="dxa"/>
              <w:right w:w="20" w:type="dxa"/>
            </w:tcMar>
            <w:vAlign w:val="bottom"/>
          </w:tcPr>
          <w:p w14:paraId="5CD8F7C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C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C3" w14:textId="77777777" w:rsidR="00BA49F5" w:rsidRDefault="007E5E49">
            <w:pPr>
              <w:jc w:val="right"/>
              <w:textAlignment w:val="bottom"/>
            </w:pPr>
            <w:r>
              <w:rPr>
                <w:rFonts w:ascii="Times New Roman" w:eastAsia="宋体" w:hAnsi="Times New Roman"/>
                <w:color w:val="000000"/>
                <w:sz w:val="20"/>
                <w:szCs w:val="20"/>
              </w:rPr>
              <w:t>10,592 </w:t>
            </w:r>
          </w:p>
        </w:tc>
        <w:tc>
          <w:tcPr>
            <w:tcW w:w="0" w:type="auto"/>
            <w:shd w:val="clear" w:color="auto" w:fill="FFFFFF"/>
            <w:tcMar>
              <w:top w:w="40" w:type="dxa"/>
              <w:left w:w="0" w:type="dxa"/>
              <w:bottom w:w="40" w:type="dxa"/>
              <w:right w:w="20" w:type="dxa"/>
            </w:tcMar>
            <w:vAlign w:val="bottom"/>
          </w:tcPr>
          <w:p w14:paraId="5CD8F7C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7C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7C6" w14:textId="77777777" w:rsidR="00BA49F5" w:rsidRDefault="007E5E49">
            <w:pPr>
              <w:jc w:val="right"/>
              <w:textAlignment w:val="bottom"/>
            </w:pPr>
            <w:r>
              <w:rPr>
                <w:rFonts w:ascii="Times New Roman" w:eastAsia="宋体" w:hAnsi="Times New Roman"/>
                <w:color w:val="000000"/>
                <w:sz w:val="20"/>
                <w:szCs w:val="20"/>
              </w:rPr>
              <w:t>7,335 </w:t>
            </w:r>
          </w:p>
        </w:tc>
        <w:tc>
          <w:tcPr>
            <w:tcW w:w="0" w:type="auto"/>
            <w:shd w:val="clear" w:color="auto" w:fill="FFFFFF"/>
            <w:tcMar>
              <w:top w:w="40" w:type="dxa"/>
              <w:left w:w="0" w:type="dxa"/>
              <w:bottom w:w="40" w:type="dxa"/>
              <w:right w:w="20" w:type="dxa"/>
            </w:tcMar>
            <w:vAlign w:val="bottom"/>
          </w:tcPr>
          <w:p w14:paraId="5CD8F7C7" w14:textId="77777777" w:rsidR="00BA49F5" w:rsidRDefault="00BA49F5">
            <w:pPr>
              <w:jc w:val="right"/>
              <w:rPr>
                <w:rFonts w:ascii="宋体"/>
              </w:rPr>
            </w:pPr>
          </w:p>
        </w:tc>
      </w:tr>
      <w:tr w:rsidR="00BA49F5" w14:paraId="5CD8F7D5" w14:textId="77777777">
        <w:tc>
          <w:tcPr>
            <w:tcW w:w="0" w:type="auto"/>
            <w:gridSpan w:val="3"/>
            <w:shd w:val="clear" w:color="auto" w:fill="CCEEFF"/>
            <w:tcMar>
              <w:top w:w="40" w:type="dxa"/>
              <w:left w:w="380" w:type="dxa"/>
              <w:bottom w:w="40" w:type="dxa"/>
              <w:right w:w="20" w:type="dxa"/>
            </w:tcMar>
            <w:vAlign w:val="bottom"/>
          </w:tcPr>
          <w:p w14:paraId="5CD8F7C9" w14:textId="77777777" w:rsidR="00BA49F5" w:rsidRDefault="007E5E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C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CB"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C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CD"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C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CF"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D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7D1"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7D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7D3"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7D4" w14:textId="77777777" w:rsidR="00BA49F5" w:rsidRDefault="00BA49F5">
            <w:pPr>
              <w:jc w:val="right"/>
              <w:rPr>
                <w:rFonts w:ascii="宋体"/>
              </w:rPr>
            </w:pPr>
          </w:p>
        </w:tc>
      </w:tr>
    </w:tbl>
    <w:p w14:paraId="5CD8F7D6" w14:textId="77777777" w:rsidR="00BA49F5" w:rsidRDefault="007E5E49">
      <w:r>
        <w:rPr>
          <w:rFonts w:ascii="Times New Roman" w:eastAsia="宋体" w:hAnsi="Times New Roman"/>
          <w:color w:val="000000"/>
          <w:sz w:val="12"/>
          <w:szCs w:val="12"/>
        </w:rPr>
        <w:t>_________________________</w:t>
      </w:r>
    </w:p>
    <w:p w14:paraId="5CD8F7D7" w14:textId="77777777" w:rsidR="00BA49F5" w:rsidRDefault="007E5E49">
      <w:pPr>
        <w:ind w:hanging="360"/>
      </w:pPr>
      <w:r>
        <w:rPr>
          <w:rFonts w:ascii="Times New Roman" w:eastAsia="宋体" w:hAnsi="Times New Roman"/>
          <w:color w:val="000000"/>
          <w:sz w:val="18"/>
          <w:szCs w:val="18"/>
        </w:rPr>
        <w:t xml:space="preserve">(1)United States revenue was $47.20 billion, $48.38 billion, and $36.25 billion for the years ended December 31, 2022, 2021, and 2020, respectively. </w:t>
      </w:r>
    </w:p>
    <w:p w14:paraId="5CD8F7D8" w14:textId="77777777" w:rsidR="00BA49F5" w:rsidRDefault="007E5E49">
      <w:pPr>
        <w:ind w:hanging="360"/>
      </w:pPr>
      <w:r>
        <w:rPr>
          <w:rFonts w:ascii="Times New Roman" w:eastAsia="宋体" w:hAnsi="Times New Roman"/>
          <w:color w:val="000000"/>
          <w:sz w:val="18"/>
          <w:szCs w:val="18"/>
        </w:rPr>
        <w:t>(2)Europe includes Ru</w:t>
      </w:r>
      <w:r>
        <w:rPr>
          <w:rFonts w:ascii="Times New Roman" w:eastAsia="宋体" w:hAnsi="Times New Roman"/>
          <w:color w:val="000000"/>
          <w:sz w:val="18"/>
          <w:szCs w:val="18"/>
        </w:rPr>
        <w:t>ssia and Turkey, and Rest of World includes Africa, Latin America, and the Middle East.</w:t>
      </w:r>
    </w:p>
    <w:p w14:paraId="5CD8F7D9" w14:textId="77777777" w:rsidR="00BA49F5" w:rsidRDefault="00BA49F5">
      <w:pPr>
        <w:ind w:firstLine="540"/>
        <w:jc w:val="both"/>
      </w:pPr>
    </w:p>
    <w:p w14:paraId="5CD8F7DA" w14:textId="77777777" w:rsidR="00BA49F5" w:rsidRDefault="007E5E49">
      <w:pPr>
        <w:ind w:firstLine="540"/>
        <w:jc w:val="both"/>
      </w:pPr>
      <w:r>
        <w:rPr>
          <w:rFonts w:ascii="Times New Roman" w:eastAsia="宋体" w:hAnsi="Times New Roman"/>
          <w:color w:val="000000"/>
          <w:sz w:val="20"/>
          <w:szCs w:val="20"/>
        </w:rPr>
        <w:t>Our total deferred revenue was $526 million and $596 million as of December 31, 2022 and 2021, respectively. As of December 31, 2022, we expect $482 million of our def</w:t>
      </w:r>
      <w:r>
        <w:rPr>
          <w:rFonts w:ascii="Times New Roman" w:eastAsia="宋体" w:hAnsi="Times New Roman"/>
          <w:color w:val="000000"/>
          <w:sz w:val="20"/>
          <w:szCs w:val="20"/>
        </w:rPr>
        <w:t xml:space="preserve">erred revenue to be realized in less than a year. </w:t>
      </w:r>
    </w:p>
    <w:p w14:paraId="5CD8F7DB" w14:textId="77777777" w:rsidR="00BA49F5" w:rsidRDefault="00BA49F5">
      <w:pPr>
        <w:ind w:firstLine="540"/>
        <w:jc w:val="both"/>
      </w:pPr>
    </w:p>
    <w:p w14:paraId="5CD8F7DC" w14:textId="77777777" w:rsidR="00BA49F5" w:rsidRDefault="007E5E49">
      <w:pPr>
        <w:jc w:val="center"/>
      </w:pPr>
      <w:r>
        <w:rPr>
          <w:rFonts w:ascii="Times New Roman" w:eastAsia="宋体" w:hAnsi="Times New Roman"/>
          <w:color w:val="000000"/>
          <w:sz w:val="20"/>
          <w:szCs w:val="20"/>
        </w:rPr>
        <w:t>99</w:t>
      </w:r>
    </w:p>
    <w:p w14:paraId="5CD8F7DD" w14:textId="77777777" w:rsidR="00BA49F5" w:rsidRDefault="007E5E49">
      <w:r>
        <w:pict w14:anchorId="5CD90D58">
          <v:rect id="_x0000_i1123" style="width:415.3pt;height:1.5pt" o:hralign="center" o:hrstd="t" o:hr="t" fillcolor="#a0a0a0" stroked="f"/>
        </w:pict>
      </w:r>
    </w:p>
    <w:p w14:paraId="5CD8F7DE" w14:textId="77777777" w:rsidR="00BA49F5" w:rsidRDefault="00BA49F5"/>
    <w:p w14:paraId="5CD8F7DF" w14:textId="77777777" w:rsidR="00BA49F5" w:rsidRDefault="00BA49F5"/>
    <w:p w14:paraId="5CD8F7E0" w14:textId="77777777" w:rsidR="00BA49F5" w:rsidRDefault="007E5E49">
      <w:hyperlink r:id="rId293" w:anchor="i6df229dad1864210ab76200083e26819_7" w:history="1">
        <w:r>
          <w:rPr>
            <w:rStyle w:val="a5"/>
            <w:rFonts w:ascii="Times New Roman" w:eastAsia="宋体" w:hAnsi="Times New Roman"/>
            <w:sz w:val="20"/>
            <w:szCs w:val="20"/>
          </w:rPr>
          <w:t>T</w:t>
        </w:r>
      </w:hyperlink>
      <w:hyperlink r:id="rId294" w:anchor="i6df229dad1864210ab76200083e26819_7" w:history="1">
        <w:r>
          <w:rPr>
            <w:rStyle w:val="a5"/>
            <w:rFonts w:ascii="Times New Roman" w:eastAsia="宋体" w:hAnsi="Times New Roman"/>
            <w:sz w:val="20"/>
            <w:szCs w:val="20"/>
          </w:rPr>
          <w:t>able of Contents</w:t>
        </w:r>
      </w:hyperlink>
    </w:p>
    <w:p w14:paraId="5CD8F7E1" w14:textId="77777777" w:rsidR="00BA49F5" w:rsidRDefault="007E5E49">
      <w:pPr>
        <w:spacing w:before="180"/>
      </w:pPr>
      <w:r>
        <w:rPr>
          <w:rFonts w:ascii="Times New Roman" w:eastAsia="宋体" w:hAnsi="Times New Roman"/>
          <w:b/>
          <w:bCs/>
          <w:color w:val="000000"/>
          <w:sz w:val="20"/>
          <w:szCs w:val="20"/>
        </w:rPr>
        <w:t>Note 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Restructuring</w:t>
      </w:r>
    </w:p>
    <w:p w14:paraId="5CD8F7E2" w14:textId="77777777" w:rsidR="00BA49F5" w:rsidRDefault="00BA49F5">
      <w:pPr>
        <w:ind w:firstLine="360"/>
        <w:jc w:val="both"/>
      </w:pPr>
    </w:p>
    <w:p w14:paraId="5CD8F7E3" w14:textId="77777777" w:rsidR="00BA49F5" w:rsidRDefault="007E5E49">
      <w:pPr>
        <w:ind w:firstLine="540"/>
        <w:jc w:val="both"/>
      </w:pPr>
      <w:r>
        <w:rPr>
          <w:rFonts w:ascii="Times New Roman" w:eastAsia="宋体" w:hAnsi="Times New Roman"/>
          <w:color w:val="000000"/>
          <w:sz w:val="20"/>
          <w:szCs w:val="20"/>
          <w:shd w:val="clear" w:color="auto" w:fill="FFFFFF"/>
        </w:rPr>
        <w:t>During the year ended December 31, 2022, we initiated several m</w:t>
      </w:r>
      <w:r>
        <w:rPr>
          <w:rFonts w:ascii="Times New Roman" w:eastAsia="宋体" w:hAnsi="Times New Roman"/>
          <w:color w:val="000000"/>
          <w:sz w:val="20"/>
          <w:szCs w:val="20"/>
          <w:shd w:val="clear" w:color="auto" w:fill="FFFFFF"/>
        </w:rPr>
        <w:t xml:space="preserve">easures to pursue greater cost efficiency and to realign our business and strategic priorities. </w:t>
      </w:r>
    </w:p>
    <w:p w14:paraId="5CD8F7E4" w14:textId="77777777" w:rsidR="00BA49F5" w:rsidRDefault="00BA49F5">
      <w:pPr>
        <w:ind w:firstLine="360"/>
        <w:jc w:val="both"/>
      </w:pPr>
    </w:p>
    <w:p w14:paraId="5CD8F7E5" w14:textId="77777777" w:rsidR="00BA49F5" w:rsidRDefault="007E5E49">
      <w:pPr>
        <w:ind w:firstLine="540"/>
        <w:jc w:val="both"/>
      </w:pPr>
      <w:r>
        <w:rPr>
          <w:rFonts w:ascii="Times New Roman" w:eastAsia="宋体" w:hAnsi="Times New Roman"/>
          <w:color w:val="000000"/>
          <w:sz w:val="20"/>
          <w:szCs w:val="20"/>
          <w:shd w:val="clear" w:color="auto" w:fill="FFFFFF"/>
        </w:rPr>
        <w:t>Beginning in the third quarter of 2022, as a part of our facilities consolidation strategy, we made a decision to sublease, early terminate, or abandon severa</w:t>
      </w:r>
      <w:r>
        <w:rPr>
          <w:rFonts w:ascii="Times New Roman" w:eastAsia="宋体" w:hAnsi="Times New Roman"/>
          <w:color w:val="000000"/>
          <w:sz w:val="20"/>
          <w:szCs w:val="20"/>
          <w:shd w:val="clear" w:color="auto" w:fill="FFFFFF"/>
        </w:rPr>
        <w:t>l office buildings under operating leases to align our real property lease arrangements with our anticipated operating needs. As a result, we recorded impairment charges for the related operating lease right-of-use (ROU) assets and leasehold improvements.</w:t>
      </w:r>
    </w:p>
    <w:p w14:paraId="5CD8F7E6" w14:textId="77777777" w:rsidR="00BA49F5" w:rsidRDefault="00BA49F5">
      <w:pPr>
        <w:ind w:firstLine="360"/>
        <w:jc w:val="both"/>
      </w:pPr>
    </w:p>
    <w:p w14:paraId="5CD8F7E7" w14:textId="77777777" w:rsidR="00BA49F5" w:rsidRDefault="007E5E49">
      <w:pPr>
        <w:ind w:firstLine="540"/>
        <w:jc w:val="both"/>
      </w:pPr>
      <w:r>
        <w:rPr>
          <w:rFonts w:ascii="Times New Roman" w:eastAsia="宋体" w:hAnsi="Times New Roman"/>
          <w:color w:val="000000"/>
          <w:sz w:val="20"/>
          <w:szCs w:val="20"/>
          <w:shd w:val="clear" w:color="auto" w:fill="FFFFFF"/>
        </w:rPr>
        <w:t>In November 2022, we announced a layoff of approximately 11,000 of our employees across the FoA and RL segments. As a result, we recorded severance and other personnel related expenses for the impacted employees.</w:t>
      </w:r>
    </w:p>
    <w:p w14:paraId="5CD8F7E8" w14:textId="77777777" w:rsidR="00BA49F5" w:rsidRDefault="00BA49F5">
      <w:pPr>
        <w:ind w:firstLine="360"/>
        <w:jc w:val="both"/>
      </w:pPr>
    </w:p>
    <w:p w14:paraId="5CD8F7E9" w14:textId="77777777" w:rsidR="00BA49F5" w:rsidRDefault="007E5E49">
      <w:pPr>
        <w:ind w:firstLine="540"/>
        <w:jc w:val="both"/>
      </w:pPr>
      <w:r>
        <w:rPr>
          <w:rFonts w:ascii="Times New Roman" w:eastAsia="宋体" w:hAnsi="Times New Roman"/>
          <w:color w:val="000000"/>
          <w:sz w:val="20"/>
          <w:szCs w:val="20"/>
          <w:shd w:val="clear" w:color="auto" w:fill="FFFFFF"/>
        </w:rPr>
        <w:t>In December 2022, we reevaluated our data</w:t>
      </w:r>
      <w:r>
        <w:rPr>
          <w:rFonts w:ascii="Times New Roman" w:eastAsia="宋体" w:hAnsi="Times New Roman"/>
          <w:color w:val="000000"/>
          <w:sz w:val="20"/>
          <w:szCs w:val="20"/>
          <w:shd w:val="clear" w:color="auto" w:fill="FFFFFF"/>
        </w:rPr>
        <w:t xml:space="preserve"> center investment strategy to improve efficiency and further advance our efforts around artificial intelligence. As a result, we decided to pivot several of our data center building projects to a next generation design while also canceling multiple existi</w:t>
      </w:r>
      <w:r>
        <w:rPr>
          <w:rFonts w:ascii="Times New Roman" w:eastAsia="宋体" w:hAnsi="Times New Roman"/>
          <w:color w:val="000000"/>
          <w:sz w:val="20"/>
          <w:szCs w:val="20"/>
          <w:shd w:val="clear" w:color="auto" w:fill="FFFFFF"/>
        </w:rPr>
        <w:t>ng data center projects. This strategy led to abandonment charges of the related data center assets.</w:t>
      </w:r>
    </w:p>
    <w:p w14:paraId="5CD8F7EA" w14:textId="77777777" w:rsidR="00BA49F5" w:rsidRDefault="00BA49F5">
      <w:pPr>
        <w:ind w:firstLine="360"/>
        <w:jc w:val="both"/>
      </w:pPr>
    </w:p>
    <w:p w14:paraId="5CD8F7EB" w14:textId="77777777" w:rsidR="00BA49F5" w:rsidRDefault="007E5E49">
      <w:pPr>
        <w:ind w:firstLine="540"/>
        <w:jc w:val="both"/>
      </w:pPr>
      <w:r>
        <w:rPr>
          <w:rFonts w:ascii="Times New Roman" w:eastAsia="宋体" w:hAnsi="Times New Roman"/>
          <w:color w:val="000000"/>
          <w:sz w:val="20"/>
          <w:szCs w:val="20"/>
          <w:shd w:val="clear" w:color="auto" w:fill="FFFFFF"/>
        </w:rPr>
        <w:t xml:space="preserve">A summary of our restructuring charges for the year ended December 31, 2022 by major activity type is as follows </w:t>
      </w:r>
      <w:r>
        <w:rPr>
          <w:rFonts w:ascii="Times New Roman" w:eastAsia="宋体" w:hAnsi="Times New Roman"/>
          <w:color w:val="000000"/>
          <w:sz w:val="20"/>
          <w:szCs w:val="20"/>
        </w:rPr>
        <w:t>(in millions)</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422"/>
        <w:gridCol w:w="38"/>
        <w:gridCol w:w="121"/>
        <w:gridCol w:w="967"/>
        <w:gridCol w:w="36"/>
        <w:gridCol w:w="36"/>
        <w:gridCol w:w="36"/>
        <w:gridCol w:w="36"/>
        <w:gridCol w:w="36"/>
        <w:gridCol w:w="36"/>
        <w:gridCol w:w="121"/>
        <w:gridCol w:w="924"/>
        <w:gridCol w:w="36"/>
        <w:gridCol w:w="36"/>
        <w:gridCol w:w="36"/>
        <w:gridCol w:w="36"/>
        <w:gridCol w:w="120"/>
        <w:gridCol w:w="926"/>
        <w:gridCol w:w="36"/>
        <w:gridCol w:w="36"/>
        <w:gridCol w:w="36"/>
        <w:gridCol w:w="36"/>
        <w:gridCol w:w="36"/>
        <w:gridCol w:w="36"/>
        <w:gridCol w:w="120"/>
        <w:gridCol w:w="926"/>
        <w:gridCol w:w="36"/>
      </w:tblGrid>
      <w:tr w:rsidR="00BA49F5" w14:paraId="5CD8F808" w14:textId="77777777">
        <w:tc>
          <w:tcPr>
            <w:tcW w:w="50" w:type="pct"/>
            <w:shd w:val="clear" w:color="auto" w:fill="auto"/>
            <w:vAlign w:val="bottom"/>
          </w:tcPr>
          <w:p w14:paraId="5CD8F7EC" w14:textId="77777777" w:rsidR="00BA49F5" w:rsidRDefault="00BA49F5">
            <w:pPr>
              <w:rPr>
                <w:rFonts w:ascii="宋体"/>
              </w:rPr>
            </w:pPr>
          </w:p>
        </w:tc>
        <w:tc>
          <w:tcPr>
            <w:tcW w:w="2125" w:type="pct"/>
            <w:shd w:val="clear" w:color="auto" w:fill="auto"/>
            <w:vAlign w:val="bottom"/>
          </w:tcPr>
          <w:p w14:paraId="5CD8F7ED" w14:textId="77777777" w:rsidR="00BA49F5" w:rsidRDefault="00BA49F5">
            <w:pPr>
              <w:rPr>
                <w:rFonts w:ascii="宋体"/>
              </w:rPr>
            </w:pPr>
          </w:p>
        </w:tc>
        <w:tc>
          <w:tcPr>
            <w:tcW w:w="5" w:type="pct"/>
            <w:shd w:val="clear" w:color="auto" w:fill="auto"/>
            <w:vAlign w:val="bottom"/>
          </w:tcPr>
          <w:p w14:paraId="5CD8F7EE" w14:textId="77777777" w:rsidR="00BA49F5" w:rsidRDefault="00BA49F5">
            <w:pPr>
              <w:rPr>
                <w:rFonts w:ascii="宋体"/>
              </w:rPr>
            </w:pPr>
          </w:p>
        </w:tc>
        <w:tc>
          <w:tcPr>
            <w:tcW w:w="50" w:type="pct"/>
            <w:shd w:val="clear" w:color="auto" w:fill="auto"/>
            <w:vAlign w:val="bottom"/>
          </w:tcPr>
          <w:p w14:paraId="5CD8F7EF" w14:textId="77777777" w:rsidR="00BA49F5" w:rsidRDefault="00BA49F5">
            <w:pPr>
              <w:rPr>
                <w:rFonts w:ascii="宋体"/>
              </w:rPr>
            </w:pPr>
          </w:p>
        </w:tc>
        <w:tc>
          <w:tcPr>
            <w:tcW w:w="622" w:type="pct"/>
            <w:shd w:val="clear" w:color="auto" w:fill="auto"/>
            <w:vAlign w:val="bottom"/>
          </w:tcPr>
          <w:p w14:paraId="5CD8F7F0" w14:textId="77777777" w:rsidR="00BA49F5" w:rsidRDefault="00BA49F5">
            <w:pPr>
              <w:rPr>
                <w:rFonts w:ascii="宋体"/>
              </w:rPr>
            </w:pPr>
          </w:p>
        </w:tc>
        <w:tc>
          <w:tcPr>
            <w:tcW w:w="5" w:type="pct"/>
            <w:shd w:val="clear" w:color="auto" w:fill="auto"/>
            <w:vAlign w:val="bottom"/>
          </w:tcPr>
          <w:p w14:paraId="5CD8F7F1" w14:textId="77777777" w:rsidR="00BA49F5" w:rsidRDefault="00BA49F5">
            <w:pPr>
              <w:rPr>
                <w:rFonts w:ascii="宋体"/>
              </w:rPr>
            </w:pPr>
          </w:p>
        </w:tc>
        <w:tc>
          <w:tcPr>
            <w:tcW w:w="0" w:type="auto"/>
            <w:shd w:val="clear" w:color="auto" w:fill="auto"/>
            <w:vAlign w:val="bottom"/>
          </w:tcPr>
          <w:p w14:paraId="5CD8F7F2" w14:textId="77777777" w:rsidR="00BA49F5" w:rsidRDefault="00BA49F5">
            <w:pPr>
              <w:rPr>
                <w:rFonts w:ascii="宋体"/>
                <w:vanish/>
              </w:rPr>
            </w:pPr>
          </w:p>
        </w:tc>
        <w:tc>
          <w:tcPr>
            <w:tcW w:w="0" w:type="auto"/>
            <w:shd w:val="clear" w:color="auto" w:fill="auto"/>
            <w:vAlign w:val="bottom"/>
          </w:tcPr>
          <w:p w14:paraId="5CD8F7F3" w14:textId="77777777" w:rsidR="00BA49F5" w:rsidRDefault="00BA49F5">
            <w:pPr>
              <w:rPr>
                <w:rFonts w:ascii="宋体"/>
                <w:vanish/>
              </w:rPr>
            </w:pPr>
          </w:p>
        </w:tc>
        <w:tc>
          <w:tcPr>
            <w:tcW w:w="5" w:type="pct"/>
            <w:shd w:val="clear" w:color="auto" w:fill="auto"/>
            <w:vAlign w:val="bottom"/>
          </w:tcPr>
          <w:p w14:paraId="5CD8F7F4" w14:textId="77777777" w:rsidR="00BA49F5" w:rsidRDefault="00BA49F5">
            <w:pPr>
              <w:rPr>
                <w:rFonts w:ascii="宋体"/>
              </w:rPr>
            </w:pPr>
          </w:p>
        </w:tc>
        <w:tc>
          <w:tcPr>
            <w:tcW w:w="27" w:type="pct"/>
            <w:shd w:val="clear" w:color="auto" w:fill="auto"/>
            <w:vAlign w:val="bottom"/>
          </w:tcPr>
          <w:p w14:paraId="5CD8F7F5" w14:textId="77777777" w:rsidR="00BA49F5" w:rsidRDefault="00BA49F5">
            <w:pPr>
              <w:rPr>
                <w:rFonts w:ascii="宋体"/>
              </w:rPr>
            </w:pPr>
          </w:p>
        </w:tc>
        <w:tc>
          <w:tcPr>
            <w:tcW w:w="5" w:type="pct"/>
            <w:shd w:val="clear" w:color="auto" w:fill="auto"/>
            <w:vAlign w:val="bottom"/>
          </w:tcPr>
          <w:p w14:paraId="5CD8F7F6" w14:textId="77777777" w:rsidR="00BA49F5" w:rsidRDefault="00BA49F5">
            <w:pPr>
              <w:rPr>
                <w:rFonts w:ascii="宋体"/>
              </w:rPr>
            </w:pPr>
          </w:p>
        </w:tc>
        <w:tc>
          <w:tcPr>
            <w:tcW w:w="50" w:type="pct"/>
            <w:shd w:val="clear" w:color="auto" w:fill="auto"/>
            <w:vAlign w:val="bottom"/>
          </w:tcPr>
          <w:p w14:paraId="5CD8F7F7" w14:textId="77777777" w:rsidR="00BA49F5" w:rsidRDefault="00BA49F5">
            <w:pPr>
              <w:rPr>
                <w:rFonts w:ascii="宋体"/>
              </w:rPr>
            </w:pPr>
          </w:p>
        </w:tc>
        <w:tc>
          <w:tcPr>
            <w:tcW w:w="622" w:type="pct"/>
            <w:shd w:val="clear" w:color="auto" w:fill="auto"/>
            <w:vAlign w:val="bottom"/>
          </w:tcPr>
          <w:p w14:paraId="5CD8F7F8" w14:textId="77777777" w:rsidR="00BA49F5" w:rsidRDefault="00BA49F5">
            <w:pPr>
              <w:rPr>
                <w:rFonts w:ascii="宋体"/>
              </w:rPr>
            </w:pPr>
          </w:p>
        </w:tc>
        <w:tc>
          <w:tcPr>
            <w:tcW w:w="5" w:type="pct"/>
            <w:shd w:val="clear" w:color="auto" w:fill="auto"/>
            <w:vAlign w:val="bottom"/>
          </w:tcPr>
          <w:p w14:paraId="5CD8F7F9" w14:textId="77777777" w:rsidR="00BA49F5" w:rsidRDefault="00BA49F5">
            <w:pPr>
              <w:rPr>
                <w:rFonts w:ascii="宋体"/>
              </w:rPr>
            </w:pPr>
          </w:p>
        </w:tc>
        <w:tc>
          <w:tcPr>
            <w:tcW w:w="5" w:type="pct"/>
            <w:shd w:val="clear" w:color="auto" w:fill="auto"/>
            <w:vAlign w:val="bottom"/>
          </w:tcPr>
          <w:p w14:paraId="5CD8F7FA" w14:textId="77777777" w:rsidR="00BA49F5" w:rsidRDefault="00BA49F5">
            <w:pPr>
              <w:rPr>
                <w:rFonts w:ascii="宋体"/>
              </w:rPr>
            </w:pPr>
          </w:p>
        </w:tc>
        <w:tc>
          <w:tcPr>
            <w:tcW w:w="27" w:type="pct"/>
            <w:shd w:val="clear" w:color="auto" w:fill="auto"/>
            <w:vAlign w:val="bottom"/>
          </w:tcPr>
          <w:p w14:paraId="5CD8F7FB" w14:textId="77777777" w:rsidR="00BA49F5" w:rsidRDefault="00BA49F5">
            <w:pPr>
              <w:rPr>
                <w:rFonts w:ascii="宋体"/>
              </w:rPr>
            </w:pPr>
          </w:p>
        </w:tc>
        <w:tc>
          <w:tcPr>
            <w:tcW w:w="5" w:type="pct"/>
            <w:shd w:val="clear" w:color="auto" w:fill="auto"/>
            <w:vAlign w:val="bottom"/>
          </w:tcPr>
          <w:p w14:paraId="5CD8F7FC" w14:textId="77777777" w:rsidR="00BA49F5" w:rsidRDefault="00BA49F5">
            <w:pPr>
              <w:rPr>
                <w:rFonts w:ascii="宋体"/>
              </w:rPr>
            </w:pPr>
          </w:p>
        </w:tc>
        <w:tc>
          <w:tcPr>
            <w:tcW w:w="50" w:type="pct"/>
            <w:shd w:val="clear" w:color="auto" w:fill="auto"/>
            <w:vAlign w:val="bottom"/>
          </w:tcPr>
          <w:p w14:paraId="5CD8F7FD" w14:textId="77777777" w:rsidR="00BA49F5" w:rsidRDefault="00BA49F5">
            <w:pPr>
              <w:rPr>
                <w:rFonts w:ascii="宋体"/>
              </w:rPr>
            </w:pPr>
          </w:p>
        </w:tc>
        <w:tc>
          <w:tcPr>
            <w:tcW w:w="622" w:type="pct"/>
            <w:shd w:val="clear" w:color="auto" w:fill="auto"/>
            <w:vAlign w:val="bottom"/>
          </w:tcPr>
          <w:p w14:paraId="5CD8F7FE" w14:textId="77777777" w:rsidR="00BA49F5" w:rsidRDefault="00BA49F5">
            <w:pPr>
              <w:rPr>
                <w:rFonts w:ascii="宋体"/>
              </w:rPr>
            </w:pPr>
          </w:p>
        </w:tc>
        <w:tc>
          <w:tcPr>
            <w:tcW w:w="5" w:type="pct"/>
            <w:shd w:val="clear" w:color="auto" w:fill="auto"/>
            <w:vAlign w:val="bottom"/>
          </w:tcPr>
          <w:p w14:paraId="5CD8F7FF" w14:textId="77777777" w:rsidR="00BA49F5" w:rsidRDefault="00BA49F5">
            <w:pPr>
              <w:rPr>
                <w:rFonts w:ascii="宋体"/>
              </w:rPr>
            </w:pPr>
          </w:p>
        </w:tc>
        <w:tc>
          <w:tcPr>
            <w:tcW w:w="5" w:type="pct"/>
            <w:shd w:val="clear" w:color="auto" w:fill="auto"/>
            <w:vAlign w:val="bottom"/>
          </w:tcPr>
          <w:p w14:paraId="5CD8F800" w14:textId="77777777" w:rsidR="00BA49F5" w:rsidRDefault="00BA49F5">
            <w:pPr>
              <w:rPr>
                <w:rFonts w:ascii="宋体"/>
              </w:rPr>
            </w:pPr>
          </w:p>
        </w:tc>
        <w:tc>
          <w:tcPr>
            <w:tcW w:w="27" w:type="pct"/>
            <w:shd w:val="clear" w:color="auto" w:fill="auto"/>
            <w:vAlign w:val="bottom"/>
          </w:tcPr>
          <w:p w14:paraId="5CD8F801" w14:textId="77777777" w:rsidR="00BA49F5" w:rsidRDefault="00BA49F5">
            <w:pPr>
              <w:rPr>
                <w:rFonts w:ascii="宋体"/>
              </w:rPr>
            </w:pPr>
          </w:p>
        </w:tc>
        <w:tc>
          <w:tcPr>
            <w:tcW w:w="5" w:type="pct"/>
            <w:shd w:val="clear" w:color="auto" w:fill="auto"/>
            <w:vAlign w:val="bottom"/>
          </w:tcPr>
          <w:p w14:paraId="5CD8F802" w14:textId="77777777" w:rsidR="00BA49F5" w:rsidRDefault="00BA49F5">
            <w:pPr>
              <w:rPr>
                <w:rFonts w:ascii="宋体"/>
              </w:rPr>
            </w:pPr>
          </w:p>
        </w:tc>
        <w:tc>
          <w:tcPr>
            <w:tcW w:w="0" w:type="auto"/>
            <w:shd w:val="clear" w:color="auto" w:fill="auto"/>
            <w:vAlign w:val="bottom"/>
          </w:tcPr>
          <w:p w14:paraId="5CD8F803" w14:textId="77777777" w:rsidR="00BA49F5" w:rsidRDefault="00BA49F5">
            <w:pPr>
              <w:rPr>
                <w:rFonts w:ascii="宋体"/>
                <w:vanish/>
              </w:rPr>
            </w:pPr>
          </w:p>
        </w:tc>
        <w:tc>
          <w:tcPr>
            <w:tcW w:w="0" w:type="auto"/>
            <w:shd w:val="clear" w:color="auto" w:fill="auto"/>
            <w:vAlign w:val="bottom"/>
          </w:tcPr>
          <w:p w14:paraId="5CD8F804" w14:textId="77777777" w:rsidR="00BA49F5" w:rsidRDefault="00BA49F5">
            <w:pPr>
              <w:rPr>
                <w:rFonts w:ascii="宋体"/>
                <w:vanish/>
              </w:rPr>
            </w:pPr>
          </w:p>
        </w:tc>
        <w:tc>
          <w:tcPr>
            <w:tcW w:w="50" w:type="pct"/>
            <w:shd w:val="clear" w:color="auto" w:fill="auto"/>
            <w:vAlign w:val="bottom"/>
          </w:tcPr>
          <w:p w14:paraId="5CD8F805" w14:textId="77777777" w:rsidR="00BA49F5" w:rsidRDefault="00BA49F5">
            <w:pPr>
              <w:rPr>
                <w:rFonts w:ascii="宋体"/>
              </w:rPr>
            </w:pPr>
          </w:p>
        </w:tc>
        <w:tc>
          <w:tcPr>
            <w:tcW w:w="622" w:type="pct"/>
            <w:shd w:val="clear" w:color="auto" w:fill="auto"/>
            <w:vAlign w:val="bottom"/>
          </w:tcPr>
          <w:p w14:paraId="5CD8F806" w14:textId="77777777" w:rsidR="00BA49F5" w:rsidRDefault="00BA49F5">
            <w:pPr>
              <w:rPr>
                <w:rFonts w:ascii="宋体"/>
              </w:rPr>
            </w:pPr>
          </w:p>
        </w:tc>
        <w:tc>
          <w:tcPr>
            <w:tcW w:w="5" w:type="pct"/>
            <w:shd w:val="clear" w:color="auto" w:fill="auto"/>
            <w:vAlign w:val="bottom"/>
          </w:tcPr>
          <w:p w14:paraId="5CD8F807" w14:textId="77777777" w:rsidR="00BA49F5" w:rsidRDefault="00BA49F5">
            <w:pPr>
              <w:rPr>
                <w:rFonts w:ascii="宋体"/>
              </w:rPr>
            </w:pPr>
          </w:p>
        </w:tc>
      </w:tr>
      <w:tr w:rsidR="00BA49F5" w14:paraId="5CD8F815" w14:textId="77777777">
        <w:tc>
          <w:tcPr>
            <w:tcW w:w="0" w:type="auto"/>
            <w:gridSpan w:val="3"/>
            <w:shd w:val="clear" w:color="auto" w:fill="auto"/>
            <w:tcMar>
              <w:top w:w="0" w:type="dxa"/>
              <w:left w:w="20" w:type="dxa"/>
              <w:bottom w:w="0" w:type="dxa"/>
              <w:right w:w="20" w:type="dxa"/>
            </w:tcMar>
            <w:vAlign w:val="bottom"/>
          </w:tcPr>
          <w:p w14:paraId="5CD8F80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80A" w14:textId="77777777" w:rsidR="00BA49F5" w:rsidRDefault="007E5E49">
            <w:pPr>
              <w:jc w:val="center"/>
              <w:textAlignment w:val="bottom"/>
            </w:pPr>
            <w:r>
              <w:rPr>
                <w:rFonts w:ascii="Times New Roman" w:eastAsia="宋体" w:hAnsi="Times New Roman"/>
                <w:b/>
                <w:bCs/>
                <w:color w:val="000000"/>
                <w:sz w:val="16"/>
                <w:szCs w:val="16"/>
              </w:rPr>
              <w:t xml:space="preserve">Facilities Consolidation </w:t>
            </w:r>
            <w:r>
              <w:rPr>
                <w:rFonts w:ascii="Times New Roman" w:eastAsia="宋体" w:hAnsi="Times New Roman"/>
                <w:b/>
                <w:bCs/>
                <w:color w:val="000000"/>
                <w:sz w:val="10"/>
                <w:szCs w:val="10"/>
              </w:rPr>
              <w:t>(1)</w:t>
            </w:r>
          </w:p>
        </w:tc>
        <w:tc>
          <w:tcPr>
            <w:tcW w:w="0" w:type="auto"/>
            <w:shd w:val="clear" w:color="auto" w:fill="auto"/>
            <w:vAlign w:val="bottom"/>
          </w:tcPr>
          <w:p w14:paraId="5CD8F80B" w14:textId="77777777" w:rsidR="00BA49F5" w:rsidRDefault="00BA49F5">
            <w:pPr>
              <w:rPr>
                <w:rFonts w:ascii="宋体"/>
                <w:vanish/>
              </w:rPr>
            </w:pPr>
          </w:p>
        </w:tc>
        <w:tc>
          <w:tcPr>
            <w:tcW w:w="0" w:type="auto"/>
            <w:shd w:val="clear" w:color="auto" w:fill="auto"/>
            <w:vAlign w:val="bottom"/>
          </w:tcPr>
          <w:p w14:paraId="5CD8F80C" w14:textId="77777777" w:rsidR="00BA49F5" w:rsidRDefault="00BA49F5">
            <w:pPr>
              <w:rPr>
                <w:rFonts w:ascii="宋体"/>
                <w:vanish/>
              </w:rPr>
            </w:pPr>
          </w:p>
        </w:tc>
        <w:tc>
          <w:tcPr>
            <w:tcW w:w="0" w:type="auto"/>
            <w:gridSpan w:val="3"/>
            <w:shd w:val="clear" w:color="auto" w:fill="auto"/>
            <w:tcMar>
              <w:top w:w="0" w:type="dxa"/>
              <w:left w:w="20" w:type="dxa"/>
              <w:bottom w:w="0" w:type="dxa"/>
              <w:right w:w="20" w:type="dxa"/>
            </w:tcMar>
            <w:vAlign w:val="bottom"/>
          </w:tcPr>
          <w:p w14:paraId="5CD8F80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80E" w14:textId="77777777" w:rsidR="00BA49F5" w:rsidRDefault="007E5E49">
            <w:pPr>
              <w:jc w:val="center"/>
              <w:textAlignment w:val="bottom"/>
            </w:pPr>
            <w:r>
              <w:rPr>
                <w:rFonts w:ascii="Times New Roman" w:eastAsia="宋体" w:hAnsi="Times New Roman"/>
                <w:b/>
                <w:bCs/>
                <w:color w:val="000000"/>
                <w:sz w:val="16"/>
                <w:szCs w:val="16"/>
              </w:rPr>
              <w:t>Severance and Other Personnel Costs</w:t>
            </w:r>
          </w:p>
        </w:tc>
        <w:tc>
          <w:tcPr>
            <w:tcW w:w="0" w:type="auto"/>
            <w:gridSpan w:val="3"/>
            <w:shd w:val="clear" w:color="auto" w:fill="auto"/>
            <w:tcMar>
              <w:top w:w="0" w:type="dxa"/>
              <w:left w:w="20" w:type="dxa"/>
              <w:bottom w:w="0" w:type="dxa"/>
              <w:right w:w="20" w:type="dxa"/>
            </w:tcMar>
            <w:vAlign w:val="bottom"/>
          </w:tcPr>
          <w:p w14:paraId="5CD8F80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810" w14:textId="77777777" w:rsidR="00BA49F5" w:rsidRDefault="007E5E49">
            <w:pPr>
              <w:jc w:val="center"/>
              <w:textAlignment w:val="bottom"/>
            </w:pPr>
            <w:r>
              <w:rPr>
                <w:rFonts w:ascii="Times New Roman" w:eastAsia="宋体" w:hAnsi="Times New Roman"/>
                <w:b/>
                <w:bCs/>
                <w:color w:val="000000"/>
                <w:sz w:val="16"/>
                <w:szCs w:val="16"/>
              </w:rPr>
              <w:t>Data Center Assets</w:t>
            </w:r>
          </w:p>
        </w:tc>
        <w:tc>
          <w:tcPr>
            <w:tcW w:w="0" w:type="auto"/>
            <w:gridSpan w:val="3"/>
            <w:shd w:val="clear" w:color="auto" w:fill="auto"/>
            <w:tcMar>
              <w:top w:w="0" w:type="dxa"/>
              <w:left w:w="20" w:type="dxa"/>
              <w:bottom w:w="0" w:type="dxa"/>
              <w:right w:w="20" w:type="dxa"/>
            </w:tcMar>
            <w:vAlign w:val="bottom"/>
          </w:tcPr>
          <w:p w14:paraId="5CD8F811" w14:textId="77777777" w:rsidR="00BA49F5" w:rsidRDefault="00BA49F5">
            <w:pPr>
              <w:rPr>
                <w:rFonts w:ascii="宋体"/>
              </w:rPr>
            </w:pPr>
          </w:p>
        </w:tc>
        <w:tc>
          <w:tcPr>
            <w:tcW w:w="0" w:type="auto"/>
            <w:shd w:val="clear" w:color="auto" w:fill="auto"/>
            <w:vAlign w:val="bottom"/>
          </w:tcPr>
          <w:p w14:paraId="5CD8F812" w14:textId="77777777" w:rsidR="00BA49F5" w:rsidRDefault="00BA49F5">
            <w:pPr>
              <w:rPr>
                <w:rFonts w:ascii="宋体"/>
                <w:vanish/>
              </w:rPr>
            </w:pPr>
          </w:p>
        </w:tc>
        <w:tc>
          <w:tcPr>
            <w:tcW w:w="0" w:type="auto"/>
            <w:shd w:val="clear" w:color="auto" w:fill="auto"/>
            <w:vAlign w:val="bottom"/>
          </w:tcPr>
          <w:p w14:paraId="5CD8F813" w14:textId="77777777" w:rsidR="00BA49F5" w:rsidRDefault="00BA49F5">
            <w:pPr>
              <w:rPr>
                <w:rFonts w:ascii="宋体"/>
                <w:vanish/>
              </w:rPr>
            </w:pPr>
          </w:p>
        </w:tc>
        <w:tc>
          <w:tcPr>
            <w:tcW w:w="0" w:type="auto"/>
            <w:gridSpan w:val="3"/>
            <w:shd w:val="clear" w:color="auto" w:fill="auto"/>
            <w:tcMar>
              <w:top w:w="40" w:type="dxa"/>
              <w:left w:w="20" w:type="dxa"/>
              <w:bottom w:w="40" w:type="dxa"/>
              <w:right w:w="20" w:type="dxa"/>
            </w:tcMar>
            <w:vAlign w:val="bottom"/>
          </w:tcPr>
          <w:p w14:paraId="5CD8F814" w14:textId="77777777" w:rsidR="00BA49F5" w:rsidRDefault="007E5E49">
            <w:pPr>
              <w:jc w:val="center"/>
              <w:textAlignment w:val="bottom"/>
            </w:pPr>
            <w:r>
              <w:rPr>
                <w:rFonts w:ascii="Times New Roman" w:eastAsia="宋体" w:hAnsi="Times New Roman"/>
                <w:b/>
                <w:bCs/>
                <w:color w:val="000000"/>
                <w:sz w:val="16"/>
                <w:szCs w:val="16"/>
              </w:rPr>
              <w:t>Total</w:t>
            </w:r>
          </w:p>
        </w:tc>
      </w:tr>
      <w:tr w:rsidR="00BA49F5" w14:paraId="5CD8F82A" w14:textId="77777777">
        <w:tc>
          <w:tcPr>
            <w:tcW w:w="0" w:type="auto"/>
            <w:gridSpan w:val="3"/>
            <w:shd w:val="clear" w:color="auto" w:fill="CCEEFF"/>
            <w:tcMar>
              <w:top w:w="40" w:type="dxa"/>
              <w:left w:w="20" w:type="dxa"/>
              <w:bottom w:w="40" w:type="dxa"/>
              <w:right w:w="20" w:type="dxa"/>
            </w:tcMar>
            <w:vAlign w:val="center"/>
          </w:tcPr>
          <w:p w14:paraId="5CD8F816" w14:textId="77777777" w:rsidR="00BA49F5" w:rsidRDefault="007E5E49">
            <w:pPr>
              <w:textAlignment w:val="center"/>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81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818" w14:textId="77777777" w:rsidR="00BA49F5" w:rsidRDefault="007E5E49">
            <w:pPr>
              <w:jc w:val="right"/>
              <w:textAlignment w:val="bottom"/>
            </w:pPr>
            <w:r>
              <w:rPr>
                <w:rFonts w:ascii="Times New Roman" w:eastAsia="宋体" w:hAnsi="Times New Roman"/>
                <w:color w:val="000000"/>
                <w:sz w:val="20"/>
                <w:szCs w:val="20"/>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819" w14:textId="77777777" w:rsidR="00BA49F5" w:rsidRDefault="00BA49F5">
            <w:pPr>
              <w:jc w:val="right"/>
              <w:rPr>
                <w:rFonts w:ascii="宋体"/>
              </w:rPr>
            </w:pPr>
          </w:p>
        </w:tc>
        <w:tc>
          <w:tcPr>
            <w:tcW w:w="0" w:type="auto"/>
            <w:shd w:val="clear" w:color="auto" w:fill="auto"/>
            <w:vAlign w:val="bottom"/>
          </w:tcPr>
          <w:p w14:paraId="5CD8F81A" w14:textId="77777777" w:rsidR="00BA49F5" w:rsidRDefault="00BA49F5">
            <w:pPr>
              <w:rPr>
                <w:rFonts w:ascii="宋体"/>
                <w:vanish/>
              </w:rPr>
            </w:pPr>
          </w:p>
        </w:tc>
        <w:tc>
          <w:tcPr>
            <w:tcW w:w="0" w:type="auto"/>
            <w:shd w:val="clear" w:color="auto" w:fill="auto"/>
            <w:vAlign w:val="bottom"/>
          </w:tcPr>
          <w:p w14:paraId="5CD8F81B"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F81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81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81E"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81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20"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82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822" w14:textId="77777777" w:rsidR="00BA49F5" w:rsidRDefault="007E5E49">
            <w:pPr>
              <w:jc w:val="right"/>
              <w:textAlignment w:val="bottom"/>
            </w:pPr>
            <w:r>
              <w:rPr>
                <w:rFonts w:ascii="Times New Roman" w:eastAsia="宋体" w:hAnsi="Times New Roman"/>
                <w:color w:val="000000"/>
                <w:sz w:val="20"/>
                <w:szCs w:val="20"/>
              </w:rPr>
              <w:t>1,341 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82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24" w14:textId="77777777" w:rsidR="00BA49F5" w:rsidRDefault="00BA49F5">
            <w:pPr>
              <w:rPr>
                <w:rFonts w:ascii="宋体"/>
              </w:rPr>
            </w:pPr>
          </w:p>
        </w:tc>
        <w:tc>
          <w:tcPr>
            <w:tcW w:w="0" w:type="auto"/>
            <w:shd w:val="clear" w:color="auto" w:fill="auto"/>
            <w:vAlign w:val="bottom"/>
          </w:tcPr>
          <w:p w14:paraId="5CD8F825" w14:textId="77777777" w:rsidR="00BA49F5" w:rsidRDefault="00BA49F5">
            <w:pPr>
              <w:rPr>
                <w:rFonts w:ascii="宋体"/>
                <w:vanish/>
              </w:rPr>
            </w:pPr>
          </w:p>
        </w:tc>
        <w:tc>
          <w:tcPr>
            <w:tcW w:w="0" w:type="auto"/>
            <w:shd w:val="clear" w:color="auto" w:fill="auto"/>
            <w:vAlign w:val="bottom"/>
          </w:tcPr>
          <w:p w14:paraId="5CD8F826" w14:textId="77777777" w:rsidR="00BA49F5" w:rsidRDefault="00BA49F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82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828" w14:textId="77777777" w:rsidR="00BA49F5" w:rsidRDefault="007E5E49">
            <w:pPr>
              <w:jc w:val="right"/>
              <w:textAlignment w:val="bottom"/>
            </w:pPr>
            <w:r>
              <w:rPr>
                <w:rFonts w:ascii="Times New Roman" w:eastAsia="宋体" w:hAnsi="Times New Roman"/>
                <w:color w:val="000000"/>
                <w:sz w:val="20"/>
                <w:szCs w:val="20"/>
              </w:rPr>
              <w:t>1,495 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829" w14:textId="77777777" w:rsidR="00BA49F5" w:rsidRDefault="00BA49F5">
            <w:pPr>
              <w:jc w:val="right"/>
              <w:rPr>
                <w:rFonts w:ascii="宋体"/>
              </w:rPr>
            </w:pPr>
          </w:p>
        </w:tc>
      </w:tr>
      <w:tr w:rsidR="00BA49F5" w14:paraId="5CD8F83B" w14:textId="77777777">
        <w:tc>
          <w:tcPr>
            <w:tcW w:w="0" w:type="auto"/>
            <w:gridSpan w:val="3"/>
            <w:shd w:val="clear" w:color="auto" w:fill="FFFFFF"/>
            <w:tcMar>
              <w:top w:w="40" w:type="dxa"/>
              <w:left w:w="20" w:type="dxa"/>
              <w:bottom w:w="40" w:type="dxa"/>
              <w:right w:w="20" w:type="dxa"/>
            </w:tcMar>
            <w:vAlign w:val="bottom"/>
          </w:tcPr>
          <w:p w14:paraId="5CD8F82B" w14:textId="77777777" w:rsidR="00BA49F5" w:rsidRDefault="007E5E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CD8F82C" w14:textId="77777777" w:rsidR="00BA49F5" w:rsidRDefault="007E5E49">
            <w:pPr>
              <w:jc w:val="right"/>
              <w:textAlignment w:val="bottom"/>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vAlign w:val="bottom"/>
          </w:tcPr>
          <w:p w14:paraId="5CD8F82D" w14:textId="77777777" w:rsidR="00BA49F5" w:rsidRDefault="00BA49F5">
            <w:pPr>
              <w:jc w:val="right"/>
              <w:rPr>
                <w:rFonts w:ascii="宋体"/>
              </w:rPr>
            </w:pPr>
          </w:p>
        </w:tc>
        <w:tc>
          <w:tcPr>
            <w:tcW w:w="0" w:type="auto"/>
            <w:shd w:val="clear" w:color="auto" w:fill="auto"/>
            <w:vAlign w:val="bottom"/>
          </w:tcPr>
          <w:p w14:paraId="5CD8F82E" w14:textId="77777777" w:rsidR="00BA49F5" w:rsidRDefault="00BA49F5">
            <w:pPr>
              <w:rPr>
                <w:rFonts w:ascii="宋体"/>
                <w:vanish/>
              </w:rPr>
            </w:pPr>
          </w:p>
        </w:tc>
        <w:tc>
          <w:tcPr>
            <w:tcW w:w="0" w:type="auto"/>
            <w:shd w:val="clear" w:color="auto" w:fill="auto"/>
            <w:vAlign w:val="bottom"/>
          </w:tcPr>
          <w:p w14:paraId="5CD8F82F" w14:textId="77777777" w:rsidR="00BA49F5" w:rsidRDefault="00BA49F5">
            <w:pPr>
              <w:rPr>
                <w:rFonts w:ascii="宋体"/>
                <w:vanish/>
              </w:rPr>
            </w:pPr>
          </w:p>
        </w:tc>
        <w:tc>
          <w:tcPr>
            <w:tcW w:w="0" w:type="auto"/>
            <w:gridSpan w:val="3"/>
            <w:shd w:val="clear" w:color="auto" w:fill="FFFFFF"/>
            <w:tcMar>
              <w:top w:w="0" w:type="dxa"/>
              <w:left w:w="20" w:type="dxa"/>
              <w:bottom w:w="0" w:type="dxa"/>
              <w:right w:w="20" w:type="dxa"/>
            </w:tcMar>
            <w:vAlign w:val="bottom"/>
          </w:tcPr>
          <w:p w14:paraId="5CD8F83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831" w14:textId="77777777" w:rsidR="00BA49F5" w:rsidRDefault="007E5E49">
            <w:pPr>
              <w:jc w:val="right"/>
              <w:textAlignment w:val="bottom"/>
            </w:pPr>
            <w:r>
              <w:rPr>
                <w:rFonts w:ascii="Times New Roman" w:eastAsia="宋体" w:hAnsi="Times New Roman"/>
                <w:color w:val="000000"/>
                <w:sz w:val="20"/>
                <w:szCs w:val="20"/>
              </w:rPr>
              <w:t>408 </w:t>
            </w:r>
          </w:p>
        </w:tc>
        <w:tc>
          <w:tcPr>
            <w:tcW w:w="0" w:type="auto"/>
            <w:shd w:val="clear" w:color="auto" w:fill="FFFFFF"/>
            <w:tcMar>
              <w:top w:w="40" w:type="dxa"/>
              <w:left w:w="0" w:type="dxa"/>
              <w:bottom w:w="40" w:type="dxa"/>
              <w:right w:w="20" w:type="dxa"/>
            </w:tcMar>
            <w:vAlign w:val="bottom"/>
          </w:tcPr>
          <w:p w14:paraId="5CD8F83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83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83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83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836" w14:textId="77777777" w:rsidR="00BA49F5" w:rsidRDefault="00BA49F5">
            <w:pPr>
              <w:rPr>
                <w:rFonts w:ascii="宋体"/>
              </w:rPr>
            </w:pPr>
          </w:p>
        </w:tc>
        <w:tc>
          <w:tcPr>
            <w:tcW w:w="0" w:type="auto"/>
            <w:shd w:val="clear" w:color="auto" w:fill="auto"/>
            <w:vAlign w:val="bottom"/>
          </w:tcPr>
          <w:p w14:paraId="5CD8F837" w14:textId="77777777" w:rsidR="00BA49F5" w:rsidRDefault="00BA49F5">
            <w:pPr>
              <w:rPr>
                <w:rFonts w:ascii="宋体"/>
                <w:vanish/>
              </w:rPr>
            </w:pPr>
          </w:p>
        </w:tc>
        <w:tc>
          <w:tcPr>
            <w:tcW w:w="0" w:type="auto"/>
            <w:shd w:val="clear" w:color="auto" w:fill="auto"/>
            <w:vAlign w:val="bottom"/>
          </w:tcPr>
          <w:p w14:paraId="5CD8F838" w14:textId="77777777" w:rsidR="00BA49F5" w:rsidRDefault="00BA49F5">
            <w:pPr>
              <w:rPr>
                <w:rFonts w:ascii="宋体"/>
                <w:vanish/>
              </w:rPr>
            </w:pPr>
          </w:p>
        </w:tc>
        <w:tc>
          <w:tcPr>
            <w:tcW w:w="0" w:type="auto"/>
            <w:gridSpan w:val="2"/>
            <w:shd w:val="clear" w:color="auto" w:fill="FFFFFF"/>
            <w:tcMar>
              <w:top w:w="40" w:type="dxa"/>
              <w:left w:w="20" w:type="dxa"/>
              <w:bottom w:w="40" w:type="dxa"/>
              <w:right w:w="0" w:type="dxa"/>
            </w:tcMar>
            <w:vAlign w:val="bottom"/>
          </w:tcPr>
          <w:p w14:paraId="5CD8F839" w14:textId="77777777" w:rsidR="00BA49F5" w:rsidRDefault="007E5E49">
            <w:pPr>
              <w:jc w:val="right"/>
              <w:textAlignment w:val="bottom"/>
            </w:pPr>
            <w:r>
              <w:rPr>
                <w:rFonts w:ascii="Times New Roman" w:eastAsia="宋体" w:hAnsi="Times New Roman"/>
                <w:color w:val="000000"/>
                <w:sz w:val="20"/>
                <w:szCs w:val="20"/>
              </w:rPr>
              <w:t>1,719 </w:t>
            </w:r>
          </w:p>
        </w:tc>
        <w:tc>
          <w:tcPr>
            <w:tcW w:w="0" w:type="auto"/>
            <w:shd w:val="clear" w:color="auto" w:fill="FFFFFF"/>
            <w:tcMar>
              <w:top w:w="40" w:type="dxa"/>
              <w:left w:w="0" w:type="dxa"/>
              <w:bottom w:w="40" w:type="dxa"/>
              <w:right w:w="20" w:type="dxa"/>
            </w:tcMar>
            <w:vAlign w:val="bottom"/>
          </w:tcPr>
          <w:p w14:paraId="5CD8F83A" w14:textId="77777777" w:rsidR="00BA49F5" w:rsidRDefault="00BA49F5">
            <w:pPr>
              <w:jc w:val="right"/>
              <w:rPr>
                <w:rFonts w:ascii="宋体"/>
              </w:rPr>
            </w:pPr>
          </w:p>
        </w:tc>
      </w:tr>
      <w:tr w:rsidR="00BA49F5" w14:paraId="5CD8F84C" w14:textId="77777777">
        <w:tc>
          <w:tcPr>
            <w:tcW w:w="0" w:type="auto"/>
            <w:gridSpan w:val="3"/>
            <w:shd w:val="clear" w:color="auto" w:fill="CCEEFF"/>
            <w:tcMar>
              <w:top w:w="40" w:type="dxa"/>
              <w:left w:w="20" w:type="dxa"/>
              <w:bottom w:w="40" w:type="dxa"/>
              <w:right w:w="20" w:type="dxa"/>
            </w:tcMar>
            <w:vAlign w:val="center"/>
          </w:tcPr>
          <w:p w14:paraId="5CD8F83C" w14:textId="77777777" w:rsidR="00BA49F5" w:rsidRDefault="007E5E49">
            <w:pPr>
              <w:textAlignment w:val="center"/>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5CD8F83D" w14:textId="77777777" w:rsidR="00BA49F5" w:rsidRDefault="007E5E49">
            <w:pPr>
              <w:jc w:val="right"/>
              <w:textAlignment w:val="bottom"/>
            </w:pPr>
            <w:r>
              <w:rPr>
                <w:rFonts w:ascii="Times New Roman" w:eastAsia="宋体" w:hAnsi="Times New Roman"/>
                <w:color w:val="000000"/>
                <w:sz w:val="20"/>
                <w:szCs w:val="20"/>
              </w:rPr>
              <w:t>404 </w:t>
            </w:r>
          </w:p>
        </w:tc>
        <w:tc>
          <w:tcPr>
            <w:tcW w:w="0" w:type="auto"/>
            <w:shd w:val="clear" w:color="auto" w:fill="CCEEFF"/>
            <w:tcMar>
              <w:top w:w="40" w:type="dxa"/>
              <w:left w:w="0" w:type="dxa"/>
              <w:bottom w:w="40" w:type="dxa"/>
              <w:right w:w="20" w:type="dxa"/>
            </w:tcMar>
            <w:vAlign w:val="bottom"/>
          </w:tcPr>
          <w:p w14:paraId="5CD8F83E" w14:textId="77777777" w:rsidR="00BA49F5" w:rsidRDefault="00BA49F5">
            <w:pPr>
              <w:jc w:val="right"/>
              <w:rPr>
                <w:rFonts w:ascii="宋体"/>
              </w:rPr>
            </w:pPr>
          </w:p>
        </w:tc>
        <w:tc>
          <w:tcPr>
            <w:tcW w:w="0" w:type="auto"/>
            <w:shd w:val="clear" w:color="auto" w:fill="auto"/>
            <w:vAlign w:val="bottom"/>
          </w:tcPr>
          <w:p w14:paraId="5CD8F83F" w14:textId="77777777" w:rsidR="00BA49F5" w:rsidRDefault="00BA49F5">
            <w:pPr>
              <w:rPr>
                <w:rFonts w:ascii="宋体"/>
                <w:vanish/>
              </w:rPr>
            </w:pPr>
          </w:p>
        </w:tc>
        <w:tc>
          <w:tcPr>
            <w:tcW w:w="0" w:type="auto"/>
            <w:shd w:val="clear" w:color="auto" w:fill="auto"/>
            <w:vAlign w:val="bottom"/>
          </w:tcPr>
          <w:p w14:paraId="5CD8F840"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F84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842" w14:textId="77777777" w:rsidR="00BA49F5" w:rsidRDefault="007E5E49">
            <w:pPr>
              <w:jc w:val="right"/>
              <w:textAlignment w:val="bottom"/>
            </w:pPr>
            <w:r>
              <w:rPr>
                <w:rFonts w:ascii="Times New Roman" w:eastAsia="宋体" w:hAnsi="Times New Roman"/>
                <w:color w:val="000000"/>
                <w:sz w:val="20"/>
                <w:szCs w:val="20"/>
              </w:rPr>
              <w:t>234 </w:t>
            </w:r>
          </w:p>
        </w:tc>
        <w:tc>
          <w:tcPr>
            <w:tcW w:w="0" w:type="auto"/>
            <w:shd w:val="clear" w:color="auto" w:fill="CCEEFF"/>
            <w:tcMar>
              <w:top w:w="40" w:type="dxa"/>
              <w:left w:w="0" w:type="dxa"/>
              <w:bottom w:w="40" w:type="dxa"/>
              <w:right w:w="20" w:type="dxa"/>
            </w:tcMar>
            <w:vAlign w:val="bottom"/>
          </w:tcPr>
          <w:p w14:paraId="5CD8F84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4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84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84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47" w14:textId="77777777" w:rsidR="00BA49F5" w:rsidRDefault="00BA49F5">
            <w:pPr>
              <w:rPr>
                <w:rFonts w:ascii="宋体"/>
              </w:rPr>
            </w:pPr>
          </w:p>
        </w:tc>
        <w:tc>
          <w:tcPr>
            <w:tcW w:w="0" w:type="auto"/>
            <w:shd w:val="clear" w:color="auto" w:fill="auto"/>
            <w:vAlign w:val="bottom"/>
          </w:tcPr>
          <w:p w14:paraId="5CD8F848" w14:textId="77777777" w:rsidR="00BA49F5" w:rsidRDefault="00BA49F5">
            <w:pPr>
              <w:rPr>
                <w:rFonts w:ascii="宋体"/>
                <w:vanish/>
              </w:rPr>
            </w:pPr>
          </w:p>
        </w:tc>
        <w:tc>
          <w:tcPr>
            <w:tcW w:w="0" w:type="auto"/>
            <w:shd w:val="clear" w:color="auto" w:fill="auto"/>
            <w:vAlign w:val="bottom"/>
          </w:tcPr>
          <w:p w14:paraId="5CD8F849" w14:textId="77777777" w:rsidR="00BA49F5" w:rsidRDefault="00BA49F5">
            <w:pPr>
              <w:rPr>
                <w:rFonts w:ascii="宋体"/>
                <w:vanish/>
              </w:rPr>
            </w:pPr>
          </w:p>
        </w:tc>
        <w:tc>
          <w:tcPr>
            <w:tcW w:w="0" w:type="auto"/>
            <w:gridSpan w:val="2"/>
            <w:shd w:val="clear" w:color="auto" w:fill="CCEEFF"/>
            <w:tcMar>
              <w:top w:w="40" w:type="dxa"/>
              <w:left w:w="20" w:type="dxa"/>
              <w:bottom w:w="40" w:type="dxa"/>
              <w:right w:w="0" w:type="dxa"/>
            </w:tcMar>
            <w:vAlign w:val="bottom"/>
          </w:tcPr>
          <w:p w14:paraId="5CD8F84A" w14:textId="77777777" w:rsidR="00BA49F5" w:rsidRDefault="007E5E49">
            <w:pPr>
              <w:jc w:val="right"/>
              <w:textAlignment w:val="bottom"/>
            </w:pPr>
            <w:r>
              <w:rPr>
                <w:rFonts w:ascii="Times New Roman" w:eastAsia="宋体" w:hAnsi="Times New Roman"/>
                <w:color w:val="000000"/>
                <w:sz w:val="20"/>
                <w:szCs w:val="20"/>
              </w:rPr>
              <w:t>638 </w:t>
            </w:r>
          </w:p>
        </w:tc>
        <w:tc>
          <w:tcPr>
            <w:tcW w:w="0" w:type="auto"/>
            <w:shd w:val="clear" w:color="auto" w:fill="CCEEFF"/>
            <w:tcMar>
              <w:top w:w="40" w:type="dxa"/>
              <w:left w:w="0" w:type="dxa"/>
              <w:bottom w:w="40" w:type="dxa"/>
              <w:right w:w="20" w:type="dxa"/>
            </w:tcMar>
            <w:vAlign w:val="bottom"/>
          </w:tcPr>
          <w:p w14:paraId="5CD8F84B" w14:textId="77777777" w:rsidR="00BA49F5" w:rsidRDefault="00BA49F5">
            <w:pPr>
              <w:jc w:val="right"/>
              <w:rPr>
                <w:rFonts w:ascii="宋体"/>
              </w:rPr>
            </w:pPr>
          </w:p>
        </w:tc>
      </w:tr>
      <w:tr w:rsidR="00BA49F5" w14:paraId="5CD8F85D" w14:textId="77777777">
        <w:tc>
          <w:tcPr>
            <w:tcW w:w="0" w:type="auto"/>
            <w:gridSpan w:val="3"/>
            <w:shd w:val="clear" w:color="auto" w:fill="FFFFFF"/>
            <w:tcMar>
              <w:top w:w="40" w:type="dxa"/>
              <w:left w:w="20" w:type="dxa"/>
              <w:bottom w:w="40" w:type="dxa"/>
              <w:right w:w="20" w:type="dxa"/>
            </w:tcMar>
            <w:vAlign w:val="bottom"/>
          </w:tcPr>
          <w:p w14:paraId="5CD8F84D" w14:textId="77777777" w:rsidR="00BA49F5" w:rsidRDefault="007E5E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5CD8F84E" w14:textId="77777777" w:rsidR="00BA49F5" w:rsidRDefault="007E5E49">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left w:w="0" w:type="dxa"/>
              <w:bottom w:w="40" w:type="dxa"/>
              <w:right w:w="20" w:type="dxa"/>
            </w:tcMar>
            <w:vAlign w:val="bottom"/>
          </w:tcPr>
          <w:p w14:paraId="5CD8F84F" w14:textId="77777777" w:rsidR="00BA49F5" w:rsidRDefault="00BA49F5">
            <w:pPr>
              <w:jc w:val="right"/>
              <w:rPr>
                <w:rFonts w:ascii="宋体"/>
              </w:rPr>
            </w:pPr>
          </w:p>
        </w:tc>
        <w:tc>
          <w:tcPr>
            <w:tcW w:w="0" w:type="auto"/>
            <w:shd w:val="clear" w:color="auto" w:fill="auto"/>
            <w:vAlign w:val="bottom"/>
          </w:tcPr>
          <w:p w14:paraId="5CD8F850" w14:textId="77777777" w:rsidR="00BA49F5" w:rsidRDefault="00BA49F5">
            <w:pPr>
              <w:rPr>
                <w:rFonts w:ascii="宋体"/>
                <w:vanish/>
              </w:rPr>
            </w:pPr>
          </w:p>
        </w:tc>
        <w:tc>
          <w:tcPr>
            <w:tcW w:w="0" w:type="auto"/>
            <w:shd w:val="clear" w:color="auto" w:fill="auto"/>
            <w:vAlign w:val="bottom"/>
          </w:tcPr>
          <w:p w14:paraId="5CD8F851" w14:textId="77777777" w:rsidR="00BA49F5" w:rsidRDefault="00BA49F5">
            <w:pPr>
              <w:rPr>
                <w:rFonts w:ascii="宋体"/>
                <w:vanish/>
              </w:rPr>
            </w:pPr>
          </w:p>
        </w:tc>
        <w:tc>
          <w:tcPr>
            <w:tcW w:w="0" w:type="auto"/>
            <w:gridSpan w:val="3"/>
            <w:shd w:val="clear" w:color="auto" w:fill="FFFFFF"/>
            <w:tcMar>
              <w:top w:w="0" w:type="dxa"/>
              <w:left w:w="20" w:type="dxa"/>
              <w:bottom w:w="0" w:type="dxa"/>
              <w:right w:w="20" w:type="dxa"/>
            </w:tcMar>
            <w:vAlign w:val="bottom"/>
          </w:tcPr>
          <w:p w14:paraId="5CD8F85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853" w14:textId="77777777" w:rsidR="00BA49F5" w:rsidRDefault="007E5E49">
            <w:pPr>
              <w:jc w:val="right"/>
              <w:textAlignment w:val="bottom"/>
            </w:pPr>
            <w:r>
              <w:rPr>
                <w:rFonts w:ascii="Times New Roman" w:eastAsia="宋体" w:hAnsi="Times New Roman"/>
                <w:color w:val="000000"/>
                <w:sz w:val="20"/>
                <w:szCs w:val="20"/>
              </w:rPr>
              <w:t>333 </w:t>
            </w:r>
          </w:p>
        </w:tc>
        <w:tc>
          <w:tcPr>
            <w:tcW w:w="0" w:type="auto"/>
            <w:shd w:val="clear" w:color="auto" w:fill="FFFFFF"/>
            <w:tcMar>
              <w:top w:w="40" w:type="dxa"/>
              <w:left w:w="0" w:type="dxa"/>
              <w:bottom w:w="40" w:type="dxa"/>
              <w:right w:w="20" w:type="dxa"/>
            </w:tcMar>
            <w:vAlign w:val="bottom"/>
          </w:tcPr>
          <w:p w14:paraId="5CD8F85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85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85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85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858" w14:textId="77777777" w:rsidR="00BA49F5" w:rsidRDefault="00BA49F5">
            <w:pPr>
              <w:rPr>
                <w:rFonts w:ascii="宋体"/>
              </w:rPr>
            </w:pPr>
          </w:p>
        </w:tc>
        <w:tc>
          <w:tcPr>
            <w:tcW w:w="0" w:type="auto"/>
            <w:shd w:val="clear" w:color="auto" w:fill="auto"/>
            <w:vAlign w:val="bottom"/>
          </w:tcPr>
          <w:p w14:paraId="5CD8F859" w14:textId="77777777" w:rsidR="00BA49F5" w:rsidRDefault="00BA49F5">
            <w:pPr>
              <w:rPr>
                <w:rFonts w:ascii="宋体"/>
                <w:vanish/>
              </w:rPr>
            </w:pPr>
          </w:p>
        </w:tc>
        <w:tc>
          <w:tcPr>
            <w:tcW w:w="0" w:type="auto"/>
            <w:shd w:val="clear" w:color="auto" w:fill="auto"/>
            <w:vAlign w:val="bottom"/>
          </w:tcPr>
          <w:p w14:paraId="5CD8F85A" w14:textId="77777777" w:rsidR="00BA49F5" w:rsidRDefault="00BA49F5">
            <w:pPr>
              <w:rPr>
                <w:rFonts w:ascii="宋体"/>
                <w:vanish/>
              </w:rPr>
            </w:pPr>
          </w:p>
        </w:tc>
        <w:tc>
          <w:tcPr>
            <w:tcW w:w="0" w:type="auto"/>
            <w:gridSpan w:val="2"/>
            <w:shd w:val="clear" w:color="auto" w:fill="FFFFFF"/>
            <w:tcMar>
              <w:top w:w="40" w:type="dxa"/>
              <w:left w:w="20" w:type="dxa"/>
              <w:bottom w:w="40" w:type="dxa"/>
              <w:right w:w="0" w:type="dxa"/>
            </w:tcMar>
            <w:vAlign w:val="bottom"/>
          </w:tcPr>
          <w:p w14:paraId="5CD8F85B" w14:textId="77777777" w:rsidR="00BA49F5" w:rsidRDefault="007E5E49">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left w:w="0" w:type="dxa"/>
              <w:bottom w:w="40" w:type="dxa"/>
              <w:right w:w="20" w:type="dxa"/>
            </w:tcMar>
            <w:vAlign w:val="bottom"/>
          </w:tcPr>
          <w:p w14:paraId="5CD8F85C" w14:textId="77777777" w:rsidR="00BA49F5" w:rsidRDefault="00BA49F5">
            <w:pPr>
              <w:jc w:val="right"/>
              <w:rPr>
                <w:rFonts w:ascii="宋体"/>
              </w:rPr>
            </w:pPr>
          </w:p>
        </w:tc>
      </w:tr>
      <w:tr w:rsidR="00BA49F5" w14:paraId="5CD8F872" w14:textId="77777777">
        <w:tc>
          <w:tcPr>
            <w:tcW w:w="0" w:type="auto"/>
            <w:gridSpan w:val="3"/>
            <w:shd w:val="clear" w:color="auto" w:fill="CCEEFF"/>
            <w:tcMar>
              <w:top w:w="40" w:type="dxa"/>
              <w:left w:w="380" w:type="dxa"/>
              <w:bottom w:w="40" w:type="dxa"/>
              <w:right w:w="20" w:type="dxa"/>
            </w:tcMar>
            <w:vAlign w:val="bottom"/>
          </w:tcPr>
          <w:p w14:paraId="5CD8F85E" w14:textId="77777777" w:rsidR="00BA49F5" w:rsidRDefault="007E5E49">
            <w:pPr>
              <w:textAlignment w:val="bottom"/>
            </w:pPr>
            <w:r>
              <w:rPr>
                <w:rFonts w:ascii="Times New Roman" w:eastAsia="宋体" w:hAnsi="Times New Roman"/>
                <w:color w:val="000000"/>
                <w:sz w:val="20"/>
                <w:szCs w:val="20"/>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85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860" w14:textId="77777777" w:rsidR="00BA49F5" w:rsidRDefault="007E5E49">
            <w:pPr>
              <w:jc w:val="right"/>
              <w:textAlignment w:val="bottom"/>
            </w:pPr>
            <w:r>
              <w:rPr>
                <w:rFonts w:ascii="Times New Roman" w:eastAsia="宋体" w:hAnsi="Times New Roman"/>
                <w:color w:val="000000"/>
                <w:sz w:val="20"/>
                <w:szCs w:val="20"/>
              </w:rPr>
              <w:t>2,295 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861" w14:textId="77777777" w:rsidR="00BA49F5" w:rsidRDefault="00BA49F5">
            <w:pPr>
              <w:jc w:val="right"/>
              <w:rPr>
                <w:rFonts w:ascii="宋体"/>
              </w:rPr>
            </w:pPr>
          </w:p>
        </w:tc>
        <w:tc>
          <w:tcPr>
            <w:tcW w:w="0" w:type="auto"/>
            <w:shd w:val="clear" w:color="auto" w:fill="auto"/>
            <w:vAlign w:val="bottom"/>
          </w:tcPr>
          <w:p w14:paraId="5CD8F862" w14:textId="77777777" w:rsidR="00BA49F5" w:rsidRDefault="00BA49F5">
            <w:pPr>
              <w:rPr>
                <w:rFonts w:ascii="宋体"/>
                <w:vanish/>
              </w:rPr>
            </w:pPr>
          </w:p>
        </w:tc>
        <w:tc>
          <w:tcPr>
            <w:tcW w:w="0" w:type="auto"/>
            <w:shd w:val="clear" w:color="auto" w:fill="auto"/>
            <w:vAlign w:val="bottom"/>
          </w:tcPr>
          <w:p w14:paraId="5CD8F863" w14:textId="77777777" w:rsidR="00BA49F5" w:rsidRDefault="00BA49F5">
            <w:pPr>
              <w:rPr>
                <w:rFonts w:ascii="宋体"/>
                <w:vanish/>
              </w:rPr>
            </w:pPr>
          </w:p>
        </w:tc>
        <w:tc>
          <w:tcPr>
            <w:tcW w:w="0" w:type="auto"/>
            <w:gridSpan w:val="3"/>
            <w:shd w:val="clear" w:color="auto" w:fill="CCEEFF"/>
            <w:tcMar>
              <w:top w:w="0" w:type="dxa"/>
              <w:left w:w="20" w:type="dxa"/>
              <w:bottom w:w="0" w:type="dxa"/>
              <w:right w:w="20" w:type="dxa"/>
            </w:tcMar>
            <w:vAlign w:val="bottom"/>
          </w:tcPr>
          <w:p w14:paraId="5CD8F86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86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866" w14:textId="77777777" w:rsidR="00BA49F5" w:rsidRDefault="007E5E49">
            <w:pPr>
              <w:jc w:val="right"/>
              <w:textAlignment w:val="bottom"/>
            </w:pPr>
            <w:r>
              <w:rPr>
                <w:rFonts w:ascii="Times New Roman" w:eastAsia="宋体" w:hAnsi="Times New Roman"/>
                <w:color w:val="000000"/>
                <w:sz w:val="20"/>
                <w:szCs w:val="20"/>
              </w:rPr>
              <w:t>975 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86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68"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86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86A" w14:textId="77777777" w:rsidR="00BA49F5" w:rsidRDefault="007E5E49">
            <w:pPr>
              <w:jc w:val="right"/>
              <w:textAlignment w:val="bottom"/>
            </w:pPr>
            <w:r>
              <w:rPr>
                <w:rFonts w:ascii="Times New Roman" w:eastAsia="宋体" w:hAnsi="Times New Roman"/>
                <w:color w:val="000000"/>
                <w:sz w:val="20"/>
                <w:szCs w:val="20"/>
              </w:rPr>
              <w:t>1,341 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86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86C" w14:textId="77777777" w:rsidR="00BA49F5" w:rsidRDefault="00BA49F5">
            <w:pPr>
              <w:rPr>
                <w:rFonts w:ascii="宋体"/>
              </w:rPr>
            </w:pPr>
          </w:p>
        </w:tc>
        <w:tc>
          <w:tcPr>
            <w:tcW w:w="0" w:type="auto"/>
            <w:shd w:val="clear" w:color="auto" w:fill="auto"/>
            <w:vAlign w:val="bottom"/>
          </w:tcPr>
          <w:p w14:paraId="5CD8F86D" w14:textId="77777777" w:rsidR="00BA49F5" w:rsidRDefault="00BA49F5">
            <w:pPr>
              <w:rPr>
                <w:rFonts w:ascii="宋体"/>
                <w:vanish/>
              </w:rPr>
            </w:pPr>
          </w:p>
        </w:tc>
        <w:tc>
          <w:tcPr>
            <w:tcW w:w="0" w:type="auto"/>
            <w:shd w:val="clear" w:color="auto" w:fill="auto"/>
            <w:vAlign w:val="bottom"/>
          </w:tcPr>
          <w:p w14:paraId="5CD8F86E" w14:textId="77777777" w:rsidR="00BA49F5" w:rsidRDefault="00BA49F5">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86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870" w14:textId="77777777" w:rsidR="00BA49F5" w:rsidRDefault="007E5E49">
            <w:pPr>
              <w:jc w:val="right"/>
              <w:textAlignment w:val="bottom"/>
            </w:pPr>
            <w:r>
              <w:rPr>
                <w:rFonts w:ascii="Times New Roman" w:eastAsia="宋体" w:hAnsi="Times New Roman"/>
                <w:color w:val="000000"/>
                <w:sz w:val="20"/>
                <w:szCs w:val="20"/>
              </w:rPr>
              <w:t>4,611 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871" w14:textId="77777777" w:rsidR="00BA49F5" w:rsidRDefault="00BA49F5">
            <w:pPr>
              <w:jc w:val="right"/>
              <w:rPr>
                <w:rFonts w:ascii="宋体"/>
              </w:rPr>
            </w:pPr>
          </w:p>
        </w:tc>
      </w:tr>
    </w:tbl>
    <w:p w14:paraId="5CD8F873" w14:textId="77777777" w:rsidR="00BA49F5" w:rsidRDefault="007E5E49">
      <w:pPr>
        <w:spacing w:before="180" w:after="120"/>
        <w:jc w:val="both"/>
      </w:pPr>
      <w:r>
        <w:rPr>
          <w:rFonts w:ascii="Times New Roman" w:eastAsia="宋体" w:hAnsi="Times New Roman"/>
          <w:color w:val="000000"/>
          <w:sz w:val="12"/>
          <w:szCs w:val="12"/>
        </w:rPr>
        <w:t>________________________</w:t>
      </w:r>
    </w:p>
    <w:p w14:paraId="5CD8F874" w14:textId="77777777" w:rsidR="00BA49F5" w:rsidRDefault="007E5E49">
      <w:pPr>
        <w:ind w:hanging="360"/>
        <w:jc w:val="both"/>
      </w:pPr>
      <w:r>
        <w:rPr>
          <w:rFonts w:ascii="Times New Roman" w:eastAsia="宋体" w:hAnsi="Times New Roman"/>
          <w:color w:val="000000"/>
          <w:sz w:val="18"/>
          <w:szCs w:val="18"/>
          <w:shd w:val="clear" w:color="auto" w:fill="FFFFFF"/>
        </w:rPr>
        <w:t>(1)</w:t>
      </w:r>
      <w:r>
        <w:rPr>
          <w:rFonts w:ascii="Times New Roman" w:eastAsia="宋体" w:hAnsi="Times New Roman"/>
          <w:color w:val="000000"/>
          <w:sz w:val="18"/>
          <w:szCs w:val="18"/>
        </w:rPr>
        <w:t>Facilities consolidation includes impairment charges an</w:t>
      </w:r>
      <w:r>
        <w:rPr>
          <w:rFonts w:ascii="Times New Roman" w:eastAsia="宋体" w:hAnsi="Times New Roman"/>
          <w:color w:val="000000"/>
          <w:sz w:val="18"/>
          <w:szCs w:val="18"/>
        </w:rPr>
        <w:t>d accelerated expenses related to certain operating lease ROU assets and leasehold improvements.</w:t>
      </w:r>
    </w:p>
    <w:p w14:paraId="5CD8F875" w14:textId="77777777" w:rsidR="00BA49F5" w:rsidRDefault="00BA49F5">
      <w:pPr>
        <w:jc w:val="both"/>
      </w:pPr>
    </w:p>
    <w:p w14:paraId="5CD8F876" w14:textId="77777777" w:rsidR="00BA49F5" w:rsidRDefault="007E5E49">
      <w:pPr>
        <w:ind w:firstLine="540"/>
        <w:jc w:val="both"/>
      </w:pPr>
      <w:r>
        <w:rPr>
          <w:rFonts w:ascii="Times New Roman" w:eastAsia="宋体" w:hAnsi="Times New Roman"/>
          <w:color w:val="000000"/>
          <w:sz w:val="20"/>
          <w:szCs w:val="20"/>
          <w:shd w:val="clear" w:color="auto" w:fill="FFFFFF"/>
        </w:rPr>
        <w:t xml:space="preserve">Total restructuring charges recorded under our FoA segment were $4.10 billion and RL segment were $515 million. </w:t>
      </w:r>
    </w:p>
    <w:p w14:paraId="5CD8F877" w14:textId="77777777" w:rsidR="00BA49F5" w:rsidRDefault="00BA49F5">
      <w:pPr>
        <w:ind w:firstLine="540"/>
        <w:jc w:val="both"/>
      </w:pPr>
    </w:p>
    <w:p w14:paraId="5CD8F878" w14:textId="77777777" w:rsidR="00BA49F5" w:rsidRDefault="007E5E49">
      <w:pPr>
        <w:spacing w:after="180"/>
        <w:ind w:firstLine="540"/>
        <w:jc w:val="both"/>
      </w:pPr>
      <w:r>
        <w:rPr>
          <w:rFonts w:ascii="Times New Roman" w:eastAsia="宋体" w:hAnsi="Times New Roman"/>
          <w:color w:val="000000"/>
          <w:sz w:val="20"/>
          <w:szCs w:val="20"/>
          <w:shd w:val="clear" w:color="auto" w:fill="FFFFFF"/>
        </w:rPr>
        <w:t xml:space="preserve">The following table is a summary of the changes in the severance and other personnel liabilities, included within accrued expenses and other current liabilities </w:t>
      </w:r>
      <w:r>
        <w:rPr>
          <w:rFonts w:ascii="Times New Roman" w:eastAsia="宋体" w:hAnsi="Times New Roman"/>
          <w:color w:val="000000"/>
          <w:sz w:val="20"/>
          <w:szCs w:val="20"/>
        </w:rPr>
        <w:t>on the consolidated balance sheets,</w:t>
      </w:r>
      <w:r>
        <w:rPr>
          <w:rFonts w:ascii="Times New Roman" w:eastAsia="宋体" w:hAnsi="Times New Roman"/>
          <w:color w:val="000000"/>
          <w:sz w:val="20"/>
          <w:szCs w:val="20"/>
          <w:shd w:val="clear" w:color="auto" w:fill="FFFFFF"/>
        </w:rPr>
        <w:t xml:space="preserve"> related to the workforce reduction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BA49F5" w14:paraId="5CD8F87F" w14:textId="77777777">
        <w:tc>
          <w:tcPr>
            <w:tcW w:w="50" w:type="pct"/>
            <w:shd w:val="clear" w:color="auto" w:fill="auto"/>
            <w:vAlign w:val="bottom"/>
          </w:tcPr>
          <w:p w14:paraId="5CD8F879" w14:textId="77777777" w:rsidR="00BA49F5" w:rsidRDefault="00BA49F5">
            <w:pPr>
              <w:rPr>
                <w:rFonts w:ascii="宋体"/>
              </w:rPr>
            </w:pPr>
          </w:p>
        </w:tc>
        <w:tc>
          <w:tcPr>
            <w:tcW w:w="4148" w:type="pct"/>
            <w:shd w:val="clear" w:color="auto" w:fill="auto"/>
            <w:vAlign w:val="bottom"/>
          </w:tcPr>
          <w:p w14:paraId="5CD8F87A" w14:textId="77777777" w:rsidR="00BA49F5" w:rsidRDefault="00BA49F5">
            <w:pPr>
              <w:rPr>
                <w:rFonts w:ascii="宋体"/>
              </w:rPr>
            </w:pPr>
          </w:p>
        </w:tc>
        <w:tc>
          <w:tcPr>
            <w:tcW w:w="5" w:type="pct"/>
            <w:shd w:val="clear" w:color="auto" w:fill="auto"/>
            <w:vAlign w:val="bottom"/>
          </w:tcPr>
          <w:p w14:paraId="5CD8F87B" w14:textId="77777777" w:rsidR="00BA49F5" w:rsidRDefault="00BA49F5">
            <w:pPr>
              <w:rPr>
                <w:rFonts w:ascii="宋体"/>
              </w:rPr>
            </w:pPr>
          </w:p>
        </w:tc>
        <w:tc>
          <w:tcPr>
            <w:tcW w:w="50" w:type="pct"/>
            <w:shd w:val="clear" w:color="auto" w:fill="auto"/>
            <w:vAlign w:val="bottom"/>
          </w:tcPr>
          <w:p w14:paraId="5CD8F87C" w14:textId="77777777" w:rsidR="00BA49F5" w:rsidRDefault="00BA49F5">
            <w:pPr>
              <w:rPr>
                <w:rFonts w:ascii="宋体"/>
              </w:rPr>
            </w:pPr>
          </w:p>
        </w:tc>
        <w:tc>
          <w:tcPr>
            <w:tcW w:w="741" w:type="pct"/>
            <w:shd w:val="clear" w:color="auto" w:fill="auto"/>
            <w:vAlign w:val="bottom"/>
          </w:tcPr>
          <w:p w14:paraId="5CD8F87D" w14:textId="77777777" w:rsidR="00BA49F5" w:rsidRDefault="00BA49F5">
            <w:pPr>
              <w:rPr>
                <w:rFonts w:ascii="宋体"/>
              </w:rPr>
            </w:pPr>
          </w:p>
        </w:tc>
        <w:tc>
          <w:tcPr>
            <w:tcW w:w="5" w:type="pct"/>
            <w:shd w:val="clear" w:color="auto" w:fill="auto"/>
            <w:vAlign w:val="bottom"/>
          </w:tcPr>
          <w:p w14:paraId="5CD8F87E" w14:textId="77777777" w:rsidR="00BA49F5" w:rsidRDefault="00BA49F5">
            <w:pPr>
              <w:rPr>
                <w:rFonts w:ascii="宋体"/>
              </w:rPr>
            </w:pPr>
          </w:p>
        </w:tc>
      </w:tr>
      <w:tr w:rsidR="00BA49F5" w14:paraId="5CD8F884" w14:textId="77777777">
        <w:tc>
          <w:tcPr>
            <w:tcW w:w="0" w:type="auto"/>
            <w:gridSpan w:val="3"/>
            <w:shd w:val="clear" w:color="auto" w:fill="CCEEFF"/>
            <w:tcMar>
              <w:top w:w="40" w:type="dxa"/>
              <w:left w:w="20" w:type="dxa"/>
              <w:bottom w:w="40" w:type="dxa"/>
              <w:right w:w="20" w:type="dxa"/>
            </w:tcMar>
            <w:vAlign w:val="bottom"/>
          </w:tcPr>
          <w:p w14:paraId="5CD8F880" w14:textId="77777777" w:rsidR="00BA49F5" w:rsidRDefault="007E5E49">
            <w:pPr>
              <w:textAlignment w:val="bottom"/>
            </w:pPr>
            <w:r>
              <w:rPr>
                <w:rFonts w:ascii="Times New Roman" w:eastAsia="宋体" w:hAnsi="Times New Roman"/>
                <w:color w:val="000000"/>
                <w:sz w:val="20"/>
                <w:szCs w:val="20"/>
              </w:rPr>
              <w:t>Balance as of January 1, 2022</w:t>
            </w:r>
          </w:p>
        </w:tc>
        <w:tc>
          <w:tcPr>
            <w:tcW w:w="0" w:type="auto"/>
            <w:shd w:val="clear" w:color="auto" w:fill="CCEEFF"/>
            <w:tcMar>
              <w:top w:w="40" w:type="dxa"/>
              <w:left w:w="20" w:type="dxa"/>
              <w:bottom w:w="40" w:type="dxa"/>
              <w:right w:w="0" w:type="dxa"/>
            </w:tcMar>
            <w:vAlign w:val="bottom"/>
          </w:tcPr>
          <w:p w14:paraId="5CD8F88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88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883" w14:textId="77777777" w:rsidR="00BA49F5" w:rsidRDefault="00BA49F5">
            <w:pPr>
              <w:jc w:val="right"/>
              <w:rPr>
                <w:rFonts w:ascii="宋体"/>
              </w:rPr>
            </w:pPr>
          </w:p>
        </w:tc>
      </w:tr>
      <w:tr w:rsidR="00BA49F5" w14:paraId="5CD8F888" w14:textId="77777777">
        <w:tc>
          <w:tcPr>
            <w:tcW w:w="0" w:type="auto"/>
            <w:gridSpan w:val="3"/>
            <w:shd w:val="clear" w:color="auto" w:fill="FFFFFF"/>
            <w:tcMar>
              <w:top w:w="40" w:type="dxa"/>
              <w:left w:w="200" w:type="dxa"/>
              <w:bottom w:w="40" w:type="dxa"/>
              <w:right w:w="20" w:type="dxa"/>
            </w:tcMar>
            <w:vAlign w:val="bottom"/>
          </w:tcPr>
          <w:p w14:paraId="5CD8F885" w14:textId="77777777" w:rsidR="00BA49F5" w:rsidRDefault="007E5E49">
            <w:pPr>
              <w:textAlignment w:val="bottom"/>
            </w:pPr>
            <w:r>
              <w:rPr>
                <w:rFonts w:ascii="Times New Roman" w:eastAsia="宋体" w:hAnsi="Times New Roman"/>
                <w:color w:val="000000"/>
                <w:sz w:val="20"/>
                <w:szCs w:val="20"/>
              </w:rPr>
              <w:t>Severance and other personnel costs</w:t>
            </w:r>
          </w:p>
        </w:tc>
        <w:tc>
          <w:tcPr>
            <w:tcW w:w="0" w:type="auto"/>
            <w:gridSpan w:val="2"/>
            <w:shd w:val="clear" w:color="auto" w:fill="FFFFFF"/>
            <w:tcMar>
              <w:top w:w="40" w:type="dxa"/>
              <w:left w:w="20" w:type="dxa"/>
              <w:bottom w:w="40" w:type="dxa"/>
              <w:right w:w="0" w:type="dxa"/>
            </w:tcMar>
            <w:vAlign w:val="bottom"/>
          </w:tcPr>
          <w:p w14:paraId="5CD8F886" w14:textId="77777777" w:rsidR="00BA49F5" w:rsidRDefault="007E5E49">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5CD8F887" w14:textId="77777777" w:rsidR="00BA49F5" w:rsidRDefault="00BA49F5">
            <w:pPr>
              <w:jc w:val="right"/>
              <w:rPr>
                <w:rFonts w:ascii="宋体"/>
              </w:rPr>
            </w:pPr>
          </w:p>
        </w:tc>
      </w:tr>
      <w:tr w:rsidR="00BA49F5" w14:paraId="5CD8F88C" w14:textId="77777777">
        <w:tc>
          <w:tcPr>
            <w:tcW w:w="0" w:type="auto"/>
            <w:gridSpan w:val="3"/>
            <w:shd w:val="clear" w:color="auto" w:fill="CCEEFF"/>
            <w:tcMar>
              <w:top w:w="40" w:type="dxa"/>
              <w:left w:w="200" w:type="dxa"/>
              <w:bottom w:w="40" w:type="dxa"/>
              <w:right w:w="20" w:type="dxa"/>
            </w:tcMar>
            <w:vAlign w:val="bottom"/>
          </w:tcPr>
          <w:p w14:paraId="5CD8F889" w14:textId="77777777" w:rsidR="00BA49F5" w:rsidRDefault="007E5E49">
            <w:pPr>
              <w:textAlignment w:val="bottom"/>
            </w:pPr>
            <w:r>
              <w:rPr>
                <w:rFonts w:ascii="Times New Roman" w:eastAsia="宋体" w:hAnsi="Times New Roman"/>
                <w:color w:val="000000"/>
                <w:sz w:val="20"/>
                <w:szCs w:val="20"/>
              </w:rPr>
              <w:t>Cash payments during the period</w:t>
            </w:r>
          </w:p>
        </w:tc>
        <w:tc>
          <w:tcPr>
            <w:tcW w:w="0" w:type="auto"/>
            <w:gridSpan w:val="2"/>
            <w:shd w:val="clear" w:color="auto" w:fill="CCEEFF"/>
            <w:tcMar>
              <w:top w:w="40" w:type="dxa"/>
              <w:left w:w="20" w:type="dxa"/>
              <w:bottom w:w="40" w:type="dxa"/>
              <w:right w:w="0" w:type="dxa"/>
            </w:tcMar>
            <w:vAlign w:val="bottom"/>
          </w:tcPr>
          <w:p w14:paraId="5CD8F88A" w14:textId="77777777" w:rsidR="00BA49F5" w:rsidRDefault="007E5E49">
            <w:pPr>
              <w:jc w:val="right"/>
              <w:textAlignment w:val="bottom"/>
            </w:pPr>
            <w:r>
              <w:rPr>
                <w:rFonts w:ascii="Times New Roman" w:eastAsia="宋体" w:hAnsi="Times New Roman"/>
                <w:color w:val="000000"/>
                <w:sz w:val="20"/>
                <w:szCs w:val="20"/>
              </w:rPr>
              <w:t>(203)</w:t>
            </w:r>
          </w:p>
        </w:tc>
        <w:tc>
          <w:tcPr>
            <w:tcW w:w="0" w:type="auto"/>
            <w:shd w:val="clear" w:color="auto" w:fill="CCEEFF"/>
            <w:tcMar>
              <w:top w:w="40" w:type="dxa"/>
              <w:left w:w="0" w:type="dxa"/>
              <w:bottom w:w="40" w:type="dxa"/>
              <w:right w:w="20" w:type="dxa"/>
            </w:tcMar>
            <w:vAlign w:val="bottom"/>
          </w:tcPr>
          <w:p w14:paraId="5CD8F88B" w14:textId="77777777" w:rsidR="00BA49F5" w:rsidRDefault="00BA49F5">
            <w:pPr>
              <w:jc w:val="right"/>
              <w:rPr>
                <w:rFonts w:ascii="宋体"/>
              </w:rPr>
            </w:pPr>
          </w:p>
        </w:tc>
      </w:tr>
      <w:tr w:rsidR="00BA49F5" w14:paraId="5CD8F891" w14:textId="77777777">
        <w:tc>
          <w:tcPr>
            <w:tcW w:w="0" w:type="auto"/>
            <w:gridSpan w:val="3"/>
            <w:shd w:val="clear" w:color="auto" w:fill="FFFFFF"/>
            <w:tcMar>
              <w:top w:w="40" w:type="dxa"/>
              <w:left w:w="20" w:type="dxa"/>
              <w:bottom w:w="40" w:type="dxa"/>
              <w:right w:w="20" w:type="dxa"/>
            </w:tcMar>
            <w:vAlign w:val="bottom"/>
          </w:tcPr>
          <w:p w14:paraId="5CD8F88D" w14:textId="77777777" w:rsidR="00BA49F5" w:rsidRDefault="007E5E49">
            <w:pPr>
              <w:textAlignment w:val="bottom"/>
            </w:pPr>
            <w:r>
              <w:rPr>
                <w:rFonts w:ascii="Times New Roman" w:eastAsia="宋体" w:hAnsi="Times New Roman"/>
                <w:color w:val="000000"/>
                <w:sz w:val="20"/>
                <w:szCs w:val="20"/>
              </w:rPr>
              <w:t xml:space="preserve">Balance as of December 31, 2022 </w:t>
            </w:r>
            <w:r>
              <w:rPr>
                <w:rFonts w:ascii="Times New Roman" w:eastAsia="宋体" w:hAnsi="Times New Roman"/>
                <w:color w:val="000000"/>
                <w:sz w:val="13"/>
                <w:szCs w:val="13"/>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88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88F" w14:textId="77777777" w:rsidR="00BA49F5" w:rsidRDefault="007E5E49">
            <w:pPr>
              <w:jc w:val="right"/>
              <w:textAlignment w:val="bottom"/>
            </w:pPr>
            <w:r>
              <w:rPr>
                <w:rFonts w:ascii="Times New Roman" w:eastAsia="宋体" w:hAnsi="Times New Roman"/>
                <w:color w:val="000000"/>
                <w:sz w:val="20"/>
                <w:szCs w:val="20"/>
              </w:rPr>
              <w:t>772 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890" w14:textId="77777777" w:rsidR="00BA49F5" w:rsidRDefault="00BA49F5">
            <w:pPr>
              <w:jc w:val="right"/>
              <w:rPr>
                <w:rFonts w:ascii="宋体"/>
              </w:rPr>
            </w:pPr>
          </w:p>
        </w:tc>
      </w:tr>
    </w:tbl>
    <w:p w14:paraId="5CD8F892" w14:textId="77777777" w:rsidR="00BA49F5" w:rsidRDefault="007E5E49">
      <w:pPr>
        <w:spacing w:after="120"/>
        <w:jc w:val="both"/>
      </w:pPr>
      <w:r>
        <w:rPr>
          <w:rFonts w:ascii="Times New Roman" w:eastAsia="宋体" w:hAnsi="Times New Roman"/>
          <w:color w:val="000000"/>
          <w:sz w:val="12"/>
          <w:szCs w:val="12"/>
        </w:rPr>
        <w:t>__________________________</w:t>
      </w:r>
    </w:p>
    <w:p w14:paraId="5CD8F893" w14:textId="77777777" w:rsidR="00BA49F5" w:rsidRDefault="007E5E49">
      <w:pPr>
        <w:ind w:hanging="360"/>
        <w:jc w:val="both"/>
      </w:pPr>
      <w:r>
        <w:rPr>
          <w:rFonts w:ascii="Times New Roman" w:eastAsia="宋体" w:hAnsi="Times New Roman"/>
          <w:color w:val="000000"/>
          <w:sz w:val="18"/>
          <w:szCs w:val="18"/>
          <w:shd w:val="clear" w:color="auto" w:fill="FFFFFF"/>
        </w:rPr>
        <w:t>(1)</w:t>
      </w:r>
      <w:r>
        <w:rPr>
          <w:rFonts w:ascii="Times New Roman" w:eastAsia="宋体" w:hAnsi="Times New Roman"/>
          <w:color w:val="000000"/>
          <w:sz w:val="18"/>
          <w:szCs w:val="18"/>
        </w:rPr>
        <w:t xml:space="preserve">We expect the remaining severance and termination </w:t>
      </w:r>
      <w:r>
        <w:rPr>
          <w:rFonts w:ascii="Times New Roman" w:eastAsia="宋体" w:hAnsi="Times New Roman"/>
          <w:color w:val="000000"/>
          <w:sz w:val="18"/>
          <w:szCs w:val="18"/>
        </w:rPr>
        <w:t>related liabilities to be substantially paid out in cash during the first half of 2023.</w:t>
      </w:r>
    </w:p>
    <w:p w14:paraId="5CD8F894" w14:textId="77777777" w:rsidR="00BA49F5" w:rsidRDefault="007E5E49">
      <w:pPr>
        <w:jc w:val="center"/>
      </w:pPr>
      <w:r>
        <w:rPr>
          <w:rFonts w:ascii="Times New Roman" w:eastAsia="宋体" w:hAnsi="Times New Roman"/>
          <w:color w:val="000000"/>
          <w:sz w:val="20"/>
          <w:szCs w:val="20"/>
        </w:rPr>
        <w:t>100</w:t>
      </w:r>
    </w:p>
    <w:p w14:paraId="5CD8F895" w14:textId="77777777" w:rsidR="00BA49F5" w:rsidRDefault="007E5E49">
      <w:r>
        <w:pict w14:anchorId="5CD90D59">
          <v:rect id="_x0000_i1124" style="width:415.3pt;height:1.5pt" o:hralign="center" o:hrstd="t" o:hr="t" fillcolor="#a0a0a0" stroked="f"/>
        </w:pict>
      </w:r>
    </w:p>
    <w:p w14:paraId="5CD8F896" w14:textId="77777777" w:rsidR="00BA49F5" w:rsidRDefault="00BA49F5"/>
    <w:p w14:paraId="5CD8F897" w14:textId="77777777" w:rsidR="00BA49F5" w:rsidRDefault="00BA49F5"/>
    <w:p w14:paraId="5CD8F898" w14:textId="77777777" w:rsidR="00BA49F5" w:rsidRDefault="007E5E49">
      <w:hyperlink r:id="rId295" w:anchor="i6df229dad1864210ab76200083e26819_7" w:history="1">
        <w:r>
          <w:rPr>
            <w:rStyle w:val="a5"/>
            <w:rFonts w:ascii="Times New Roman" w:eastAsia="宋体" w:hAnsi="Times New Roman"/>
            <w:sz w:val="20"/>
            <w:szCs w:val="20"/>
          </w:rPr>
          <w:t>T</w:t>
        </w:r>
      </w:hyperlink>
      <w:hyperlink r:id="rId296" w:anchor="i6df229dad1864210ab76200083e26819_7" w:history="1">
        <w:r>
          <w:rPr>
            <w:rStyle w:val="a5"/>
            <w:rFonts w:ascii="Times New Roman" w:eastAsia="宋体" w:hAnsi="Times New Roman"/>
            <w:sz w:val="20"/>
            <w:szCs w:val="20"/>
          </w:rPr>
          <w:t>able of Contents</w:t>
        </w:r>
      </w:hyperlink>
    </w:p>
    <w:p w14:paraId="5CD8F899" w14:textId="77777777" w:rsidR="00BA49F5" w:rsidRDefault="007E5E49">
      <w:pPr>
        <w:spacing w:before="180"/>
        <w:jc w:val="both"/>
      </w:pPr>
      <w:r>
        <w:rPr>
          <w:rFonts w:ascii="Times New Roman" w:eastAsia="宋体" w:hAnsi="Times New Roman"/>
          <w:b/>
          <w:bCs/>
          <w:color w:val="000000"/>
          <w:sz w:val="20"/>
          <w:szCs w:val="20"/>
        </w:rPr>
        <w:t>Note 4.</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Earnings per Share</w:t>
      </w:r>
    </w:p>
    <w:p w14:paraId="5CD8F89A" w14:textId="77777777" w:rsidR="00BA49F5" w:rsidRDefault="00BA49F5">
      <w:pPr>
        <w:ind w:firstLine="540"/>
        <w:jc w:val="both"/>
      </w:pPr>
    </w:p>
    <w:p w14:paraId="5CD8F89B" w14:textId="77777777" w:rsidR="00BA49F5" w:rsidRDefault="007E5E49">
      <w:pPr>
        <w:ind w:firstLine="540"/>
        <w:jc w:val="both"/>
      </w:pPr>
      <w:r>
        <w:rPr>
          <w:rFonts w:ascii="Times New Roman" w:eastAsia="宋体" w:hAnsi="Times New Roman"/>
          <w:color w:val="000000"/>
          <w:sz w:val="20"/>
          <w:szCs w:val="20"/>
        </w:rPr>
        <w:t xml:space="preserve">We compute earnings per share (EPS) of Class A and Class B common stock using the two-class method. As the liquidation and dividend rights for both Class A and Class B common stock are identical, the undistributed earnings are allocated on a proportionate </w:t>
      </w:r>
      <w:r>
        <w:rPr>
          <w:rFonts w:ascii="Times New Roman" w:eastAsia="宋体" w:hAnsi="Times New Roman"/>
          <w:color w:val="000000"/>
          <w:sz w:val="20"/>
          <w:szCs w:val="20"/>
        </w:rPr>
        <w:t xml:space="preserve">basis to the weighted-average number of common shares outstanding for the period. </w:t>
      </w:r>
    </w:p>
    <w:p w14:paraId="5CD8F89C" w14:textId="77777777" w:rsidR="00BA49F5" w:rsidRDefault="00BA49F5">
      <w:pPr>
        <w:ind w:firstLine="540"/>
        <w:jc w:val="both"/>
      </w:pPr>
    </w:p>
    <w:p w14:paraId="5CD8F89D" w14:textId="77777777" w:rsidR="00BA49F5" w:rsidRDefault="007E5E49">
      <w:pPr>
        <w:ind w:firstLine="540"/>
        <w:jc w:val="both"/>
      </w:pPr>
      <w:r>
        <w:rPr>
          <w:rFonts w:ascii="Times New Roman" w:eastAsia="宋体" w:hAnsi="Times New Roman"/>
          <w:color w:val="000000"/>
          <w:sz w:val="20"/>
          <w:szCs w:val="20"/>
        </w:rPr>
        <w:t>Basic EPS is computed by dividing net income by the weighted-average number of shares of our Class A and Class B common stock outstanding. For the calculation of diluted EP</w:t>
      </w:r>
      <w:r>
        <w:rPr>
          <w:rFonts w:ascii="Times New Roman" w:eastAsia="宋体" w:hAnsi="Times New Roman"/>
          <w:color w:val="000000"/>
          <w:sz w:val="20"/>
          <w:szCs w:val="20"/>
        </w:rPr>
        <w:t>S, net income for basic EPS is adjusted by the effect of dilutive securities, including awards under our equity compensation plan.</w:t>
      </w:r>
    </w:p>
    <w:p w14:paraId="5CD8F89E" w14:textId="77777777" w:rsidR="00BA49F5" w:rsidRDefault="00BA49F5">
      <w:pPr>
        <w:ind w:firstLine="540"/>
        <w:jc w:val="both"/>
      </w:pPr>
    </w:p>
    <w:p w14:paraId="5CD8F89F" w14:textId="77777777" w:rsidR="00BA49F5" w:rsidRDefault="007E5E49">
      <w:pPr>
        <w:ind w:firstLine="540"/>
        <w:jc w:val="both"/>
      </w:pPr>
      <w:r>
        <w:rPr>
          <w:rFonts w:ascii="Times New Roman" w:eastAsia="宋体" w:hAnsi="Times New Roman"/>
          <w:color w:val="000000"/>
          <w:sz w:val="20"/>
          <w:szCs w:val="20"/>
        </w:rPr>
        <w:t>In addition, the computation of the diluted EPS of Class A common stock assumes the conversion of our Class B common stock t</w:t>
      </w:r>
      <w:r>
        <w:rPr>
          <w:rFonts w:ascii="Times New Roman" w:eastAsia="宋体" w:hAnsi="Times New Roman"/>
          <w:color w:val="000000"/>
          <w:sz w:val="20"/>
          <w:szCs w:val="20"/>
        </w:rPr>
        <w:t>o Class A common stock, while the diluted EPS of Class B common stock does not assume the conversion of those shares to Class A common stock. Diluted EPS is computed by dividing the resulting net income by the weighted-average number of fully diluted commo</w:t>
      </w:r>
      <w:r>
        <w:rPr>
          <w:rFonts w:ascii="Times New Roman" w:eastAsia="宋体" w:hAnsi="Times New Roman"/>
          <w:color w:val="000000"/>
          <w:sz w:val="20"/>
          <w:szCs w:val="20"/>
        </w:rPr>
        <w:t>n shares outstanding.</w:t>
      </w:r>
    </w:p>
    <w:p w14:paraId="5CD8F8A0" w14:textId="77777777" w:rsidR="00BA49F5" w:rsidRDefault="00BA49F5">
      <w:pPr>
        <w:ind w:firstLine="540"/>
        <w:jc w:val="both"/>
      </w:pPr>
    </w:p>
    <w:p w14:paraId="5CD8F8A1" w14:textId="77777777" w:rsidR="00BA49F5" w:rsidRDefault="007E5E49">
      <w:pPr>
        <w:ind w:firstLine="540"/>
        <w:jc w:val="both"/>
      </w:pPr>
      <w:r>
        <w:rPr>
          <w:rFonts w:ascii="Times New Roman" w:eastAsia="宋体" w:hAnsi="Times New Roman"/>
          <w:color w:val="000000"/>
          <w:sz w:val="20"/>
          <w:szCs w:val="20"/>
        </w:rPr>
        <w:t>For the year ended December 31, 2022, approximately 95 million shares of Class A common stock equivalents of restricted stock units (RSUs) were excluded from the diluted EPS calculation as including them would have an anti-dilutive e</w:t>
      </w:r>
      <w:r>
        <w:rPr>
          <w:rFonts w:ascii="Times New Roman" w:eastAsia="宋体" w:hAnsi="Times New Roman"/>
          <w:color w:val="000000"/>
          <w:sz w:val="20"/>
          <w:szCs w:val="20"/>
        </w:rPr>
        <w:t>ffect. RSUs with anti-dilutive effect were not material for the years ended December 31, 2021 and 2020.</w:t>
      </w:r>
    </w:p>
    <w:p w14:paraId="5CD8F8A2" w14:textId="77777777" w:rsidR="00BA49F5" w:rsidRDefault="00BA49F5">
      <w:pPr>
        <w:ind w:firstLine="540"/>
        <w:jc w:val="both"/>
      </w:pPr>
    </w:p>
    <w:p w14:paraId="5CD8F8A3" w14:textId="77777777" w:rsidR="00BA49F5" w:rsidRDefault="007E5E49">
      <w:pPr>
        <w:ind w:firstLine="540"/>
        <w:jc w:val="both"/>
      </w:pPr>
      <w:r>
        <w:rPr>
          <w:rFonts w:ascii="Times New Roman" w:eastAsia="宋体" w:hAnsi="Times New Roman"/>
          <w:color w:val="000000"/>
          <w:sz w:val="20"/>
          <w:szCs w:val="20"/>
        </w:rPr>
        <w:t>Basic and diluted EPS are the same for each class of common stock because they are entitled to the same liquidation and dividend rights.</w:t>
      </w:r>
    </w:p>
    <w:p w14:paraId="5CD8F8A4" w14:textId="77777777" w:rsidR="00BA49F5" w:rsidRDefault="00BA49F5">
      <w:pPr>
        <w:ind w:firstLine="540"/>
        <w:jc w:val="both"/>
      </w:pPr>
    </w:p>
    <w:p w14:paraId="5CD8F8A5" w14:textId="77777777" w:rsidR="00BA49F5" w:rsidRDefault="007E5E49">
      <w:pPr>
        <w:ind w:firstLine="540"/>
        <w:jc w:val="both"/>
      </w:pPr>
      <w:r>
        <w:rPr>
          <w:rFonts w:ascii="Times New Roman" w:eastAsia="宋体" w:hAnsi="Times New Roman"/>
          <w:color w:val="000000"/>
          <w:sz w:val="20"/>
          <w:szCs w:val="20"/>
        </w:rPr>
        <w:t>The numerator</w:t>
      </w:r>
      <w:r>
        <w:rPr>
          <w:rFonts w:ascii="Times New Roman" w:eastAsia="宋体" w:hAnsi="Times New Roman"/>
          <w:color w:val="000000"/>
          <w:sz w:val="20"/>
          <w:szCs w:val="20"/>
        </w:rPr>
        <w:t>s and denominators of the basic and diluted EPS computations for our common stock are calculated as follows (in millions, except per share amounts):</w:t>
      </w:r>
    </w:p>
    <w:tbl>
      <w:tblPr>
        <w:tblW w:w="4970" w:type="pct"/>
        <w:jc w:val="center"/>
        <w:tblCellMar>
          <w:top w:w="15" w:type="dxa"/>
          <w:left w:w="15" w:type="dxa"/>
          <w:bottom w:w="15" w:type="dxa"/>
          <w:right w:w="15" w:type="dxa"/>
        </w:tblCellMar>
        <w:tblLook w:val="04A0" w:firstRow="1" w:lastRow="0" w:firstColumn="1" w:lastColumn="0" w:noHBand="0" w:noVBand="1"/>
      </w:tblPr>
      <w:tblGrid>
        <w:gridCol w:w="41"/>
        <w:gridCol w:w="3430"/>
        <w:gridCol w:w="39"/>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BA49F5" w14:paraId="5CD8F8CA" w14:textId="77777777">
        <w:trPr>
          <w:jc w:val="center"/>
        </w:trPr>
        <w:tc>
          <w:tcPr>
            <w:tcW w:w="50" w:type="pct"/>
            <w:shd w:val="clear" w:color="auto" w:fill="auto"/>
            <w:vAlign w:val="bottom"/>
          </w:tcPr>
          <w:p w14:paraId="5CD8F8A6" w14:textId="77777777" w:rsidR="00BA49F5" w:rsidRDefault="00BA49F5">
            <w:pPr>
              <w:rPr>
                <w:rFonts w:ascii="宋体"/>
              </w:rPr>
            </w:pPr>
          </w:p>
        </w:tc>
        <w:tc>
          <w:tcPr>
            <w:tcW w:w="2377" w:type="pct"/>
            <w:shd w:val="clear" w:color="auto" w:fill="auto"/>
            <w:vAlign w:val="bottom"/>
          </w:tcPr>
          <w:p w14:paraId="5CD8F8A7" w14:textId="77777777" w:rsidR="00BA49F5" w:rsidRDefault="00BA49F5">
            <w:pPr>
              <w:rPr>
                <w:rFonts w:ascii="宋体"/>
              </w:rPr>
            </w:pPr>
          </w:p>
        </w:tc>
        <w:tc>
          <w:tcPr>
            <w:tcW w:w="5" w:type="pct"/>
            <w:shd w:val="clear" w:color="auto" w:fill="auto"/>
            <w:vAlign w:val="bottom"/>
          </w:tcPr>
          <w:p w14:paraId="5CD8F8A8" w14:textId="77777777" w:rsidR="00BA49F5" w:rsidRDefault="00BA49F5">
            <w:pPr>
              <w:rPr>
                <w:rFonts w:ascii="宋体"/>
              </w:rPr>
            </w:pPr>
          </w:p>
        </w:tc>
        <w:tc>
          <w:tcPr>
            <w:tcW w:w="50" w:type="pct"/>
            <w:shd w:val="clear" w:color="auto" w:fill="auto"/>
            <w:vAlign w:val="bottom"/>
          </w:tcPr>
          <w:p w14:paraId="5CD8F8A9" w14:textId="77777777" w:rsidR="00BA49F5" w:rsidRDefault="00BA49F5">
            <w:pPr>
              <w:rPr>
                <w:rFonts w:ascii="宋体"/>
              </w:rPr>
            </w:pPr>
          </w:p>
        </w:tc>
        <w:tc>
          <w:tcPr>
            <w:tcW w:w="341" w:type="pct"/>
            <w:shd w:val="clear" w:color="auto" w:fill="auto"/>
            <w:vAlign w:val="bottom"/>
          </w:tcPr>
          <w:p w14:paraId="5CD8F8AA" w14:textId="77777777" w:rsidR="00BA49F5" w:rsidRDefault="00BA49F5">
            <w:pPr>
              <w:rPr>
                <w:rFonts w:ascii="宋体"/>
              </w:rPr>
            </w:pPr>
          </w:p>
        </w:tc>
        <w:tc>
          <w:tcPr>
            <w:tcW w:w="5" w:type="pct"/>
            <w:shd w:val="clear" w:color="auto" w:fill="auto"/>
            <w:vAlign w:val="bottom"/>
          </w:tcPr>
          <w:p w14:paraId="5CD8F8AB" w14:textId="77777777" w:rsidR="00BA49F5" w:rsidRDefault="00BA49F5">
            <w:pPr>
              <w:rPr>
                <w:rFonts w:ascii="宋体"/>
              </w:rPr>
            </w:pPr>
          </w:p>
        </w:tc>
        <w:tc>
          <w:tcPr>
            <w:tcW w:w="5" w:type="pct"/>
            <w:shd w:val="clear" w:color="auto" w:fill="auto"/>
            <w:vAlign w:val="bottom"/>
          </w:tcPr>
          <w:p w14:paraId="5CD8F8AC" w14:textId="77777777" w:rsidR="00BA49F5" w:rsidRDefault="00BA49F5">
            <w:pPr>
              <w:rPr>
                <w:rFonts w:ascii="宋体"/>
              </w:rPr>
            </w:pPr>
          </w:p>
        </w:tc>
        <w:tc>
          <w:tcPr>
            <w:tcW w:w="27" w:type="pct"/>
            <w:shd w:val="clear" w:color="auto" w:fill="auto"/>
            <w:vAlign w:val="bottom"/>
          </w:tcPr>
          <w:p w14:paraId="5CD8F8AD" w14:textId="77777777" w:rsidR="00BA49F5" w:rsidRDefault="00BA49F5">
            <w:pPr>
              <w:rPr>
                <w:rFonts w:ascii="宋体"/>
              </w:rPr>
            </w:pPr>
          </w:p>
        </w:tc>
        <w:tc>
          <w:tcPr>
            <w:tcW w:w="5" w:type="pct"/>
            <w:shd w:val="clear" w:color="auto" w:fill="auto"/>
            <w:vAlign w:val="bottom"/>
          </w:tcPr>
          <w:p w14:paraId="5CD8F8AE" w14:textId="77777777" w:rsidR="00BA49F5" w:rsidRDefault="00BA49F5">
            <w:pPr>
              <w:rPr>
                <w:rFonts w:ascii="宋体"/>
              </w:rPr>
            </w:pPr>
          </w:p>
        </w:tc>
        <w:tc>
          <w:tcPr>
            <w:tcW w:w="50" w:type="pct"/>
            <w:shd w:val="clear" w:color="auto" w:fill="auto"/>
            <w:vAlign w:val="bottom"/>
          </w:tcPr>
          <w:p w14:paraId="5CD8F8AF" w14:textId="77777777" w:rsidR="00BA49F5" w:rsidRDefault="00BA49F5">
            <w:pPr>
              <w:rPr>
                <w:rFonts w:ascii="宋体"/>
              </w:rPr>
            </w:pPr>
          </w:p>
        </w:tc>
        <w:tc>
          <w:tcPr>
            <w:tcW w:w="341" w:type="pct"/>
            <w:shd w:val="clear" w:color="auto" w:fill="auto"/>
            <w:vAlign w:val="bottom"/>
          </w:tcPr>
          <w:p w14:paraId="5CD8F8B0" w14:textId="77777777" w:rsidR="00BA49F5" w:rsidRDefault="00BA49F5">
            <w:pPr>
              <w:rPr>
                <w:rFonts w:ascii="宋体"/>
              </w:rPr>
            </w:pPr>
          </w:p>
        </w:tc>
        <w:tc>
          <w:tcPr>
            <w:tcW w:w="5" w:type="pct"/>
            <w:shd w:val="clear" w:color="auto" w:fill="auto"/>
            <w:vAlign w:val="bottom"/>
          </w:tcPr>
          <w:p w14:paraId="5CD8F8B1" w14:textId="77777777" w:rsidR="00BA49F5" w:rsidRDefault="00BA49F5">
            <w:pPr>
              <w:rPr>
                <w:rFonts w:ascii="宋体"/>
              </w:rPr>
            </w:pPr>
          </w:p>
        </w:tc>
        <w:tc>
          <w:tcPr>
            <w:tcW w:w="5" w:type="pct"/>
            <w:shd w:val="clear" w:color="auto" w:fill="auto"/>
            <w:vAlign w:val="bottom"/>
          </w:tcPr>
          <w:p w14:paraId="5CD8F8B2" w14:textId="77777777" w:rsidR="00BA49F5" w:rsidRDefault="00BA49F5">
            <w:pPr>
              <w:rPr>
                <w:rFonts w:ascii="宋体"/>
              </w:rPr>
            </w:pPr>
          </w:p>
        </w:tc>
        <w:tc>
          <w:tcPr>
            <w:tcW w:w="27" w:type="pct"/>
            <w:shd w:val="clear" w:color="auto" w:fill="auto"/>
            <w:vAlign w:val="bottom"/>
          </w:tcPr>
          <w:p w14:paraId="5CD8F8B3" w14:textId="77777777" w:rsidR="00BA49F5" w:rsidRDefault="00BA49F5">
            <w:pPr>
              <w:rPr>
                <w:rFonts w:ascii="宋体"/>
              </w:rPr>
            </w:pPr>
          </w:p>
        </w:tc>
        <w:tc>
          <w:tcPr>
            <w:tcW w:w="5" w:type="pct"/>
            <w:shd w:val="clear" w:color="auto" w:fill="auto"/>
            <w:vAlign w:val="bottom"/>
          </w:tcPr>
          <w:p w14:paraId="5CD8F8B4" w14:textId="77777777" w:rsidR="00BA49F5" w:rsidRDefault="00BA49F5">
            <w:pPr>
              <w:rPr>
                <w:rFonts w:ascii="宋体"/>
              </w:rPr>
            </w:pPr>
          </w:p>
        </w:tc>
        <w:tc>
          <w:tcPr>
            <w:tcW w:w="50" w:type="pct"/>
            <w:shd w:val="clear" w:color="auto" w:fill="auto"/>
            <w:vAlign w:val="bottom"/>
          </w:tcPr>
          <w:p w14:paraId="5CD8F8B5" w14:textId="77777777" w:rsidR="00BA49F5" w:rsidRDefault="00BA49F5">
            <w:pPr>
              <w:rPr>
                <w:rFonts w:ascii="宋体"/>
              </w:rPr>
            </w:pPr>
          </w:p>
        </w:tc>
        <w:tc>
          <w:tcPr>
            <w:tcW w:w="341" w:type="pct"/>
            <w:shd w:val="clear" w:color="auto" w:fill="auto"/>
            <w:vAlign w:val="bottom"/>
          </w:tcPr>
          <w:p w14:paraId="5CD8F8B6" w14:textId="77777777" w:rsidR="00BA49F5" w:rsidRDefault="00BA49F5">
            <w:pPr>
              <w:rPr>
                <w:rFonts w:ascii="宋体"/>
              </w:rPr>
            </w:pPr>
          </w:p>
        </w:tc>
        <w:tc>
          <w:tcPr>
            <w:tcW w:w="5" w:type="pct"/>
            <w:shd w:val="clear" w:color="auto" w:fill="auto"/>
            <w:vAlign w:val="bottom"/>
          </w:tcPr>
          <w:p w14:paraId="5CD8F8B7" w14:textId="77777777" w:rsidR="00BA49F5" w:rsidRDefault="00BA49F5">
            <w:pPr>
              <w:rPr>
                <w:rFonts w:ascii="宋体"/>
              </w:rPr>
            </w:pPr>
          </w:p>
        </w:tc>
        <w:tc>
          <w:tcPr>
            <w:tcW w:w="5" w:type="pct"/>
            <w:shd w:val="clear" w:color="auto" w:fill="auto"/>
            <w:vAlign w:val="bottom"/>
          </w:tcPr>
          <w:p w14:paraId="5CD8F8B8" w14:textId="77777777" w:rsidR="00BA49F5" w:rsidRDefault="00BA49F5">
            <w:pPr>
              <w:rPr>
                <w:rFonts w:ascii="宋体"/>
              </w:rPr>
            </w:pPr>
          </w:p>
        </w:tc>
        <w:tc>
          <w:tcPr>
            <w:tcW w:w="27" w:type="pct"/>
            <w:shd w:val="clear" w:color="auto" w:fill="auto"/>
            <w:vAlign w:val="bottom"/>
          </w:tcPr>
          <w:p w14:paraId="5CD8F8B9" w14:textId="77777777" w:rsidR="00BA49F5" w:rsidRDefault="00BA49F5">
            <w:pPr>
              <w:rPr>
                <w:rFonts w:ascii="宋体"/>
              </w:rPr>
            </w:pPr>
          </w:p>
        </w:tc>
        <w:tc>
          <w:tcPr>
            <w:tcW w:w="5" w:type="pct"/>
            <w:shd w:val="clear" w:color="auto" w:fill="auto"/>
            <w:vAlign w:val="bottom"/>
          </w:tcPr>
          <w:p w14:paraId="5CD8F8BA" w14:textId="77777777" w:rsidR="00BA49F5" w:rsidRDefault="00BA49F5">
            <w:pPr>
              <w:rPr>
                <w:rFonts w:ascii="宋体"/>
              </w:rPr>
            </w:pPr>
          </w:p>
        </w:tc>
        <w:tc>
          <w:tcPr>
            <w:tcW w:w="50" w:type="pct"/>
            <w:shd w:val="clear" w:color="auto" w:fill="auto"/>
            <w:vAlign w:val="bottom"/>
          </w:tcPr>
          <w:p w14:paraId="5CD8F8BB" w14:textId="77777777" w:rsidR="00BA49F5" w:rsidRDefault="00BA49F5">
            <w:pPr>
              <w:rPr>
                <w:rFonts w:ascii="宋体"/>
              </w:rPr>
            </w:pPr>
          </w:p>
        </w:tc>
        <w:tc>
          <w:tcPr>
            <w:tcW w:w="341" w:type="pct"/>
            <w:shd w:val="clear" w:color="auto" w:fill="auto"/>
            <w:vAlign w:val="bottom"/>
          </w:tcPr>
          <w:p w14:paraId="5CD8F8BC" w14:textId="77777777" w:rsidR="00BA49F5" w:rsidRDefault="00BA49F5">
            <w:pPr>
              <w:rPr>
                <w:rFonts w:ascii="宋体"/>
              </w:rPr>
            </w:pPr>
          </w:p>
        </w:tc>
        <w:tc>
          <w:tcPr>
            <w:tcW w:w="5" w:type="pct"/>
            <w:shd w:val="clear" w:color="auto" w:fill="auto"/>
            <w:vAlign w:val="bottom"/>
          </w:tcPr>
          <w:p w14:paraId="5CD8F8BD" w14:textId="77777777" w:rsidR="00BA49F5" w:rsidRDefault="00BA49F5">
            <w:pPr>
              <w:rPr>
                <w:rFonts w:ascii="宋体"/>
              </w:rPr>
            </w:pPr>
          </w:p>
        </w:tc>
        <w:tc>
          <w:tcPr>
            <w:tcW w:w="5" w:type="pct"/>
            <w:shd w:val="clear" w:color="auto" w:fill="auto"/>
            <w:vAlign w:val="bottom"/>
          </w:tcPr>
          <w:p w14:paraId="5CD8F8BE" w14:textId="77777777" w:rsidR="00BA49F5" w:rsidRDefault="00BA49F5">
            <w:pPr>
              <w:rPr>
                <w:rFonts w:ascii="宋体"/>
              </w:rPr>
            </w:pPr>
          </w:p>
        </w:tc>
        <w:tc>
          <w:tcPr>
            <w:tcW w:w="27" w:type="pct"/>
            <w:shd w:val="clear" w:color="auto" w:fill="auto"/>
            <w:vAlign w:val="bottom"/>
          </w:tcPr>
          <w:p w14:paraId="5CD8F8BF" w14:textId="77777777" w:rsidR="00BA49F5" w:rsidRDefault="00BA49F5">
            <w:pPr>
              <w:rPr>
                <w:rFonts w:ascii="宋体"/>
              </w:rPr>
            </w:pPr>
          </w:p>
        </w:tc>
        <w:tc>
          <w:tcPr>
            <w:tcW w:w="5" w:type="pct"/>
            <w:shd w:val="clear" w:color="auto" w:fill="auto"/>
            <w:vAlign w:val="bottom"/>
          </w:tcPr>
          <w:p w14:paraId="5CD8F8C0" w14:textId="77777777" w:rsidR="00BA49F5" w:rsidRDefault="00BA49F5">
            <w:pPr>
              <w:rPr>
                <w:rFonts w:ascii="宋体"/>
              </w:rPr>
            </w:pPr>
          </w:p>
        </w:tc>
        <w:tc>
          <w:tcPr>
            <w:tcW w:w="50" w:type="pct"/>
            <w:shd w:val="clear" w:color="auto" w:fill="auto"/>
            <w:vAlign w:val="bottom"/>
          </w:tcPr>
          <w:p w14:paraId="5CD8F8C1" w14:textId="77777777" w:rsidR="00BA49F5" w:rsidRDefault="00BA49F5">
            <w:pPr>
              <w:rPr>
                <w:rFonts w:ascii="宋体"/>
              </w:rPr>
            </w:pPr>
          </w:p>
        </w:tc>
        <w:tc>
          <w:tcPr>
            <w:tcW w:w="341" w:type="pct"/>
            <w:shd w:val="clear" w:color="auto" w:fill="auto"/>
            <w:vAlign w:val="bottom"/>
          </w:tcPr>
          <w:p w14:paraId="5CD8F8C2" w14:textId="77777777" w:rsidR="00BA49F5" w:rsidRDefault="00BA49F5">
            <w:pPr>
              <w:rPr>
                <w:rFonts w:ascii="宋体"/>
              </w:rPr>
            </w:pPr>
          </w:p>
        </w:tc>
        <w:tc>
          <w:tcPr>
            <w:tcW w:w="5" w:type="pct"/>
            <w:shd w:val="clear" w:color="auto" w:fill="auto"/>
            <w:vAlign w:val="bottom"/>
          </w:tcPr>
          <w:p w14:paraId="5CD8F8C3" w14:textId="77777777" w:rsidR="00BA49F5" w:rsidRDefault="00BA49F5">
            <w:pPr>
              <w:rPr>
                <w:rFonts w:ascii="宋体"/>
              </w:rPr>
            </w:pPr>
          </w:p>
        </w:tc>
        <w:tc>
          <w:tcPr>
            <w:tcW w:w="5" w:type="pct"/>
            <w:shd w:val="clear" w:color="auto" w:fill="auto"/>
            <w:vAlign w:val="bottom"/>
          </w:tcPr>
          <w:p w14:paraId="5CD8F8C4" w14:textId="77777777" w:rsidR="00BA49F5" w:rsidRDefault="00BA49F5">
            <w:pPr>
              <w:rPr>
                <w:rFonts w:ascii="宋体"/>
              </w:rPr>
            </w:pPr>
          </w:p>
        </w:tc>
        <w:tc>
          <w:tcPr>
            <w:tcW w:w="27" w:type="pct"/>
            <w:shd w:val="clear" w:color="auto" w:fill="auto"/>
            <w:vAlign w:val="bottom"/>
          </w:tcPr>
          <w:p w14:paraId="5CD8F8C5" w14:textId="77777777" w:rsidR="00BA49F5" w:rsidRDefault="00BA49F5">
            <w:pPr>
              <w:rPr>
                <w:rFonts w:ascii="宋体"/>
              </w:rPr>
            </w:pPr>
          </w:p>
        </w:tc>
        <w:tc>
          <w:tcPr>
            <w:tcW w:w="5" w:type="pct"/>
            <w:shd w:val="clear" w:color="auto" w:fill="auto"/>
            <w:vAlign w:val="bottom"/>
          </w:tcPr>
          <w:p w14:paraId="5CD8F8C6" w14:textId="77777777" w:rsidR="00BA49F5" w:rsidRDefault="00BA49F5">
            <w:pPr>
              <w:rPr>
                <w:rFonts w:ascii="宋体"/>
              </w:rPr>
            </w:pPr>
          </w:p>
        </w:tc>
        <w:tc>
          <w:tcPr>
            <w:tcW w:w="50" w:type="pct"/>
            <w:shd w:val="clear" w:color="auto" w:fill="auto"/>
            <w:vAlign w:val="bottom"/>
          </w:tcPr>
          <w:p w14:paraId="5CD8F8C7" w14:textId="77777777" w:rsidR="00BA49F5" w:rsidRDefault="00BA49F5">
            <w:pPr>
              <w:rPr>
                <w:rFonts w:ascii="宋体"/>
              </w:rPr>
            </w:pPr>
          </w:p>
        </w:tc>
        <w:tc>
          <w:tcPr>
            <w:tcW w:w="341" w:type="pct"/>
            <w:shd w:val="clear" w:color="auto" w:fill="auto"/>
            <w:vAlign w:val="bottom"/>
          </w:tcPr>
          <w:p w14:paraId="5CD8F8C8" w14:textId="77777777" w:rsidR="00BA49F5" w:rsidRDefault="00BA49F5">
            <w:pPr>
              <w:rPr>
                <w:rFonts w:ascii="宋体"/>
              </w:rPr>
            </w:pPr>
          </w:p>
        </w:tc>
        <w:tc>
          <w:tcPr>
            <w:tcW w:w="5" w:type="pct"/>
            <w:shd w:val="clear" w:color="auto" w:fill="auto"/>
            <w:vAlign w:val="bottom"/>
          </w:tcPr>
          <w:p w14:paraId="5CD8F8C9" w14:textId="77777777" w:rsidR="00BA49F5" w:rsidRDefault="00BA49F5">
            <w:pPr>
              <w:rPr>
                <w:rFonts w:ascii="宋体"/>
              </w:rPr>
            </w:pPr>
          </w:p>
        </w:tc>
      </w:tr>
      <w:tr w:rsidR="00BA49F5" w14:paraId="5CD8F8CD" w14:textId="77777777">
        <w:trPr>
          <w:jc w:val="center"/>
        </w:trPr>
        <w:tc>
          <w:tcPr>
            <w:tcW w:w="0" w:type="auto"/>
            <w:gridSpan w:val="3"/>
            <w:shd w:val="clear" w:color="auto" w:fill="auto"/>
            <w:tcMar>
              <w:top w:w="40" w:type="dxa"/>
              <w:left w:w="20" w:type="dxa"/>
              <w:bottom w:w="40" w:type="dxa"/>
              <w:right w:w="20" w:type="dxa"/>
            </w:tcMar>
            <w:vAlign w:val="bottom"/>
          </w:tcPr>
          <w:p w14:paraId="5CD8F8CB" w14:textId="77777777" w:rsidR="00BA49F5" w:rsidRDefault="007E5E49">
            <w:pPr>
              <w:textAlignment w:val="bottom"/>
            </w:pPr>
            <w:r>
              <w:rPr>
                <w:rFonts w:ascii="Times New Roman" w:eastAsia="宋体" w:hAnsi="Times New Roman"/>
                <w:color w:val="000000"/>
                <w:sz w:val="8"/>
                <w:szCs w:val="8"/>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CD8F8CC" w14:textId="77777777" w:rsidR="00BA49F5" w:rsidRDefault="007E5E49">
            <w:pPr>
              <w:jc w:val="center"/>
              <w:textAlignment w:val="bottom"/>
            </w:pPr>
            <w:r>
              <w:rPr>
                <w:rFonts w:ascii="Times New Roman" w:eastAsia="宋体" w:hAnsi="Times New Roman"/>
                <w:b/>
                <w:bCs/>
                <w:color w:val="000000"/>
                <w:sz w:val="16"/>
                <w:szCs w:val="16"/>
              </w:rPr>
              <w:t>Year Ended December 31,</w:t>
            </w:r>
          </w:p>
        </w:tc>
      </w:tr>
      <w:tr w:rsidR="00BA49F5" w14:paraId="5CD8F8D4" w14:textId="77777777">
        <w:trPr>
          <w:jc w:val="center"/>
        </w:trPr>
        <w:tc>
          <w:tcPr>
            <w:tcW w:w="0" w:type="auto"/>
            <w:gridSpan w:val="3"/>
            <w:shd w:val="clear" w:color="auto" w:fill="auto"/>
            <w:tcMar>
              <w:top w:w="40" w:type="dxa"/>
              <w:left w:w="20" w:type="dxa"/>
              <w:bottom w:w="40" w:type="dxa"/>
              <w:right w:w="20" w:type="dxa"/>
            </w:tcMar>
            <w:vAlign w:val="bottom"/>
          </w:tcPr>
          <w:p w14:paraId="5CD8F8CE" w14:textId="77777777" w:rsidR="00BA49F5" w:rsidRDefault="007E5E49">
            <w:pPr>
              <w:textAlignment w:val="bottom"/>
            </w:pPr>
            <w:r>
              <w:rPr>
                <w:rFonts w:ascii="Times New Roman" w:eastAsia="宋体" w:hAnsi="Times New Roman"/>
                <w:color w:val="000000"/>
                <w:sz w:val="8"/>
                <w:szCs w:val="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8CF"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8D0"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8D1"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8D2"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8D3"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8E2" w14:textId="77777777">
        <w:trPr>
          <w:jc w:val="center"/>
        </w:trPr>
        <w:tc>
          <w:tcPr>
            <w:tcW w:w="0" w:type="auto"/>
            <w:gridSpan w:val="3"/>
            <w:shd w:val="clear" w:color="auto" w:fill="auto"/>
            <w:tcMar>
              <w:top w:w="40" w:type="dxa"/>
              <w:left w:w="20" w:type="dxa"/>
              <w:bottom w:w="40" w:type="dxa"/>
              <w:right w:w="20" w:type="dxa"/>
            </w:tcMar>
            <w:vAlign w:val="bottom"/>
          </w:tcPr>
          <w:p w14:paraId="5CD8F8D5"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D6" w14:textId="77777777" w:rsidR="00BA49F5" w:rsidRDefault="007E5E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8D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D8" w14:textId="77777777" w:rsidR="00BA49F5" w:rsidRDefault="007E5E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5CD8F8D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DA" w14:textId="77777777" w:rsidR="00BA49F5" w:rsidRDefault="007E5E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8D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DC" w14:textId="77777777" w:rsidR="00BA49F5" w:rsidRDefault="007E5E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5CD8F8D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DE" w14:textId="77777777" w:rsidR="00BA49F5" w:rsidRDefault="007E5E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8D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8E0" w14:textId="77777777" w:rsidR="00BA49F5" w:rsidRDefault="007E5E49">
            <w:pPr>
              <w:jc w:val="center"/>
              <w:textAlignment w:val="bottom"/>
            </w:pPr>
            <w:r>
              <w:rPr>
                <w:rFonts w:ascii="Times New Roman" w:eastAsia="宋体" w:hAnsi="Times New Roman"/>
                <w:b/>
                <w:bCs/>
                <w:color w:val="000000"/>
                <w:sz w:val="16"/>
                <w:szCs w:val="16"/>
              </w:rPr>
              <w:t>Class</w:t>
            </w:r>
          </w:p>
          <w:p w14:paraId="5CD8F8E1" w14:textId="77777777" w:rsidR="00BA49F5" w:rsidRDefault="007E5E49">
            <w:pPr>
              <w:jc w:val="center"/>
              <w:textAlignment w:val="bottom"/>
            </w:pPr>
            <w:r>
              <w:rPr>
                <w:rFonts w:ascii="Times New Roman" w:eastAsia="宋体" w:hAnsi="Times New Roman"/>
                <w:b/>
                <w:bCs/>
                <w:color w:val="000000"/>
                <w:sz w:val="16"/>
                <w:szCs w:val="16"/>
              </w:rPr>
              <w:t>B</w:t>
            </w:r>
            <w:r>
              <w:rPr>
                <w:rFonts w:ascii="Times New Roman" w:eastAsia="宋体" w:hAnsi="Times New Roman"/>
                <w:color w:val="000000"/>
                <w:sz w:val="16"/>
                <w:szCs w:val="16"/>
              </w:rPr>
              <w:t> </w:t>
            </w:r>
          </w:p>
        </w:tc>
      </w:tr>
      <w:tr w:rsidR="00BA49F5" w14:paraId="5CD8F8EF" w14:textId="77777777">
        <w:trPr>
          <w:jc w:val="center"/>
        </w:trPr>
        <w:tc>
          <w:tcPr>
            <w:tcW w:w="0" w:type="auto"/>
            <w:gridSpan w:val="3"/>
            <w:shd w:val="clear" w:color="auto" w:fill="CCEEFF"/>
            <w:tcMar>
              <w:top w:w="40" w:type="dxa"/>
              <w:left w:w="20" w:type="dxa"/>
              <w:bottom w:w="40" w:type="dxa"/>
              <w:right w:w="20" w:type="dxa"/>
            </w:tcMar>
            <w:vAlign w:val="bottom"/>
          </w:tcPr>
          <w:p w14:paraId="5CD8F8E3" w14:textId="77777777" w:rsidR="00BA49F5" w:rsidRDefault="007E5E49">
            <w:pPr>
              <w:textAlignment w:val="bottom"/>
            </w:pPr>
            <w:r>
              <w:rPr>
                <w:rFonts w:ascii="Times New Roman" w:eastAsia="宋体" w:hAnsi="Times New Roman"/>
                <w:color w:val="000000"/>
                <w:sz w:val="20"/>
                <w:szCs w:val="20"/>
                <w:u w:val="single"/>
              </w:rPr>
              <w:t>B</w:t>
            </w:r>
            <w:r>
              <w:rPr>
                <w:rFonts w:ascii="Times New Roman" w:eastAsia="宋体" w:hAnsi="Times New Roman"/>
                <w:color w:val="000000"/>
                <w:sz w:val="20"/>
                <w:szCs w:val="20"/>
                <w:u w:val="single"/>
              </w:rPr>
              <w:t>asic EPS: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4"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8E5"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6"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8E7"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8"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8E9"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A"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8EB"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C"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8ED"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8EE" w14:textId="77777777" w:rsidR="00BA49F5" w:rsidRDefault="007E5E49">
            <w:pPr>
              <w:textAlignment w:val="bottom"/>
            </w:pPr>
            <w:r>
              <w:rPr>
                <w:rFonts w:ascii="Times New Roman" w:eastAsia="宋体" w:hAnsi="Times New Roman"/>
                <w:color w:val="000000"/>
                <w:sz w:val="20"/>
                <w:szCs w:val="20"/>
              </w:rPr>
              <w:t> </w:t>
            </w:r>
          </w:p>
        </w:tc>
      </w:tr>
      <w:tr w:rsidR="00BA49F5" w14:paraId="5CD8F8FC" w14:textId="77777777">
        <w:trPr>
          <w:jc w:val="center"/>
        </w:trPr>
        <w:tc>
          <w:tcPr>
            <w:tcW w:w="0" w:type="auto"/>
            <w:gridSpan w:val="3"/>
            <w:shd w:val="clear" w:color="auto" w:fill="FFFFFF"/>
            <w:tcMar>
              <w:top w:w="40" w:type="dxa"/>
              <w:left w:w="20" w:type="dxa"/>
              <w:bottom w:w="40" w:type="dxa"/>
              <w:right w:w="20" w:type="dxa"/>
            </w:tcMar>
            <w:vAlign w:val="bottom"/>
          </w:tcPr>
          <w:p w14:paraId="5CD8F8F0" w14:textId="77777777" w:rsidR="00BA49F5" w:rsidRDefault="007E5E49">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5CD8F8F1"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8F2"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8F3"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8F4"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8F5"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8F6"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8F7"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8F8"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8F9"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8FA"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8FB" w14:textId="77777777" w:rsidR="00BA49F5" w:rsidRDefault="007E5E49">
            <w:pPr>
              <w:textAlignment w:val="bottom"/>
            </w:pPr>
            <w:r>
              <w:rPr>
                <w:rFonts w:ascii="Times New Roman" w:eastAsia="宋体" w:hAnsi="Times New Roman"/>
                <w:color w:val="000000"/>
                <w:sz w:val="20"/>
                <w:szCs w:val="20"/>
              </w:rPr>
              <w:t> </w:t>
            </w:r>
          </w:p>
        </w:tc>
      </w:tr>
      <w:tr w:rsidR="00BA49F5" w14:paraId="5CD8F915" w14:textId="77777777">
        <w:trPr>
          <w:jc w:val="center"/>
        </w:trPr>
        <w:tc>
          <w:tcPr>
            <w:tcW w:w="0" w:type="auto"/>
            <w:gridSpan w:val="3"/>
            <w:shd w:val="clear" w:color="auto" w:fill="CCEEFF"/>
            <w:tcMar>
              <w:top w:w="40" w:type="dxa"/>
              <w:left w:w="200" w:type="dxa"/>
              <w:bottom w:w="40" w:type="dxa"/>
              <w:right w:w="20" w:type="dxa"/>
            </w:tcMar>
            <w:vAlign w:val="bottom"/>
          </w:tcPr>
          <w:p w14:paraId="5CD8F8FD" w14:textId="77777777" w:rsidR="00BA49F5" w:rsidRDefault="007E5E49">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5CD8F8F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8FF" w14:textId="77777777" w:rsidR="00BA49F5" w:rsidRDefault="007E5E49">
            <w:pPr>
              <w:jc w:val="right"/>
              <w:textAlignment w:val="bottom"/>
            </w:pPr>
            <w:r>
              <w:rPr>
                <w:rFonts w:ascii="Times New Roman" w:eastAsia="宋体" w:hAnsi="Times New Roman"/>
                <w:color w:val="000000"/>
                <w:sz w:val="20"/>
                <w:szCs w:val="20"/>
              </w:rPr>
              <w:t>19,729 </w:t>
            </w:r>
          </w:p>
        </w:tc>
        <w:tc>
          <w:tcPr>
            <w:tcW w:w="0" w:type="auto"/>
            <w:shd w:val="clear" w:color="auto" w:fill="CCEEFF"/>
            <w:tcMar>
              <w:top w:w="40" w:type="dxa"/>
              <w:left w:w="0" w:type="dxa"/>
              <w:bottom w:w="40" w:type="dxa"/>
              <w:right w:w="20" w:type="dxa"/>
            </w:tcMar>
            <w:vAlign w:val="bottom"/>
          </w:tcPr>
          <w:p w14:paraId="5CD8F90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01"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0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03" w14:textId="77777777" w:rsidR="00BA49F5" w:rsidRDefault="007E5E49">
            <w:pPr>
              <w:jc w:val="right"/>
              <w:textAlignment w:val="bottom"/>
            </w:pPr>
            <w:r>
              <w:rPr>
                <w:rFonts w:ascii="Times New Roman" w:eastAsia="宋体" w:hAnsi="Times New Roman"/>
                <w:color w:val="000000"/>
                <w:sz w:val="20"/>
                <w:szCs w:val="20"/>
              </w:rPr>
              <w:t>3,471 </w:t>
            </w:r>
          </w:p>
        </w:tc>
        <w:tc>
          <w:tcPr>
            <w:tcW w:w="0" w:type="auto"/>
            <w:shd w:val="clear" w:color="auto" w:fill="CCEEFF"/>
            <w:tcMar>
              <w:top w:w="40" w:type="dxa"/>
              <w:left w:w="0" w:type="dxa"/>
              <w:bottom w:w="40" w:type="dxa"/>
              <w:right w:w="20" w:type="dxa"/>
            </w:tcMar>
            <w:vAlign w:val="bottom"/>
          </w:tcPr>
          <w:p w14:paraId="5CD8F90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05"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0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07" w14:textId="77777777" w:rsidR="00BA49F5" w:rsidRDefault="007E5E49">
            <w:pPr>
              <w:jc w:val="right"/>
              <w:textAlignment w:val="bottom"/>
            </w:pPr>
            <w:r>
              <w:rPr>
                <w:rFonts w:ascii="Times New Roman" w:eastAsia="宋体" w:hAnsi="Times New Roman"/>
                <w:color w:val="000000"/>
                <w:sz w:val="20"/>
                <w:szCs w:val="20"/>
              </w:rPr>
              <w:t>33,328 </w:t>
            </w:r>
          </w:p>
        </w:tc>
        <w:tc>
          <w:tcPr>
            <w:tcW w:w="0" w:type="auto"/>
            <w:shd w:val="clear" w:color="auto" w:fill="CCEEFF"/>
            <w:tcMar>
              <w:top w:w="40" w:type="dxa"/>
              <w:left w:w="0" w:type="dxa"/>
              <w:bottom w:w="40" w:type="dxa"/>
              <w:right w:w="20" w:type="dxa"/>
            </w:tcMar>
            <w:vAlign w:val="bottom"/>
          </w:tcPr>
          <w:p w14:paraId="5CD8F90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09"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0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0B" w14:textId="77777777" w:rsidR="00BA49F5" w:rsidRDefault="007E5E49">
            <w:pPr>
              <w:jc w:val="right"/>
              <w:textAlignment w:val="bottom"/>
            </w:pPr>
            <w:r>
              <w:rPr>
                <w:rFonts w:ascii="Times New Roman" w:eastAsia="宋体" w:hAnsi="Times New Roman"/>
                <w:color w:val="000000"/>
                <w:sz w:val="20"/>
                <w:szCs w:val="20"/>
              </w:rPr>
              <w:t>6,042 </w:t>
            </w:r>
          </w:p>
        </w:tc>
        <w:tc>
          <w:tcPr>
            <w:tcW w:w="0" w:type="auto"/>
            <w:shd w:val="clear" w:color="auto" w:fill="CCEEFF"/>
            <w:tcMar>
              <w:top w:w="40" w:type="dxa"/>
              <w:left w:w="0" w:type="dxa"/>
              <w:bottom w:w="40" w:type="dxa"/>
              <w:right w:w="20" w:type="dxa"/>
            </w:tcMar>
            <w:vAlign w:val="bottom"/>
          </w:tcPr>
          <w:p w14:paraId="5CD8F90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0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0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0F" w14:textId="77777777" w:rsidR="00BA49F5" w:rsidRDefault="007E5E49">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5CD8F91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11"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1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13" w14:textId="77777777" w:rsidR="00BA49F5" w:rsidRDefault="007E5E49">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5CD8F914" w14:textId="77777777" w:rsidR="00BA49F5" w:rsidRDefault="00BA49F5">
            <w:pPr>
              <w:jc w:val="right"/>
              <w:rPr>
                <w:rFonts w:ascii="宋体"/>
              </w:rPr>
            </w:pPr>
          </w:p>
        </w:tc>
      </w:tr>
      <w:tr w:rsidR="00BA49F5" w14:paraId="5CD8F922" w14:textId="77777777">
        <w:trPr>
          <w:jc w:val="center"/>
        </w:trPr>
        <w:tc>
          <w:tcPr>
            <w:tcW w:w="0" w:type="auto"/>
            <w:gridSpan w:val="3"/>
            <w:shd w:val="clear" w:color="auto" w:fill="FFFFFF"/>
            <w:tcMar>
              <w:top w:w="40" w:type="dxa"/>
              <w:left w:w="20" w:type="dxa"/>
              <w:bottom w:w="40" w:type="dxa"/>
              <w:right w:w="20" w:type="dxa"/>
            </w:tcMar>
            <w:vAlign w:val="bottom"/>
          </w:tcPr>
          <w:p w14:paraId="5CD8F916" w14:textId="77777777" w:rsidR="00BA49F5" w:rsidRDefault="007E5E49">
            <w:pPr>
              <w:textAlignment w:val="bottom"/>
            </w:pPr>
            <w:r>
              <w:rPr>
                <w:rFonts w:ascii="Times New Roman" w:eastAsia="宋体" w:hAnsi="Times New Roman"/>
                <w:color w:val="000000"/>
                <w:sz w:val="20"/>
                <w:szCs w:val="20"/>
              </w:rPr>
              <w:t>Denom</w:t>
            </w:r>
            <w:r>
              <w:rPr>
                <w:rFonts w:ascii="Times New Roman" w:eastAsia="宋体" w:hAnsi="Times New Roman"/>
                <w:color w:val="000000"/>
                <w:sz w:val="20"/>
                <w:szCs w:val="20"/>
              </w:rPr>
              <w:t>inator</w:t>
            </w:r>
          </w:p>
        </w:tc>
        <w:tc>
          <w:tcPr>
            <w:tcW w:w="0" w:type="auto"/>
            <w:gridSpan w:val="3"/>
            <w:shd w:val="clear" w:color="auto" w:fill="FFFFFF"/>
            <w:tcMar>
              <w:top w:w="40" w:type="dxa"/>
              <w:left w:w="20" w:type="dxa"/>
              <w:bottom w:w="40" w:type="dxa"/>
              <w:right w:w="20" w:type="dxa"/>
            </w:tcMar>
            <w:vAlign w:val="bottom"/>
          </w:tcPr>
          <w:p w14:paraId="5CD8F917"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18"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19"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1A"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1B"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1C"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1D"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1E"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1F"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20"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21" w14:textId="77777777" w:rsidR="00BA49F5" w:rsidRDefault="007E5E49">
            <w:pPr>
              <w:textAlignment w:val="bottom"/>
            </w:pPr>
            <w:r>
              <w:rPr>
                <w:rFonts w:ascii="Times New Roman" w:eastAsia="宋体" w:hAnsi="Times New Roman"/>
                <w:color w:val="000000"/>
                <w:sz w:val="20"/>
                <w:szCs w:val="20"/>
              </w:rPr>
              <w:t> </w:t>
            </w:r>
          </w:p>
        </w:tc>
      </w:tr>
      <w:tr w:rsidR="00BA49F5" w14:paraId="5CD8F935" w14:textId="77777777">
        <w:trPr>
          <w:jc w:val="center"/>
        </w:trPr>
        <w:tc>
          <w:tcPr>
            <w:tcW w:w="0" w:type="auto"/>
            <w:gridSpan w:val="3"/>
            <w:shd w:val="clear" w:color="auto" w:fill="CCEEFF"/>
            <w:tcMar>
              <w:top w:w="40" w:type="dxa"/>
              <w:left w:w="200" w:type="dxa"/>
              <w:bottom w:w="40" w:type="dxa"/>
              <w:right w:w="20" w:type="dxa"/>
            </w:tcMar>
            <w:vAlign w:val="bottom"/>
          </w:tcPr>
          <w:p w14:paraId="5CD8F923" w14:textId="77777777" w:rsidR="00BA49F5" w:rsidRDefault="007E5E49">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CCEEFF"/>
            <w:tcMar>
              <w:top w:w="40" w:type="dxa"/>
              <w:left w:w="20" w:type="dxa"/>
              <w:bottom w:w="40" w:type="dxa"/>
              <w:right w:w="0" w:type="dxa"/>
            </w:tcMar>
            <w:vAlign w:val="bottom"/>
          </w:tcPr>
          <w:p w14:paraId="5CD8F924" w14:textId="77777777" w:rsidR="00BA49F5" w:rsidRDefault="007E5E49">
            <w:pPr>
              <w:jc w:val="right"/>
              <w:textAlignment w:val="bottom"/>
            </w:pPr>
            <w:r>
              <w:rPr>
                <w:rFonts w:ascii="Times New Roman" w:eastAsia="宋体" w:hAnsi="Times New Roman"/>
                <w:color w:val="000000"/>
                <w:sz w:val="20"/>
                <w:szCs w:val="20"/>
              </w:rPr>
              <w:t>2,285 </w:t>
            </w:r>
          </w:p>
        </w:tc>
        <w:tc>
          <w:tcPr>
            <w:tcW w:w="0" w:type="auto"/>
            <w:shd w:val="clear" w:color="auto" w:fill="CCEEFF"/>
            <w:tcMar>
              <w:top w:w="40" w:type="dxa"/>
              <w:left w:w="0" w:type="dxa"/>
              <w:bottom w:w="40" w:type="dxa"/>
              <w:right w:w="20" w:type="dxa"/>
            </w:tcMar>
            <w:vAlign w:val="bottom"/>
          </w:tcPr>
          <w:p w14:paraId="5CD8F92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2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27" w14:textId="77777777" w:rsidR="00BA49F5" w:rsidRDefault="007E5E49">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5CD8F92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2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2A" w14:textId="77777777" w:rsidR="00BA49F5" w:rsidRDefault="007E5E49">
            <w:pPr>
              <w:jc w:val="right"/>
              <w:textAlignment w:val="bottom"/>
            </w:pPr>
            <w:r>
              <w:rPr>
                <w:rFonts w:ascii="Times New Roman" w:eastAsia="宋体" w:hAnsi="Times New Roman"/>
                <w:color w:val="000000"/>
                <w:sz w:val="20"/>
                <w:szCs w:val="20"/>
              </w:rPr>
              <w:t>2,383 </w:t>
            </w:r>
          </w:p>
        </w:tc>
        <w:tc>
          <w:tcPr>
            <w:tcW w:w="0" w:type="auto"/>
            <w:shd w:val="clear" w:color="auto" w:fill="CCEEFF"/>
            <w:tcMar>
              <w:top w:w="40" w:type="dxa"/>
              <w:left w:w="0" w:type="dxa"/>
              <w:bottom w:w="40" w:type="dxa"/>
              <w:right w:w="20" w:type="dxa"/>
            </w:tcMar>
            <w:vAlign w:val="bottom"/>
          </w:tcPr>
          <w:p w14:paraId="5CD8F92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2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2D" w14:textId="77777777" w:rsidR="00BA49F5" w:rsidRDefault="007E5E49">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5CD8F92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2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30" w14:textId="77777777" w:rsidR="00BA49F5" w:rsidRDefault="007E5E49">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5CD8F93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3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33" w14:textId="77777777" w:rsidR="00BA49F5" w:rsidRDefault="007E5E49">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5CD8F934" w14:textId="77777777" w:rsidR="00BA49F5" w:rsidRDefault="00BA49F5">
            <w:pPr>
              <w:jc w:val="right"/>
              <w:rPr>
                <w:rFonts w:ascii="宋体"/>
              </w:rPr>
            </w:pPr>
          </w:p>
        </w:tc>
      </w:tr>
      <w:tr w:rsidR="00BA49F5" w14:paraId="5CD8F94E" w14:textId="77777777">
        <w:trPr>
          <w:jc w:val="center"/>
        </w:trPr>
        <w:tc>
          <w:tcPr>
            <w:tcW w:w="0" w:type="auto"/>
            <w:gridSpan w:val="3"/>
            <w:shd w:val="clear" w:color="auto" w:fill="FFFFFF"/>
            <w:tcMar>
              <w:top w:w="40" w:type="dxa"/>
              <w:left w:w="20" w:type="dxa"/>
              <w:bottom w:w="40" w:type="dxa"/>
              <w:right w:w="20" w:type="dxa"/>
            </w:tcMar>
            <w:vAlign w:val="bottom"/>
          </w:tcPr>
          <w:p w14:paraId="5CD8F936" w14:textId="77777777" w:rsidR="00BA49F5" w:rsidRDefault="007E5E49">
            <w:pPr>
              <w:textAlignment w:val="bottom"/>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5CD8F93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38" w14:textId="77777777" w:rsidR="00BA49F5" w:rsidRDefault="007E5E49">
            <w:pPr>
              <w:jc w:val="right"/>
              <w:textAlignment w:val="bottom"/>
            </w:pPr>
            <w:r>
              <w:rPr>
                <w:rFonts w:ascii="Times New Roman" w:eastAsia="宋体" w:hAnsi="Times New Roman"/>
                <w:color w:val="000000"/>
                <w:sz w:val="20"/>
                <w:szCs w:val="20"/>
              </w:rPr>
              <w:t>8.63 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3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3A"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3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3C" w14:textId="77777777" w:rsidR="00BA49F5" w:rsidRDefault="007E5E49">
            <w:pPr>
              <w:jc w:val="right"/>
              <w:textAlignment w:val="bottom"/>
            </w:pPr>
            <w:r>
              <w:rPr>
                <w:rFonts w:ascii="Times New Roman" w:eastAsia="宋体" w:hAnsi="Times New Roman"/>
                <w:color w:val="000000"/>
                <w:sz w:val="20"/>
                <w:szCs w:val="20"/>
              </w:rPr>
              <w:t>8.63 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3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3E"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3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40" w14:textId="77777777" w:rsidR="00BA49F5" w:rsidRDefault="007E5E49">
            <w:pPr>
              <w:jc w:val="right"/>
              <w:textAlignment w:val="bottom"/>
            </w:pPr>
            <w:r>
              <w:rPr>
                <w:rFonts w:ascii="Times New Roman" w:eastAsia="宋体" w:hAnsi="Times New Roman"/>
                <w:color w:val="000000"/>
                <w:sz w:val="20"/>
                <w:szCs w:val="20"/>
              </w:rPr>
              <w:t>13.99 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4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42"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4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44" w14:textId="77777777" w:rsidR="00BA49F5" w:rsidRDefault="007E5E49">
            <w:pPr>
              <w:jc w:val="right"/>
              <w:textAlignment w:val="bottom"/>
            </w:pPr>
            <w:r>
              <w:rPr>
                <w:rFonts w:ascii="Times New Roman" w:eastAsia="宋体" w:hAnsi="Times New Roman"/>
                <w:color w:val="000000"/>
                <w:sz w:val="20"/>
                <w:szCs w:val="20"/>
              </w:rPr>
              <w:t>13.99 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4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46"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4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48" w14:textId="77777777" w:rsidR="00BA49F5" w:rsidRDefault="007E5E49">
            <w:pPr>
              <w:jc w:val="right"/>
              <w:textAlignment w:val="bottom"/>
            </w:pPr>
            <w:r>
              <w:rPr>
                <w:rFonts w:ascii="Times New Roman" w:eastAsia="宋体" w:hAnsi="Times New Roman"/>
                <w:color w:val="000000"/>
                <w:sz w:val="20"/>
                <w:szCs w:val="20"/>
              </w:rPr>
              <w:t>10.22 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4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4A"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4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4C" w14:textId="77777777" w:rsidR="00BA49F5" w:rsidRDefault="007E5E49">
            <w:pPr>
              <w:jc w:val="right"/>
              <w:textAlignment w:val="bottom"/>
            </w:pPr>
            <w:r>
              <w:rPr>
                <w:rFonts w:ascii="Times New Roman" w:eastAsia="宋体" w:hAnsi="Times New Roman"/>
                <w:color w:val="000000"/>
                <w:sz w:val="20"/>
                <w:szCs w:val="20"/>
              </w:rPr>
              <w:t>10.22 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4D" w14:textId="77777777" w:rsidR="00BA49F5" w:rsidRDefault="00BA49F5">
            <w:pPr>
              <w:jc w:val="right"/>
              <w:rPr>
                <w:rFonts w:ascii="宋体"/>
              </w:rPr>
            </w:pPr>
          </w:p>
        </w:tc>
      </w:tr>
      <w:tr w:rsidR="00BA49F5" w14:paraId="5CD8F95B" w14:textId="77777777">
        <w:trPr>
          <w:jc w:val="center"/>
        </w:trPr>
        <w:tc>
          <w:tcPr>
            <w:tcW w:w="0" w:type="auto"/>
            <w:gridSpan w:val="3"/>
            <w:shd w:val="clear" w:color="auto" w:fill="CCEEFF"/>
            <w:tcMar>
              <w:top w:w="40" w:type="dxa"/>
              <w:left w:w="20" w:type="dxa"/>
              <w:bottom w:w="40" w:type="dxa"/>
              <w:right w:w="20" w:type="dxa"/>
            </w:tcMar>
            <w:vAlign w:val="bottom"/>
          </w:tcPr>
          <w:p w14:paraId="5CD8F94F" w14:textId="77777777" w:rsidR="00BA49F5" w:rsidRDefault="007E5E49">
            <w:pPr>
              <w:textAlignment w:val="bottom"/>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950"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51" w14:textId="77777777" w:rsidR="00BA49F5" w:rsidRDefault="00BA49F5">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952"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53"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F954"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955" w14:textId="77777777" w:rsidR="00BA49F5" w:rsidRDefault="00BA49F5">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956"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57"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8F958"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959" w14:textId="77777777" w:rsidR="00BA49F5" w:rsidRDefault="00BA49F5">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5CD8F95A" w14:textId="77777777" w:rsidR="00BA49F5" w:rsidRDefault="007E5E49">
            <w:pPr>
              <w:textAlignment w:val="bottom"/>
            </w:pPr>
            <w:r>
              <w:rPr>
                <w:rFonts w:ascii="Times New Roman" w:eastAsia="宋体" w:hAnsi="Times New Roman"/>
                <w:color w:val="000000"/>
                <w:sz w:val="20"/>
                <w:szCs w:val="20"/>
              </w:rPr>
              <w:t> </w:t>
            </w:r>
          </w:p>
        </w:tc>
      </w:tr>
      <w:tr w:rsidR="00BA49F5" w14:paraId="5CD8F968" w14:textId="77777777">
        <w:trPr>
          <w:jc w:val="center"/>
        </w:trPr>
        <w:tc>
          <w:tcPr>
            <w:tcW w:w="0" w:type="auto"/>
            <w:gridSpan w:val="3"/>
            <w:shd w:val="clear" w:color="auto" w:fill="FFFFFF"/>
            <w:tcMar>
              <w:top w:w="40" w:type="dxa"/>
              <w:left w:w="20" w:type="dxa"/>
              <w:bottom w:w="40" w:type="dxa"/>
              <w:right w:w="20" w:type="dxa"/>
            </w:tcMar>
            <w:vAlign w:val="bottom"/>
          </w:tcPr>
          <w:p w14:paraId="5CD8F95C" w14:textId="77777777" w:rsidR="00BA49F5" w:rsidRDefault="007E5E49">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5CD8F95D"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5E"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5F"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60"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61"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62"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63"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64"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65"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966"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967" w14:textId="77777777" w:rsidR="00BA49F5" w:rsidRDefault="007E5E49">
            <w:pPr>
              <w:textAlignment w:val="bottom"/>
            </w:pPr>
            <w:r>
              <w:rPr>
                <w:rFonts w:ascii="Times New Roman" w:eastAsia="宋体" w:hAnsi="Times New Roman"/>
                <w:color w:val="000000"/>
                <w:sz w:val="20"/>
                <w:szCs w:val="20"/>
              </w:rPr>
              <w:t> </w:t>
            </w:r>
          </w:p>
        </w:tc>
      </w:tr>
      <w:tr w:rsidR="00BA49F5" w14:paraId="5CD8F981" w14:textId="77777777">
        <w:trPr>
          <w:jc w:val="center"/>
        </w:trPr>
        <w:tc>
          <w:tcPr>
            <w:tcW w:w="0" w:type="auto"/>
            <w:gridSpan w:val="3"/>
            <w:shd w:val="clear" w:color="auto" w:fill="CCEEFF"/>
            <w:tcMar>
              <w:top w:w="40" w:type="dxa"/>
              <w:left w:w="200" w:type="dxa"/>
              <w:bottom w:w="40" w:type="dxa"/>
              <w:right w:w="20" w:type="dxa"/>
            </w:tcMar>
            <w:vAlign w:val="bottom"/>
          </w:tcPr>
          <w:p w14:paraId="5CD8F969" w14:textId="77777777" w:rsidR="00BA49F5" w:rsidRDefault="007E5E49">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5CD8F96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6B" w14:textId="77777777" w:rsidR="00BA49F5" w:rsidRDefault="007E5E49">
            <w:pPr>
              <w:jc w:val="right"/>
              <w:textAlignment w:val="bottom"/>
            </w:pPr>
            <w:r>
              <w:rPr>
                <w:rFonts w:ascii="Times New Roman" w:eastAsia="宋体" w:hAnsi="Times New Roman"/>
                <w:color w:val="000000"/>
                <w:sz w:val="20"/>
                <w:szCs w:val="20"/>
              </w:rPr>
              <w:t>19,729 </w:t>
            </w:r>
          </w:p>
        </w:tc>
        <w:tc>
          <w:tcPr>
            <w:tcW w:w="0" w:type="auto"/>
            <w:shd w:val="clear" w:color="auto" w:fill="CCEEFF"/>
            <w:tcMar>
              <w:top w:w="40" w:type="dxa"/>
              <w:left w:w="0" w:type="dxa"/>
              <w:bottom w:w="40" w:type="dxa"/>
              <w:right w:w="20" w:type="dxa"/>
            </w:tcMar>
            <w:vAlign w:val="bottom"/>
          </w:tcPr>
          <w:p w14:paraId="5CD8F96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6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6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6F" w14:textId="77777777" w:rsidR="00BA49F5" w:rsidRDefault="007E5E49">
            <w:pPr>
              <w:jc w:val="right"/>
              <w:textAlignment w:val="bottom"/>
            </w:pPr>
            <w:r>
              <w:rPr>
                <w:rFonts w:ascii="Times New Roman" w:eastAsia="宋体" w:hAnsi="Times New Roman"/>
                <w:color w:val="000000"/>
                <w:sz w:val="20"/>
                <w:szCs w:val="20"/>
              </w:rPr>
              <w:t>3,471 </w:t>
            </w:r>
          </w:p>
        </w:tc>
        <w:tc>
          <w:tcPr>
            <w:tcW w:w="0" w:type="auto"/>
            <w:shd w:val="clear" w:color="auto" w:fill="CCEEFF"/>
            <w:tcMar>
              <w:top w:w="40" w:type="dxa"/>
              <w:left w:w="0" w:type="dxa"/>
              <w:bottom w:w="40" w:type="dxa"/>
              <w:right w:w="20" w:type="dxa"/>
            </w:tcMar>
            <w:vAlign w:val="bottom"/>
          </w:tcPr>
          <w:p w14:paraId="5CD8F97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71"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7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73" w14:textId="77777777" w:rsidR="00BA49F5" w:rsidRDefault="007E5E49">
            <w:pPr>
              <w:jc w:val="right"/>
              <w:textAlignment w:val="bottom"/>
            </w:pPr>
            <w:r>
              <w:rPr>
                <w:rFonts w:ascii="Times New Roman" w:eastAsia="宋体" w:hAnsi="Times New Roman"/>
                <w:color w:val="000000"/>
                <w:sz w:val="20"/>
                <w:szCs w:val="20"/>
              </w:rPr>
              <w:t>33,328 </w:t>
            </w:r>
          </w:p>
        </w:tc>
        <w:tc>
          <w:tcPr>
            <w:tcW w:w="0" w:type="auto"/>
            <w:shd w:val="clear" w:color="auto" w:fill="CCEEFF"/>
            <w:tcMar>
              <w:top w:w="40" w:type="dxa"/>
              <w:left w:w="0" w:type="dxa"/>
              <w:bottom w:w="40" w:type="dxa"/>
              <w:right w:w="20" w:type="dxa"/>
            </w:tcMar>
            <w:vAlign w:val="bottom"/>
          </w:tcPr>
          <w:p w14:paraId="5CD8F97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75"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7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77" w14:textId="77777777" w:rsidR="00BA49F5" w:rsidRDefault="007E5E49">
            <w:pPr>
              <w:jc w:val="right"/>
              <w:textAlignment w:val="bottom"/>
            </w:pPr>
            <w:r>
              <w:rPr>
                <w:rFonts w:ascii="Times New Roman" w:eastAsia="宋体" w:hAnsi="Times New Roman"/>
                <w:color w:val="000000"/>
                <w:sz w:val="20"/>
                <w:szCs w:val="20"/>
              </w:rPr>
              <w:t>6,042 </w:t>
            </w:r>
          </w:p>
        </w:tc>
        <w:tc>
          <w:tcPr>
            <w:tcW w:w="0" w:type="auto"/>
            <w:shd w:val="clear" w:color="auto" w:fill="CCEEFF"/>
            <w:tcMar>
              <w:top w:w="40" w:type="dxa"/>
              <w:left w:w="0" w:type="dxa"/>
              <w:bottom w:w="40" w:type="dxa"/>
              <w:right w:w="20" w:type="dxa"/>
            </w:tcMar>
            <w:vAlign w:val="bottom"/>
          </w:tcPr>
          <w:p w14:paraId="5CD8F97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79"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7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7B" w14:textId="77777777" w:rsidR="00BA49F5" w:rsidRDefault="007E5E49">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5CD8F97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7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8F97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8F97F" w14:textId="77777777" w:rsidR="00BA49F5" w:rsidRDefault="007E5E49">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5CD8F980" w14:textId="77777777" w:rsidR="00BA49F5" w:rsidRDefault="00BA49F5">
            <w:pPr>
              <w:jc w:val="right"/>
              <w:rPr>
                <w:rFonts w:ascii="宋体"/>
              </w:rPr>
            </w:pPr>
          </w:p>
        </w:tc>
      </w:tr>
      <w:tr w:rsidR="00BA49F5" w14:paraId="5CD8F994" w14:textId="77777777">
        <w:trPr>
          <w:jc w:val="center"/>
        </w:trPr>
        <w:tc>
          <w:tcPr>
            <w:tcW w:w="0" w:type="auto"/>
            <w:gridSpan w:val="3"/>
            <w:shd w:val="clear" w:color="auto" w:fill="FFFFFF"/>
            <w:tcMar>
              <w:top w:w="40" w:type="dxa"/>
              <w:left w:w="200" w:type="dxa"/>
              <w:bottom w:w="40" w:type="dxa"/>
              <w:right w:w="20" w:type="dxa"/>
            </w:tcMar>
            <w:vAlign w:val="bottom"/>
          </w:tcPr>
          <w:p w14:paraId="5CD8F982" w14:textId="77777777" w:rsidR="00BA49F5" w:rsidRDefault="007E5E49">
            <w:pPr>
              <w:textAlignment w:val="bottom"/>
            </w:pPr>
            <w:r>
              <w:rPr>
                <w:rFonts w:ascii="Times New Roman" w:eastAsia="宋体" w:hAnsi="Times New Roman"/>
                <w:color w:val="000000"/>
                <w:sz w:val="20"/>
                <w:szCs w:val="20"/>
              </w:rPr>
              <w:t>Reall</w:t>
            </w:r>
            <w:r>
              <w:rPr>
                <w:rFonts w:ascii="Times New Roman" w:eastAsia="宋体" w:hAnsi="Times New Roman"/>
                <w:color w:val="000000"/>
                <w:sz w:val="20"/>
                <w:szCs w:val="20"/>
              </w:rPr>
              <w:t>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5CD8F983" w14:textId="77777777" w:rsidR="00BA49F5" w:rsidRDefault="007E5E49">
            <w:pPr>
              <w:jc w:val="right"/>
              <w:textAlignment w:val="bottom"/>
            </w:pPr>
            <w:r>
              <w:rPr>
                <w:rFonts w:ascii="Times New Roman" w:eastAsia="宋体" w:hAnsi="Times New Roman"/>
                <w:color w:val="000000"/>
                <w:sz w:val="20"/>
                <w:szCs w:val="20"/>
              </w:rPr>
              <w:t>3,471 </w:t>
            </w:r>
          </w:p>
        </w:tc>
        <w:tc>
          <w:tcPr>
            <w:tcW w:w="0" w:type="auto"/>
            <w:shd w:val="clear" w:color="auto" w:fill="FFFFFF"/>
            <w:tcMar>
              <w:top w:w="40" w:type="dxa"/>
              <w:left w:w="0" w:type="dxa"/>
              <w:bottom w:w="40" w:type="dxa"/>
              <w:right w:w="20" w:type="dxa"/>
            </w:tcMar>
            <w:vAlign w:val="bottom"/>
          </w:tcPr>
          <w:p w14:paraId="5CD8F98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8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8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98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8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89" w14:textId="77777777" w:rsidR="00BA49F5" w:rsidRDefault="007E5E49">
            <w:pPr>
              <w:jc w:val="right"/>
              <w:textAlignment w:val="bottom"/>
            </w:pPr>
            <w:r>
              <w:rPr>
                <w:rFonts w:ascii="Times New Roman" w:eastAsia="宋体" w:hAnsi="Times New Roman"/>
                <w:color w:val="000000"/>
                <w:sz w:val="20"/>
                <w:szCs w:val="20"/>
              </w:rPr>
              <w:t>6,042 </w:t>
            </w:r>
          </w:p>
        </w:tc>
        <w:tc>
          <w:tcPr>
            <w:tcW w:w="0" w:type="auto"/>
            <w:shd w:val="clear" w:color="auto" w:fill="FFFFFF"/>
            <w:tcMar>
              <w:top w:w="40" w:type="dxa"/>
              <w:left w:w="0" w:type="dxa"/>
              <w:bottom w:w="40" w:type="dxa"/>
              <w:right w:w="20" w:type="dxa"/>
            </w:tcMar>
            <w:vAlign w:val="bottom"/>
          </w:tcPr>
          <w:p w14:paraId="5CD8F98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8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8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98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8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8F" w14:textId="77777777" w:rsidR="00BA49F5" w:rsidRDefault="007E5E49">
            <w:pPr>
              <w:jc w:val="right"/>
              <w:textAlignment w:val="bottom"/>
            </w:pPr>
            <w:r>
              <w:rPr>
                <w:rFonts w:ascii="Times New Roman" w:eastAsia="宋体" w:hAnsi="Times New Roman"/>
                <w:color w:val="000000"/>
                <w:sz w:val="20"/>
                <w:szCs w:val="20"/>
              </w:rPr>
              <w:t>4,539 </w:t>
            </w:r>
          </w:p>
        </w:tc>
        <w:tc>
          <w:tcPr>
            <w:tcW w:w="0" w:type="auto"/>
            <w:shd w:val="clear" w:color="auto" w:fill="FFFFFF"/>
            <w:tcMar>
              <w:top w:w="40" w:type="dxa"/>
              <w:left w:w="0" w:type="dxa"/>
              <w:bottom w:w="40" w:type="dxa"/>
              <w:right w:w="20" w:type="dxa"/>
            </w:tcMar>
            <w:vAlign w:val="bottom"/>
          </w:tcPr>
          <w:p w14:paraId="5CD8F99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9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9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993" w14:textId="77777777" w:rsidR="00BA49F5" w:rsidRDefault="00BA49F5">
            <w:pPr>
              <w:jc w:val="right"/>
              <w:rPr>
                <w:rFonts w:ascii="宋体"/>
              </w:rPr>
            </w:pPr>
          </w:p>
        </w:tc>
      </w:tr>
      <w:tr w:rsidR="00BA49F5" w14:paraId="5CD8F9A7" w14:textId="77777777">
        <w:trPr>
          <w:jc w:val="center"/>
        </w:trPr>
        <w:tc>
          <w:tcPr>
            <w:tcW w:w="0" w:type="auto"/>
            <w:gridSpan w:val="3"/>
            <w:shd w:val="clear" w:color="auto" w:fill="CCEEFF"/>
            <w:tcMar>
              <w:top w:w="40" w:type="dxa"/>
              <w:left w:w="200" w:type="dxa"/>
              <w:bottom w:w="40" w:type="dxa"/>
              <w:right w:w="20" w:type="dxa"/>
            </w:tcMar>
            <w:vAlign w:val="bottom"/>
          </w:tcPr>
          <w:p w14:paraId="5CD8F995" w14:textId="77777777" w:rsidR="00BA49F5" w:rsidRDefault="007E5E49">
            <w:pPr>
              <w:textAlignment w:val="bottom"/>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5CD8F99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9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9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99" w14:textId="77777777" w:rsidR="00BA49F5" w:rsidRDefault="007E5E49">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5CD8F99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9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9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9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9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9F" w14:textId="77777777" w:rsidR="00BA49F5" w:rsidRDefault="007E5E49">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5CD8F9A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A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A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A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A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A5" w14:textId="77777777" w:rsidR="00BA49F5" w:rsidRDefault="007E5E49">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5CD8F9A6" w14:textId="77777777" w:rsidR="00BA49F5" w:rsidRDefault="00BA49F5">
            <w:pPr>
              <w:jc w:val="right"/>
              <w:rPr>
                <w:rFonts w:ascii="宋体"/>
              </w:rPr>
            </w:pPr>
          </w:p>
        </w:tc>
      </w:tr>
      <w:tr w:rsidR="00BA49F5" w14:paraId="5CD8F9C0" w14:textId="77777777">
        <w:trPr>
          <w:jc w:val="center"/>
        </w:trPr>
        <w:tc>
          <w:tcPr>
            <w:tcW w:w="0" w:type="auto"/>
            <w:gridSpan w:val="3"/>
            <w:shd w:val="clear" w:color="auto" w:fill="FFFFFF"/>
            <w:tcMar>
              <w:top w:w="40" w:type="dxa"/>
              <w:left w:w="380" w:type="dxa"/>
              <w:bottom w:w="40" w:type="dxa"/>
              <w:right w:w="20" w:type="dxa"/>
            </w:tcMar>
            <w:vAlign w:val="bottom"/>
          </w:tcPr>
          <w:p w14:paraId="5CD8F9A8" w14:textId="77777777" w:rsidR="00BA49F5" w:rsidRDefault="007E5E49">
            <w:pPr>
              <w:textAlignment w:val="bottom"/>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5CD8F9A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AA" w14:textId="77777777" w:rsidR="00BA49F5" w:rsidRDefault="007E5E49">
            <w:pPr>
              <w:jc w:val="right"/>
              <w:textAlignment w:val="bottom"/>
            </w:pPr>
            <w:r>
              <w:rPr>
                <w:rFonts w:ascii="Times New Roman" w:eastAsia="宋体" w:hAnsi="Times New Roman"/>
                <w:color w:val="000000"/>
                <w:sz w:val="20"/>
                <w:szCs w:val="20"/>
              </w:rPr>
              <w:t>23,200 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A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AC"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A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AE" w14:textId="77777777" w:rsidR="00BA49F5" w:rsidRDefault="007E5E49">
            <w:pPr>
              <w:jc w:val="right"/>
              <w:textAlignment w:val="bottom"/>
            </w:pPr>
            <w:r>
              <w:rPr>
                <w:rFonts w:ascii="Times New Roman" w:eastAsia="宋体" w:hAnsi="Times New Roman"/>
                <w:color w:val="000000"/>
                <w:sz w:val="20"/>
                <w:szCs w:val="20"/>
              </w:rPr>
              <w:t>3,452 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A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B0"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B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B2" w14:textId="77777777" w:rsidR="00BA49F5" w:rsidRDefault="007E5E49">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B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B4"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B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B6" w14:textId="77777777" w:rsidR="00BA49F5" w:rsidRDefault="007E5E49">
            <w:pPr>
              <w:jc w:val="right"/>
              <w:textAlignment w:val="bottom"/>
            </w:pPr>
            <w:r>
              <w:rPr>
                <w:rFonts w:ascii="Times New Roman" w:eastAsia="宋体" w:hAnsi="Times New Roman"/>
                <w:color w:val="000000"/>
                <w:sz w:val="20"/>
                <w:szCs w:val="20"/>
              </w:rPr>
              <w:t>5,949 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B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B8"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B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BA" w14:textId="77777777" w:rsidR="00BA49F5" w:rsidRDefault="007E5E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B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BC"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8F9B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8F9BE" w14:textId="77777777" w:rsidR="00BA49F5" w:rsidRDefault="007E5E49">
            <w:pPr>
              <w:jc w:val="right"/>
              <w:textAlignment w:val="bottom"/>
            </w:pPr>
            <w:r>
              <w:rPr>
                <w:rFonts w:ascii="Times New Roman" w:eastAsia="宋体" w:hAnsi="Times New Roman"/>
                <w:color w:val="000000"/>
                <w:sz w:val="20"/>
                <w:szCs w:val="20"/>
              </w:rPr>
              <w:t>4,481 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9BF" w14:textId="77777777" w:rsidR="00BA49F5" w:rsidRDefault="00BA49F5">
            <w:pPr>
              <w:jc w:val="right"/>
              <w:rPr>
                <w:rFonts w:ascii="宋体"/>
              </w:rPr>
            </w:pPr>
          </w:p>
        </w:tc>
      </w:tr>
      <w:tr w:rsidR="00BA49F5" w14:paraId="5CD8F9CD" w14:textId="77777777">
        <w:trPr>
          <w:jc w:val="center"/>
        </w:trPr>
        <w:tc>
          <w:tcPr>
            <w:tcW w:w="0" w:type="auto"/>
            <w:gridSpan w:val="3"/>
            <w:shd w:val="clear" w:color="auto" w:fill="CCEEFF"/>
            <w:tcMar>
              <w:top w:w="40" w:type="dxa"/>
              <w:left w:w="20" w:type="dxa"/>
              <w:bottom w:w="40" w:type="dxa"/>
              <w:right w:w="20" w:type="dxa"/>
            </w:tcMar>
            <w:vAlign w:val="bottom"/>
          </w:tcPr>
          <w:p w14:paraId="5CD8F9C1" w14:textId="77777777" w:rsidR="00BA49F5" w:rsidRDefault="007E5E49">
            <w:pPr>
              <w:textAlignment w:val="bottom"/>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2"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C3"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4"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C5"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6"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C7"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8"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C9"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A"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8F9CB"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9CC" w14:textId="77777777" w:rsidR="00BA49F5" w:rsidRDefault="007E5E49">
            <w:pPr>
              <w:textAlignment w:val="bottom"/>
            </w:pPr>
            <w:r>
              <w:rPr>
                <w:rFonts w:ascii="Times New Roman" w:eastAsia="宋体" w:hAnsi="Times New Roman"/>
                <w:color w:val="000000"/>
                <w:sz w:val="20"/>
                <w:szCs w:val="20"/>
              </w:rPr>
              <w:t> </w:t>
            </w:r>
          </w:p>
        </w:tc>
      </w:tr>
      <w:tr w:rsidR="00BA49F5" w14:paraId="5CD8F9E0" w14:textId="77777777">
        <w:trPr>
          <w:jc w:val="center"/>
        </w:trPr>
        <w:tc>
          <w:tcPr>
            <w:tcW w:w="0" w:type="auto"/>
            <w:gridSpan w:val="3"/>
            <w:shd w:val="clear" w:color="auto" w:fill="FFFFFF"/>
            <w:tcMar>
              <w:top w:w="40" w:type="dxa"/>
              <w:left w:w="200" w:type="dxa"/>
              <w:bottom w:w="40" w:type="dxa"/>
              <w:right w:w="20" w:type="dxa"/>
            </w:tcMar>
            <w:vAlign w:val="bottom"/>
          </w:tcPr>
          <w:p w14:paraId="5CD8F9CE" w14:textId="77777777" w:rsidR="00BA49F5" w:rsidRDefault="007E5E49">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FFFFFF"/>
            <w:tcMar>
              <w:top w:w="40" w:type="dxa"/>
              <w:left w:w="20" w:type="dxa"/>
              <w:bottom w:w="40" w:type="dxa"/>
              <w:right w:w="0" w:type="dxa"/>
            </w:tcMar>
            <w:vAlign w:val="bottom"/>
          </w:tcPr>
          <w:p w14:paraId="5CD8F9CF" w14:textId="77777777" w:rsidR="00BA49F5" w:rsidRDefault="007E5E49">
            <w:pPr>
              <w:jc w:val="right"/>
              <w:textAlignment w:val="bottom"/>
            </w:pPr>
            <w:r>
              <w:rPr>
                <w:rFonts w:ascii="Times New Roman" w:eastAsia="宋体" w:hAnsi="Times New Roman"/>
                <w:color w:val="000000"/>
                <w:sz w:val="20"/>
                <w:szCs w:val="20"/>
              </w:rPr>
              <w:t>2,285 </w:t>
            </w:r>
          </w:p>
        </w:tc>
        <w:tc>
          <w:tcPr>
            <w:tcW w:w="0" w:type="auto"/>
            <w:shd w:val="clear" w:color="auto" w:fill="FFFFFF"/>
            <w:tcMar>
              <w:top w:w="40" w:type="dxa"/>
              <w:left w:w="0" w:type="dxa"/>
              <w:bottom w:w="40" w:type="dxa"/>
              <w:right w:w="20" w:type="dxa"/>
            </w:tcMar>
            <w:vAlign w:val="bottom"/>
          </w:tcPr>
          <w:p w14:paraId="5CD8F9D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D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D2" w14:textId="77777777" w:rsidR="00BA49F5" w:rsidRDefault="007E5E49">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left w:w="0" w:type="dxa"/>
              <w:bottom w:w="40" w:type="dxa"/>
              <w:right w:w="20" w:type="dxa"/>
            </w:tcMar>
            <w:vAlign w:val="bottom"/>
          </w:tcPr>
          <w:p w14:paraId="5CD8F9D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D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D5" w14:textId="77777777" w:rsidR="00BA49F5" w:rsidRDefault="007E5E49">
            <w:pPr>
              <w:jc w:val="right"/>
              <w:textAlignment w:val="bottom"/>
            </w:pPr>
            <w:r>
              <w:rPr>
                <w:rFonts w:ascii="Times New Roman" w:eastAsia="宋体" w:hAnsi="Times New Roman"/>
                <w:color w:val="000000"/>
                <w:sz w:val="20"/>
                <w:szCs w:val="20"/>
              </w:rPr>
              <w:t>2,383 </w:t>
            </w:r>
          </w:p>
        </w:tc>
        <w:tc>
          <w:tcPr>
            <w:tcW w:w="0" w:type="auto"/>
            <w:shd w:val="clear" w:color="auto" w:fill="FFFFFF"/>
            <w:tcMar>
              <w:top w:w="40" w:type="dxa"/>
              <w:left w:w="0" w:type="dxa"/>
              <w:bottom w:w="40" w:type="dxa"/>
              <w:right w:w="20" w:type="dxa"/>
            </w:tcMar>
            <w:vAlign w:val="bottom"/>
          </w:tcPr>
          <w:p w14:paraId="5CD8F9D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D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D8" w14:textId="77777777" w:rsidR="00BA49F5" w:rsidRDefault="007E5E49">
            <w:pPr>
              <w:jc w:val="right"/>
              <w:textAlignment w:val="bottom"/>
            </w:pPr>
            <w:r>
              <w:rPr>
                <w:rFonts w:ascii="Times New Roman" w:eastAsia="宋体" w:hAnsi="Times New Roman"/>
                <w:color w:val="000000"/>
                <w:sz w:val="20"/>
                <w:szCs w:val="20"/>
              </w:rPr>
              <w:t>432 </w:t>
            </w:r>
          </w:p>
        </w:tc>
        <w:tc>
          <w:tcPr>
            <w:tcW w:w="0" w:type="auto"/>
            <w:shd w:val="clear" w:color="auto" w:fill="FFFFFF"/>
            <w:tcMar>
              <w:top w:w="40" w:type="dxa"/>
              <w:left w:w="0" w:type="dxa"/>
              <w:bottom w:w="40" w:type="dxa"/>
              <w:right w:w="20" w:type="dxa"/>
            </w:tcMar>
            <w:vAlign w:val="bottom"/>
          </w:tcPr>
          <w:p w14:paraId="5CD8F9D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D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DB" w14:textId="77777777" w:rsidR="00BA49F5" w:rsidRDefault="007E5E49">
            <w:pPr>
              <w:jc w:val="right"/>
              <w:textAlignment w:val="bottom"/>
            </w:pPr>
            <w:r>
              <w:rPr>
                <w:rFonts w:ascii="Times New Roman" w:eastAsia="宋体" w:hAnsi="Times New Roman"/>
                <w:color w:val="000000"/>
                <w:sz w:val="20"/>
                <w:szCs w:val="20"/>
              </w:rPr>
              <w:t>2,407 </w:t>
            </w:r>
          </w:p>
        </w:tc>
        <w:tc>
          <w:tcPr>
            <w:tcW w:w="0" w:type="auto"/>
            <w:shd w:val="clear" w:color="auto" w:fill="FFFFFF"/>
            <w:tcMar>
              <w:top w:w="40" w:type="dxa"/>
              <w:left w:w="0" w:type="dxa"/>
              <w:bottom w:w="40" w:type="dxa"/>
              <w:right w:w="20" w:type="dxa"/>
            </w:tcMar>
            <w:vAlign w:val="bottom"/>
          </w:tcPr>
          <w:p w14:paraId="5CD8F9D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D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DE" w14:textId="77777777" w:rsidR="00BA49F5" w:rsidRDefault="007E5E49">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5CD8F9DF" w14:textId="77777777" w:rsidR="00BA49F5" w:rsidRDefault="00BA49F5">
            <w:pPr>
              <w:jc w:val="right"/>
              <w:rPr>
                <w:rFonts w:ascii="宋体"/>
              </w:rPr>
            </w:pPr>
          </w:p>
        </w:tc>
      </w:tr>
      <w:tr w:rsidR="00BA49F5" w14:paraId="5CD8F9F3" w14:textId="77777777">
        <w:trPr>
          <w:jc w:val="center"/>
        </w:trPr>
        <w:tc>
          <w:tcPr>
            <w:tcW w:w="0" w:type="auto"/>
            <w:gridSpan w:val="3"/>
            <w:shd w:val="clear" w:color="auto" w:fill="CCEEFF"/>
            <w:tcMar>
              <w:top w:w="40" w:type="dxa"/>
              <w:left w:w="200" w:type="dxa"/>
              <w:bottom w:w="40" w:type="dxa"/>
              <w:right w:w="20" w:type="dxa"/>
            </w:tcMar>
            <w:vAlign w:val="bottom"/>
          </w:tcPr>
          <w:p w14:paraId="5CD8F9E1" w14:textId="77777777" w:rsidR="00BA49F5" w:rsidRDefault="007E5E49">
            <w:pPr>
              <w:textAlignment w:val="bottom"/>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5CD8F9E2" w14:textId="77777777" w:rsidR="00BA49F5" w:rsidRDefault="007E5E49">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5CD8F9E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E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E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E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E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E8" w14:textId="77777777" w:rsidR="00BA49F5" w:rsidRDefault="007E5E49">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5CD8F9E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E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E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E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E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EE" w14:textId="77777777" w:rsidR="00BA49F5" w:rsidRDefault="007E5E49">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5CD8F9E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9F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9F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9F2" w14:textId="77777777" w:rsidR="00BA49F5" w:rsidRDefault="00BA49F5">
            <w:pPr>
              <w:jc w:val="right"/>
              <w:rPr>
                <w:rFonts w:ascii="宋体"/>
              </w:rPr>
            </w:pPr>
          </w:p>
        </w:tc>
      </w:tr>
      <w:tr w:rsidR="00BA49F5" w14:paraId="5CD8FA06" w14:textId="77777777">
        <w:trPr>
          <w:jc w:val="center"/>
        </w:trPr>
        <w:tc>
          <w:tcPr>
            <w:tcW w:w="0" w:type="auto"/>
            <w:gridSpan w:val="3"/>
            <w:shd w:val="clear" w:color="auto" w:fill="FFFFFF"/>
            <w:tcMar>
              <w:top w:w="40" w:type="dxa"/>
              <w:left w:w="200" w:type="dxa"/>
              <w:bottom w:w="40" w:type="dxa"/>
              <w:right w:w="20" w:type="dxa"/>
            </w:tcMar>
            <w:vAlign w:val="bottom"/>
          </w:tcPr>
          <w:p w14:paraId="5CD8F9F4" w14:textId="77777777" w:rsidR="00BA49F5" w:rsidRDefault="007E5E49">
            <w:pPr>
              <w:textAlignment w:val="bottom"/>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5CD8F9F5" w14:textId="77777777" w:rsidR="00BA49F5" w:rsidRDefault="007E5E4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CD8F9F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F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F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9F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F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FB" w14:textId="77777777" w:rsidR="00BA49F5" w:rsidRDefault="007E5E49">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5CD8F9F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9F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9F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9F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0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01" w14:textId="77777777" w:rsidR="00BA49F5" w:rsidRDefault="007E5E49">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5CD8FA0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0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0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A05" w14:textId="77777777" w:rsidR="00BA49F5" w:rsidRDefault="00BA49F5">
            <w:pPr>
              <w:jc w:val="right"/>
              <w:rPr>
                <w:rFonts w:ascii="宋体"/>
              </w:rPr>
            </w:pPr>
          </w:p>
        </w:tc>
      </w:tr>
      <w:tr w:rsidR="00BA49F5" w14:paraId="5CD8FA19" w14:textId="77777777">
        <w:trPr>
          <w:jc w:val="center"/>
        </w:trPr>
        <w:tc>
          <w:tcPr>
            <w:tcW w:w="0" w:type="auto"/>
            <w:gridSpan w:val="3"/>
            <w:shd w:val="clear" w:color="auto" w:fill="CCEEFF"/>
            <w:tcMar>
              <w:top w:w="40" w:type="dxa"/>
              <w:left w:w="200" w:type="dxa"/>
              <w:bottom w:w="40" w:type="dxa"/>
              <w:right w:w="20" w:type="dxa"/>
            </w:tcMar>
            <w:vAlign w:val="bottom"/>
          </w:tcPr>
          <w:p w14:paraId="5CD8FA07" w14:textId="77777777" w:rsidR="00BA49F5" w:rsidRDefault="007E5E49">
            <w:pPr>
              <w:textAlignment w:val="bottom"/>
            </w:pPr>
            <w:r>
              <w:rPr>
                <w:rFonts w:ascii="Times New Roman" w:eastAsia="宋体" w:hAnsi="Times New Roman"/>
                <w:color w:val="000000"/>
                <w:sz w:val="20"/>
                <w:szCs w:val="20"/>
              </w:rPr>
              <w:t>Shares used in computation of diluted 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08" w14:textId="77777777" w:rsidR="00BA49F5" w:rsidRDefault="007E5E49">
            <w:pPr>
              <w:jc w:val="right"/>
              <w:textAlignment w:val="bottom"/>
            </w:pPr>
            <w:r>
              <w:rPr>
                <w:rFonts w:ascii="Times New Roman" w:eastAsia="宋体" w:hAnsi="Times New Roman"/>
                <w:color w:val="000000"/>
                <w:sz w:val="20"/>
                <w:szCs w:val="20"/>
              </w:rPr>
              <w:t>2,702 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0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0A"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0B" w14:textId="77777777" w:rsidR="00BA49F5" w:rsidRDefault="007E5E49">
            <w:pPr>
              <w:jc w:val="right"/>
              <w:textAlignment w:val="bottom"/>
            </w:pPr>
            <w:r>
              <w:rPr>
                <w:rFonts w:ascii="Times New Roman" w:eastAsia="宋体" w:hAnsi="Times New Roman"/>
                <w:color w:val="000000"/>
                <w:sz w:val="20"/>
                <w:szCs w:val="20"/>
              </w:rPr>
              <w:t>402 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0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0D"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0E" w14:textId="77777777" w:rsidR="00BA49F5" w:rsidRDefault="007E5E49">
            <w:pPr>
              <w:jc w:val="right"/>
              <w:textAlignment w:val="bottom"/>
            </w:pPr>
            <w:r>
              <w:rPr>
                <w:rFonts w:ascii="Times New Roman" w:eastAsia="宋体" w:hAnsi="Times New Roman"/>
                <w:color w:val="000000"/>
                <w:sz w:val="20"/>
                <w:szCs w:val="20"/>
              </w:rPr>
              <w:t>2,859 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0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1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11" w14:textId="77777777" w:rsidR="00BA49F5" w:rsidRDefault="007E5E49">
            <w:pPr>
              <w:jc w:val="right"/>
              <w:textAlignment w:val="bottom"/>
            </w:pPr>
            <w:r>
              <w:rPr>
                <w:rFonts w:ascii="Times New Roman" w:eastAsia="宋体" w:hAnsi="Times New Roman"/>
                <w:color w:val="000000"/>
                <w:sz w:val="20"/>
                <w:szCs w:val="20"/>
              </w:rPr>
              <w:t>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1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13"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14" w14:textId="77777777" w:rsidR="00BA49F5" w:rsidRDefault="007E5E49">
            <w:pPr>
              <w:jc w:val="right"/>
              <w:textAlignment w:val="bottom"/>
            </w:pPr>
            <w:r>
              <w:rPr>
                <w:rFonts w:ascii="Times New Roman" w:eastAsia="宋体" w:hAnsi="Times New Roman"/>
                <w:color w:val="000000"/>
                <w:sz w:val="20"/>
                <w:szCs w:val="20"/>
              </w:rPr>
              <w:t>2,888 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1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16"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A17" w14:textId="77777777" w:rsidR="00BA49F5" w:rsidRDefault="007E5E49">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A18" w14:textId="77777777" w:rsidR="00BA49F5" w:rsidRDefault="00BA49F5">
            <w:pPr>
              <w:jc w:val="right"/>
              <w:rPr>
                <w:rFonts w:ascii="宋体"/>
              </w:rPr>
            </w:pPr>
          </w:p>
        </w:tc>
      </w:tr>
      <w:tr w:rsidR="00BA49F5" w14:paraId="5CD8FA32" w14:textId="77777777">
        <w:trPr>
          <w:jc w:val="center"/>
        </w:trPr>
        <w:tc>
          <w:tcPr>
            <w:tcW w:w="0" w:type="auto"/>
            <w:gridSpan w:val="3"/>
            <w:shd w:val="clear" w:color="auto" w:fill="FFFFFF"/>
            <w:tcMar>
              <w:top w:w="40" w:type="dxa"/>
              <w:left w:w="20" w:type="dxa"/>
              <w:bottom w:w="40" w:type="dxa"/>
              <w:right w:w="20" w:type="dxa"/>
            </w:tcMar>
            <w:vAlign w:val="bottom"/>
          </w:tcPr>
          <w:p w14:paraId="5CD8FA1A" w14:textId="77777777" w:rsidR="00BA49F5" w:rsidRDefault="007E5E49">
            <w:pPr>
              <w:textAlignment w:val="bottom"/>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1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1C" w14:textId="77777777" w:rsidR="00BA49F5" w:rsidRDefault="007E5E49">
            <w:pPr>
              <w:jc w:val="right"/>
              <w:textAlignment w:val="bottom"/>
            </w:pPr>
            <w:r>
              <w:rPr>
                <w:rFonts w:ascii="Times New Roman" w:eastAsia="宋体" w:hAnsi="Times New Roman"/>
                <w:color w:val="000000"/>
                <w:sz w:val="20"/>
                <w:szCs w:val="20"/>
              </w:rPr>
              <w:t>8.59 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1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1E"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1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20" w14:textId="77777777" w:rsidR="00BA49F5" w:rsidRDefault="007E5E49">
            <w:pPr>
              <w:jc w:val="right"/>
              <w:textAlignment w:val="bottom"/>
            </w:pPr>
            <w:r>
              <w:rPr>
                <w:rFonts w:ascii="Times New Roman" w:eastAsia="宋体" w:hAnsi="Times New Roman"/>
                <w:color w:val="000000"/>
                <w:sz w:val="20"/>
                <w:szCs w:val="20"/>
              </w:rPr>
              <w:t>8.59 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2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22"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2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24" w14:textId="77777777" w:rsidR="00BA49F5" w:rsidRDefault="007E5E49">
            <w:pPr>
              <w:jc w:val="right"/>
              <w:textAlignment w:val="bottom"/>
            </w:pPr>
            <w:r>
              <w:rPr>
                <w:rFonts w:ascii="Times New Roman" w:eastAsia="宋体" w:hAnsi="Times New Roman"/>
                <w:color w:val="000000"/>
                <w:sz w:val="20"/>
                <w:szCs w:val="20"/>
              </w:rPr>
              <w:t>13.77 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2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26"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2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28" w14:textId="77777777" w:rsidR="00BA49F5" w:rsidRDefault="007E5E49">
            <w:pPr>
              <w:jc w:val="right"/>
              <w:textAlignment w:val="bottom"/>
            </w:pPr>
            <w:r>
              <w:rPr>
                <w:rFonts w:ascii="Times New Roman" w:eastAsia="宋体" w:hAnsi="Times New Roman"/>
                <w:color w:val="000000"/>
                <w:sz w:val="20"/>
                <w:szCs w:val="20"/>
              </w:rPr>
              <w:t>13.77 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2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2A"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2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2C" w14:textId="77777777" w:rsidR="00BA49F5" w:rsidRDefault="007E5E49">
            <w:pPr>
              <w:jc w:val="right"/>
              <w:textAlignment w:val="bottom"/>
            </w:pPr>
            <w:r>
              <w:rPr>
                <w:rFonts w:ascii="Times New Roman" w:eastAsia="宋体" w:hAnsi="Times New Roman"/>
                <w:color w:val="000000"/>
                <w:sz w:val="20"/>
                <w:szCs w:val="20"/>
              </w:rPr>
              <w:t>10.09 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2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2E"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A2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A30" w14:textId="77777777" w:rsidR="00BA49F5" w:rsidRDefault="007E5E49">
            <w:pPr>
              <w:jc w:val="right"/>
              <w:textAlignment w:val="bottom"/>
            </w:pPr>
            <w:r>
              <w:rPr>
                <w:rFonts w:ascii="Times New Roman" w:eastAsia="宋体" w:hAnsi="Times New Roman"/>
                <w:color w:val="000000"/>
                <w:sz w:val="20"/>
                <w:szCs w:val="20"/>
              </w:rPr>
              <w:t>10.09 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A31" w14:textId="77777777" w:rsidR="00BA49F5" w:rsidRDefault="00BA49F5">
            <w:pPr>
              <w:jc w:val="right"/>
              <w:rPr>
                <w:rFonts w:ascii="宋体"/>
              </w:rPr>
            </w:pPr>
          </w:p>
        </w:tc>
      </w:tr>
      <w:tr w:rsidR="00BA49F5" w14:paraId="5CD8FA3F" w14:textId="77777777">
        <w:trPr>
          <w:jc w:val="center"/>
          <w:hidden/>
        </w:trPr>
        <w:tc>
          <w:tcPr>
            <w:tcW w:w="0" w:type="auto"/>
            <w:gridSpan w:val="3"/>
            <w:shd w:val="clear" w:color="auto" w:fill="auto"/>
            <w:vAlign w:val="bottom"/>
          </w:tcPr>
          <w:p w14:paraId="5CD8FA33" w14:textId="77777777" w:rsidR="00BA49F5" w:rsidRDefault="00BA49F5">
            <w:pPr>
              <w:rPr>
                <w:rFonts w:ascii="宋体"/>
                <w:vanish/>
              </w:rPr>
            </w:pPr>
          </w:p>
        </w:tc>
        <w:tc>
          <w:tcPr>
            <w:tcW w:w="0" w:type="auto"/>
            <w:gridSpan w:val="3"/>
            <w:shd w:val="clear" w:color="auto" w:fill="auto"/>
            <w:vAlign w:val="bottom"/>
          </w:tcPr>
          <w:p w14:paraId="5CD8FA34" w14:textId="77777777" w:rsidR="00BA49F5" w:rsidRDefault="00BA49F5">
            <w:pPr>
              <w:rPr>
                <w:rFonts w:ascii="宋体"/>
                <w:vanish/>
              </w:rPr>
            </w:pPr>
          </w:p>
        </w:tc>
        <w:tc>
          <w:tcPr>
            <w:tcW w:w="0" w:type="auto"/>
            <w:gridSpan w:val="3"/>
            <w:shd w:val="clear" w:color="auto" w:fill="auto"/>
            <w:vAlign w:val="bottom"/>
          </w:tcPr>
          <w:p w14:paraId="5CD8FA35" w14:textId="77777777" w:rsidR="00BA49F5" w:rsidRDefault="00BA49F5">
            <w:pPr>
              <w:rPr>
                <w:rFonts w:ascii="宋体"/>
                <w:vanish/>
              </w:rPr>
            </w:pPr>
          </w:p>
        </w:tc>
        <w:tc>
          <w:tcPr>
            <w:tcW w:w="0" w:type="auto"/>
            <w:gridSpan w:val="3"/>
            <w:shd w:val="clear" w:color="auto" w:fill="auto"/>
            <w:vAlign w:val="bottom"/>
          </w:tcPr>
          <w:p w14:paraId="5CD8FA36" w14:textId="77777777" w:rsidR="00BA49F5" w:rsidRDefault="00BA49F5">
            <w:pPr>
              <w:rPr>
                <w:rFonts w:ascii="宋体"/>
                <w:vanish/>
              </w:rPr>
            </w:pPr>
          </w:p>
        </w:tc>
        <w:tc>
          <w:tcPr>
            <w:tcW w:w="0" w:type="auto"/>
            <w:gridSpan w:val="3"/>
            <w:shd w:val="clear" w:color="auto" w:fill="auto"/>
            <w:vAlign w:val="bottom"/>
          </w:tcPr>
          <w:p w14:paraId="5CD8FA37" w14:textId="77777777" w:rsidR="00BA49F5" w:rsidRDefault="00BA49F5">
            <w:pPr>
              <w:rPr>
                <w:rFonts w:ascii="宋体"/>
                <w:vanish/>
              </w:rPr>
            </w:pPr>
          </w:p>
        </w:tc>
        <w:tc>
          <w:tcPr>
            <w:tcW w:w="0" w:type="auto"/>
            <w:gridSpan w:val="3"/>
            <w:shd w:val="clear" w:color="auto" w:fill="auto"/>
            <w:vAlign w:val="bottom"/>
          </w:tcPr>
          <w:p w14:paraId="5CD8FA38" w14:textId="77777777" w:rsidR="00BA49F5" w:rsidRDefault="00BA49F5">
            <w:pPr>
              <w:rPr>
                <w:rFonts w:ascii="宋体"/>
                <w:vanish/>
              </w:rPr>
            </w:pPr>
          </w:p>
        </w:tc>
        <w:tc>
          <w:tcPr>
            <w:tcW w:w="0" w:type="auto"/>
            <w:gridSpan w:val="3"/>
            <w:shd w:val="clear" w:color="auto" w:fill="auto"/>
            <w:vAlign w:val="bottom"/>
          </w:tcPr>
          <w:p w14:paraId="5CD8FA39" w14:textId="77777777" w:rsidR="00BA49F5" w:rsidRDefault="00BA49F5">
            <w:pPr>
              <w:rPr>
                <w:rFonts w:ascii="宋体"/>
                <w:vanish/>
              </w:rPr>
            </w:pPr>
          </w:p>
        </w:tc>
        <w:tc>
          <w:tcPr>
            <w:tcW w:w="0" w:type="auto"/>
            <w:gridSpan w:val="3"/>
            <w:shd w:val="clear" w:color="auto" w:fill="auto"/>
            <w:vAlign w:val="bottom"/>
          </w:tcPr>
          <w:p w14:paraId="5CD8FA3A" w14:textId="77777777" w:rsidR="00BA49F5" w:rsidRDefault="00BA49F5">
            <w:pPr>
              <w:rPr>
                <w:rFonts w:ascii="宋体"/>
                <w:vanish/>
              </w:rPr>
            </w:pPr>
          </w:p>
        </w:tc>
        <w:tc>
          <w:tcPr>
            <w:tcW w:w="0" w:type="auto"/>
            <w:gridSpan w:val="3"/>
            <w:shd w:val="clear" w:color="auto" w:fill="auto"/>
            <w:vAlign w:val="bottom"/>
          </w:tcPr>
          <w:p w14:paraId="5CD8FA3B" w14:textId="77777777" w:rsidR="00BA49F5" w:rsidRDefault="00BA49F5">
            <w:pPr>
              <w:rPr>
                <w:rFonts w:ascii="宋体"/>
                <w:vanish/>
              </w:rPr>
            </w:pPr>
          </w:p>
        </w:tc>
        <w:tc>
          <w:tcPr>
            <w:tcW w:w="0" w:type="auto"/>
            <w:gridSpan w:val="3"/>
            <w:shd w:val="clear" w:color="auto" w:fill="auto"/>
            <w:vAlign w:val="bottom"/>
          </w:tcPr>
          <w:p w14:paraId="5CD8FA3C" w14:textId="77777777" w:rsidR="00BA49F5" w:rsidRDefault="00BA49F5">
            <w:pPr>
              <w:rPr>
                <w:rFonts w:ascii="宋体"/>
                <w:vanish/>
              </w:rPr>
            </w:pPr>
          </w:p>
        </w:tc>
        <w:tc>
          <w:tcPr>
            <w:tcW w:w="0" w:type="auto"/>
            <w:gridSpan w:val="3"/>
            <w:shd w:val="clear" w:color="auto" w:fill="auto"/>
            <w:vAlign w:val="bottom"/>
          </w:tcPr>
          <w:p w14:paraId="5CD8FA3D" w14:textId="77777777" w:rsidR="00BA49F5" w:rsidRDefault="00BA49F5">
            <w:pPr>
              <w:rPr>
                <w:rFonts w:ascii="宋体"/>
                <w:vanish/>
              </w:rPr>
            </w:pPr>
          </w:p>
        </w:tc>
        <w:tc>
          <w:tcPr>
            <w:tcW w:w="0" w:type="auto"/>
            <w:gridSpan w:val="3"/>
            <w:shd w:val="clear" w:color="auto" w:fill="auto"/>
            <w:vAlign w:val="bottom"/>
          </w:tcPr>
          <w:p w14:paraId="5CD8FA3E" w14:textId="77777777" w:rsidR="00BA49F5" w:rsidRDefault="00BA49F5">
            <w:pPr>
              <w:rPr>
                <w:rFonts w:ascii="宋体"/>
                <w:vanish/>
              </w:rPr>
            </w:pPr>
          </w:p>
        </w:tc>
      </w:tr>
    </w:tbl>
    <w:p w14:paraId="5CD8FA40" w14:textId="77777777" w:rsidR="00BA49F5" w:rsidRDefault="00BA49F5">
      <w:pPr>
        <w:jc w:val="center"/>
      </w:pPr>
    </w:p>
    <w:p w14:paraId="5CD8FA41" w14:textId="77777777" w:rsidR="00BA49F5" w:rsidRDefault="007E5E49">
      <w:pPr>
        <w:jc w:val="center"/>
      </w:pPr>
      <w:r>
        <w:rPr>
          <w:rFonts w:ascii="Times New Roman" w:eastAsia="宋体" w:hAnsi="Times New Roman"/>
          <w:color w:val="000000"/>
          <w:sz w:val="20"/>
          <w:szCs w:val="20"/>
        </w:rPr>
        <w:t>101</w:t>
      </w:r>
    </w:p>
    <w:p w14:paraId="5CD8FA42" w14:textId="77777777" w:rsidR="00BA49F5" w:rsidRDefault="007E5E49">
      <w:r>
        <w:pict w14:anchorId="5CD90D5A">
          <v:rect id="_x0000_i1125" style="width:415.3pt;height:1.5pt" o:hralign="center" o:hrstd="t" o:hr="t" fillcolor="#a0a0a0" stroked="f"/>
        </w:pict>
      </w:r>
    </w:p>
    <w:p w14:paraId="5CD8FA43" w14:textId="77777777" w:rsidR="00BA49F5" w:rsidRDefault="00BA49F5"/>
    <w:p w14:paraId="5CD8FA44" w14:textId="77777777" w:rsidR="00BA49F5" w:rsidRDefault="00BA49F5"/>
    <w:p w14:paraId="5CD8FA45" w14:textId="77777777" w:rsidR="00BA49F5" w:rsidRDefault="007E5E49">
      <w:hyperlink r:id="rId297" w:anchor="i6df229dad1864210ab76200083e26819_7" w:history="1">
        <w:r>
          <w:rPr>
            <w:rStyle w:val="a5"/>
            <w:rFonts w:ascii="Times New Roman" w:eastAsia="宋体" w:hAnsi="Times New Roman"/>
            <w:sz w:val="20"/>
            <w:szCs w:val="20"/>
          </w:rPr>
          <w:t>T</w:t>
        </w:r>
      </w:hyperlink>
      <w:hyperlink r:id="rId298" w:anchor="i6df229dad1864210ab76200083e26819_7" w:history="1">
        <w:r>
          <w:rPr>
            <w:rStyle w:val="a5"/>
            <w:rFonts w:ascii="Times New Roman" w:eastAsia="宋体" w:hAnsi="Times New Roman"/>
            <w:sz w:val="20"/>
            <w:szCs w:val="20"/>
          </w:rPr>
          <w:t>able of Contents</w:t>
        </w:r>
      </w:hyperlink>
    </w:p>
    <w:p w14:paraId="5CD8FA46" w14:textId="77777777" w:rsidR="00BA49F5" w:rsidRDefault="007E5E49">
      <w:pPr>
        <w:spacing w:before="180"/>
        <w:jc w:val="both"/>
      </w:pPr>
      <w:r>
        <w:rPr>
          <w:rFonts w:ascii="Times New Roman" w:eastAsia="宋体" w:hAnsi="Times New Roman"/>
          <w:b/>
          <w:bCs/>
          <w:color w:val="000000"/>
          <w:sz w:val="20"/>
          <w:szCs w:val="20"/>
        </w:rPr>
        <w:t>Note 5.</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Cash, Cash Equivalent, Marketable Securities, and Restricted Cash</w:t>
      </w:r>
    </w:p>
    <w:p w14:paraId="5CD8FA47" w14:textId="77777777" w:rsidR="00BA49F5" w:rsidRDefault="00BA49F5">
      <w:pPr>
        <w:ind w:firstLine="540"/>
        <w:jc w:val="both"/>
      </w:pPr>
    </w:p>
    <w:p w14:paraId="5CD8FA48" w14:textId="77777777" w:rsidR="00BA49F5" w:rsidRDefault="007E5E49">
      <w:pPr>
        <w:ind w:firstLine="540"/>
        <w:jc w:val="both"/>
      </w:pPr>
      <w:r>
        <w:rPr>
          <w:rFonts w:ascii="Times New Roman" w:eastAsia="宋体" w:hAnsi="Times New Roman"/>
          <w:color w:val="000000"/>
          <w:sz w:val="20"/>
          <w:szCs w:val="20"/>
        </w:rPr>
        <w:t>The following table sets forth cash, cash equivalents, marketable securities and restricted cash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337"/>
        <w:gridCol w:w="39"/>
        <w:gridCol w:w="120"/>
        <w:gridCol w:w="1266"/>
        <w:gridCol w:w="36"/>
        <w:gridCol w:w="36"/>
        <w:gridCol w:w="36"/>
        <w:gridCol w:w="36"/>
        <w:gridCol w:w="120"/>
        <w:gridCol w:w="1234"/>
        <w:gridCol w:w="36"/>
      </w:tblGrid>
      <w:tr w:rsidR="00BA49F5" w14:paraId="5CD8FA55" w14:textId="77777777">
        <w:tc>
          <w:tcPr>
            <w:tcW w:w="50" w:type="pct"/>
            <w:shd w:val="clear" w:color="auto" w:fill="auto"/>
            <w:vAlign w:val="bottom"/>
          </w:tcPr>
          <w:p w14:paraId="5CD8FA49" w14:textId="77777777" w:rsidR="00BA49F5" w:rsidRDefault="00BA49F5">
            <w:pPr>
              <w:rPr>
                <w:rFonts w:ascii="宋体"/>
              </w:rPr>
            </w:pPr>
          </w:p>
        </w:tc>
        <w:tc>
          <w:tcPr>
            <w:tcW w:w="3226" w:type="pct"/>
            <w:shd w:val="clear" w:color="auto" w:fill="auto"/>
            <w:vAlign w:val="bottom"/>
          </w:tcPr>
          <w:p w14:paraId="5CD8FA4A" w14:textId="77777777" w:rsidR="00BA49F5" w:rsidRDefault="00BA49F5">
            <w:pPr>
              <w:rPr>
                <w:rFonts w:ascii="宋体"/>
              </w:rPr>
            </w:pPr>
          </w:p>
        </w:tc>
        <w:tc>
          <w:tcPr>
            <w:tcW w:w="5" w:type="pct"/>
            <w:shd w:val="clear" w:color="auto" w:fill="auto"/>
            <w:vAlign w:val="bottom"/>
          </w:tcPr>
          <w:p w14:paraId="5CD8FA4B" w14:textId="77777777" w:rsidR="00BA49F5" w:rsidRDefault="00BA49F5">
            <w:pPr>
              <w:rPr>
                <w:rFonts w:ascii="宋体"/>
              </w:rPr>
            </w:pPr>
          </w:p>
        </w:tc>
        <w:tc>
          <w:tcPr>
            <w:tcW w:w="50" w:type="pct"/>
            <w:shd w:val="clear" w:color="auto" w:fill="auto"/>
            <w:vAlign w:val="bottom"/>
          </w:tcPr>
          <w:p w14:paraId="5CD8FA4C" w14:textId="77777777" w:rsidR="00BA49F5" w:rsidRDefault="00BA49F5">
            <w:pPr>
              <w:rPr>
                <w:rFonts w:ascii="宋体"/>
              </w:rPr>
            </w:pPr>
          </w:p>
        </w:tc>
        <w:tc>
          <w:tcPr>
            <w:tcW w:w="785" w:type="pct"/>
            <w:shd w:val="clear" w:color="auto" w:fill="auto"/>
            <w:vAlign w:val="bottom"/>
          </w:tcPr>
          <w:p w14:paraId="5CD8FA4D" w14:textId="77777777" w:rsidR="00BA49F5" w:rsidRDefault="00BA49F5">
            <w:pPr>
              <w:rPr>
                <w:rFonts w:ascii="宋体"/>
              </w:rPr>
            </w:pPr>
          </w:p>
        </w:tc>
        <w:tc>
          <w:tcPr>
            <w:tcW w:w="5" w:type="pct"/>
            <w:shd w:val="clear" w:color="auto" w:fill="auto"/>
            <w:vAlign w:val="bottom"/>
          </w:tcPr>
          <w:p w14:paraId="5CD8FA4E" w14:textId="77777777" w:rsidR="00BA49F5" w:rsidRDefault="00BA49F5">
            <w:pPr>
              <w:rPr>
                <w:rFonts w:ascii="宋体"/>
              </w:rPr>
            </w:pPr>
          </w:p>
        </w:tc>
        <w:tc>
          <w:tcPr>
            <w:tcW w:w="5" w:type="pct"/>
            <w:shd w:val="clear" w:color="auto" w:fill="auto"/>
            <w:vAlign w:val="bottom"/>
          </w:tcPr>
          <w:p w14:paraId="5CD8FA4F" w14:textId="77777777" w:rsidR="00BA49F5" w:rsidRDefault="00BA49F5">
            <w:pPr>
              <w:rPr>
                <w:rFonts w:ascii="宋体"/>
              </w:rPr>
            </w:pPr>
          </w:p>
        </w:tc>
        <w:tc>
          <w:tcPr>
            <w:tcW w:w="27" w:type="pct"/>
            <w:shd w:val="clear" w:color="auto" w:fill="auto"/>
            <w:vAlign w:val="bottom"/>
          </w:tcPr>
          <w:p w14:paraId="5CD8FA50" w14:textId="77777777" w:rsidR="00BA49F5" w:rsidRDefault="00BA49F5">
            <w:pPr>
              <w:rPr>
                <w:rFonts w:ascii="宋体"/>
              </w:rPr>
            </w:pPr>
          </w:p>
        </w:tc>
        <w:tc>
          <w:tcPr>
            <w:tcW w:w="5" w:type="pct"/>
            <w:shd w:val="clear" w:color="auto" w:fill="auto"/>
            <w:vAlign w:val="bottom"/>
          </w:tcPr>
          <w:p w14:paraId="5CD8FA51" w14:textId="77777777" w:rsidR="00BA49F5" w:rsidRDefault="00BA49F5">
            <w:pPr>
              <w:rPr>
                <w:rFonts w:ascii="宋体"/>
              </w:rPr>
            </w:pPr>
          </w:p>
        </w:tc>
        <w:tc>
          <w:tcPr>
            <w:tcW w:w="50" w:type="pct"/>
            <w:shd w:val="clear" w:color="auto" w:fill="auto"/>
            <w:vAlign w:val="bottom"/>
          </w:tcPr>
          <w:p w14:paraId="5CD8FA52" w14:textId="77777777" w:rsidR="00BA49F5" w:rsidRDefault="00BA49F5">
            <w:pPr>
              <w:rPr>
                <w:rFonts w:ascii="宋体"/>
              </w:rPr>
            </w:pPr>
          </w:p>
        </w:tc>
        <w:tc>
          <w:tcPr>
            <w:tcW w:w="785" w:type="pct"/>
            <w:shd w:val="clear" w:color="auto" w:fill="auto"/>
            <w:vAlign w:val="bottom"/>
          </w:tcPr>
          <w:p w14:paraId="5CD8FA53" w14:textId="77777777" w:rsidR="00BA49F5" w:rsidRDefault="00BA49F5">
            <w:pPr>
              <w:rPr>
                <w:rFonts w:ascii="宋体"/>
              </w:rPr>
            </w:pPr>
          </w:p>
        </w:tc>
        <w:tc>
          <w:tcPr>
            <w:tcW w:w="5" w:type="pct"/>
            <w:shd w:val="clear" w:color="auto" w:fill="auto"/>
            <w:vAlign w:val="bottom"/>
          </w:tcPr>
          <w:p w14:paraId="5CD8FA54" w14:textId="77777777" w:rsidR="00BA49F5" w:rsidRDefault="00BA49F5">
            <w:pPr>
              <w:rPr>
                <w:rFonts w:ascii="宋体"/>
              </w:rPr>
            </w:pPr>
          </w:p>
        </w:tc>
      </w:tr>
      <w:tr w:rsidR="00BA49F5" w14:paraId="5CD8FA58" w14:textId="77777777">
        <w:tc>
          <w:tcPr>
            <w:tcW w:w="0" w:type="auto"/>
            <w:gridSpan w:val="3"/>
            <w:shd w:val="clear" w:color="auto" w:fill="auto"/>
            <w:tcMar>
              <w:top w:w="0" w:type="dxa"/>
              <w:left w:w="20" w:type="dxa"/>
              <w:bottom w:w="0" w:type="dxa"/>
              <w:right w:w="20" w:type="dxa"/>
            </w:tcMar>
            <w:vAlign w:val="bottom"/>
          </w:tcPr>
          <w:p w14:paraId="5CD8FA56"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8FA57"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8FA5D" w14:textId="77777777">
        <w:tc>
          <w:tcPr>
            <w:tcW w:w="0" w:type="auto"/>
            <w:gridSpan w:val="3"/>
            <w:shd w:val="clear" w:color="auto" w:fill="auto"/>
            <w:tcMar>
              <w:top w:w="0" w:type="dxa"/>
              <w:left w:w="20" w:type="dxa"/>
              <w:bottom w:w="0" w:type="dxa"/>
              <w:right w:w="20" w:type="dxa"/>
            </w:tcMar>
            <w:vAlign w:val="bottom"/>
          </w:tcPr>
          <w:p w14:paraId="5CD8FA5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A5A"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A5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A5C"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8FA62" w14:textId="77777777">
        <w:tc>
          <w:tcPr>
            <w:tcW w:w="0" w:type="auto"/>
            <w:gridSpan w:val="3"/>
            <w:shd w:val="clear" w:color="auto" w:fill="CCEEFF"/>
            <w:tcMar>
              <w:top w:w="40" w:type="dxa"/>
              <w:left w:w="20" w:type="dxa"/>
              <w:bottom w:w="40" w:type="dxa"/>
              <w:right w:w="20" w:type="dxa"/>
            </w:tcMar>
            <w:vAlign w:val="bottom"/>
          </w:tcPr>
          <w:p w14:paraId="5CD8FA5E" w14:textId="77777777" w:rsidR="00BA49F5" w:rsidRDefault="007E5E49">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5F"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A60"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61" w14:textId="77777777" w:rsidR="00BA49F5" w:rsidRDefault="00BA49F5">
            <w:pPr>
              <w:rPr>
                <w:rFonts w:ascii="宋体"/>
              </w:rPr>
            </w:pPr>
          </w:p>
        </w:tc>
      </w:tr>
      <w:tr w:rsidR="00BA49F5" w14:paraId="5CD8FA6B" w14:textId="77777777">
        <w:tc>
          <w:tcPr>
            <w:tcW w:w="0" w:type="auto"/>
            <w:gridSpan w:val="3"/>
            <w:shd w:val="clear" w:color="auto" w:fill="FFFFFF"/>
            <w:tcMar>
              <w:top w:w="40" w:type="dxa"/>
              <w:left w:w="200" w:type="dxa"/>
              <w:bottom w:w="40" w:type="dxa"/>
              <w:right w:w="20" w:type="dxa"/>
            </w:tcMar>
            <w:vAlign w:val="bottom"/>
          </w:tcPr>
          <w:p w14:paraId="5CD8FA63" w14:textId="77777777" w:rsidR="00BA49F5" w:rsidRDefault="007E5E49">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5CD8FA6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A65" w14:textId="77777777" w:rsidR="00BA49F5" w:rsidRDefault="007E5E49">
            <w:pPr>
              <w:jc w:val="right"/>
              <w:textAlignment w:val="bottom"/>
            </w:pPr>
            <w:r>
              <w:rPr>
                <w:rFonts w:ascii="Times New Roman" w:eastAsia="宋体" w:hAnsi="Times New Roman"/>
                <w:color w:val="000000"/>
                <w:sz w:val="20"/>
                <w:szCs w:val="20"/>
              </w:rPr>
              <w:t>6,176 </w:t>
            </w:r>
          </w:p>
        </w:tc>
        <w:tc>
          <w:tcPr>
            <w:tcW w:w="0" w:type="auto"/>
            <w:shd w:val="clear" w:color="auto" w:fill="FFFFFF"/>
            <w:tcMar>
              <w:top w:w="40" w:type="dxa"/>
              <w:left w:w="0" w:type="dxa"/>
              <w:bottom w:w="40" w:type="dxa"/>
              <w:right w:w="20" w:type="dxa"/>
            </w:tcMar>
            <w:vAlign w:val="bottom"/>
          </w:tcPr>
          <w:p w14:paraId="5CD8FA6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67"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A6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A69" w14:textId="77777777" w:rsidR="00BA49F5" w:rsidRDefault="007E5E49">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5CD8FA6A" w14:textId="77777777" w:rsidR="00BA49F5" w:rsidRDefault="00BA49F5">
            <w:pPr>
              <w:jc w:val="right"/>
              <w:rPr>
                <w:rFonts w:ascii="宋体"/>
              </w:rPr>
            </w:pPr>
          </w:p>
        </w:tc>
      </w:tr>
      <w:tr w:rsidR="00BA49F5" w14:paraId="5CD8FA72" w14:textId="77777777">
        <w:tc>
          <w:tcPr>
            <w:tcW w:w="0" w:type="auto"/>
            <w:gridSpan w:val="3"/>
            <w:shd w:val="clear" w:color="auto" w:fill="CCEEFF"/>
            <w:tcMar>
              <w:top w:w="40" w:type="dxa"/>
              <w:left w:w="200" w:type="dxa"/>
              <w:bottom w:w="40" w:type="dxa"/>
              <w:right w:w="20" w:type="dxa"/>
            </w:tcMar>
            <w:vAlign w:val="bottom"/>
          </w:tcPr>
          <w:p w14:paraId="5CD8FA6C" w14:textId="77777777" w:rsidR="00BA49F5" w:rsidRDefault="007E5E49">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5CD8FA6D" w14:textId="77777777" w:rsidR="00BA49F5" w:rsidRDefault="007E5E49">
            <w:pPr>
              <w:jc w:val="right"/>
              <w:textAlignment w:val="bottom"/>
            </w:pPr>
            <w:r>
              <w:rPr>
                <w:rFonts w:ascii="Times New Roman" w:eastAsia="宋体" w:hAnsi="Times New Roman"/>
                <w:color w:val="000000"/>
                <w:sz w:val="20"/>
                <w:szCs w:val="20"/>
              </w:rPr>
              <w:t>8,305 </w:t>
            </w:r>
          </w:p>
        </w:tc>
        <w:tc>
          <w:tcPr>
            <w:tcW w:w="0" w:type="auto"/>
            <w:shd w:val="clear" w:color="auto" w:fill="CCEEFF"/>
            <w:tcMar>
              <w:top w:w="40" w:type="dxa"/>
              <w:left w:w="0" w:type="dxa"/>
              <w:bottom w:w="40" w:type="dxa"/>
              <w:right w:w="20" w:type="dxa"/>
            </w:tcMar>
            <w:vAlign w:val="bottom"/>
          </w:tcPr>
          <w:p w14:paraId="5CD8FA6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6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70" w14:textId="77777777" w:rsidR="00BA49F5" w:rsidRDefault="007E5E49">
            <w:pPr>
              <w:jc w:val="right"/>
              <w:textAlignment w:val="bottom"/>
            </w:pPr>
            <w:r>
              <w:rPr>
                <w:rFonts w:ascii="Times New Roman" w:eastAsia="宋体" w:hAnsi="Times New Roman"/>
                <w:color w:val="000000"/>
                <w:sz w:val="20"/>
                <w:szCs w:val="20"/>
              </w:rPr>
              <w:t>8,850 </w:t>
            </w:r>
          </w:p>
        </w:tc>
        <w:tc>
          <w:tcPr>
            <w:tcW w:w="0" w:type="auto"/>
            <w:shd w:val="clear" w:color="auto" w:fill="CCEEFF"/>
            <w:tcMar>
              <w:top w:w="40" w:type="dxa"/>
              <w:left w:w="0" w:type="dxa"/>
              <w:bottom w:w="40" w:type="dxa"/>
              <w:right w:w="20" w:type="dxa"/>
            </w:tcMar>
            <w:vAlign w:val="bottom"/>
          </w:tcPr>
          <w:p w14:paraId="5CD8FA71" w14:textId="77777777" w:rsidR="00BA49F5" w:rsidRDefault="00BA49F5">
            <w:pPr>
              <w:jc w:val="right"/>
              <w:rPr>
                <w:rFonts w:ascii="宋体"/>
              </w:rPr>
            </w:pPr>
          </w:p>
        </w:tc>
      </w:tr>
      <w:tr w:rsidR="00BA49F5" w14:paraId="5CD8FA79" w14:textId="77777777">
        <w:tc>
          <w:tcPr>
            <w:tcW w:w="0" w:type="auto"/>
            <w:gridSpan w:val="3"/>
            <w:shd w:val="clear" w:color="auto" w:fill="FFFFFF"/>
            <w:tcMar>
              <w:top w:w="40" w:type="dxa"/>
              <w:left w:w="200" w:type="dxa"/>
              <w:bottom w:w="40" w:type="dxa"/>
              <w:right w:w="20" w:type="dxa"/>
            </w:tcMar>
            <w:vAlign w:val="bottom"/>
          </w:tcPr>
          <w:p w14:paraId="5CD8FA73"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5CD8FA7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A7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7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77"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5CD8FA78" w14:textId="77777777" w:rsidR="00BA49F5" w:rsidRDefault="00BA49F5">
            <w:pPr>
              <w:jc w:val="right"/>
              <w:rPr>
                <w:rFonts w:ascii="宋体"/>
              </w:rPr>
            </w:pPr>
          </w:p>
        </w:tc>
      </w:tr>
      <w:tr w:rsidR="00BA49F5" w14:paraId="5CD8FA80" w14:textId="77777777">
        <w:tc>
          <w:tcPr>
            <w:tcW w:w="0" w:type="auto"/>
            <w:gridSpan w:val="3"/>
            <w:shd w:val="clear" w:color="auto" w:fill="CCEEFF"/>
            <w:tcMar>
              <w:top w:w="40" w:type="dxa"/>
              <w:left w:w="200" w:type="dxa"/>
              <w:bottom w:w="40" w:type="dxa"/>
              <w:right w:w="20" w:type="dxa"/>
            </w:tcMar>
            <w:vAlign w:val="bottom"/>
          </w:tcPr>
          <w:p w14:paraId="5CD8FA7A"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5CD8FA7B"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CD8FA7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7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7E" w14:textId="77777777" w:rsidR="00BA49F5" w:rsidRDefault="007E5E49">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5CD8FA7F" w14:textId="77777777" w:rsidR="00BA49F5" w:rsidRDefault="00BA49F5">
            <w:pPr>
              <w:jc w:val="right"/>
              <w:rPr>
                <w:rFonts w:ascii="宋体"/>
              </w:rPr>
            </w:pPr>
          </w:p>
        </w:tc>
      </w:tr>
      <w:tr w:rsidR="00BA49F5" w14:paraId="5CD8FA87" w14:textId="77777777">
        <w:tc>
          <w:tcPr>
            <w:tcW w:w="0" w:type="auto"/>
            <w:gridSpan w:val="3"/>
            <w:shd w:val="clear" w:color="auto" w:fill="FFFFFF"/>
            <w:tcMar>
              <w:top w:w="40" w:type="dxa"/>
              <w:left w:w="200" w:type="dxa"/>
              <w:bottom w:w="40" w:type="dxa"/>
              <w:right w:w="20" w:type="dxa"/>
            </w:tcMar>
            <w:vAlign w:val="bottom"/>
          </w:tcPr>
          <w:p w14:paraId="5CD8FA81" w14:textId="77777777" w:rsidR="00BA49F5" w:rsidRDefault="007E5E49">
            <w:pPr>
              <w:textAlignment w:val="bottom"/>
            </w:pPr>
            <w:r>
              <w:rPr>
                <w:rFonts w:ascii="Times New Roman" w:eastAsia="宋体" w:hAnsi="Times New Roman"/>
                <w:color w:val="000000"/>
                <w:sz w:val="20"/>
                <w:szCs w:val="20"/>
              </w:rPr>
              <w:t xml:space="preserve">Certificates of deposit and </w:t>
            </w:r>
            <w:r>
              <w:rPr>
                <w:rFonts w:ascii="Times New Roman" w:eastAsia="宋体" w:hAnsi="Times New Roman"/>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5CD8FA82" w14:textId="77777777" w:rsidR="00BA49F5" w:rsidRDefault="007E5E49">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5CD8FA8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8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85" w14:textId="77777777" w:rsidR="00BA49F5" w:rsidRDefault="007E5E49">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left w:w="0" w:type="dxa"/>
              <w:bottom w:w="40" w:type="dxa"/>
              <w:right w:w="20" w:type="dxa"/>
            </w:tcMar>
            <w:vAlign w:val="bottom"/>
          </w:tcPr>
          <w:p w14:paraId="5CD8FA86" w14:textId="77777777" w:rsidR="00BA49F5" w:rsidRDefault="00BA49F5">
            <w:pPr>
              <w:jc w:val="right"/>
              <w:rPr>
                <w:rFonts w:ascii="宋体"/>
              </w:rPr>
            </w:pPr>
          </w:p>
        </w:tc>
      </w:tr>
      <w:tr w:rsidR="00BA49F5" w14:paraId="5CD8FA8E" w14:textId="77777777">
        <w:tc>
          <w:tcPr>
            <w:tcW w:w="0" w:type="auto"/>
            <w:gridSpan w:val="3"/>
            <w:shd w:val="clear" w:color="auto" w:fill="CCEEFF"/>
            <w:tcMar>
              <w:top w:w="40" w:type="dxa"/>
              <w:left w:w="200" w:type="dxa"/>
              <w:bottom w:w="40" w:type="dxa"/>
              <w:right w:w="20" w:type="dxa"/>
            </w:tcMar>
            <w:vAlign w:val="bottom"/>
          </w:tcPr>
          <w:p w14:paraId="5CD8FA88"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5CD8FA89" w14:textId="77777777" w:rsidR="00BA49F5" w:rsidRDefault="007E5E49">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CD8FA8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8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8C" w14:textId="77777777" w:rsidR="00BA49F5" w:rsidRDefault="007E5E49">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5CD8FA8D" w14:textId="77777777" w:rsidR="00BA49F5" w:rsidRDefault="00BA49F5">
            <w:pPr>
              <w:jc w:val="right"/>
              <w:rPr>
                <w:rFonts w:ascii="宋体"/>
              </w:rPr>
            </w:pPr>
          </w:p>
        </w:tc>
      </w:tr>
      <w:tr w:rsidR="00BA49F5" w14:paraId="5CD8FA95" w14:textId="77777777">
        <w:tc>
          <w:tcPr>
            <w:tcW w:w="0" w:type="auto"/>
            <w:gridSpan w:val="3"/>
            <w:shd w:val="clear" w:color="auto" w:fill="FFFFFF"/>
            <w:tcMar>
              <w:top w:w="40" w:type="dxa"/>
              <w:left w:w="380" w:type="dxa"/>
              <w:bottom w:w="40" w:type="dxa"/>
              <w:right w:w="20" w:type="dxa"/>
            </w:tcMar>
            <w:vAlign w:val="bottom"/>
          </w:tcPr>
          <w:p w14:paraId="5CD8FA8F" w14:textId="77777777" w:rsidR="00BA49F5" w:rsidRDefault="007E5E49">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90" w14:textId="77777777" w:rsidR="00BA49F5" w:rsidRDefault="007E5E49">
            <w:pPr>
              <w:jc w:val="right"/>
              <w:textAlignment w:val="bottom"/>
            </w:pPr>
            <w:r>
              <w:rPr>
                <w:rFonts w:ascii="Times New Roman" w:eastAsia="宋体" w:hAnsi="Times New Roman"/>
                <w:color w:val="000000"/>
                <w:sz w:val="20"/>
                <w:szCs w:val="20"/>
              </w:rPr>
              <w:t>14,681 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9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92"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93" w14:textId="77777777" w:rsidR="00BA49F5" w:rsidRDefault="007E5E49">
            <w:pPr>
              <w:jc w:val="right"/>
              <w:textAlignment w:val="bottom"/>
            </w:pPr>
            <w:r>
              <w:rPr>
                <w:rFonts w:ascii="Times New Roman" w:eastAsia="宋体" w:hAnsi="Times New Roman"/>
                <w:color w:val="000000"/>
                <w:sz w:val="20"/>
                <w:szCs w:val="20"/>
              </w:rPr>
              <w:t>16,601 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94" w14:textId="77777777" w:rsidR="00BA49F5" w:rsidRDefault="00BA49F5">
            <w:pPr>
              <w:jc w:val="right"/>
              <w:rPr>
                <w:rFonts w:ascii="宋体"/>
              </w:rPr>
            </w:pPr>
          </w:p>
        </w:tc>
      </w:tr>
      <w:tr w:rsidR="00BA49F5" w14:paraId="5CD8FA9A" w14:textId="77777777">
        <w:tc>
          <w:tcPr>
            <w:tcW w:w="0" w:type="auto"/>
            <w:gridSpan w:val="3"/>
            <w:shd w:val="clear" w:color="auto" w:fill="CCEEFF"/>
            <w:tcMar>
              <w:top w:w="40" w:type="dxa"/>
              <w:left w:w="20" w:type="dxa"/>
              <w:bottom w:w="40" w:type="dxa"/>
              <w:right w:w="20" w:type="dxa"/>
            </w:tcMar>
            <w:vAlign w:val="bottom"/>
          </w:tcPr>
          <w:p w14:paraId="5CD8FA96" w14:textId="77777777" w:rsidR="00BA49F5" w:rsidRDefault="007E5E49">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9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A98"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99" w14:textId="77777777" w:rsidR="00BA49F5" w:rsidRDefault="00BA49F5">
            <w:pPr>
              <w:rPr>
                <w:rFonts w:ascii="宋体"/>
              </w:rPr>
            </w:pPr>
          </w:p>
        </w:tc>
      </w:tr>
      <w:tr w:rsidR="00BA49F5" w14:paraId="5CD8FA9F" w14:textId="77777777">
        <w:tc>
          <w:tcPr>
            <w:tcW w:w="0" w:type="auto"/>
            <w:gridSpan w:val="3"/>
            <w:shd w:val="clear" w:color="auto" w:fill="FFFFFF"/>
            <w:tcMar>
              <w:top w:w="40" w:type="dxa"/>
              <w:left w:w="200" w:type="dxa"/>
              <w:bottom w:w="40" w:type="dxa"/>
              <w:right w:w="20" w:type="dxa"/>
            </w:tcMar>
            <w:vAlign w:val="bottom"/>
          </w:tcPr>
          <w:p w14:paraId="5CD8FA9B" w14:textId="77777777" w:rsidR="00BA49F5" w:rsidRDefault="007E5E49">
            <w:pPr>
              <w:textAlignment w:val="bottom"/>
            </w:pPr>
            <w:r>
              <w:rPr>
                <w:rFonts w:ascii="Times New Roman" w:eastAsia="宋体" w:hAnsi="Times New Roman"/>
                <w:color w:val="000000"/>
                <w:sz w:val="20"/>
                <w:szCs w:val="20"/>
              </w:rPr>
              <w:t>Marketable debt securities:</w:t>
            </w:r>
          </w:p>
        </w:tc>
        <w:tc>
          <w:tcPr>
            <w:tcW w:w="0" w:type="auto"/>
            <w:gridSpan w:val="3"/>
            <w:shd w:val="clear" w:color="auto" w:fill="FFFFFF"/>
            <w:tcMar>
              <w:top w:w="0" w:type="dxa"/>
              <w:left w:w="20" w:type="dxa"/>
              <w:bottom w:w="0" w:type="dxa"/>
              <w:right w:w="20" w:type="dxa"/>
            </w:tcMar>
            <w:vAlign w:val="bottom"/>
          </w:tcPr>
          <w:p w14:paraId="5CD8FA9C"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A9D"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A9E" w14:textId="77777777" w:rsidR="00BA49F5" w:rsidRDefault="00BA49F5">
            <w:pPr>
              <w:rPr>
                <w:rFonts w:ascii="宋体"/>
              </w:rPr>
            </w:pPr>
          </w:p>
        </w:tc>
      </w:tr>
      <w:tr w:rsidR="00BA49F5" w14:paraId="5CD8FAA6" w14:textId="77777777">
        <w:tc>
          <w:tcPr>
            <w:tcW w:w="0" w:type="auto"/>
            <w:gridSpan w:val="3"/>
            <w:shd w:val="clear" w:color="auto" w:fill="CCEEFF"/>
            <w:tcMar>
              <w:top w:w="40" w:type="dxa"/>
              <w:left w:w="380" w:type="dxa"/>
              <w:bottom w:w="40" w:type="dxa"/>
              <w:right w:w="20" w:type="dxa"/>
            </w:tcMar>
            <w:vAlign w:val="bottom"/>
          </w:tcPr>
          <w:p w14:paraId="5CD8FAA0"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5CD8FAA1" w14:textId="77777777" w:rsidR="00BA49F5" w:rsidRDefault="007E5E49">
            <w:pPr>
              <w:jc w:val="right"/>
              <w:textAlignment w:val="bottom"/>
            </w:pPr>
            <w:r>
              <w:rPr>
                <w:rFonts w:ascii="Times New Roman" w:eastAsia="宋体" w:hAnsi="Times New Roman"/>
                <w:color w:val="000000"/>
                <w:sz w:val="20"/>
                <w:szCs w:val="20"/>
              </w:rPr>
              <w:t>8,708 </w:t>
            </w:r>
          </w:p>
        </w:tc>
        <w:tc>
          <w:tcPr>
            <w:tcW w:w="0" w:type="auto"/>
            <w:shd w:val="clear" w:color="auto" w:fill="CCEEFF"/>
            <w:tcMar>
              <w:top w:w="40" w:type="dxa"/>
              <w:left w:w="0" w:type="dxa"/>
              <w:bottom w:w="40" w:type="dxa"/>
              <w:right w:w="20" w:type="dxa"/>
            </w:tcMar>
            <w:vAlign w:val="bottom"/>
          </w:tcPr>
          <w:p w14:paraId="5CD8FAA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A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A4" w14:textId="77777777" w:rsidR="00BA49F5" w:rsidRDefault="007E5E49">
            <w:pPr>
              <w:jc w:val="right"/>
              <w:textAlignment w:val="bottom"/>
            </w:pPr>
            <w:r>
              <w:rPr>
                <w:rFonts w:ascii="Times New Roman" w:eastAsia="宋体" w:hAnsi="Times New Roman"/>
                <w:color w:val="000000"/>
                <w:sz w:val="20"/>
                <w:szCs w:val="20"/>
              </w:rPr>
              <w:t>10,901 </w:t>
            </w:r>
          </w:p>
        </w:tc>
        <w:tc>
          <w:tcPr>
            <w:tcW w:w="0" w:type="auto"/>
            <w:shd w:val="clear" w:color="auto" w:fill="CCEEFF"/>
            <w:tcMar>
              <w:top w:w="40" w:type="dxa"/>
              <w:left w:w="0" w:type="dxa"/>
              <w:bottom w:w="40" w:type="dxa"/>
              <w:right w:w="20" w:type="dxa"/>
            </w:tcMar>
            <w:vAlign w:val="bottom"/>
          </w:tcPr>
          <w:p w14:paraId="5CD8FAA5" w14:textId="77777777" w:rsidR="00BA49F5" w:rsidRDefault="00BA49F5">
            <w:pPr>
              <w:jc w:val="right"/>
              <w:rPr>
                <w:rFonts w:ascii="宋体"/>
              </w:rPr>
            </w:pPr>
          </w:p>
        </w:tc>
      </w:tr>
      <w:tr w:rsidR="00BA49F5" w14:paraId="5CD8FAAD" w14:textId="77777777">
        <w:tc>
          <w:tcPr>
            <w:tcW w:w="0" w:type="auto"/>
            <w:gridSpan w:val="3"/>
            <w:shd w:val="clear" w:color="auto" w:fill="FFFFFF"/>
            <w:tcMar>
              <w:top w:w="40" w:type="dxa"/>
              <w:left w:w="380" w:type="dxa"/>
              <w:bottom w:w="40" w:type="dxa"/>
              <w:right w:w="20" w:type="dxa"/>
            </w:tcMar>
            <w:vAlign w:val="bottom"/>
          </w:tcPr>
          <w:p w14:paraId="5CD8FAA7" w14:textId="77777777" w:rsidR="00BA49F5" w:rsidRDefault="007E5E49">
            <w:pPr>
              <w:textAlignment w:val="bottom"/>
            </w:pPr>
            <w:r>
              <w:rPr>
                <w:rFonts w:ascii="Times New Roman" w:eastAsia="宋体" w:hAnsi="Times New Roman"/>
                <w:color w:val="000000"/>
                <w:sz w:val="20"/>
                <w:szCs w:val="20"/>
              </w:rPr>
              <w:t xml:space="preserve">U.S. government agency </w:t>
            </w:r>
            <w:r>
              <w:rPr>
                <w:rFonts w:ascii="Times New Roman" w:eastAsia="宋体" w:hAnsi="Times New Roman"/>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5CD8FAA8" w14:textId="77777777" w:rsidR="00BA49F5" w:rsidRDefault="007E5E49">
            <w:pPr>
              <w:jc w:val="right"/>
              <w:textAlignment w:val="bottom"/>
            </w:pPr>
            <w:r>
              <w:rPr>
                <w:rFonts w:ascii="Times New Roman" w:eastAsia="宋体" w:hAnsi="Times New Roman"/>
                <w:color w:val="000000"/>
                <w:sz w:val="20"/>
                <w:szCs w:val="20"/>
              </w:rPr>
              <w:t>4,989 </w:t>
            </w:r>
          </w:p>
        </w:tc>
        <w:tc>
          <w:tcPr>
            <w:tcW w:w="0" w:type="auto"/>
            <w:shd w:val="clear" w:color="auto" w:fill="FFFFFF"/>
            <w:tcMar>
              <w:top w:w="40" w:type="dxa"/>
              <w:left w:w="0" w:type="dxa"/>
              <w:bottom w:w="40" w:type="dxa"/>
              <w:right w:w="20" w:type="dxa"/>
            </w:tcMar>
            <w:vAlign w:val="bottom"/>
          </w:tcPr>
          <w:p w14:paraId="5CD8FAA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A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AB" w14:textId="77777777" w:rsidR="00BA49F5" w:rsidRDefault="007E5E49">
            <w:pPr>
              <w:jc w:val="right"/>
              <w:textAlignment w:val="bottom"/>
            </w:pPr>
            <w:r>
              <w:rPr>
                <w:rFonts w:ascii="Times New Roman" w:eastAsia="宋体" w:hAnsi="Times New Roman"/>
                <w:color w:val="000000"/>
                <w:sz w:val="20"/>
                <w:szCs w:val="20"/>
              </w:rPr>
              <w:t>5,927 </w:t>
            </w:r>
          </w:p>
        </w:tc>
        <w:tc>
          <w:tcPr>
            <w:tcW w:w="0" w:type="auto"/>
            <w:shd w:val="clear" w:color="auto" w:fill="FFFFFF"/>
            <w:tcMar>
              <w:top w:w="40" w:type="dxa"/>
              <w:left w:w="0" w:type="dxa"/>
              <w:bottom w:w="40" w:type="dxa"/>
              <w:right w:w="20" w:type="dxa"/>
            </w:tcMar>
            <w:vAlign w:val="bottom"/>
          </w:tcPr>
          <w:p w14:paraId="5CD8FAAC" w14:textId="77777777" w:rsidR="00BA49F5" w:rsidRDefault="00BA49F5">
            <w:pPr>
              <w:jc w:val="right"/>
              <w:rPr>
                <w:rFonts w:ascii="宋体"/>
              </w:rPr>
            </w:pPr>
          </w:p>
        </w:tc>
      </w:tr>
      <w:tr w:rsidR="00BA49F5" w14:paraId="5CD8FAB4" w14:textId="77777777">
        <w:tc>
          <w:tcPr>
            <w:tcW w:w="0" w:type="auto"/>
            <w:gridSpan w:val="3"/>
            <w:shd w:val="clear" w:color="auto" w:fill="CCEEFF"/>
            <w:tcMar>
              <w:top w:w="40" w:type="dxa"/>
              <w:left w:w="380" w:type="dxa"/>
              <w:bottom w:w="40" w:type="dxa"/>
              <w:right w:w="20" w:type="dxa"/>
            </w:tcMar>
            <w:vAlign w:val="bottom"/>
          </w:tcPr>
          <w:p w14:paraId="5CD8FAAE"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5CD8FAAF" w14:textId="77777777" w:rsidR="00BA49F5" w:rsidRDefault="007E5E49">
            <w:pPr>
              <w:jc w:val="right"/>
              <w:textAlignment w:val="bottom"/>
            </w:pPr>
            <w:r>
              <w:rPr>
                <w:rFonts w:ascii="Times New Roman" w:eastAsia="宋体" w:hAnsi="Times New Roman"/>
                <w:color w:val="000000"/>
                <w:sz w:val="20"/>
                <w:szCs w:val="20"/>
              </w:rPr>
              <w:t>12,335 </w:t>
            </w:r>
          </w:p>
        </w:tc>
        <w:tc>
          <w:tcPr>
            <w:tcW w:w="0" w:type="auto"/>
            <w:shd w:val="clear" w:color="auto" w:fill="CCEEFF"/>
            <w:tcMar>
              <w:top w:w="40" w:type="dxa"/>
              <w:left w:w="0" w:type="dxa"/>
              <w:bottom w:w="40" w:type="dxa"/>
              <w:right w:w="20" w:type="dxa"/>
            </w:tcMar>
            <w:vAlign w:val="bottom"/>
          </w:tcPr>
          <w:p w14:paraId="5CD8FAB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B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B2" w14:textId="77777777" w:rsidR="00BA49F5" w:rsidRDefault="007E5E49">
            <w:pPr>
              <w:jc w:val="right"/>
              <w:textAlignment w:val="bottom"/>
            </w:pPr>
            <w:r>
              <w:rPr>
                <w:rFonts w:ascii="Times New Roman" w:eastAsia="宋体" w:hAnsi="Times New Roman"/>
                <w:color w:val="000000"/>
                <w:sz w:val="20"/>
                <w:szCs w:val="20"/>
              </w:rPr>
              <w:t>14,569 </w:t>
            </w:r>
          </w:p>
        </w:tc>
        <w:tc>
          <w:tcPr>
            <w:tcW w:w="0" w:type="auto"/>
            <w:shd w:val="clear" w:color="auto" w:fill="CCEEFF"/>
            <w:tcMar>
              <w:top w:w="40" w:type="dxa"/>
              <w:left w:w="0" w:type="dxa"/>
              <w:bottom w:w="40" w:type="dxa"/>
              <w:right w:w="20" w:type="dxa"/>
            </w:tcMar>
            <w:vAlign w:val="bottom"/>
          </w:tcPr>
          <w:p w14:paraId="5CD8FAB3" w14:textId="77777777" w:rsidR="00BA49F5" w:rsidRDefault="00BA49F5">
            <w:pPr>
              <w:jc w:val="right"/>
              <w:rPr>
                <w:rFonts w:ascii="宋体"/>
              </w:rPr>
            </w:pPr>
          </w:p>
        </w:tc>
      </w:tr>
      <w:tr w:rsidR="00BA49F5" w14:paraId="5CD8FABB" w14:textId="77777777">
        <w:tc>
          <w:tcPr>
            <w:tcW w:w="0" w:type="auto"/>
            <w:gridSpan w:val="3"/>
            <w:shd w:val="clear" w:color="auto" w:fill="FFFFFF"/>
            <w:tcMar>
              <w:top w:w="40" w:type="dxa"/>
              <w:left w:w="560" w:type="dxa"/>
              <w:bottom w:w="40" w:type="dxa"/>
              <w:right w:w="20" w:type="dxa"/>
            </w:tcMar>
            <w:vAlign w:val="bottom"/>
          </w:tcPr>
          <w:p w14:paraId="5CD8FAB5" w14:textId="77777777" w:rsidR="00BA49F5" w:rsidRDefault="007E5E49">
            <w:pPr>
              <w:textAlignment w:val="bottom"/>
            </w:pPr>
            <w:r>
              <w:rPr>
                <w:rFonts w:ascii="Times New Roman" w:eastAsia="宋体" w:hAnsi="Times New Roman"/>
                <w:color w:val="000000"/>
                <w:sz w:val="20"/>
                <w:szCs w:val="20"/>
              </w:rPr>
              <w:t>Total marketable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B6" w14:textId="77777777" w:rsidR="00BA49F5" w:rsidRDefault="007E5E49">
            <w:pPr>
              <w:jc w:val="right"/>
              <w:textAlignment w:val="bottom"/>
            </w:pPr>
            <w:r>
              <w:rPr>
                <w:rFonts w:ascii="Times New Roman" w:eastAsia="宋体" w:hAnsi="Times New Roman"/>
                <w:color w:val="000000"/>
                <w:sz w:val="20"/>
                <w:szCs w:val="20"/>
              </w:rPr>
              <w:t>26,032 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B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B8"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B9" w14:textId="77777777" w:rsidR="00BA49F5" w:rsidRDefault="007E5E49">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BA" w14:textId="77777777" w:rsidR="00BA49F5" w:rsidRDefault="00BA49F5">
            <w:pPr>
              <w:jc w:val="right"/>
              <w:rPr>
                <w:rFonts w:ascii="宋体"/>
              </w:rPr>
            </w:pPr>
          </w:p>
        </w:tc>
      </w:tr>
      <w:tr w:rsidR="00BA49F5" w14:paraId="5CD8FAC2" w14:textId="77777777">
        <w:tc>
          <w:tcPr>
            <w:tcW w:w="0" w:type="auto"/>
            <w:gridSpan w:val="3"/>
            <w:shd w:val="clear" w:color="auto" w:fill="CCEEFF"/>
            <w:tcMar>
              <w:top w:w="40" w:type="dxa"/>
              <w:left w:w="200" w:type="dxa"/>
              <w:bottom w:w="40" w:type="dxa"/>
              <w:right w:w="20" w:type="dxa"/>
            </w:tcMar>
            <w:vAlign w:val="bottom"/>
          </w:tcPr>
          <w:p w14:paraId="5CD8FABC" w14:textId="77777777" w:rsidR="00BA49F5" w:rsidRDefault="007E5E49">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5CD8FABD"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CD8FAB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B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C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AC1" w14:textId="77777777" w:rsidR="00BA49F5" w:rsidRDefault="00BA49F5">
            <w:pPr>
              <w:jc w:val="right"/>
              <w:rPr>
                <w:rFonts w:ascii="宋体"/>
              </w:rPr>
            </w:pPr>
          </w:p>
        </w:tc>
      </w:tr>
      <w:tr w:rsidR="00BA49F5" w14:paraId="5CD8FAC9" w14:textId="77777777">
        <w:tc>
          <w:tcPr>
            <w:tcW w:w="0" w:type="auto"/>
            <w:gridSpan w:val="3"/>
            <w:shd w:val="clear" w:color="auto" w:fill="FFFFFF"/>
            <w:tcMar>
              <w:top w:w="40" w:type="dxa"/>
              <w:left w:w="380" w:type="dxa"/>
              <w:bottom w:w="40" w:type="dxa"/>
              <w:right w:w="20" w:type="dxa"/>
            </w:tcMar>
            <w:vAlign w:val="bottom"/>
          </w:tcPr>
          <w:p w14:paraId="5CD8FAC3" w14:textId="77777777" w:rsidR="00BA49F5" w:rsidRDefault="007E5E49">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C4" w14:textId="77777777" w:rsidR="00BA49F5" w:rsidRDefault="007E5E49">
            <w:pPr>
              <w:jc w:val="right"/>
              <w:textAlignment w:val="bottom"/>
            </w:pPr>
            <w:r>
              <w:rPr>
                <w:rFonts w:ascii="Times New Roman" w:eastAsia="宋体" w:hAnsi="Times New Roman"/>
                <w:color w:val="000000"/>
                <w:sz w:val="20"/>
                <w:szCs w:val="20"/>
              </w:rPr>
              <w:t>26,057 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C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C6"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C7" w14:textId="77777777" w:rsidR="00BA49F5" w:rsidRDefault="007E5E49">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C8" w14:textId="77777777" w:rsidR="00BA49F5" w:rsidRDefault="00BA49F5">
            <w:pPr>
              <w:jc w:val="right"/>
              <w:rPr>
                <w:rFonts w:ascii="宋体"/>
              </w:rPr>
            </w:pPr>
          </w:p>
        </w:tc>
      </w:tr>
      <w:tr w:rsidR="00BA49F5" w14:paraId="5CD8FACE" w14:textId="77777777">
        <w:tc>
          <w:tcPr>
            <w:tcW w:w="0" w:type="auto"/>
            <w:gridSpan w:val="3"/>
            <w:shd w:val="clear" w:color="auto" w:fill="CCEEFF"/>
            <w:tcMar>
              <w:top w:w="40" w:type="dxa"/>
              <w:left w:w="20" w:type="dxa"/>
              <w:bottom w:w="40" w:type="dxa"/>
              <w:right w:w="20" w:type="dxa"/>
            </w:tcMar>
            <w:vAlign w:val="bottom"/>
          </w:tcPr>
          <w:p w14:paraId="5CD8FACA" w14:textId="77777777" w:rsidR="00BA49F5" w:rsidRDefault="007E5E49">
            <w:pPr>
              <w:textAlignment w:val="bottom"/>
            </w:pPr>
            <w:r>
              <w:rPr>
                <w:rFonts w:ascii="Times New Roman" w:eastAsia="宋体" w:hAnsi="Times New Roman"/>
                <w:color w:val="000000"/>
                <w:sz w:val="20"/>
                <w:szCs w:val="20"/>
              </w:rPr>
              <w:t>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CB"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ACC"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ACD" w14:textId="77777777" w:rsidR="00BA49F5" w:rsidRDefault="00BA49F5">
            <w:pPr>
              <w:rPr>
                <w:rFonts w:ascii="宋体"/>
              </w:rPr>
            </w:pPr>
          </w:p>
        </w:tc>
      </w:tr>
      <w:tr w:rsidR="00BA49F5" w14:paraId="5CD8FAD5" w14:textId="77777777">
        <w:tc>
          <w:tcPr>
            <w:tcW w:w="0" w:type="auto"/>
            <w:gridSpan w:val="3"/>
            <w:shd w:val="clear" w:color="auto" w:fill="FFFFFF"/>
            <w:tcMar>
              <w:top w:w="40" w:type="dxa"/>
              <w:left w:w="140" w:type="dxa"/>
              <w:bottom w:w="40" w:type="dxa"/>
              <w:right w:w="20" w:type="dxa"/>
            </w:tcMar>
            <w:vAlign w:val="bottom"/>
          </w:tcPr>
          <w:p w14:paraId="5CD8FACF" w14:textId="77777777" w:rsidR="00BA49F5" w:rsidRDefault="007E5E49">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5CD8FAD0" w14:textId="77777777" w:rsidR="00BA49F5" w:rsidRDefault="007E5E49">
            <w:pPr>
              <w:jc w:val="right"/>
              <w:textAlignment w:val="bottom"/>
            </w:pPr>
            <w:r>
              <w:rPr>
                <w:rFonts w:ascii="Times New Roman" w:eastAsia="宋体" w:hAnsi="Times New Roman"/>
                <w:color w:val="000000"/>
                <w:sz w:val="20"/>
                <w:szCs w:val="20"/>
              </w:rPr>
              <w:t>294 </w:t>
            </w:r>
          </w:p>
        </w:tc>
        <w:tc>
          <w:tcPr>
            <w:tcW w:w="0" w:type="auto"/>
            <w:shd w:val="clear" w:color="auto" w:fill="FFFFFF"/>
            <w:tcMar>
              <w:top w:w="40" w:type="dxa"/>
              <w:left w:w="0" w:type="dxa"/>
              <w:bottom w:w="40" w:type="dxa"/>
              <w:right w:w="20" w:type="dxa"/>
            </w:tcMar>
            <w:vAlign w:val="bottom"/>
          </w:tcPr>
          <w:p w14:paraId="5CD8FAD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D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AD3" w14:textId="77777777" w:rsidR="00BA49F5" w:rsidRDefault="007E5E49">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5CD8FAD4" w14:textId="77777777" w:rsidR="00BA49F5" w:rsidRDefault="00BA49F5">
            <w:pPr>
              <w:jc w:val="right"/>
              <w:rPr>
                <w:rFonts w:ascii="宋体"/>
              </w:rPr>
            </w:pPr>
          </w:p>
        </w:tc>
      </w:tr>
      <w:tr w:rsidR="00BA49F5" w14:paraId="5CD8FADC" w14:textId="77777777">
        <w:tc>
          <w:tcPr>
            <w:tcW w:w="0" w:type="auto"/>
            <w:gridSpan w:val="3"/>
            <w:shd w:val="clear" w:color="auto" w:fill="CCEEFF"/>
            <w:tcMar>
              <w:top w:w="40" w:type="dxa"/>
              <w:left w:w="140" w:type="dxa"/>
              <w:bottom w:w="40" w:type="dxa"/>
              <w:right w:w="20" w:type="dxa"/>
            </w:tcMar>
            <w:vAlign w:val="bottom"/>
          </w:tcPr>
          <w:p w14:paraId="5CD8FAD6" w14:textId="77777777" w:rsidR="00BA49F5" w:rsidRDefault="007E5E49">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14:paraId="5CD8FAD7" w14:textId="77777777" w:rsidR="00BA49F5" w:rsidRDefault="007E5E49">
            <w:pPr>
              <w:jc w:val="right"/>
              <w:textAlignment w:val="bottom"/>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bottom"/>
          </w:tcPr>
          <w:p w14:paraId="5CD8FAD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D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ADA" w14:textId="77777777" w:rsidR="00BA49F5" w:rsidRDefault="007E5E49">
            <w:pPr>
              <w:jc w:val="right"/>
              <w:textAlignment w:val="bottom"/>
            </w:pPr>
            <w:r>
              <w:rPr>
                <w:rFonts w:ascii="Times New Roman" w:eastAsia="宋体" w:hAnsi="Times New Roman"/>
                <w:color w:val="000000"/>
                <w:sz w:val="20"/>
                <w:szCs w:val="20"/>
              </w:rPr>
              <w:t>115 </w:t>
            </w:r>
          </w:p>
        </w:tc>
        <w:tc>
          <w:tcPr>
            <w:tcW w:w="0" w:type="auto"/>
            <w:shd w:val="clear" w:color="auto" w:fill="CCEEFF"/>
            <w:tcMar>
              <w:top w:w="40" w:type="dxa"/>
              <w:left w:w="0" w:type="dxa"/>
              <w:bottom w:w="40" w:type="dxa"/>
              <w:right w:w="20" w:type="dxa"/>
            </w:tcMar>
            <w:vAlign w:val="bottom"/>
          </w:tcPr>
          <w:p w14:paraId="5CD8FADB" w14:textId="77777777" w:rsidR="00BA49F5" w:rsidRDefault="00BA49F5">
            <w:pPr>
              <w:jc w:val="right"/>
              <w:rPr>
                <w:rFonts w:ascii="宋体"/>
              </w:rPr>
            </w:pPr>
          </w:p>
        </w:tc>
      </w:tr>
      <w:tr w:rsidR="00BA49F5" w14:paraId="5CD8FAE3" w14:textId="77777777">
        <w:tc>
          <w:tcPr>
            <w:tcW w:w="0" w:type="auto"/>
            <w:gridSpan w:val="3"/>
            <w:shd w:val="clear" w:color="auto" w:fill="FFFFFF"/>
            <w:tcMar>
              <w:top w:w="40" w:type="dxa"/>
              <w:left w:w="380" w:type="dxa"/>
              <w:bottom w:w="40" w:type="dxa"/>
              <w:right w:w="20" w:type="dxa"/>
            </w:tcMar>
            <w:vAlign w:val="bottom"/>
          </w:tcPr>
          <w:p w14:paraId="5CD8FADD" w14:textId="77777777" w:rsidR="00BA49F5" w:rsidRDefault="007E5E49">
            <w:pPr>
              <w:textAlignment w:val="bottom"/>
            </w:pPr>
            <w:r>
              <w:rPr>
                <w:rFonts w:ascii="Times New Roman" w:eastAsia="宋体" w:hAnsi="Times New Roman"/>
                <w:color w:val="000000"/>
                <w:sz w:val="20"/>
                <w:szCs w:val="20"/>
              </w:rPr>
              <w:t>Total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DE" w14:textId="77777777" w:rsidR="00BA49F5" w:rsidRDefault="007E5E49">
            <w:pPr>
              <w:jc w:val="right"/>
              <w:textAlignment w:val="bottom"/>
            </w:pPr>
            <w:r>
              <w:rPr>
                <w:rFonts w:ascii="Times New Roman" w:eastAsia="宋体" w:hAnsi="Times New Roman"/>
                <w:color w:val="000000"/>
                <w:sz w:val="20"/>
                <w:szCs w:val="20"/>
              </w:rPr>
              <w:t>915 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D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AE0"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AE1" w14:textId="77777777" w:rsidR="00BA49F5" w:rsidRDefault="007E5E49">
            <w:pPr>
              <w:jc w:val="right"/>
              <w:textAlignment w:val="bottom"/>
            </w:pPr>
            <w:r>
              <w:rPr>
                <w:rFonts w:ascii="Times New Roman" w:eastAsia="宋体" w:hAnsi="Times New Roman"/>
                <w:color w:val="000000"/>
                <w:sz w:val="20"/>
                <w:szCs w:val="20"/>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AE2" w14:textId="77777777" w:rsidR="00BA49F5" w:rsidRDefault="00BA49F5">
            <w:pPr>
              <w:jc w:val="right"/>
              <w:rPr>
                <w:rFonts w:ascii="宋体"/>
              </w:rPr>
            </w:pPr>
          </w:p>
        </w:tc>
      </w:tr>
      <w:tr w:rsidR="00BA49F5" w14:paraId="5CD8FAEC" w14:textId="77777777">
        <w:tc>
          <w:tcPr>
            <w:tcW w:w="0" w:type="auto"/>
            <w:gridSpan w:val="3"/>
            <w:shd w:val="clear" w:color="auto" w:fill="CCEEFF"/>
            <w:tcMar>
              <w:top w:w="40" w:type="dxa"/>
              <w:left w:w="20" w:type="dxa"/>
              <w:bottom w:w="40" w:type="dxa"/>
              <w:right w:w="20" w:type="dxa"/>
            </w:tcMar>
            <w:vAlign w:val="bottom"/>
          </w:tcPr>
          <w:p w14:paraId="5CD8FAE4" w14:textId="77777777" w:rsidR="00BA49F5" w:rsidRDefault="007E5E49">
            <w:pPr>
              <w:textAlignment w:val="bottom"/>
            </w:pPr>
            <w:r>
              <w:rPr>
                <w:rFonts w:ascii="Times New Roman" w:eastAsia="宋体" w:hAnsi="Times New Roman"/>
                <w:color w:val="000000"/>
                <w:sz w:val="20"/>
                <w:szCs w:val="20"/>
              </w:rPr>
              <w:t>Total cash, cash equivalents, marketable securities,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AE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AE6" w14:textId="77777777" w:rsidR="00BA49F5" w:rsidRDefault="007E5E49">
            <w:pPr>
              <w:jc w:val="right"/>
              <w:textAlignment w:val="bottom"/>
            </w:pPr>
            <w:r>
              <w:rPr>
                <w:rFonts w:ascii="Times New Roman" w:eastAsia="宋体" w:hAnsi="Times New Roman"/>
                <w:color w:val="000000"/>
                <w:sz w:val="20"/>
                <w:szCs w:val="20"/>
              </w:rPr>
              <w:t>41,653 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AE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AE8"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AE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AEA" w14:textId="77777777" w:rsidR="00BA49F5" w:rsidRDefault="007E5E49">
            <w:pPr>
              <w:jc w:val="right"/>
              <w:textAlignment w:val="bottom"/>
            </w:pPr>
            <w:r>
              <w:rPr>
                <w:rFonts w:ascii="Times New Roman" w:eastAsia="宋体" w:hAnsi="Times New Roman"/>
                <w:color w:val="000000"/>
                <w:sz w:val="20"/>
                <w:szCs w:val="20"/>
              </w:rPr>
              <w:t>48,262 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AEB" w14:textId="77777777" w:rsidR="00BA49F5" w:rsidRDefault="00BA49F5">
            <w:pPr>
              <w:jc w:val="right"/>
              <w:rPr>
                <w:rFonts w:ascii="宋体"/>
              </w:rPr>
            </w:pPr>
          </w:p>
        </w:tc>
      </w:tr>
    </w:tbl>
    <w:p w14:paraId="5CD8FAED" w14:textId="77777777" w:rsidR="00BA49F5" w:rsidRDefault="00BA49F5">
      <w:pPr>
        <w:ind w:firstLine="540"/>
        <w:jc w:val="both"/>
      </w:pPr>
    </w:p>
    <w:p w14:paraId="5CD8FAEE" w14:textId="77777777" w:rsidR="00BA49F5" w:rsidRDefault="007E5E49">
      <w:pPr>
        <w:jc w:val="center"/>
      </w:pPr>
      <w:r>
        <w:rPr>
          <w:rFonts w:ascii="Times New Roman" w:eastAsia="宋体" w:hAnsi="Times New Roman"/>
          <w:color w:val="000000"/>
          <w:sz w:val="20"/>
          <w:szCs w:val="20"/>
        </w:rPr>
        <w:t>102</w:t>
      </w:r>
    </w:p>
    <w:p w14:paraId="5CD8FAEF" w14:textId="77777777" w:rsidR="00BA49F5" w:rsidRDefault="007E5E49">
      <w:r>
        <w:pict w14:anchorId="5CD90D5B">
          <v:rect id="_x0000_i1126" style="width:415.3pt;height:1.5pt" o:hralign="center" o:hrstd="t" o:hr="t" fillcolor="#a0a0a0" stroked="f"/>
        </w:pict>
      </w:r>
    </w:p>
    <w:p w14:paraId="5CD8FAF0" w14:textId="77777777" w:rsidR="00BA49F5" w:rsidRDefault="00BA49F5"/>
    <w:p w14:paraId="5CD8FAF1" w14:textId="77777777" w:rsidR="00BA49F5" w:rsidRDefault="00BA49F5"/>
    <w:p w14:paraId="5CD8FAF2" w14:textId="77777777" w:rsidR="00BA49F5" w:rsidRDefault="007E5E49">
      <w:hyperlink r:id="rId299" w:anchor="i6df229dad1864210ab76200083e26819_7" w:history="1">
        <w:r>
          <w:rPr>
            <w:rStyle w:val="a5"/>
            <w:rFonts w:ascii="Times New Roman" w:eastAsia="宋体" w:hAnsi="Times New Roman"/>
            <w:sz w:val="20"/>
            <w:szCs w:val="20"/>
          </w:rPr>
          <w:t>T</w:t>
        </w:r>
      </w:hyperlink>
      <w:hyperlink r:id="rId300" w:anchor="i6df229dad1864210ab76200083e26819_7" w:history="1">
        <w:r>
          <w:rPr>
            <w:rStyle w:val="a5"/>
            <w:rFonts w:ascii="Times New Roman" w:eastAsia="宋体" w:hAnsi="Times New Roman"/>
            <w:sz w:val="20"/>
            <w:szCs w:val="20"/>
          </w:rPr>
          <w:t>able of Contents</w:t>
        </w:r>
      </w:hyperlink>
    </w:p>
    <w:p w14:paraId="5CD8FAF3" w14:textId="77777777" w:rsidR="00BA49F5" w:rsidRDefault="007E5E49">
      <w:pPr>
        <w:ind w:firstLine="540"/>
        <w:jc w:val="both"/>
      </w:pPr>
      <w:r>
        <w:rPr>
          <w:rFonts w:ascii="Times New Roman" w:eastAsia="宋体" w:hAnsi="Times New Roman"/>
          <w:color w:val="000000"/>
          <w:sz w:val="20"/>
          <w:szCs w:val="20"/>
        </w:rPr>
        <w:t>The following table summarizes our available-for-sale marketable debt securities and c</w:t>
      </w:r>
      <w:r>
        <w:rPr>
          <w:rFonts w:ascii="Times New Roman" w:eastAsia="宋体" w:hAnsi="Times New Roman"/>
          <w:color w:val="000000"/>
          <w:sz w:val="20"/>
          <w:szCs w:val="20"/>
        </w:rPr>
        <w:t>ash equivalents with unrealized losses as of December 31, 2022 and 2021, aggregated by major security type and the length of time that individual securities have been in a continuous loss position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729"/>
        <w:gridCol w:w="36"/>
        <w:gridCol w:w="120"/>
        <w:gridCol w:w="702"/>
        <w:gridCol w:w="36"/>
        <w:gridCol w:w="36"/>
        <w:gridCol w:w="36"/>
        <w:gridCol w:w="36"/>
        <w:gridCol w:w="121"/>
        <w:gridCol w:w="703"/>
        <w:gridCol w:w="36"/>
        <w:gridCol w:w="36"/>
        <w:gridCol w:w="36"/>
        <w:gridCol w:w="36"/>
        <w:gridCol w:w="120"/>
        <w:gridCol w:w="622"/>
        <w:gridCol w:w="36"/>
        <w:gridCol w:w="36"/>
        <w:gridCol w:w="36"/>
        <w:gridCol w:w="36"/>
        <w:gridCol w:w="121"/>
        <w:gridCol w:w="703"/>
        <w:gridCol w:w="36"/>
        <w:gridCol w:w="36"/>
        <w:gridCol w:w="36"/>
        <w:gridCol w:w="36"/>
        <w:gridCol w:w="120"/>
        <w:gridCol w:w="622"/>
        <w:gridCol w:w="36"/>
        <w:gridCol w:w="36"/>
        <w:gridCol w:w="36"/>
        <w:gridCol w:w="36"/>
        <w:gridCol w:w="121"/>
        <w:gridCol w:w="703"/>
        <w:gridCol w:w="36"/>
      </w:tblGrid>
      <w:tr w:rsidR="00BA49F5" w14:paraId="5CD8FB18" w14:textId="77777777">
        <w:tc>
          <w:tcPr>
            <w:tcW w:w="50" w:type="pct"/>
            <w:shd w:val="clear" w:color="auto" w:fill="auto"/>
            <w:vAlign w:val="bottom"/>
          </w:tcPr>
          <w:p w14:paraId="5CD8FAF4" w14:textId="77777777" w:rsidR="00BA49F5" w:rsidRDefault="00BA49F5">
            <w:pPr>
              <w:rPr>
                <w:rFonts w:ascii="宋体"/>
              </w:rPr>
            </w:pPr>
          </w:p>
        </w:tc>
        <w:tc>
          <w:tcPr>
            <w:tcW w:w="1678" w:type="pct"/>
            <w:shd w:val="clear" w:color="auto" w:fill="auto"/>
            <w:vAlign w:val="bottom"/>
          </w:tcPr>
          <w:p w14:paraId="5CD8FAF5" w14:textId="77777777" w:rsidR="00BA49F5" w:rsidRDefault="00BA49F5">
            <w:pPr>
              <w:rPr>
                <w:rFonts w:ascii="宋体"/>
              </w:rPr>
            </w:pPr>
          </w:p>
        </w:tc>
        <w:tc>
          <w:tcPr>
            <w:tcW w:w="5" w:type="pct"/>
            <w:shd w:val="clear" w:color="auto" w:fill="auto"/>
            <w:vAlign w:val="bottom"/>
          </w:tcPr>
          <w:p w14:paraId="5CD8FAF6" w14:textId="77777777" w:rsidR="00BA49F5" w:rsidRDefault="00BA49F5">
            <w:pPr>
              <w:rPr>
                <w:rFonts w:ascii="宋体"/>
              </w:rPr>
            </w:pPr>
          </w:p>
        </w:tc>
        <w:tc>
          <w:tcPr>
            <w:tcW w:w="50" w:type="pct"/>
            <w:shd w:val="clear" w:color="auto" w:fill="auto"/>
            <w:vAlign w:val="bottom"/>
          </w:tcPr>
          <w:p w14:paraId="5CD8FAF7" w14:textId="77777777" w:rsidR="00BA49F5" w:rsidRDefault="00BA49F5">
            <w:pPr>
              <w:rPr>
                <w:rFonts w:ascii="宋体"/>
              </w:rPr>
            </w:pPr>
          </w:p>
        </w:tc>
        <w:tc>
          <w:tcPr>
            <w:tcW w:w="458" w:type="pct"/>
            <w:shd w:val="clear" w:color="auto" w:fill="auto"/>
            <w:vAlign w:val="bottom"/>
          </w:tcPr>
          <w:p w14:paraId="5CD8FAF8" w14:textId="77777777" w:rsidR="00BA49F5" w:rsidRDefault="00BA49F5">
            <w:pPr>
              <w:rPr>
                <w:rFonts w:ascii="宋体"/>
              </w:rPr>
            </w:pPr>
          </w:p>
        </w:tc>
        <w:tc>
          <w:tcPr>
            <w:tcW w:w="5" w:type="pct"/>
            <w:shd w:val="clear" w:color="auto" w:fill="auto"/>
            <w:vAlign w:val="bottom"/>
          </w:tcPr>
          <w:p w14:paraId="5CD8FAF9" w14:textId="77777777" w:rsidR="00BA49F5" w:rsidRDefault="00BA49F5">
            <w:pPr>
              <w:rPr>
                <w:rFonts w:ascii="宋体"/>
              </w:rPr>
            </w:pPr>
          </w:p>
        </w:tc>
        <w:tc>
          <w:tcPr>
            <w:tcW w:w="5" w:type="pct"/>
            <w:shd w:val="clear" w:color="auto" w:fill="auto"/>
            <w:vAlign w:val="bottom"/>
          </w:tcPr>
          <w:p w14:paraId="5CD8FAFA" w14:textId="77777777" w:rsidR="00BA49F5" w:rsidRDefault="00BA49F5">
            <w:pPr>
              <w:rPr>
                <w:rFonts w:ascii="宋体"/>
              </w:rPr>
            </w:pPr>
          </w:p>
        </w:tc>
        <w:tc>
          <w:tcPr>
            <w:tcW w:w="27" w:type="pct"/>
            <w:shd w:val="clear" w:color="auto" w:fill="auto"/>
            <w:vAlign w:val="bottom"/>
          </w:tcPr>
          <w:p w14:paraId="5CD8FAFB" w14:textId="77777777" w:rsidR="00BA49F5" w:rsidRDefault="00BA49F5">
            <w:pPr>
              <w:rPr>
                <w:rFonts w:ascii="宋体"/>
              </w:rPr>
            </w:pPr>
          </w:p>
        </w:tc>
        <w:tc>
          <w:tcPr>
            <w:tcW w:w="5" w:type="pct"/>
            <w:shd w:val="clear" w:color="auto" w:fill="auto"/>
            <w:vAlign w:val="bottom"/>
          </w:tcPr>
          <w:p w14:paraId="5CD8FAFC" w14:textId="77777777" w:rsidR="00BA49F5" w:rsidRDefault="00BA49F5">
            <w:pPr>
              <w:rPr>
                <w:rFonts w:ascii="宋体"/>
              </w:rPr>
            </w:pPr>
          </w:p>
        </w:tc>
        <w:tc>
          <w:tcPr>
            <w:tcW w:w="50" w:type="pct"/>
            <w:shd w:val="clear" w:color="auto" w:fill="auto"/>
            <w:vAlign w:val="bottom"/>
          </w:tcPr>
          <w:p w14:paraId="5CD8FAFD" w14:textId="77777777" w:rsidR="00BA49F5" w:rsidRDefault="00BA49F5">
            <w:pPr>
              <w:rPr>
                <w:rFonts w:ascii="宋体"/>
              </w:rPr>
            </w:pPr>
          </w:p>
        </w:tc>
        <w:tc>
          <w:tcPr>
            <w:tcW w:w="458" w:type="pct"/>
            <w:shd w:val="clear" w:color="auto" w:fill="auto"/>
            <w:vAlign w:val="bottom"/>
          </w:tcPr>
          <w:p w14:paraId="5CD8FAFE" w14:textId="77777777" w:rsidR="00BA49F5" w:rsidRDefault="00BA49F5">
            <w:pPr>
              <w:rPr>
                <w:rFonts w:ascii="宋体"/>
              </w:rPr>
            </w:pPr>
          </w:p>
        </w:tc>
        <w:tc>
          <w:tcPr>
            <w:tcW w:w="5" w:type="pct"/>
            <w:shd w:val="clear" w:color="auto" w:fill="auto"/>
            <w:vAlign w:val="bottom"/>
          </w:tcPr>
          <w:p w14:paraId="5CD8FAFF" w14:textId="77777777" w:rsidR="00BA49F5" w:rsidRDefault="00BA49F5">
            <w:pPr>
              <w:rPr>
                <w:rFonts w:ascii="宋体"/>
              </w:rPr>
            </w:pPr>
          </w:p>
        </w:tc>
        <w:tc>
          <w:tcPr>
            <w:tcW w:w="5" w:type="pct"/>
            <w:shd w:val="clear" w:color="auto" w:fill="auto"/>
            <w:vAlign w:val="bottom"/>
          </w:tcPr>
          <w:p w14:paraId="5CD8FB00" w14:textId="77777777" w:rsidR="00BA49F5" w:rsidRDefault="00BA49F5">
            <w:pPr>
              <w:rPr>
                <w:rFonts w:ascii="宋体"/>
              </w:rPr>
            </w:pPr>
          </w:p>
        </w:tc>
        <w:tc>
          <w:tcPr>
            <w:tcW w:w="27" w:type="pct"/>
            <w:shd w:val="clear" w:color="auto" w:fill="auto"/>
            <w:vAlign w:val="bottom"/>
          </w:tcPr>
          <w:p w14:paraId="5CD8FB01" w14:textId="77777777" w:rsidR="00BA49F5" w:rsidRDefault="00BA49F5">
            <w:pPr>
              <w:rPr>
                <w:rFonts w:ascii="宋体"/>
              </w:rPr>
            </w:pPr>
          </w:p>
        </w:tc>
        <w:tc>
          <w:tcPr>
            <w:tcW w:w="5" w:type="pct"/>
            <w:shd w:val="clear" w:color="auto" w:fill="auto"/>
            <w:vAlign w:val="bottom"/>
          </w:tcPr>
          <w:p w14:paraId="5CD8FB02" w14:textId="77777777" w:rsidR="00BA49F5" w:rsidRDefault="00BA49F5">
            <w:pPr>
              <w:rPr>
                <w:rFonts w:ascii="宋体"/>
              </w:rPr>
            </w:pPr>
          </w:p>
        </w:tc>
        <w:tc>
          <w:tcPr>
            <w:tcW w:w="50" w:type="pct"/>
            <w:shd w:val="clear" w:color="auto" w:fill="auto"/>
            <w:vAlign w:val="bottom"/>
          </w:tcPr>
          <w:p w14:paraId="5CD8FB03" w14:textId="77777777" w:rsidR="00BA49F5" w:rsidRDefault="00BA49F5">
            <w:pPr>
              <w:rPr>
                <w:rFonts w:ascii="宋体"/>
              </w:rPr>
            </w:pPr>
          </w:p>
        </w:tc>
        <w:tc>
          <w:tcPr>
            <w:tcW w:w="458" w:type="pct"/>
            <w:shd w:val="clear" w:color="auto" w:fill="auto"/>
            <w:vAlign w:val="bottom"/>
          </w:tcPr>
          <w:p w14:paraId="5CD8FB04" w14:textId="77777777" w:rsidR="00BA49F5" w:rsidRDefault="00BA49F5">
            <w:pPr>
              <w:rPr>
                <w:rFonts w:ascii="宋体"/>
              </w:rPr>
            </w:pPr>
          </w:p>
        </w:tc>
        <w:tc>
          <w:tcPr>
            <w:tcW w:w="5" w:type="pct"/>
            <w:shd w:val="clear" w:color="auto" w:fill="auto"/>
            <w:vAlign w:val="bottom"/>
          </w:tcPr>
          <w:p w14:paraId="5CD8FB05" w14:textId="77777777" w:rsidR="00BA49F5" w:rsidRDefault="00BA49F5">
            <w:pPr>
              <w:rPr>
                <w:rFonts w:ascii="宋体"/>
              </w:rPr>
            </w:pPr>
          </w:p>
        </w:tc>
        <w:tc>
          <w:tcPr>
            <w:tcW w:w="5" w:type="pct"/>
            <w:shd w:val="clear" w:color="auto" w:fill="auto"/>
            <w:vAlign w:val="bottom"/>
          </w:tcPr>
          <w:p w14:paraId="5CD8FB06" w14:textId="77777777" w:rsidR="00BA49F5" w:rsidRDefault="00BA49F5">
            <w:pPr>
              <w:rPr>
                <w:rFonts w:ascii="宋体"/>
              </w:rPr>
            </w:pPr>
          </w:p>
        </w:tc>
        <w:tc>
          <w:tcPr>
            <w:tcW w:w="27" w:type="pct"/>
            <w:shd w:val="clear" w:color="auto" w:fill="auto"/>
            <w:vAlign w:val="bottom"/>
          </w:tcPr>
          <w:p w14:paraId="5CD8FB07" w14:textId="77777777" w:rsidR="00BA49F5" w:rsidRDefault="00BA49F5">
            <w:pPr>
              <w:rPr>
                <w:rFonts w:ascii="宋体"/>
              </w:rPr>
            </w:pPr>
          </w:p>
        </w:tc>
        <w:tc>
          <w:tcPr>
            <w:tcW w:w="5" w:type="pct"/>
            <w:shd w:val="clear" w:color="auto" w:fill="auto"/>
            <w:vAlign w:val="bottom"/>
          </w:tcPr>
          <w:p w14:paraId="5CD8FB08" w14:textId="77777777" w:rsidR="00BA49F5" w:rsidRDefault="00BA49F5">
            <w:pPr>
              <w:rPr>
                <w:rFonts w:ascii="宋体"/>
              </w:rPr>
            </w:pPr>
          </w:p>
        </w:tc>
        <w:tc>
          <w:tcPr>
            <w:tcW w:w="50" w:type="pct"/>
            <w:shd w:val="clear" w:color="auto" w:fill="auto"/>
            <w:vAlign w:val="bottom"/>
          </w:tcPr>
          <w:p w14:paraId="5CD8FB09" w14:textId="77777777" w:rsidR="00BA49F5" w:rsidRDefault="00BA49F5">
            <w:pPr>
              <w:rPr>
                <w:rFonts w:ascii="宋体"/>
              </w:rPr>
            </w:pPr>
          </w:p>
        </w:tc>
        <w:tc>
          <w:tcPr>
            <w:tcW w:w="458" w:type="pct"/>
            <w:shd w:val="clear" w:color="auto" w:fill="auto"/>
            <w:vAlign w:val="bottom"/>
          </w:tcPr>
          <w:p w14:paraId="5CD8FB0A" w14:textId="77777777" w:rsidR="00BA49F5" w:rsidRDefault="00BA49F5">
            <w:pPr>
              <w:rPr>
                <w:rFonts w:ascii="宋体"/>
              </w:rPr>
            </w:pPr>
          </w:p>
        </w:tc>
        <w:tc>
          <w:tcPr>
            <w:tcW w:w="5" w:type="pct"/>
            <w:shd w:val="clear" w:color="auto" w:fill="auto"/>
            <w:vAlign w:val="bottom"/>
          </w:tcPr>
          <w:p w14:paraId="5CD8FB0B" w14:textId="77777777" w:rsidR="00BA49F5" w:rsidRDefault="00BA49F5">
            <w:pPr>
              <w:rPr>
                <w:rFonts w:ascii="宋体"/>
              </w:rPr>
            </w:pPr>
          </w:p>
        </w:tc>
        <w:tc>
          <w:tcPr>
            <w:tcW w:w="5" w:type="pct"/>
            <w:shd w:val="clear" w:color="auto" w:fill="auto"/>
            <w:vAlign w:val="bottom"/>
          </w:tcPr>
          <w:p w14:paraId="5CD8FB0C" w14:textId="77777777" w:rsidR="00BA49F5" w:rsidRDefault="00BA49F5">
            <w:pPr>
              <w:rPr>
                <w:rFonts w:ascii="宋体"/>
              </w:rPr>
            </w:pPr>
          </w:p>
        </w:tc>
        <w:tc>
          <w:tcPr>
            <w:tcW w:w="27" w:type="pct"/>
            <w:shd w:val="clear" w:color="auto" w:fill="auto"/>
            <w:vAlign w:val="bottom"/>
          </w:tcPr>
          <w:p w14:paraId="5CD8FB0D" w14:textId="77777777" w:rsidR="00BA49F5" w:rsidRDefault="00BA49F5">
            <w:pPr>
              <w:rPr>
                <w:rFonts w:ascii="宋体"/>
              </w:rPr>
            </w:pPr>
          </w:p>
        </w:tc>
        <w:tc>
          <w:tcPr>
            <w:tcW w:w="5" w:type="pct"/>
            <w:shd w:val="clear" w:color="auto" w:fill="auto"/>
            <w:vAlign w:val="bottom"/>
          </w:tcPr>
          <w:p w14:paraId="5CD8FB0E" w14:textId="77777777" w:rsidR="00BA49F5" w:rsidRDefault="00BA49F5">
            <w:pPr>
              <w:rPr>
                <w:rFonts w:ascii="宋体"/>
              </w:rPr>
            </w:pPr>
          </w:p>
        </w:tc>
        <w:tc>
          <w:tcPr>
            <w:tcW w:w="50" w:type="pct"/>
            <w:shd w:val="clear" w:color="auto" w:fill="auto"/>
            <w:vAlign w:val="bottom"/>
          </w:tcPr>
          <w:p w14:paraId="5CD8FB0F" w14:textId="77777777" w:rsidR="00BA49F5" w:rsidRDefault="00BA49F5">
            <w:pPr>
              <w:rPr>
                <w:rFonts w:ascii="宋体"/>
              </w:rPr>
            </w:pPr>
          </w:p>
        </w:tc>
        <w:tc>
          <w:tcPr>
            <w:tcW w:w="458" w:type="pct"/>
            <w:shd w:val="clear" w:color="auto" w:fill="auto"/>
            <w:vAlign w:val="bottom"/>
          </w:tcPr>
          <w:p w14:paraId="5CD8FB10" w14:textId="77777777" w:rsidR="00BA49F5" w:rsidRDefault="00BA49F5">
            <w:pPr>
              <w:rPr>
                <w:rFonts w:ascii="宋体"/>
              </w:rPr>
            </w:pPr>
          </w:p>
        </w:tc>
        <w:tc>
          <w:tcPr>
            <w:tcW w:w="5" w:type="pct"/>
            <w:shd w:val="clear" w:color="auto" w:fill="auto"/>
            <w:vAlign w:val="bottom"/>
          </w:tcPr>
          <w:p w14:paraId="5CD8FB11" w14:textId="77777777" w:rsidR="00BA49F5" w:rsidRDefault="00BA49F5">
            <w:pPr>
              <w:rPr>
                <w:rFonts w:ascii="宋体"/>
              </w:rPr>
            </w:pPr>
          </w:p>
        </w:tc>
        <w:tc>
          <w:tcPr>
            <w:tcW w:w="5" w:type="pct"/>
            <w:shd w:val="clear" w:color="auto" w:fill="auto"/>
            <w:vAlign w:val="bottom"/>
          </w:tcPr>
          <w:p w14:paraId="5CD8FB12" w14:textId="77777777" w:rsidR="00BA49F5" w:rsidRDefault="00BA49F5">
            <w:pPr>
              <w:rPr>
                <w:rFonts w:ascii="宋体"/>
              </w:rPr>
            </w:pPr>
          </w:p>
        </w:tc>
        <w:tc>
          <w:tcPr>
            <w:tcW w:w="27" w:type="pct"/>
            <w:shd w:val="clear" w:color="auto" w:fill="auto"/>
            <w:vAlign w:val="bottom"/>
          </w:tcPr>
          <w:p w14:paraId="5CD8FB13" w14:textId="77777777" w:rsidR="00BA49F5" w:rsidRDefault="00BA49F5">
            <w:pPr>
              <w:rPr>
                <w:rFonts w:ascii="宋体"/>
              </w:rPr>
            </w:pPr>
          </w:p>
        </w:tc>
        <w:tc>
          <w:tcPr>
            <w:tcW w:w="5" w:type="pct"/>
            <w:shd w:val="clear" w:color="auto" w:fill="auto"/>
            <w:vAlign w:val="bottom"/>
          </w:tcPr>
          <w:p w14:paraId="5CD8FB14" w14:textId="77777777" w:rsidR="00BA49F5" w:rsidRDefault="00BA49F5">
            <w:pPr>
              <w:rPr>
                <w:rFonts w:ascii="宋体"/>
              </w:rPr>
            </w:pPr>
          </w:p>
        </w:tc>
        <w:tc>
          <w:tcPr>
            <w:tcW w:w="50" w:type="pct"/>
            <w:shd w:val="clear" w:color="auto" w:fill="auto"/>
            <w:vAlign w:val="bottom"/>
          </w:tcPr>
          <w:p w14:paraId="5CD8FB15" w14:textId="77777777" w:rsidR="00BA49F5" w:rsidRDefault="00BA49F5">
            <w:pPr>
              <w:rPr>
                <w:rFonts w:ascii="宋体"/>
              </w:rPr>
            </w:pPr>
          </w:p>
        </w:tc>
        <w:tc>
          <w:tcPr>
            <w:tcW w:w="458" w:type="pct"/>
            <w:shd w:val="clear" w:color="auto" w:fill="auto"/>
            <w:vAlign w:val="bottom"/>
          </w:tcPr>
          <w:p w14:paraId="5CD8FB16" w14:textId="77777777" w:rsidR="00BA49F5" w:rsidRDefault="00BA49F5">
            <w:pPr>
              <w:rPr>
                <w:rFonts w:ascii="宋体"/>
              </w:rPr>
            </w:pPr>
          </w:p>
        </w:tc>
        <w:tc>
          <w:tcPr>
            <w:tcW w:w="5" w:type="pct"/>
            <w:shd w:val="clear" w:color="auto" w:fill="auto"/>
            <w:vAlign w:val="bottom"/>
          </w:tcPr>
          <w:p w14:paraId="5CD8FB17" w14:textId="77777777" w:rsidR="00BA49F5" w:rsidRDefault="00BA49F5">
            <w:pPr>
              <w:rPr>
                <w:rFonts w:ascii="宋体"/>
              </w:rPr>
            </w:pPr>
          </w:p>
        </w:tc>
      </w:tr>
      <w:tr w:rsidR="00BA49F5" w14:paraId="5CD8FB1B" w14:textId="77777777">
        <w:tc>
          <w:tcPr>
            <w:tcW w:w="0" w:type="auto"/>
            <w:gridSpan w:val="3"/>
            <w:shd w:val="clear" w:color="auto" w:fill="auto"/>
            <w:tcMar>
              <w:top w:w="0" w:type="dxa"/>
              <w:left w:w="20" w:type="dxa"/>
              <w:bottom w:w="0" w:type="dxa"/>
              <w:right w:w="20" w:type="dxa"/>
            </w:tcMar>
            <w:vAlign w:val="bottom"/>
          </w:tcPr>
          <w:p w14:paraId="5CD8FB19" w14:textId="77777777" w:rsidR="00BA49F5" w:rsidRDefault="00BA49F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CD8FB1A" w14:textId="77777777" w:rsidR="00BA49F5" w:rsidRDefault="007E5E49">
            <w:pPr>
              <w:jc w:val="center"/>
              <w:textAlignment w:val="bottom"/>
            </w:pPr>
            <w:r>
              <w:rPr>
                <w:rFonts w:ascii="Times New Roman" w:eastAsia="宋体" w:hAnsi="Times New Roman"/>
                <w:b/>
                <w:bCs/>
                <w:color w:val="000000"/>
                <w:sz w:val="16"/>
                <w:szCs w:val="16"/>
              </w:rPr>
              <w:t>December 31, 2022</w:t>
            </w:r>
          </w:p>
        </w:tc>
      </w:tr>
      <w:tr w:rsidR="00BA49F5" w14:paraId="5CD8FB22" w14:textId="77777777">
        <w:tc>
          <w:tcPr>
            <w:tcW w:w="0" w:type="auto"/>
            <w:gridSpan w:val="3"/>
            <w:shd w:val="clear" w:color="auto" w:fill="auto"/>
            <w:tcMar>
              <w:top w:w="0" w:type="dxa"/>
              <w:left w:w="20" w:type="dxa"/>
              <w:bottom w:w="0" w:type="dxa"/>
              <w:right w:w="20" w:type="dxa"/>
            </w:tcMar>
            <w:vAlign w:val="bottom"/>
          </w:tcPr>
          <w:p w14:paraId="5CD8FB1C"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1D" w14:textId="77777777" w:rsidR="00BA49F5" w:rsidRDefault="007E5E49">
            <w:pPr>
              <w:jc w:val="center"/>
              <w:textAlignment w:val="bottom"/>
            </w:pPr>
            <w:r>
              <w:rPr>
                <w:rFonts w:ascii="Times New Roman" w:eastAsia="宋体" w:hAnsi="Times New Roman"/>
                <w:b/>
                <w:bCs/>
                <w:color w:val="000000"/>
                <w:sz w:val="16"/>
                <w:szCs w:val="16"/>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1E"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1F" w14:textId="77777777" w:rsidR="00BA49F5" w:rsidRDefault="007E5E49">
            <w:pPr>
              <w:jc w:val="center"/>
              <w:textAlignment w:val="bottom"/>
            </w:pPr>
            <w:r>
              <w:rPr>
                <w:rFonts w:ascii="Times New Roman" w:eastAsia="宋体" w:hAnsi="Times New Roman"/>
                <w:b/>
                <w:bCs/>
                <w:color w:val="000000"/>
                <w:sz w:val="16"/>
                <w:szCs w:val="16"/>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20"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21" w14:textId="77777777" w:rsidR="00BA49F5" w:rsidRDefault="007E5E49">
            <w:pPr>
              <w:jc w:val="center"/>
              <w:textAlignment w:val="bottom"/>
            </w:pPr>
            <w:r>
              <w:rPr>
                <w:rFonts w:ascii="Times New Roman" w:eastAsia="宋体" w:hAnsi="Times New Roman"/>
                <w:b/>
                <w:bCs/>
                <w:color w:val="000000"/>
                <w:sz w:val="16"/>
                <w:szCs w:val="16"/>
              </w:rPr>
              <w:t>Total</w:t>
            </w:r>
          </w:p>
        </w:tc>
      </w:tr>
      <w:tr w:rsidR="00BA49F5" w14:paraId="5CD8FB2F" w14:textId="77777777">
        <w:tc>
          <w:tcPr>
            <w:tcW w:w="0" w:type="auto"/>
            <w:gridSpan w:val="3"/>
            <w:shd w:val="clear" w:color="auto" w:fill="auto"/>
            <w:tcMar>
              <w:top w:w="0" w:type="dxa"/>
              <w:left w:w="20" w:type="dxa"/>
              <w:bottom w:w="0" w:type="dxa"/>
              <w:right w:w="20" w:type="dxa"/>
            </w:tcMar>
            <w:vAlign w:val="bottom"/>
          </w:tcPr>
          <w:p w14:paraId="5CD8FB2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4"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2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6" w14:textId="77777777" w:rsidR="00BA49F5" w:rsidRDefault="007E5E49">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5CD8FB2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8"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2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A" w14:textId="77777777" w:rsidR="00BA49F5" w:rsidRDefault="007E5E49">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5CD8FB2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C"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2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2E" w14:textId="77777777" w:rsidR="00BA49F5" w:rsidRDefault="007E5E49">
            <w:pPr>
              <w:jc w:val="center"/>
              <w:textAlignment w:val="bottom"/>
            </w:pPr>
            <w:r>
              <w:rPr>
                <w:rFonts w:ascii="Times New Roman" w:eastAsia="宋体" w:hAnsi="Times New Roman"/>
                <w:b/>
                <w:bCs/>
                <w:color w:val="000000"/>
                <w:sz w:val="16"/>
                <w:szCs w:val="16"/>
              </w:rPr>
              <w:t>Unrealized Losses</w:t>
            </w:r>
          </w:p>
        </w:tc>
      </w:tr>
      <w:tr w:rsidR="00BA49F5" w14:paraId="5CD8FB48" w14:textId="77777777">
        <w:tc>
          <w:tcPr>
            <w:tcW w:w="0" w:type="auto"/>
            <w:gridSpan w:val="3"/>
            <w:shd w:val="clear" w:color="auto" w:fill="CCEEFF"/>
            <w:tcMar>
              <w:top w:w="40" w:type="dxa"/>
              <w:left w:w="20" w:type="dxa"/>
              <w:bottom w:w="40" w:type="dxa"/>
              <w:right w:w="20" w:type="dxa"/>
            </w:tcMar>
            <w:vAlign w:val="bottom"/>
          </w:tcPr>
          <w:p w14:paraId="5CD8FB30"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B3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32" w14:textId="77777777" w:rsidR="00BA49F5" w:rsidRDefault="007E5E49">
            <w:pPr>
              <w:jc w:val="right"/>
              <w:textAlignment w:val="bottom"/>
            </w:pPr>
            <w:r>
              <w:rPr>
                <w:rFonts w:ascii="Times New Roman" w:eastAsia="宋体" w:hAnsi="Times New Roman"/>
                <w:color w:val="000000"/>
                <w:sz w:val="20"/>
                <w:szCs w:val="20"/>
              </w:rPr>
              <w:t>5,008 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3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34"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3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36" w14:textId="77777777" w:rsidR="00BA49F5" w:rsidRDefault="007E5E49">
            <w:pPr>
              <w:jc w:val="right"/>
              <w:textAlignment w:val="bottom"/>
            </w:pPr>
            <w:r>
              <w:rPr>
                <w:rFonts w:ascii="Times New Roman" w:eastAsia="宋体" w:hAnsi="Times New Roman"/>
                <w:color w:val="000000"/>
                <w:sz w:val="20"/>
                <w:szCs w:val="20"/>
              </w:rPr>
              <w:t>(234)</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3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38"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3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3A" w14:textId="77777777" w:rsidR="00BA49F5" w:rsidRDefault="007E5E49">
            <w:pPr>
              <w:jc w:val="right"/>
              <w:textAlignment w:val="bottom"/>
            </w:pPr>
            <w:r>
              <w:rPr>
                <w:rFonts w:ascii="Times New Roman" w:eastAsia="宋体" w:hAnsi="Times New Roman"/>
                <w:color w:val="000000"/>
                <w:sz w:val="20"/>
                <w:szCs w:val="20"/>
              </w:rPr>
              <w:t>3,499 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3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3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3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3E" w14:textId="77777777" w:rsidR="00BA49F5" w:rsidRDefault="007E5E49">
            <w:pPr>
              <w:jc w:val="right"/>
              <w:textAlignment w:val="bottom"/>
            </w:pPr>
            <w:r>
              <w:rPr>
                <w:rFonts w:ascii="Times New Roman" w:eastAsia="宋体" w:hAnsi="Times New Roman"/>
                <w:color w:val="000000"/>
                <w:sz w:val="20"/>
                <w:szCs w:val="20"/>
              </w:rPr>
              <w:t>(247)</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3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40"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4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42" w14:textId="77777777" w:rsidR="00BA49F5" w:rsidRDefault="007E5E49">
            <w:pPr>
              <w:jc w:val="right"/>
              <w:textAlignment w:val="bottom"/>
            </w:pPr>
            <w:r>
              <w:rPr>
                <w:rFonts w:ascii="Times New Roman" w:eastAsia="宋体" w:hAnsi="Times New Roman"/>
                <w:color w:val="000000"/>
                <w:sz w:val="20"/>
                <w:szCs w:val="20"/>
              </w:rPr>
              <w:t>8,507 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4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44"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4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46" w14:textId="77777777" w:rsidR="00BA49F5" w:rsidRDefault="007E5E49">
            <w:pPr>
              <w:jc w:val="right"/>
              <w:textAlignment w:val="bottom"/>
            </w:pPr>
            <w:r>
              <w:rPr>
                <w:rFonts w:ascii="Times New Roman" w:eastAsia="宋体" w:hAnsi="Times New Roman"/>
                <w:color w:val="000000"/>
                <w:sz w:val="20"/>
                <w:szCs w:val="20"/>
              </w:rPr>
              <w:t>(481)</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47" w14:textId="77777777" w:rsidR="00BA49F5" w:rsidRDefault="00BA49F5">
            <w:pPr>
              <w:jc w:val="right"/>
              <w:rPr>
                <w:rFonts w:ascii="宋体"/>
              </w:rPr>
            </w:pPr>
          </w:p>
        </w:tc>
      </w:tr>
      <w:tr w:rsidR="00BA49F5" w14:paraId="5CD8FB5B" w14:textId="77777777">
        <w:tc>
          <w:tcPr>
            <w:tcW w:w="0" w:type="auto"/>
            <w:gridSpan w:val="3"/>
            <w:shd w:val="clear" w:color="auto" w:fill="FFFFFF"/>
            <w:tcMar>
              <w:top w:w="40" w:type="dxa"/>
              <w:left w:w="20" w:type="dxa"/>
              <w:bottom w:w="40" w:type="dxa"/>
              <w:right w:w="20" w:type="dxa"/>
            </w:tcMar>
            <w:vAlign w:val="bottom"/>
          </w:tcPr>
          <w:p w14:paraId="5CD8FB49"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5CD8FB4A" w14:textId="77777777" w:rsidR="00BA49F5" w:rsidRDefault="007E5E49">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5CD8FB4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4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4D" w14:textId="77777777" w:rsidR="00BA49F5" w:rsidRDefault="007E5E49">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5CD8FB4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4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50" w14:textId="77777777" w:rsidR="00BA49F5" w:rsidRDefault="007E5E49">
            <w:pPr>
              <w:jc w:val="right"/>
              <w:textAlignment w:val="bottom"/>
            </w:pPr>
            <w:r>
              <w:rPr>
                <w:rFonts w:ascii="Times New Roman" w:eastAsia="宋体" w:hAnsi="Times New Roman"/>
                <w:color w:val="000000"/>
                <w:sz w:val="20"/>
                <w:szCs w:val="20"/>
              </w:rPr>
              <w:t>4,415 </w:t>
            </w:r>
          </w:p>
        </w:tc>
        <w:tc>
          <w:tcPr>
            <w:tcW w:w="0" w:type="auto"/>
            <w:shd w:val="clear" w:color="auto" w:fill="FFFFFF"/>
            <w:tcMar>
              <w:top w:w="40" w:type="dxa"/>
              <w:left w:w="0" w:type="dxa"/>
              <w:bottom w:w="40" w:type="dxa"/>
              <w:right w:w="20" w:type="dxa"/>
            </w:tcMar>
            <w:vAlign w:val="bottom"/>
          </w:tcPr>
          <w:p w14:paraId="5CD8FB5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5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53" w14:textId="77777777" w:rsidR="00BA49F5" w:rsidRDefault="007E5E49">
            <w:pPr>
              <w:jc w:val="right"/>
              <w:textAlignment w:val="bottom"/>
            </w:pPr>
            <w:r>
              <w:rPr>
                <w:rFonts w:ascii="Times New Roman" w:eastAsia="宋体" w:hAnsi="Times New Roman"/>
                <w:color w:val="000000"/>
                <w:sz w:val="20"/>
                <w:szCs w:val="20"/>
              </w:rPr>
              <w:t>(308)</w:t>
            </w:r>
          </w:p>
        </w:tc>
        <w:tc>
          <w:tcPr>
            <w:tcW w:w="0" w:type="auto"/>
            <w:shd w:val="clear" w:color="auto" w:fill="FFFFFF"/>
            <w:tcMar>
              <w:top w:w="40" w:type="dxa"/>
              <w:left w:w="0" w:type="dxa"/>
              <w:bottom w:w="40" w:type="dxa"/>
              <w:right w:w="20" w:type="dxa"/>
            </w:tcMar>
            <w:vAlign w:val="bottom"/>
          </w:tcPr>
          <w:p w14:paraId="5CD8FB5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5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56" w14:textId="77777777" w:rsidR="00BA49F5" w:rsidRDefault="007E5E49">
            <w:pPr>
              <w:jc w:val="right"/>
              <w:textAlignment w:val="bottom"/>
            </w:pPr>
            <w:r>
              <w:rPr>
                <w:rFonts w:ascii="Times New Roman" w:eastAsia="宋体" w:hAnsi="Times New Roman"/>
                <w:color w:val="000000"/>
                <w:sz w:val="20"/>
                <w:szCs w:val="20"/>
              </w:rPr>
              <w:t>4,939 </w:t>
            </w:r>
          </w:p>
        </w:tc>
        <w:tc>
          <w:tcPr>
            <w:tcW w:w="0" w:type="auto"/>
            <w:shd w:val="clear" w:color="auto" w:fill="FFFFFF"/>
            <w:tcMar>
              <w:top w:w="40" w:type="dxa"/>
              <w:left w:w="0" w:type="dxa"/>
              <w:bottom w:w="40" w:type="dxa"/>
              <w:right w:w="20" w:type="dxa"/>
            </w:tcMar>
            <w:vAlign w:val="bottom"/>
          </w:tcPr>
          <w:p w14:paraId="5CD8FB5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5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59" w14:textId="77777777" w:rsidR="00BA49F5" w:rsidRDefault="007E5E49">
            <w:pPr>
              <w:jc w:val="right"/>
              <w:textAlignment w:val="bottom"/>
            </w:pPr>
            <w:r>
              <w:rPr>
                <w:rFonts w:ascii="Times New Roman" w:eastAsia="宋体" w:hAnsi="Times New Roman"/>
                <w:color w:val="000000"/>
                <w:sz w:val="20"/>
                <w:szCs w:val="20"/>
              </w:rPr>
              <w:t>(325)</w:t>
            </w:r>
          </w:p>
        </w:tc>
        <w:tc>
          <w:tcPr>
            <w:tcW w:w="0" w:type="auto"/>
            <w:shd w:val="clear" w:color="auto" w:fill="FFFFFF"/>
            <w:tcMar>
              <w:top w:w="40" w:type="dxa"/>
              <w:left w:w="0" w:type="dxa"/>
              <w:bottom w:w="40" w:type="dxa"/>
              <w:right w:w="20" w:type="dxa"/>
            </w:tcMar>
            <w:vAlign w:val="bottom"/>
          </w:tcPr>
          <w:p w14:paraId="5CD8FB5A" w14:textId="77777777" w:rsidR="00BA49F5" w:rsidRDefault="00BA49F5">
            <w:pPr>
              <w:jc w:val="right"/>
              <w:rPr>
                <w:rFonts w:ascii="宋体"/>
              </w:rPr>
            </w:pPr>
          </w:p>
        </w:tc>
      </w:tr>
      <w:tr w:rsidR="00BA49F5" w14:paraId="5CD8FB6E" w14:textId="77777777">
        <w:tc>
          <w:tcPr>
            <w:tcW w:w="0" w:type="auto"/>
            <w:gridSpan w:val="3"/>
            <w:shd w:val="clear" w:color="auto" w:fill="CCEEFF"/>
            <w:tcMar>
              <w:top w:w="40" w:type="dxa"/>
              <w:left w:w="20" w:type="dxa"/>
              <w:bottom w:w="40" w:type="dxa"/>
              <w:right w:w="20" w:type="dxa"/>
            </w:tcMar>
            <w:vAlign w:val="bottom"/>
          </w:tcPr>
          <w:p w14:paraId="5CD8FB5C"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5CD8FB5D" w14:textId="77777777" w:rsidR="00BA49F5" w:rsidRDefault="007E5E49">
            <w:pPr>
              <w:jc w:val="right"/>
              <w:textAlignment w:val="bottom"/>
            </w:pPr>
            <w:r>
              <w:rPr>
                <w:rFonts w:ascii="Times New Roman" w:eastAsia="宋体" w:hAnsi="Times New Roman"/>
                <w:color w:val="000000"/>
                <w:sz w:val="20"/>
                <w:szCs w:val="20"/>
              </w:rPr>
              <w:t>4,555 </w:t>
            </w:r>
          </w:p>
        </w:tc>
        <w:tc>
          <w:tcPr>
            <w:tcW w:w="0" w:type="auto"/>
            <w:shd w:val="clear" w:color="auto" w:fill="CCEEFF"/>
            <w:tcMar>
              <w:top w:w="40" w:type="dxa"/>
              <w:left w:w="0" w:type="dxa"/>
              <w:bottom w:w="40" w:type="dxa"/>
              <w:right w:w="20" w:type="dxa"/>
            </w:tcMar>
            <w:vAlign w:val="bottom"/>
          </w:tcPr>
          <w:p w14:paraId="5CD8FB5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5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60" w14:textId="77777777" w:rsidR="00BA49F5" w:rsidRDefault="007E5E49">
            <w:pPr>
              <w:jc w:val="right"/>
              <w:textAlignment w:val="bottom"/>
            </w:pPr>
            <w:r>
              <w:rPr>
                <w:rFonts w:ascii="Times New Roman" w:eastAsia="宋体" w:hAnsi="Times New Roman"/>
                <w:color w:val="000000"/>
                <w:sz w:val="20"/>
                <w:szCs w:val="20"/>
              </w:rPr>
              <w:t>(249)</w:t>
            </w:r>
          </w:p>
        </w:tc>
        <w:tc>
          <w:tcPr>
            <w:tcW w:w="0" w:type="auto"/>
            <w:shd w:val="clear" w:color="auto" w:fill="CCEEFF"/>
            <w:tcMar>
              <w:top w:w="40" w:type="dxa"/>
              <w:left w:w="0" w:type="dxa"/>
              <w:bottom w:w="40" w:type="dxa"/>
              <w:right w:w="20" w:type="dxa"/>
            </w:tcMar>
            <w:vAlign w:val="bottom"/>
          </w:tcPr>
          <w:p w14:paraId="5CD8FB6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6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63" w14:textId="77777777" w:rsidR="00BA49F5" w:rsidRDefault="007E5E49">
            <w:pPr>
              <w:jc w:val="right"/>
              <w:textAlignment w:val="bottom"/>
            </w:pPr>
            <w:r>
              <w:rPr>
                <w:rFonts w:ascii="Times New Roman" w:eastAsia="宋体" w:hAnsi="Times New Roman"/>
                <w:color w:val="000000"/>
                <w:sz w:val="20"/>
                <w:szCs w:val="20"/>
              </w:rPr>
              <w:t>7,256 </w:t>
            </w:r>
          </w:p>
        </w:tc>
        <w:tc>
          <w:tcPr>
            <w:tcW w:w="0" w:type="auto"/>
            <w:shd w:val="clear" w:color="auto" w:fill="CCEEFF"/>
            <w:tcMar>
              <w:top w:w="40" w:type="dxa"/>
              <w:left w:w="0" w:type="dxa"/>
              <w:bottom w:w="40" w:type="dxa"/>
              <w:right w:w="20" w:type="dxa"/>
            </w:tcMar>
            <w:vAlign w:val="bottom"/>
          </w:tcPr>
          <w:p w14:paraId="5CD8FB6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6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66" w14:textId="77777777" w:rsidR="00BA49F5" w:rsidRDefault="007E5E49">
            <w:pPr>
              <w:jc w:val="right"/>
              <w:textAlignment w:val="bottom"/>
            </w:pPr>
            <w:r>
              <w:rPr>
                <w:rFonts w:ascii="Times New Roman" w:eastAsia="宋体" w:hAnsi="Times New Roman"/>
                <w:color w:val="000000"/>
                <w:sz w:val="20"/>
                <w:szCs w:val="20"/>
              </w:rPr>
              <w:t>(634)</w:t>
            </w:r>
          </w:p>
        </w:tc>
        <w:tc>
          <w:tcPr>
            <w:tcW w:w="0" w:type="auto"/>
            <w:shd w:val="clear" w:color="auto" w:fill="CCEEFF"/>
            <w:tcMar>
              <w:top w:w="40" w:type="dxa"/>
              <w:left w:w="0" w:type="dxa"/>
              <w:bottom w:w="40" w:type="dxa"/>
              <w:right w:w="20" w:type="dxa"/>
            </w:tcMar>
            <w:vAlign w:val="bottom"/>
          </w:tcPr>
          <w:p w14:paraId="5CD8FB6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6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69" w14:textId="77777777" w:rsidR="00BA49F5" w:rsidRDefault="007E5E49">
            <w:pPr>
              <w:jc w:val="right"/>
              <w:textAlignment w:val="bottom"/>
            </w:pPr>
            <w:r>
              <w:rPr>
                <w:rFonts w:ascii="Times New Roman" w:eastAsia="宋体" w:hAnsi="Times New Roman"/>
                <w:color w:val="000000"/>
                <w:sz w:val="20"/>
                <w:szCs w:val="20"/>
              </w:rPr>
              <w:t>11,811 </w:t>
            </w:r>
          </w:p>
        </w:tc>
        <w:tc>
          <w:tcPr>
            <w:tcW w:w="0" w:type="auto"/>
            <w:shd w:val="clear" w:color="auto" w:fill="CCEEFF"/>
            <w:tcMar>
              <w:top w:w="40" w:type="dxa"/>
              <w:left w:w="0" w:type="dxa"/>
              <w:bottom w:w="40" w:type="dxa"/>
              <w:right w:w="20" w:type="dxa"/>
            </w:tcMar>
            <w:vAlign w:val="bottom"/>
          </w:tcPr>
          <w:p w14:paraId="5CD8FB6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6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6C" w14:textId="77777777" w:rsidR="00BA49F5" w:rsidRDefault="007E5E49">
            <w:pPr>
              <w:jc w:val="right"/>
              <w:textAlignment w:val="bottom"/>
            </w:pPr>
            <w:r>
              <w:rPr>
                <w:rFonts w:ascii="Times New Roman" w:eastAsia="宋体" w:hAnsi="Times New Roman"/>
                <w:color w:val="000000"/>
                <w:sz w:val="20"/>
                <w:szCs w:val="20"/>
              </w:rPr>
              <w:t>(883)</w:t>
            </w:r>
          </w:p>
        </w:tc>
        <w:tc>
          <w:tcPr>
            <w:tcW w:w="0" w:type="auto"/>
            <w:shd w:val="clear" w:color="auto" w:fill="CCEEFF"/>
            <w:tcMar>
              <w:top w:w="40" w:type="dxa"/>
              <w:left w:w="0" w:type="dxa"/>
              <w:bottom w:w="40" w:type="dxa"/>
              <w:right w:w="20" w:type="dxa"/>
            </w:tcMar>
            <w:vAlign w:val="bottom"/>
          </w:tcPr>
          <w:p w14:paraId="5CD8FB6D" w14:textId="77777777" w:rsidR="00BA49F5" w:rsidRDefault="00BA49F5">
            <w:pPr>
              <w:jc w:val="right"/>
              <w:rPr>
                <w:rFonts w:ascii="宋体"/>
              </w:rPr>
            </w:pPr>
          </w:p>
        </w:tc>
      </w:tr>
      <w:tr w:rsidR="00BA49F5" w14:paraId="5CD8FB87" w14:textId="77777777">
        <w:tc>
          <w:tcPr>
            <w:tcW w:w="0" w:type="auto"/>
            <w:gridSpan w:val="3"/>
            <w:shd w:val="clear" w:color="auto" w:fill="FFFFFF"/>
            <w:tcMar>
              <w:top w:w="40" w:type="dxa"/>
              <w:left w:w="380" w:type="dxa"/>
              <w:bottom w:w="40" w:type="dxa"/>
              <w:right w:w="20" w:type="dxa"/>
            </w:tcMar>
            <w:vAlign w:val="bottom"/>
          </w:tcPr>
          <w:p w14:paraId="5CD8FB6F"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7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71" w14:textId="77777777" w:rsidR="00BA49F5" w:rsidRDefault="007E5E49">
            <w:pPr>
              <w:jc w:val="right"/>
              <w:textAlignment w:val="bottom"/>
            </w:pPr>
            <w:r>
              <w:rPr>
                <w:rFonts w:ascii="Times New Roman" w:eastAsia="宋体" w:hAnsi="Times New Roman"/>
                <w:color w:val="000000"/>
                <w:sz w:val="20"/>
                <w:szCs w:val="20"/>
              </w:rPr>
              <w:t>10,087 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7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73"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7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75" w14:textId="77777777" w:rsidR="00BA49F5" w:rsidRDefault="007E5E49">
            <w:pPr>
              <w:jc w:val="right"/>
              <w:textAlignment w:val="bottom"/>
            </w:pPr>
            <w:r>
              <w:rPr>
                <w:rFonts w:ascii="Times New Roman" w:eastAsia="宋体" w:hAnsi="Times New Roman"/>
                <w:color w:val="000000"/>
                <w:sz w:val="20"/>
                <w:szCs w:val="20"/>
              </w:rPr>
              <w:t>(500)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7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77"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7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79" w14:textId="77777777" w:rsidR="00BA49F5" w:rsidRDefault="007E5E49">
            <w:pPr>
              <w:jc w:val="right"/>
              <w:textAlignment w:val="bottom"/>
            </w:pPr>
            <w:r>
              <w:rPr>
                <w:rFonts w:ascii="Times New Roman" w:eastAsia="宋体" w:hAnsi="Times New Roman"/>
                <w:color w:val="000000"/>
                <w:sz w:val="20"/>
                <w:szCs w:val="20"/>
              </w:rPr>
              <w:t>15,170 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7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7B"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7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7D" w14:textId="77777777" w:rsidR="00BA49F5" w:rsidRDefault="007E5E49">
            <w:pPr>
              <w:jc w:val="right"/>
              <w:textAlignment w:val="bottom"/>
            </w:pPr>
            <w:r>
              <w:rPr>
                <w:rFonts w:ascii="Times New Roman" w:eastAsia="宋体" w:hAnsi="Times New Roman"/>
                <w:color w:val="000000"/>
                <w:sz w:val="20"/>
                <w:szCs w:val="20"/>
              </w:rPr>
              <w:t>(1,189)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7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7F"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8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81" w14:textId="77777777" w:rsidR="00BA49F5" w:rsidRDefault="007E5E49">
            <w:pPr>
              <w:jc w:val="right"/>
              <w:textAlignment w:val="bottom"/>
            </w:pPr>
            <w:r>
              <w:rPr>
                <w:rFonts w:ascii="Times New Roman" w:eastAsia="宋体" w:hAnsi="Times New Roman"/>
                <w:color w:val="000000"/>
                <w:sz w:val="20"/>
                <w:szCs w:val="20"/>
              </w:rPr>
              <w:t>25,257 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8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83"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B8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B85" w14:textId="77777777" w:rsidR="00BA49F5" w:rsidRDefault="007E5E49">
            <w:pPr>
              <w:jc w:val="right"/>
              <w:textAlignment w:val="bottom"/>
            </w:pPr>
            <w:r>
              <w:rPr>
                <w:rFonts w:ascii="Times New Roman" w:eastAsia="宋体" w:hAnsi="Times New Roman"/>
                <w:color w:val="000000"/>
                <w:sz w:val="20"/>
                <w:szCs w:val="20"/>
              </w:rPr>
              <w:t>(1,689)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B86" w14:textId="77777777" w:rsidR="00BA49F5" w:rsidRDefault="00BA49F5">
            <w:pPr>
              <w:jc w:val="right"/>
              <w:rPr>
                <w:rFonts w:ascii="宋体"/>
              </w:rPr>
            </w:pPr>
          </w:p>
        </w:tc>
      </w:tr>
    </w:tbl>
    <w:p w14:paraId="5CD8FB88" w14:textId="77777777" w:rsidR="00BA49F5" w:rsidRDefault="00BA49F5">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7"/>
        <w:gridCol w:w="2728"/>
        <w:gridCol w:w="36"/>
        <w:gridCol w:w="120"/>
        <w:gridCol w:w="701"/>
        <w:gridCol w:w="36"/>
        <w:gridCol w:w="36"/>
        <w:gridCol w:w="36"/>
        <w:gridCol w:w="36"/>
        <w:gridCol w:w="121"/>
        <w:gridCol w:w="703"/>
        <w:gridCol w:w="36"/>
        <w:gridCol w:w="36"/>
        <w:gridCol w:w="36"/>
        <w:gridCol w:w="36"/>
        <w:gridCol w:w="121"/>
        <w:gridCol w:w="622"/>
        <w:gridCol w:w="37"/>
        <w:gridCol w:w="36"/>
        <w:gridCol w:w="36"/>
        <w:gridCol w:w="36"/>
        <w:gridCol w:w="121"/>
        <w:gridCol w:w="703"/>
        <w:gridCol w:w="36"/>
        <w:gridCol w:w="36"/>
        <w:gridCol w:w="36"/>
        <w:gridCol w:w="36"/>
        <w:gridCol w:w="120"/>
        <w:gridCol w:w="622"/>
        <w:gridCol w:w="36"/>
        <w:gridCol w:w="36"/>
        <w:gridCol w:w="36"/>
        <w:gridCol w:w="36"/>
        <w:gridCol w:w="121"/>
        <w:gridCol w:w="703"/>
        <w:gridCol w:w="36"/>
      </w:tblGrid>
      <w:tr w:rsidR="00BA49F5" w14:paraId="5CD8FBAD" w14:textId="77777777">
        <w:tc>
          <w:tcPr>
            <w:tcW w:w="50" w:type="pct"/>
            <w:shd w:val="clear" w:color="auto" w:fill="auto"/>
            <w:vAlign w:val="bottom"/>
          </w:tcPr>
          <w:p w14:paraId="5CD8FB89" w14:textId="77777777" w:rsidR="00BA49F5" w:rsidRDefault="00BA49F5">
            <w:pPr>
              <w:rPr>
                <w:rFonts w:ascii="宋体"/>
              </w:rPr>
            </w:pPr>
          </w:p>
        </w:tc>
        <w:tc>
          <w:tcPr>
            <w:tcW w:w="1678" w:type="pct"/>
            <w:shd w:val="clear" w:color="auto" w:fill="auto"/>
            <w:vAlign w:val="bottom"/>
          </w:tcPr>
          <w:p w14:paraId="5CD8FB8A" w14:textId="77777777" w:rsidR="00BA49F5" w:rsidRDefault="00BA49F5">
            <w:pPr>
              <w:rPr>
                <w:rFonts w:ascii="宋体"/>
              </w:rPr>
            </w:pPr>
          </w:p>
        </w:tc>
        <w:tc>
          <w:tcPr>
            <w:tcW w:w="5" w:type="pct"/>
            <w:shd w:val="clear" w:color="auto" w:fill="auto"/>
            <w:vAlign w:val="bottom"/>
          </w:tcPr>
          <w:p w14:paraId="5CD8FB8B" w14:textId="77777777" w:rsidR="00BA49F5" w:rsidRDefault="00BA49F5">
            <w:pPr>
              <w:rPr>
                <w:rFonts w:ascii="宋体"/>
              </w:rPr>
            </w:pPr>
          </w:p>
        </w:tc>
        <w:tc>
          <w:tcPr>
            <w:tcW w:w="50" w:type="pct"/>
            <w:shd w:val="clear" w:color="auto" w:fill="auto"/>
            <w:vAlign w:val="bottom"/>
          </w:tcPr>
          <w:p w14:paraId="5CD8FB8C" w14:textId="77777777" w:rsidR="00BA49F5" w:rsidRDefault="00BA49F5">
            <w:pPr>
              <w:rPr>
                <w:rFonts w:ascii="宋体"/>
              </w:rPr>
            </w:pPr>
          </w:p>
        </w:tc>
        <w:tc>
          <w:tcPr>
            <w:tcW w:w="458" w:type="pct"/>
            <w:shd w:val="clear" w:color="auto" w:fill="auto"/>
            <w:vAlign w:val="bottom"/>
          </w:tcPr>
          <w:p w14:paraId="5CD8FB8D" w14:textId="77777777" w:rsidR="00BA49F5" w:rsidRDefault="00BA49F5">
            <w:pPr>
              <w:rPr>
                <w:rFonts w:ascii="宋体"/>
              </w:rPr>
            </w:pPr>
          </w:p>
        </w:tc>
        <w:tc>
          <w:tcPr>
            <w:tcW w:w="5" w:type="pct"/>
            <w:shd w:val="clear" w:color="auto" w:fill="auto"/>
            <w:vAlign w:val="bottom"/>
          </w:tcPr>
          <w:p w14:paraId="5CD8FB8E" w14:textId="77777777" w:rsidR="00BA49F5" w:rsidRDefault="00BA49F5">
            <w:pPr>
              <w:rPr>
                <w:rFonts w:ascii="宋体"/>
              </w:rPr>
            </w:pPr>
          </w:p>
        </w:tc>
        <w:tc>
          <w:tcPr>
            <w:tcW w:w="5" w:type="pct"/>
            <w:shd w:val="clear" w:color="auto" w:fill="auto"/>
            <w:vAlign w:val="bottom"/>
          </w:tcPr>
          <w:p w14:paraId="5CD8FB8F" w14:textId="77777777" w:rsidR="00BA49F5" w:rsidRDefault="00BA49F5">
            <w:pPr>
              <w:rPr>
                <w:rFonts w:ascii="宋体"/>
              </w:rPr>
            </w:pPr>
          </w:p>
        </w:tc>
        <w:tc>
          <w:tcPr>
            <w:tcW w:w="27" w:type="pct"/>
            <w:shd w:val="clear" w:color="auto" w:fill="auto"/>
            <w:vAlign w:val="bottom"/>
          </w:tcPr>
          <w:p w14:paraId="5CD8FB90" w14:textId="77777777" w:rsidR="00BA49F5" w:rsidRDefault="00BA49F5">
            <w:pPr>
              <w:rPr>
                <w:rFonts w:ascii="宋体"/>
              </w:rPr>
            </w:pPr>
          </w:p>
        </w:tc>
        <w:tc>
          <w:tcPr>
            <w:tcW w:w="5" w:type="pct"/>
            <w:shd w:val="clear" w:color="auto" w:fill="auto"/>
            <w:vAlign w:val="bottom"/>
          </w:tcPr>
          <w:p w14:paraId="5CD8FB91" w14:textId="77777777" w:rsidR="00BA49F5" w:rsidRDefault="00BA49F5">
            <w:pPr>
              <w:rPr>
                <w:rFonts w:ascii="宋体"/>
              </w:rPr>
            </w:pPr>
          </w:p>
        </w:tc>
        <w:tc>
          <w:tcPr>
            <w:tcW w:w="50" w:type="pct"/>
            <w:shd w:val="clear" w:color="auto" w:fill="auto"/>
            <w:vAlign w:val="bottom"/>
          </w:tcPr>
          <w:p w14:paraId="5CD8FB92" w14:textId="77777777" w:rsidR="00BA49F5" w:rsidRDefault="00BA49F5">
            <w:pPr>
              <w:rPr>
                <w:rFonts w:ascii="宋体"/>
              </w:rPr>
            </w:pPr>
          </w:p>
        </w:tc>
        <w:tc>
          <w:tcPr>
            <w:tcW w:w="458" w:type="pct"/>
            <w:shd w:val="clear" w:color="auto" w:fill="auto"/>
            <w:vAlign w:val="bottom"/>
          </w:tcPr>
          <w:p w14:paraId="5CD8FB93" w14:textId="77777777" w:rsidR="00BA49F5" w:rsidRDefault="00BA49F5">
            <w:pPr>
              <w:rPr>
                <w:rFonts w:ascii="宋体"/>
              </w:rPr>
            </w:pPr>
          </w:p>
        </w:tc>
        <w:tc>
          <w:tcPr>
            <w:tcW w:w="5" w:type="pct"/>
            <w:shd w:val="clear" w:color="auto" w:fill="auto"/>
            <w:vAlign w:val="bottom"/>
          </w:tcPr>
          <w:p w14:paraId="5CD8FB94" w14:textId="77777777" w:rsidR="00BA49F5" w:rsidRDefault="00BA49F5">
            <w:pPr>
              <w:rPr>
                <w:rFonts w:ascii="宋体"/>
              </w:rPr>
            </w:pPr>
          </w:p>
        </w:tc>
        <w:tc>
          <w:tcPr>
            <w:tcW w:w="5" w:type="pct"/>
            <w:shd w:val="clear" w:color="auto" w:fill="auto"/>
            <w:vAlign w:val="bottom"/>
          </w:tcPr>
          <w:p w14:paraId="5CD8FB95" w14:textId="77777777" w:rsidR="00BA49F5" w:rsidRDefault="00BA49F5">
            <w:pPr>
              <w:rPr>
                <w:rFonts w:ascii="宋体"/>
              </w:rPr>
            </w:pPr>
          </w:p>
        </w:tc>
        <w:tc>
          <w:tcPr>
            <w:tcW w:w="27" w:type="pct"/>
            <w:shd w:val="clear" w:color="auto" w:fill="auto"/>
            <w:vAlign w:val="bottom"/>
          </w:tcPr>
          <w:p w14:paraId="5CD8FB96" w14:textId="77777777" w:rsidR="00BA49F5" w:rsidRDefault="00BA49F5">
            <w:pPr>
              <w:rPr>
                <w:rFonts w:ascii="宋体"/>
              </w:rPr>
            </w:pPr>
          </w:p>
        </w:tc>
        <w:tc>
          <w:tcPr>
            <w:tcW w:w="5" w:type="pct"/>
            <w:shd w:val="clear" w:color="auto" w:fill="auto"/>
            <w:vAlign w:val="bottom"/>
          </w:tcPr>
          <w:p w14:paraId="5CD8FB97" w14:textId="77777777" w:rsidR="00BA49F5" w:rsidRDefault="00BA49F5">
            <w:pPr>
              <w:rPr>
                <w:rFonts w:ascii="宋体"/>
              </w:rPr>
            </w:pPr>
          </w:p>
        </w:tc>
        <w:tc>
          <w:tcPr>
            <w:tcW w:w="50" w:type="pct"/>
            <w:shd w:val="clear" w:color="auto" w:fill="auto"/>
            <w:vAlign w:val="bottom"/>
          </w:tcPr>
          <w:p w14:paraId="5CD8FB98" w14:textId="77777777" w:rsidR="00BA49F5" w:rsidRDefault="00BA49F5">
            <w:pPr>
              <w:rPr>
                <w:rFonts w:ascii="宋体"/>
              </w:rPr>
            </w:pPr>
          </w:p>
        </w:tc>
        <w:tc>
          <w:tcPr>
            <w:tcW w:w="458" w:type="pct"/>
            <w:shd w:val="clear" w:color="auto" w:fill="auto"/>
            <w:vAlign w:val="bottom"/>
          </w:tcPr>
          <w:p w14:paraId="5CD8FB99" w14:textId="77777777" w:rsidR="00BA49F5" w:rsidRDefault="00BA49F5">
            <w:pPr>
              <w:rPr>
                <w:rFonts w:ascii="宋体"/>
              </w:rPr>
            </w:pPr>
          </w:p>
        </w:tc>
        <w:tc>
          <w:tcPr>
            <w:tcW w:w="5" w:type="pct"/>
            <w:shd w:val="clear" w:color="auto" w:fill="auto"/>
            <w:vAlign w:val="bottom"/>
          </w:tcPr>
          <w:p w14:paraId="5CD8FB9A" w14:textId="77777777" w:rsidR="00BA49F5" w:rsidRDefault="00BA49F5">
            <w:pPr>
              <w:rPr>
                <w:rFonts w:ascii="宋体"/>
              </w:rPr>
            </w:pPr>
          </w:p>
        </w:tc>
        <w:tc>
          <w:tcPr>
            <w:tcW w:w="5" w:type="pct"/>
            <w:shd w:val="clear" w:color="auto" w:fill="auto"/>
            <w:vAlign w:val="bottom"/>
          </w:tcPr>
          <w:p w14:paraId="5CD8FB9B" w14:textId="77777777" w:rsidR="00BA49F5" w:rsidRDefault="00BA49F5">
            <w:pPr>
              <w:rPr>
                <w:rFonts w:ascii="宋体"/>
              </w:rPr>
            </w:pPr>
          </w:p>
        </w:tc>
        <w:tc>
          <w:tcPr>
            <w:tcW w:w="27" w:type="pct"/>
            <w:shd w:val="clear" w:color="auto" w:fill="auto"/>
            <w:vAlign w:val="bottom"/>
          </w:tcPr>
          <w:p w14:paraId="5CD8FB9C" w14:textId="77777777" w:rsidR="00BA49F5" w:rsidRDefault="00BA49F5">
            <w:pPr>
              <w:rPr>
                <w:rFonts w:ascii="宋体"/>
              </w:rPr>
            </w:pPr>
          </w:p>
        </w:tc>
        <w:tc>
          <w:tcPr>
            <w:tcW w:w="5" w:type="pct"/>
            <w:shd w:val="clear" w:color="auto" w:fill="auto"/>
            <w:vAlign w:val="bottom"/>
          </w:tcPr>
          <w:p w14:paraId="5CD8FB9D" w14:textId="77777777" w:rsidR="00BA49F5" w:rsidRDefault="00BA49F5">
            <w:pPr>
              <w:rPr>
                <w:rFonts w:ascii="宋体"/>
              </w:rPr>
            </w:pPr>
          </w:p>
        </w:tc>
        <w:tc>
          <w:tcPr>
            <w:tcW w:w="50" w:type="pct"/>
            <w:shd w:val="clear" w:color="auto" w:fill="auto"/>
            <w:vAlign w:val="bottom"/>
          </w:tcPr>
          <w:p w14:paraId="5CD8FB9E" w14:textId="77777777" w:rsidR="00BA49F5" w:rsidRDefault="00BA49F5">
            <w:pPr>
              <w:rPr>
                <w:rFonts w:ascii="宋体"/>
              </w:rPr>
            </w:pPr>
          </w:p>
        </w:tc>
        <w:tc>
          <w:tcPr>
            <w:tcW w:w="458" w:type="pct"/>
            <w:shd w:val="clear" w:color="auto" w:fill="auto"/>
            <w:vAlign w:val="bottom"/>
          </w:tcPr>
          <w:p w14:paraId="5CD8FB9F" w14:textId="77777777" w:rsidR="00BA49F5" w:rsidRDefault="00BA49F5">
            <w:pPr>
              <w:rPr>
                <w:rFonts w:ascii="宋体"/>
              </w:rPr>
            </w:pPr>
          </w:p>
        </w:tc>
        <w:tc>
          <w:tcPr>
            <w:tcW w:w="5" w:type="pct"/>
            <w:shd w:val="clear" w:color="auto" w:fill="auto"/>
            <w:vAlign w:val="bottom"/>
          </w:tcPr>
          <w:p w14:paraId="5CD8FBA0" w14:textId="77777777" w:rsidR="00BA49F5" w:rsidRDefault="00BA49F5">
            <w:pPr>
              <w:rPr>
                <w:rFonts w:ascii="宋体"/>
              </w:rPr>
            </w:pPr>
          </w:p>
        </w:tc>
        <w:tc>
          <w:tcPr>
            <w:tcW w:w="5" w:type="pct"/>
            <w:shd w:val="clear" w:color="auto" w:fill="auto"/>
            <w:vAlign w:val="bottom"/>
          </w:tcPr>
          <w:p w14:paraId="5CD8FBA1" w14:textId="77777777" w:rsidR="00BA49F5" w:rsidRDefault="00BA49F5">
            <w:pPr>
              <w:rPr>
                <w:rFonts w:ascii="宋体"/>
              </w:rPr>
            </w:pPr>
          </w:p>
        </w:tc>
        <w:tc>
          <w:tcPr>
            <w:tcW w:w="27" w:type="pct"/>
            <w:shd w:val="clear" w:color="auto" w:fill="auto"/>
            <w:vAlign w:val="bottom"/>
          </w:tcPr>
          <w:p w14:paraId="5CD8FBA2" w14:textId="77777777" w:rsidR="00BA49F5" w:rsidRDefault="00BA49F5">
            <w:pPr>
              <w:rPr>
                <w:rFonts w:ascii="宋体"/>
              </w:rPr>
            </w:pPr>
          </w:p>
        </w:tc>
        <w:tc>
          <w:tcPr>
            <w:tcW w:w="5" w:type="pct"/>
            <w:shd w:val="clear" w:color="auto" w:fill="auto"/>
            <w:vAlign w:val="bottom"/>
          </w:tcPr>
          <w:p w14:paraId="5CD8FBA3" w14:textId="77777777" w:rsidR="00BA49F5" w:rsidRDefault="00BA49F5">
            <w:pPr>
              <w:rPr>
                <w:rFonts w:ascii="宋体"/>
              </w:rPr>
            </w:pPr>
          </w:p>
        </w:tc>
        <w:tc>
          <w:tcPr>
            <w:tcW w:w="50" w:type="pct"/>
            <w:shd w:val="clear" w:color="auto" w:fill="auto"/>
            <w:vAlign w:val="bottom"/>
          </w:tcPr>
          <w:p w14:paraId="5CD8FBA4" w14:textId="77777777" w:rsidR="00BA49F5" w:rsidRDefault="00BA49F5">
            <w:pPr>
              <w:rPr>
                <w:rFonts w:ascii="宋体"/>
              </w:rPr>
            </w:pPr>
          </w:p>
        </w:tc>
        <w:tc>
          <w:tcPr>
            <w:tcW w:w="458" w:type="pct"/>
            <w:shd w:val="clear" w:color="auto" w:fill="auto"/>
            <w:vAlign w:val="bottom"/>
          </w:tcPr>
          <w:p w14:paraId="5CD8FBA5" w14:textId="77777777" w:rsidR="00BA49F5" w:rsidRDefault="00BA49F5">
            <w:pPr>
              <w:rPr>
                <w:rFonts w:ascii="宋体"/>
              </w:rPr>
            </w:pPr>
          </w:p>
        </w:tc>
        <w:tc>
          <w:tcPr>
            <w:tcW w:w="5" w:type="pct"/>
            <w:shd w:val="clear" w:color="auto" w:fill="auto"/>
            <w:vAlign w:val="bottom"/>
          </w:tcPr>
          <w:p w14:paraId="5CD8FBA6" w14:textId="77777777" w:rsidR="00BA49F5" w:rsidRDefault="00BA49F5">
            <w:pPr>
              <w:rPr>
                <w:rFonts w:ascii="宋体"/>
              </w:rPr>
            </w:pPr>
          </w:p>
        </w:tc>
        <w:tc>
          <w:tcPr>
            <w:tcW w:w="5" w:type="pct"/>
            <w:shd w:val="clear" w:color="auto" w:fill="auto"/>
            <w:vAlign w:val="bottom"/>
          </w:tcPr>
          <w:p w14:paraId="5CD8FBA7" w14:textId="77777777" w:rsidR="00BA49F5" w:rsidRDefault="00BA49F5">
            <w:pPr>
              <w:rPr>
                <w:rFonts w:ascii="宋体"/>
              </w:rPr>
            </w:pPr>
          </w:p>
        </w:tc>
        <w:tc>
          <w:tcPr>
            <w:tcW w:w="27" w:type="pct"/>
            <w:shd w:val="clear" w:color="auto" w:fill="auto"/>
            <w:vAlign w:val="bottom"/>
          </w:tcPr>
          <w:p w14:paraId="5CD8FBA8" w14:textId="77777777" w:rsidR="00BA49F5" w:rsidRDefault="00BA49F5">
            <w:pPr>
              <w:rPr>
                <w:rFonts w:ascii="宋体"/>
              </w:rPr>
            </w:pPr>
          </w:p>
        </w:tc>
        <w:tc>
          <w:tcPr>
            <w:tcW w:w="5" w:type="pct"/>
            <w:shd w:val="clear" w:color="auto" w:fill="auto"/>
            <w:vAlign w:val="bottom"/>
          </w:tcPr>
          <w:p w14:paraId="5CD8FBA9" w14:textId="77777777" w:rsidR="00BA49F5" w:rsidRDefault="00BA49F5">
            <w:pPr>
              <w:rPr>
                <w:rFonts w:ascii="宋体"/>
              </w:rPr>
            </w:pPr>
          </w:p>
        </w:tc>
        <w:tc>
          <w:tcPr>
            <w:tcW w:w="50" w:type="pct"/>
            <w:shd w:val="clear" w:color="auto" w:fill="auto"/>
            <w:vAlign w:val="bottom"/>
          </w:tcPr>
          <w:p w14:paraId="5CD8FBAA" w14:textId="77777777" w:rsidR="00BA49F5" w:rsidRDefault="00BA49F5">
            <w:pPr>
              <w:rPr>
                <w:rFonts w:ascii="宋体"/>
              </w:rPr>
            </w:pPr>
          </w:p>
        </w:tc>
        <w:tc>
          <w:tcPr>
            <w:tcW w:w="458" w:type="pct"/>
            <w:shd w:val="clear" w:color="auto" w:fill="auto"/>
            <w:vAlign w:val="bottom"/>
          </w:tcPr>
          <w:p w14:paraId="5CD8FBAB" w14:textId="77777777" w:rsidR="00BA49F5" w:rsidRDefault="00BA49F5">
            <w:pPr>
              <w:rPr>
                <w:rFonts w:ascii="宋体"/>
              </w:rPr>
            </w:pPr>
          </w:p>
        </w:tc>
        <w:tc>
          <w:tcPr>
            <w:tcW w:w="5" w:type="pct"/>
            <w:shd w:val="clear" w:color="auto" w:fill="auto"/>
            <w:vAlign w:val="bottom"/>
          </w:tcPr>
          <w:p w14:paraId="5CD8FBAC" w14:textId="77777777" w:rsidR="00BA49F5" w:rsidRDefault="00BA49F5">
            <w:pPr>
              <w:rPr>
                <w:rFonts w:ascii="宋体"/>
              </w:rPr>
            </w:pPr>
          </w:p>
        </w:tc>
      </w:tr>
      <w:tr w:rsidR="00BA49F5" w14:paraId="5CD8FBB0" w14:textId="77777777">
        <w:tc>
          <w:tcPr>
            <w:tcW w:w="0" w:type="auto"/>
            <w:gridSpan w:val="3"/>
            <w:shd w:val="clear" w:color="auto" w:fill="auto"/>
            <w:tcMar>
              <w:top w:w="0" w:type="dxa"/>
              <w:left w:w="20" w:type="dxa"/>
              <w:bottom w:w="0" w:type="dxa"/>
              <w:right w:w="20" w:type="dxa"/>
            </w:tcMar>
            <w:vAlign w:val="bottom"/>
          </w:tcPr>
          <w:p w14:paraId="5CD8FBAE" w14:textId="77777777" w:rsidR="00BA49F5" w:rsidRDefault="00BA49F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CD8FBAF" w14:textId="77777777" w:rsidR="00BA49F5" w:rsidRDefault="007E5E49">
            <w:pPr>
              <w:jc w:val="center"/>
              <w:textAlignment w:val="bottom"/>
            </w:pPr>
            <w:r>
              <w:rPr>
                <w:rFonts w:ascii="Times New Roman" w:eastAsia="宋体" w:hAnsi="Times New Roman"/>
                <w:b/>
                <w:bCs/>
                <w:color w:val="000000"/>
                <w:sz w:val="16"/>
                <w:szCs w:val="16"/>
              </w:rPr>
              <w:t>December 31, 2021</w:t>
            </w:r>
          </w:p>
        </w:tc>
      </w:tr>
      <w:tr w:rsidR="00BA49F5" w14:paraId="5CD8FBB7" w14:textId="77777777">
        <w:tc>
          <w:tcPr>
            <w:tcW w:w="0" w:type="auto"/>
            <w:gridSpan w:val="3"/>
            <w:shd w:val="clear" w:color="auto" w:fill="auto"/>
            <w:tcMar>
              <w:top w:w="0" w:type="dxa"/>
              <w:left w:w="20" w:type="dxa"/>
              <w:bottom w:w="0" w:type="dxa"/>
              <w:right w:w="20" w:type="dxa"/>
            </w:tcMar>
            <w:vAlign w:val="bottom"/>
          </w:tcPr>
          <w:p w14:paraId="5CD8FBB1"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B2" w14:textId="77777777" w:rsidR="00BA49F5" w:rsidRDefault="007E5E49">
            <w:pPr>
              <w:jc w:val="center"/>
              <w:textAlignment w:val="bottom"/>
            </w:pPr>
            <w:r>
              <w:rPr>
                <w:rFonts w:ascii="Times New Roman" w:eastAsia="宋体" w:hAnsi="Times New Roman"/>
                <w:b/>
                <w:bCs/>
                <w:color w:val="000000"/>
                <w:sz w:val="16"/>
                <w:szCs w:val="16"/>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B3"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B4" w14:textId="77777777" w:rsidR="00BA49F5" w:rsidRDefault="007E5E49">
            <w:pPr>
              <w:jc w:val="center"/>
              <w:textAlignment w:val="bottom"/>
            </w:pPr>
            <w:r>
              <w:rPr>
                <w:rFonts w:ascii="Times New Roman" w:eastAsia="宋体" w:hAnsi="Times New Roman"/>
                <w:b/>
                <w:bCs/>
                <w:color w:val="000000"/>
                <w:sz w:val="16"/>
                <w:szCs w:val="16"/>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B5" w14:textId="77777777" w:rsidR="00BA49F5" w:rsidRDefault="00BA49F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CD8FBB6" w14:textId="77777777" w:rsidR="00BA49F5" w:rsidRDefault="007E5E49">
            <w:pPr>
              <w:jc w:val="center"/>
              <w:textAlignment w:val="bottom"/>
            </w:pPr>
            <w:r>
              <w:rPr>
                <w:rFonts w:ascii="Times New Roman" w:eastAsia="宋体" w:hAnsi="Times New Roman"/>
                <w:b/>
                <w:bCs/>
                <w:color w:val="000000"/>
                <w:sz w:val="16"/>
                <w:szCs w:val="16"/>
              </w:rPr>
              <w:t>Total</w:t>
            </w:r>
          </w:p>
        </w:tc>
      </w:tr>
      <w:tr w:rsidR="00BA49F5" w14:paraId="5CD8FBC4" w14:textId="77777777">
        <w:tc>
          <w:tcPr>
            <w:tcW w:w="0" w:type="auto"/>
            <w:gridSpan w:val="3"/>
            <w:shd w:val="clear" w:color="auto" w:fill="auto"/>
            <w:tcMar>
              <w:top w:w="0" w:type="dxa"/>
              <w:left w:w="20" w:type="dxa"/>
              <w:bottom w:w="0" w:type="dxa"/>
              <w:right w:w="20" w:type="dxa"/>
            </w:tcMar>
            <w:vAlign w:val="bottom"/>
          </w:tcPr>
          <w:p w14:paraId="5CD8FBB8"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B9"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BA"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BB" w14:textId="77777777" w:rsidR="00BA49F5" w:rsidRDefault="007E5E49">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5CD8FBBC"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BD"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B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BF" w14:textId="77777777" w:rsidR="00BA49F5" w:rsidRDefault="007E5E49">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5CD8FBC0"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C1" w14:textId="77777777" w:rsidR="00BA49F5" w:rsidRDefault="007E5E49">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BC2"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BC3" w14:textId="77777777" w:rsidR="00BA49F5" w:rsidRDefault="007E5E49">
            <w:pPr>
              <w:jc w:val="center"/>
              <w:textAlignment w:val="bottom"/>
            </w:pPr>
            <w:r>
              <w:rPr>
                <w:rFonts w:ascii="Times New Roman" w:eastAsia="宋体" w:hAnsi="Times New Roman"/>
                <w:b/>
                <w:bCs/>
                <w:color w:val="000000"/>
                <w:sz w:val="16"/>
                <w:szCs w:val="16"/>
              </w:rPr>
              <w:t>Unrealized Losses</w:t>
            </w:r>
          </w:p>
        </w:tc>
      </w:tr>
      <w:tr w:rsidR="00BA49F5" w14:paraId="5CD8FBDD" w14:textId="77777777">
        <w:tc>
          <w:tcPr>
            <w:tcW w:w="0" w:type="auto"/>
            <w:gridSpan w:val="3"/>
            <w:shd w:val="clear" w:color="auto" w:fill="CCEEFF"/>
            <w:tcMar>
              <w:top w:w="40" w:type="dxa"/>
              <w:left w:w="20" w:type="dxa"/>
              <w:bottom w:w="40" w:type="dxa"/>
              <w:right w:w="20" w:type="dxa"/>
            </w:tcMar>
            <w:vAlign w:val="bottom"/>
          </w:tcPr>
          <w:p w14:paraId="5CD8FBC5"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BC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C7" w14:textId="77777777" w:rsidR="00BA49F5" w:rsidRDefault="007E5E49">
            <w:pPr>
              <w:jc w:val="right"/>
              <w:textAlignment w:val="bottom"/>
            </w:pPr>
            <w:r>
              <w:rPr>
                <w:rFonts w:ascii="Times New Roman" w:eastAsia="宋体" w:hAnsi="Times New Roman"/>
                <w:color w:val="000000"/>
                <w:sz w:val="20"/>
                <w:szCs w:val="20"/>
              </w:rPr>
              <w:t>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C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C9"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C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CB" w14:textId="77777777" w:rsidR="00BA49F5" w:rsidRDefault="007E5E49">
            <w:pPr>
              <w:jc w:val="right"/>
              <w:textAlignment w:val="bottom"/>
            </w:pPr>
            <w:r>
              <w:rPr>
                <w:rFonts w:ascii="Times New Roman" w:eastAsia="宋体" w:hAnsi="Times New Roman"/>
                <w:color w:val="000000"/>
                <w:sz w:val="20"/>
                <w:szCs w:val="20"/>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C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CD"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C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CF" w14:textId="77777777" w:rsidR="00BA49F5" w:rsidRDefault="007E5E49">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D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D1"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D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D3" w14:textId="77777777" w:rsidR="00BA49F5" w:rsidRDefault="007E5E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D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D5"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D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D7" w14:textId="77777777" w:rsidR="00BA49F5" w:rsidRDefault="007E5E49">
            <w:pPr>
              <w:jc w:val="right"/>
              <w:textAlignment w:val="bottom"/>
            </w:pPr>
            <w:r>
              <w:rPr>
                <w:rFonts w:ascii="Times New Roman" w:eastAsia="宋体" w:hAnsi="Times New Roman"/>
                <w:color w:val="000000"/>
                <w:sz w:val="20"/>
                <w:szCs w:val="20"/>
              </w:rPr>
              <w:t>5,214 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D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D9"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BD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BDB" w14:textId="77777777" w:rsidR="00BA49F5" w:rsidRDefault="007E5E49">
            <w:pPr>
              <w:jc w:val="right"/>
              <w:textAlignment w:val="bottom"/>
            </w:pPr>
            <w:r>
              <w:rPr>
                <w:rFonts w:ascii="Times New Roman" w:eastAsia="宋体" w:hAnsi="Times New Roman"/>
                <w:color w:val="000000"/>
                <w:sz w:val="20"/>
                <w:szCs w:val="20"/>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BDC" w14:textId="77777777" w:rsidR="00BA49F5" w:rsidRDefault="00BA49F5">
            <w:pPr>
              <w:jc w:val="right"/>
              <w:rPr>
                <w:rFonts w:ascii="宋体"/>
              </w:rPr>
            </w:pPr>
          </w:p>
        </w:tc>
      </w:tr>
      <w:tr w:rsidR="00BA49F5" w14:paraId="5CD8FBF0" w14:textId="77777777">
        <w:tc>
          <w:tcPr>
            <w:tcW w:w="0" w:type="auto"/>
            <w:gridSpan w:val="3"/>
            <w:shd w:val="clear" w:color="auto" w:fill="FFFFFF"/>
            <w:tcMar>
              <w:top w:w="40" w:type="dxa"/>
              <w:left w:w="20" w:type="dxa"/>
              <w:bottom w:w="40" w:type="dxa"/>
              <w:right w:w="20" w:type="dxa"/>
            </w:tcMar>
            <w:vAlign w:val="bottom"/>
          </w:tcPr>
          <w:p w14:paraId="5CD8FBDE"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5CD8FBDF" w14:textId="77777777" w:rsidR="00BA49F5" w:rsidRDefault="007E5E49">
            <w:pPr>
              <w:jc w:val="right"/>
              <w:textAlignment w:val="bottom"/>
            </w:pPr>
            <w:r>
              <w:rPr>
                <w:rFonts w:ascii="Times New Roman" w:eastAsia="宋体" w:hAnsi="Times New Roman"/>
                <w:color w:val="000000"/>
                <w:sz w:val="20"/>
                <w:szCs w:val="20"/>
              </w:rPr>
              <w:t>5,029 </w:t>
            </w:r>
          </w:p>
        </w:tc>
        <w:tc>
          <w:tcPr>
            <w:tcW w:w="0" w:type="auto"/>
            <w:shd w:val="clear" w:color="auto" w:fill="FFFFFF"/>
            <w:tcMar>
              <w:top w:w="40" w:type="dxa"/>
              <w:left w:w="0" w:type="dxa"/>
              <w:bottom w:w="40" w:type="dxa"/>
              <w:right w:w="20" w:type="dxa"/>
            </w:tcMar>
            <w:vAlign w:val="bottom"/>
          </w:tcPr>
          <w:p w14:paraId="5CD8FBE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E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E2" w14:textId="77777777" w:rsidR="00BA49F5" w:rsidRDefault="007E5E49">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5CD8FBE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E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E5" w14:textId="77777777" w:rsidR="00BA49F5" w:rsidRDefault="007E5E49">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5CD8FBE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E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E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BE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E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EB" w14:textId="77777777" w:rsidR="00BA49F5" w:rsidRDefault="007E5E49">
            <w:pPr>
              <w:jc w:val="right"/>
              <w:textAlignment w:val="bottom"/>
            </w:pPr>
            <w:r>
              <w:rPr>
                <w:rFonts w:ascii="Times New Roman" w:eastAsia="宋体" w:hAnsi="Times New Roman"/>
                <w:color w:val="000000"/>
                <w:sz w:val="20"/>
                <w:szCs w:val="20"/>
              </w:rPr>
              <w:t>5,031 </w:t>
            </w:r>
          </w:p>
        </w:tc>
        <w:tc>
          <w:tcPr>
            <w:tcW w:w="0" w:type="auto"/>
            <w:shd w:val="clear" w:color="auto" w:fill="FFFFFF"/>
            <w:tcMar>
              <w:top w:w="40" w:type="dxa"/>
              <w:left w:w="0" w:type="dxa"/>
              <w:bottom w:w="40" w:type="dxa"/>
              <w:right w:w="20" w:type="dxa"/>
            </w:tcMar>
            <w:vAlign w:val="bottom"/>
          </w:tcPr>
          <w:p w14:paraId="5CD8FBE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BE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BEE" w14:textId="77777777" w:rsidR="00BA49F5" w:rsidRDefault="007E5E49">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5CD8FBEF" w14:textId="77777777" w:rsidR="00BA49F5" w:rsidRDefault="00BA49F5">
            <w:pPr>
              <w:jc w:val="right"/>
              <w:rPr>
                <w:rFonts w:ascii="宋体"/>
              </w:rPr>
            </w:pPr>
          </w:p>
        </w:tc>
      </w:tr>
      <w:tr w:rsidR="00BA49F5" w14:paraId="5CD8FC03" w14:textId="77777777">
        <w:tc>
          <w:tcPr>
            <w:tcW w:w="0" w:type="auto"/>
            <w:gridSpan w:val="3"/>
            <w:shd w:val="clear" w:color="auto" w:fill="CCEEFF"/>
            <w:tcMar>
              <w:top w:w="40" w:type="dxa"/>
              <w:left w:w="20" w:type="dxa"/>
              <w:bottom w:w="40" w:type="dxa"/>
              <w:right w:w="20" w:type="dxa"/>
            </w:tcMar>
            <w:vAlign w:val="bottom"/>
          </w:tcPr>
          <w:p w14:paraId="5CD8FBF1"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5CD8FBF2" w14:textId="77777777" w:rsidR="00BA49F5" w:rsidRDefault="007E5E49">
            <w:pPr>
              <w:jc w:val="right"/>
              <w:textAlignment w:val="bottom"/>
            </w:pPr>
            <w:r>
              <w:rPr>
                <w:rFonts w:ascii="Times New Roman" w:eastAsia="宋体" w:hAnsi="Times New Roman"/>
                <w:color w:val="000000"/>
                <w:sz w:val="20"/>
                <w:szCs w:val="20"/>
              </w:rPr>
              <w:t>10,041 </w:t>
            </w:r>
          </w:p>
        </w:tc>
        <w:tc>
          <w:tcPr>
            <w:tcW w:w="0" w:type="auto"/>
            <w:shd w:val="clear" w:color="auto" w:fill="CCEEFF"/>
            <w:tcMar>
              <w:top w:w="40" w:type="dxa"/>
              <w:left w:w="0" w:type="dxa"/>
              <w:bottom w:w="40" w:type="dxa"/>
              <w:right w:w="20" w:type="dxa"/>
            </w:tcMar>
            <w:vAlign w:val="bottom"/>
          </w:tcPr>
          <w:p w14:paraId="5CD8FBF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F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F5" w14:textId="77777777" w:rsidR="00BA49F5" w:rsidRDefault="007E5E49">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5CD8FBF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F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F8" w14:textId="77777777" w:rsidR="00BA49F5" w:rsidRDefault="007E5E49">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5CD8FBF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F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FB" w14:textId="77777777" w:rsidR="00BA49F5" w:rsidRDefault="007E5E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CD8FBF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BF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BFE" w14:textId="77777777" w:rsidR="00BA49F5" w:rsidRDefault="007E5E49">
            <w:pPr>
              <w:jc w:val="right"/>
              <w:textAlignment w:val="bottom"/>
            </w:pPr>
            <w:r>
              <w:rPr>
                <w:rFonts w:ascii="Times New Roman" w:eastAsia="宋体" w:hAnsi="Times New Roman"/>
                <w:color w:val="000000"/>
                <w:sz w:val="20"/>
                <w:szCs w:val="20"/>
              </w:rPr>
              <w:t>10,081 </w:t>
            </w:r>
          </w:p>
        </w:tc>
        <w:tc>
          <w:tcPr>
            <w:tcW w:w="0" w:type="auto"/>
            <w:shd w:val="clear" w:color="auto" w:fill="CCEEFF"/>
            <w:tcMar>
              <w:top w:w="40" w:type="dxa"/>
              <w:left w:w="0" w:type="dxa"/>
              <w:bottom w:w="40" w:type="dxa"/>
              <w:right w:w="20" w:type="dxa"/>
            </w:tcMar>
            <w:vAlign w:val="bottom"/>
          </w:tcPr>
          <w:p w14:paraId="5CD8FBF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C0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C01" w14:textId="77777777" w:rsidR="00BA49F5" w:rsidRDefault="007E5E49">
            <w:pPr>
              <w:jc w:val="right"/>
              <w:textAlignment w:val="bottom"/>
            </w:pPr>
            <w:r>
              <w:rPr>
                <w:rFonts w:ascii="Times New Roman" w:eastAsia="宋体" w:hAnsi="Times New Roman"/>
                <w:color w:val="000000"/>
                <w:sz w:val="20"/>
                <w:szCs w:val="20"/>
              </w:rPr>
              <w:t>(94)</w:t>
            </w:r>
          </w:p>
        </w:tc>
        <w:tc>
          <w:tcPr>
            <w:tcW w:w="0" w:type="auto"/>
            <w:shd w:val="clear" w:color="auto" w:fill="CCEEFF"/>
            <w:tcMar>
              <w:top w:w="40" w:type="dxa"/>
              <w:left w:w="0" w:type="dxa"/>
              <w:bottom w:w="40" w:type="dxa"/>
              <w:right w:w="20" w:type="dxa"/>
            </w:tcMar>
            <w:vAlign w:val="bottom"/>
          </w:tcPr>
          <w:p w14:paraId="5CD8FC02" w14:textId="77777777" w:rsidR="00BA49F5" w:rsidRDefault="00BA49F5">
            <w:pPr>
              <w:jc w:val="right"/>
              <w:rPr>
                <w:rFonts w:ascii="宋体"/>
              </w:rPr>
            </w:pPr>
          </w:p>
        </w:tc>
      </w:tr>
      <w:tr w:rsidR="00BA49F5" w14:paraId="5CD8FC1C" w14:textId="77777777">
        <w:tc>
          <w:tcPr>
            <w:tcW w:w="0" w:type="auto"/>
            <w:gridSpan w:val="3"/>
            <w:shd w:val="clear" w:color="auto" w:fill="FFFFFF"/>
            <w:tcMar>
              <w:top w:w="40" w:type="dxa"/>
              <w:left w:w="380" w:type="dxa"/>
              <w:bottom w:w="40" w:type="dxa"/>
              <w:right w:w="20" w:type="dxa"/>
            </w:tcMar>
            <w:vAlign w:val="bottom"/>
          </w:tcPr>
          <w:p w14:paraId="5CD8FC04"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0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06" w14:textId="77777777" w:rsidR="00BA49F5" w:rsidRDefault="007E5E49">
            <w:pPr>
              <w:jc w:val="right"/>
              <w:textAlignment w:val="bottom"/>
            </w:pPr>
            <w:r>
              <w:rPr>
                <w:rFonts w:ascii="Times New Roman" w:eastAsia="宋体" w:hAnsi="Times New Roman"/>
                <w:color w:val="000000"/>
                <w:sz w:val="20"/>
                <w:szCs w:val="20"/>
              </w:rPr>
              <w:t>20,254 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0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08"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0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0A" w14:textId="77777777" w:rsidR="00BA49F5" w:rsidRDefault="007E5E49">
            <w:pPr>
              <w:jc w:val="right"/>
              <w:textAlignment w:val="bottom"/>
            </w:pPr>
            <w:r>
              <w:rPr>
                <w:rFonts w:ascii="Times New Roman" w:eastAsia="宋体" w:hAnsi="Times New Roman"/>
                <w:color w:val="000000"/>
                <w:sz w:val="20"/>
                <w:szCs w:val="20"/>
              </w:rPr>
              <w:t>(192)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0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0C"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0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0E" w14:textId="77777777" w:rsidR="00BA49F5" w:rsidRDefault="007E5E49">
            <w:pPr>
              <w:jc w:val="right"/>
              <w:textAlignment w:val="bottom"/>
            </w:pPr>
            <w:r>
              <w:rPr>
                <w:rFonts w:ascii="Times New Roman" w:eastAsia="宋体" w:hAnsi="Times New Roman"/>
                <w:color w:val="000000"/>
                <w:sz w:val="20"/>
                <w:szCs w:val="20"/>
              </w:rPr>
              <w:t>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0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10"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1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12" w14:textId="77777777" w:rsidR="00BA49F5" w:rsidRDefault="007E5E49">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1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14"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1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16" w14:textId="77777777" w:rsidR="00BA49F5" w:rsidRDefault="007E5E49">
            <w:pPr>
              <w:jc w:val="right"/>
              <w:textAlignment w:val="bottom"/>
            </w:pPr>
            <w:r>
              <w:rPr>
                <w:rFonts w:ascii="Times New Roman" w:eastAsia="宋体" w:hAnsi="Times New Roman"/>
                <w:color w:val="000000"/>
                <w:sz w:val="20"/>
                <w:szCs w:val="20"/>
              </w:rPr>
              <w:t>20,326 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1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18"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C1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C1A" w14:textId="77777777" w:rsidR="00BA49F5" w:rsidRDefault="007E5E49">
            <w:pPr>
              <w:jc w:val="right"/>
              <w:textAlignment w:val="bottom"/>
            </w:pPr>
            <w:r>
              <w:rPr>
                <w:rFonts w:ascii="Times New Roman" w:eastAsia="宋体" w:hAnsi="Times New Roman"/>
                <w:color w:val="000000"/>
                <w:sz w:val="20"/>
                <w:szCs w:val="20"/>
              </w:rPr>
              <w:t>(193)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C1B" w14:textId="77777777" w:rsidR="00BA49F5" w:rsidRDefault="00BA49F5">
            <w:pPr>
              <w:jc w:val="right"/>
              <w:rPr>
                <w:rFonts w:ascii="宋体"/>
              </w:rPr>
            </w:pPr>
          </w:p>
        </w:tc>
      </w:tr>
    </w:tbl>
    <w:p w14:paraId="5CD8FC1D" w14:textId="77777777" w:rsidR="00BA49F5" w:rsidRDefault="00BA49F5">
      <w:pPr>
        <w:ind w:firstLine="540"/>
        <w:jc w:val="both"/>
      </w:pPr>
    </w:p>
    <w:p w14:paraId="5CD8FC1E" w14:textId="77777777" w:rsidR="00BA49F5" w:rsidRDefault="007E5E49">
      <w:pPr>
        <w:ind w:firstLine="540"/>
        <w:jc w:val="both"/>
      </w:pPr>
      <w:r>
        <w:rPr>
          <w:rFonts w:ascii="Times New Roman" w:eastAsia="宋体" w:hAnsi="Times New Roman"/>
          <w:color w:val="000000"/>
          <w:sz w:val="20"/>
          <w:szCs w:val="20"/>
        </w:rPr>
        <w:t>The increase in the gross unrealized losses for the year ended December 31, 2022 is due to higher interest rates. The allowance for credit losses and the gross unrealized gains o</w:t>
      </w:r>
      <w:r>
        <w:rPr>
          <w:rFonts w:ascii="Times New Roman" w:eastAsia="宋体" w:hAnsi="Times New Roman"/>
          <w:color w:val="000000"/>
          <w:sz w:val="20"/>
          <w:szCs w:val="20"/>
        </w:rPr>
        <w:t xml:space="preserve">n our marketable debt securities was not material as of December 31, 2022 and 2021. </w:t>
      </w:r>
    </w:p>
    <w:p w14:paraId="5CD8FC1F" w14:textId="77777777" w:rsidR="00BA49F5" w:rsidRDefault="00BA49F5">
      <w:pPr>
        <w:ind w:firstLine="540"/>
        <w:jc w:val="both"/>
      </w:pPr>
    </w:p>
    <w:p w14:paraId="5CD8FC20" w14:textId="77777777" w:rsidR="00BA49F5" w:rsidRDefault="007E5E49">
      <w:pPr>
        <w:ind w:firstLine="540"/>
        <w:jc w:val="both"/>
      </w:pPr>
      <w:r>
        <w:rPr>
          <w:rFonts w:ascii="Times New Roman" w:eastAsia="宋体" w:hAnsi="Times New Roman"/>
          <w:color w:val="000000"/>
          <w:sz w:val="20"/>
          <w:szCs w:val="20"/>
        </w:rPr>
        <w:t>The following table classifies our marketable debt securities by contractual maturities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6826"/>
        <w:gridCol w:w="37"/>
        <w:gridCol w:w="120"/>
        <w:gridCol w:w="1194"/>
        <w:gridCol w:w="36"/>
        <w:gridCol w:w="36"/>
        <w:gridCol w:w="36"/>
      </w:tblGrid>
      <w:tr w:rsidR="00BA49F5" w14:paraId="5CD8FC29" w14:textId="77777777">
        <w:tc>
          <w:tcPr>
            <w:tcW w:w="50" w:type="pct"/>
            <w:shd w:val="clear" w:color="auto" w:fill="auto"/>
            <w:vAlign w:val="bottom"/>
          </w:tcPr>
          <w:p w14:paraId="5CD8FC21" w14:textId="77777777" w:rsidR="00BA49F5" w:rsidRDefault="00BA49F5">
            <w:pPr>
              <w:rPr>
                <w:rFonts w:ascii="宋体"/>
              </w:rPr>
            </w:pPr>
          </w:p>
        </w:tc>
        <w:tc>
          <w:tcPr>
            <w:tcW w:w="4148" w:type="pct"/>
            <w:shd w:val="clear" w:color="auto" w:fill="auto"/>
            <w:vAlign w:val="bottom"/>
          </w:tcPr>
          <w:p w14:paraId="5CD8FC22" w14:textId="77777777" w:rsidR="00BA49F5" w:rsidRDefault="00BA49F5">
            <w:pPr>
              <w:rPr>
                <w:rFonts w:ascii="宋体"/>
              </w:rPr>
            </w:pPr>
          </w:p>
        </w:tc>
        <w:tc>
          <w:tcPr>
            <w:tcW w:w="5" w:type="pct"/>
            <w:shd w:val="clear" w:color="auto" w:fill="auto"/>
            <w:vAlign w:val="bottom"/>
          </w:tcPr>
          <w:p w14:paraId="5CD8FC23" w14:textId="77777777" w:rsidR="00BA49F5" w:rsidRDefault="00BA49F5">
            <w:pPr>
              <w:rPr>
                <w:rFonts w:ascii="宋体"/>
              </w:rPr>
            </w:pPr>
          </w:p>
        </w:tc>
        <w:tc>
          <w:tcPr>
            <w:tcW w:w="50" w:type="pct"/>
            <w:shd w:val="clear" w:color="auto" w:fill="auto"/>
            <w:vAlign w:val="bottom"/>
          </w:tcPr>
          <w:p w14:paraId="5CD8FC24" w14:textId="77777777" w:rsidR="00BA49F5" w:rsidRDefault="00BA49F5">
            <w:pPr>
              <w:rPr>
                <w:rFonts w:ascii="宋体"/>
              </w:rPr>
            </w:pPr>
          </w:p>
        </w:tc>
        <w:tc>
          <w:tcPr>
            <w:tcW w:w="741" w:type="pct"/>
            <w:shd w:val="clear" w:color="auto" w:fill="auto"/>
            <w:vAlign w:val="bottom"/>
          </w:tcPr>
          <w:p w14:paraId="5CD8FC25" w14:textId="77777777" w:rsidR="00BA49F5" w:rsidRDefault="00BA49F5">
            <w:pPr>
              <w:rPr>
                <w:rFonts w:ascii="宋体"/>
              </w:rPr>
            </w:pPr>
          </w:p>
        </w:tc>
        <w:tc>
          <w:tcPr>
            <w:tcW w:w="5" w:type="pct"/>
            <w:shd w:val="clear" w:color="auto" w:fill="auto"/>
            <w:vAlign w:val="bottom"/>
          </w:tcPr>
          <w:p w14:paraId="5CD8FC26" w14:textId="77777777" w:rsidR="00BA49F5" w:rsidRDefault="00BA49F5">
            <w:pPr>
              <w:rPr>
                <w:rFonts w:ascii="宋体"/>
              </w:rPr>
            </w:pPr>
          </w:p>
        </w:tc>
        <w:tc>
          <w:tcPr>
            <w:tcW w:w="0" w:type="auto"/>
            <w:shd w:val="clear" w:color="auto" w:fill="auto"/>
            <w:vAlign w:val="bottom"/>
          </w:tcPr>
          <w:p w14:paraId="5CD8FC27" w14:textId="77777777" w:rsidR="00BA49F5" w:rsidRDefault="00BA49F5">
            <w:pPr>
              <w:rPr>
                <w:rFonts w:ascii="宋体"/>
                <w:vanish/>
              </w:rPr>
            </w:pPr>
          </w:p>
        </w:tc>
        <w:tc>
          <w:tcPr>
            <w:tcW w:w="0" w:type="auto"/>
            <w:shd w:val="clear" w:color="auto" w:fill="auto"/>
            <w:vAlign w:val="bottom"/>
          </w:tcPr>
          <w:p w14:paraId="5CD8FC28" w14:textId="77777777" w:rsidR="00BA49F5" w:rsidRDefault="00BA49F5">
            <w:pPr>
              <w:rPr>
                <w:rFonts w:ascii="宋体"/>
                <w:vanish/>
              </w:rPr>
            </w:pPr>
          </w:p>
        </w:tc>
      </w:tr>
      <w:tr w:rsidR="00BA49F5" w14:paraId="5CD8FC2E" w14:textId="77777777">
        <w:tc>
          <w:tcPr>
            <w:tcW w:w="0" w:type="auto"/>
            <w:gridSpan w:val="3"/>
            <w:shd w:val="clear" w:color="auto" w:fill="auto"/>
            <w:tcMar>
              <w:top w:w="0" w:type="dxa"/>
              <w:left w:w="20" w:type="dxa"/>
              <w:bottom w:w="0" w:type="dxa"/>
              <w:right w:w="20" w:type="dxa"/>
            </w:tcMar>
            <w:vAlign w:val="bottom"/>
          </w:tcPr>
          <w:p w14:paraId="5CD8FC2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C2B" w14:textId="77777777" w:rsidR="00BA49F5" w:rsidRDefault="007E5E49">
            <w:pPr>
              <w:jc w:val="center"/>
              <w:textAlignment w:val="bottom"/>
            </w:pPr>
            <w:r>
              <w:rPr>
                <w:rFonts w:ascii="Times New Roman" w:eastAsia="宋体" w:hAnsi="Times New Roman"/>
                <w:b/>
                <w:bCs/>
                <w:color w:val="000000"/>
                <w:sz w:val="16"/>
                <w:szCs w:val="16"/>
              </w:rPr>
              <w:t>December 31, 2022</w:t>
            </w:r>
          </w:p>
        </w:tc>
        <w:tc>
          <w:tcPr>
            <w:tcW w:w="0" w:type="auto"/>
            <w:shd w:val="clear" w:color="auto" w:fill="auto"/>
            <w:vAlign w:val="bottom"/>
          </w:tcPr>
          <w:p w14:paraId="5CD8FC2C" w14:textId="77777777" w:rsidR="00BA49F5" w:rsidRDefault="00BA49F5">
            <w:pPr>
              <w:rPr>
                <w:rFonts w:ascii="宋体"/>
                <w:vanish/>
              </w:rPr>
            </w:pPr>
          </w:p>
        </w:tc>
        <w:tc>
          <w:tcPr>
            <w:tcW w:w="0" w:type="auto"/>
            <w:shd w:val="clear" w:color="auto" w:fill="auto"/>
            <w:vAlign w:val="bottom"/>
          </w:tcPr>
          <w:p w14:paraId="5CD8FC2D" w14:textId="77777777" w:rsidR="00BA49F5" w:rsidRDefault="00BA49F5">
            <w:pPr>
              <w:rPr>
                <w:rFonts w:ascii="宋体"/>
                <w:vanish/>
              </w:rPr>
            </w:pPr>
          </w:p>
        </w:tc>
      </w:tr>
      <w:tr w:rsidR="00BA49F5" w14:paraId="5CD8FC35" w14:textId="77777777">
        <w:tc>
          <w:tcPr>
            <w:tcW w:w="0" w:type="auto"/>
            <w:gridSpan w:val="3"/>
            <w:shd w:val="clear" w:color="auto" w:fill="CCEEFF"/>
            <w:tcMar>
              <w:top w:w="40" w:type="dxa"/>
              <w:left w:w="20" w:type="dxa"/>
              <w:bottom w:w="40" w:type="dxa"/>
              <w:right w:w="20" w:type="dxa"/>
            </w:tcMar>
            <w:vAlign w:val="bottom"/>
          </w:tcPr>
          <w:p w14:paraId="5CD8FC2F" w14:textId="77777777" w:rsidR="00BA49F5" w:rsidRDefault="007E5E49">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C3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C31" w14:textId="77777777" w:rsidR="00BA49F5" w:rsidRDefault="007E5E49">
            <w:pPr>
              <w:jc w:val="right"/>
              <w:textAlignment w:val="bottom"/>
            </w:pPr>
            <w:r>
              <w:rPr>
                <w:rFonts w:ascii="Times New Roman" w:eastAsia="宋体" w:hAnsi="Times New Roman"/>
                <w:color w:val="000000"/>
                <w:sz w:val="20"/>
                <w:szCs w:val="20"/>
              </w:rPr>
              <w:t>4,170 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C32" w14:textId="77777777" w:rsidR="00BA49F5" w:rsidRDefault="00BA49F5">
            <w:pPr>
              <w:jc w:val="right"/>
              <w:rPr>
                <w:rFonts w:ascii="宋体"/>
              </w:rPr>
            </w:pPr>
          </w:p>
        </w:tc>
        <w:tc>
          <w:tcPr>
            <w:tcW w:w="0" w:type="auto"/>
            <w:shd w:val="clear" w:color="auto" w:fill="auto"/>
            <w:vAlign w:val="bottom"/>
          </w:tcPr>
          <w:p w14:paraId="5CD8FC33" w14:textId="77777777" w:rsidR="00BA49F5" w:rsidRDefault="00BA49F5">
            <w:pPr>
              <w:rPr>
                <w:rFonts w:ascii="宋体"/>
                <w:vanish/>
              </w:rPr>
            </w:pPr>
          </w:p>
        </w:tc>
        <w:tc>
          <w:tcPr>
            <w:tcW w:w="0" w:type="auto"/>
            <w:shd w:val="clear" w:color="auto" w:fill="auto"/>
            <w:vAlign w:val="bottom"/>
          </w:tcPr>
          <w:p w14:paraId="5CD8FC34" w14:textId="77777777" w:rsidR="00BA49F5" w:rsidRDefault="00BA49F5">
            <w:pPr>
              <w:rPr>
                <w:rFonts w:ascii="宋体"/>
                <w:vanish/>
              </w:rPr>
            </w:pPr>
          </w:p>
        </w:tc>
      </w:tr>
      <w:tr w:rsidR="00BA49F5" w14:paraId="5CD8FC3B" w14:textId="77777777">
        <w:tc>
          <w:tcPr>
            <w:tcW w:w="0" w:type="auto"/>
            <w:gridSpan w:val="3"/>
            <w:shd w:val="clear" w:color="auto" w:fill="FFFFFF"/>
            <w:tcMar>
              <w:top w:w="40" w:type="dxa"/>
              <w:left w:w="20" w:type="dxa"/>
              <w:bottom w:w="40" w:type="dxa"/>
              <w:right w:w="20" w:type="dxa"/>
            </w:tcMar>
            <w:vAlign w:val="bottom"/>
          </w:tcPr>
          <w:p w14:paraId="5CD8FC36" w14:textId="77777777" w:rsidR="00BA49F5" w:rsidRDefault="007E5E49">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5CD8FC37" w14:textId="77777777" w:rsidR="00BA49F5" w:rsidRDefault="007E5E49">
            <w:pPr>
              <w:jc w:val="right"/>
              <w:textAlignment w:val="bottom"/>
            </w:pPr>
            <w:r>
              <w:rPr>
                <w:rFonts w:ascii="Times New Roman" w:eastAsia="宋体" w:hAnsi="Times New Roman"/>
                <w:color w:val="000000"/>
                <w:sz w:val="20"/>
                <w:szCs w:val="20"/>
              </w:rPr>
              <w:t>21,862 </w:t>
            </w:r>
          </w:p>
        </w:tc>
        <w:tc>
          <w:tcPr>
            <w:tcW w:w="0" w:type="auto"/>
            <w:shd w:val="clear" w:color="auto" w:fill="FFFFFF"/>
            <w:tcMar>
              <w:top w:w="40" w:type="dxa"/>
              <w:left w:w="0" w:type="dxa"/>
              <w:bottom w:w="40" w:type="dxa"/>
              <w:right w:w="20" w:type="dxa"/>
            </w:tcMar>
            <w:vAlign w:val="bottom"/>
          </w:tcPr>
          <w:p w14:paraId="5CD8FC38" w14:textId="77777777" w:rsidR="00BA49F5" w:rsidRDefault="00BA49F5">
            <w:pPr>
              <w:jc w:val="right"/>
              <w:rPr>
                <w:rFonts w:ascii="宋体"/>
              </w:rPr>
            </w:pPr>
          </w:p>
        </w:tc>
        <w:tc>
          <w:tcPr>
            <w:tcW w:w="0" w:type="auto"/>
            <w:shd w:val="clear" w:color="auto" w:fill="auto"/>
            <w:vAlign w:val="bottom"/>
          </w:tcPr>
          <w:p w14:paraId="5CD8FC39" w14:textId="77777777" w:rsidR="00BA49F5" w:rsidRDefault="00BA49F5">
            <w:pPr>
              <w:rPr>
                <w:rFonts w:ascii="宋体"/>
                <w:vanish/>
              </w:rPr>
            </w:pPr>
          </w:p>
        </w:tc>
        <w:tc>
          <w:tcPr>
            <w:tcW w:w="0" w:type="auto"/>
            <w:shd w:val="clear" w:color="auto" w:fill="auto"/>
            <w:vAlign w:val="bottom"/>
          </w:tcPr>
          <w:p w14:paraId="5CD8FC3A" w14:textId="77777777" w:rsidR="00BA49F5" w:rsidRDefault="00BA49F5">
            <w:pPr>
              <w:rPr>
                <w:rFonts w:ascii="宋体"/>
                <w:vanish/>
              </w:rPr>
            </w:pPr>
          </w:p>
        </w:tc>
      </w:tr>
      <w:tr w:rsidR="00BA49F5" w14:paraId="5CD8FC42" w14:textId="77777777">
        <w:tc>
          <w:tcPr>
            <w:tcW w:w="0" w:type="auto"/>
            <w:gridSpan w:val="3"/>
            <w:shd w:val="clear" w:color="auto" w:fill="CCEEFF"/>
            <w:tcMar>
              <w:top w:w="40" w:type="dxa"/>
              <w:left w:w="380" w:type="dxa"/>
              <w:bottom w:w="40" w:type="dxa"/>
              <w:right w:w="20" w:type="dxa"/>
            </w:tcMar>
            <w:vAlign w:val="bottom"/>
          </w:tcPr>
          <w:p w14:paraId="5CD8FC3C"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C3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C3E" w14:textId="77777777" w:rsidR="00BA49F5" w:rsidRDefault="007E5E49">
            <w:pPr>
              <w:jc w:val="right"/>
              <w:textAlignment w:val="bottom"/>
            </w:pPr>
            <w:r>
              <w:rPr>
                <w:rFonts w:ascii="Times New Roman" w:eastAsia="宋体" w:hAnsi="Times New Roman"/>
                <w:color w:val="000000"/>
                <w:sz w:val="20"/>
                <w:szCs w:val="20"/>
              </w:rPr>
              <w:t>26,032 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C3F" w14:textId="77777777" w:rsidR="00BA49F5" w:rsidRDefault="00BA49F5">
            <w:pPr>
              <w:jc w:val="right"/>
              <w:rPr>
                <w:rFonts w:ascii="宋体"/>
              </w:rPr>
            </w:pPr>
          </w:p>
        </w:tc>
        <w:tc>
          <w:tcPr>
            <w:tcW w:w="0" w:type="auto"/>
            <w:shd w:val="clear" w:color="auto" w:fill="auto"/>
            <w:vAlign w:val="bottom"/>
          </w:tcPr>
          <w:p w14:paraId="5CD8FC40" w14:textId="77777777" w:rsidR="00BA49F5" w:rsidRDefault="00BA49F5">
            <w:pPr>
              <w:rPr>
                <w:rFonts w:ascii="宋体"/>
                <w:vanish/>
              </w:rPr>
            </w:pPr>
          </w:p>
        </w:tc>
        <w:tc>
          <w:tcPr>
            <w:tcW w:w="0" w:type="auto"/>
            <w:shd w:val="clear" w:color="auto" w:fill="auto"/>
            <w:vAlign w:val="bottom"/>
          </w:tcPr>
          <w:p w14:paraId="5CD8FC41" w14:textId="77777777" w:rsidR="00BA49F5" w:rsidRDefault="00BA49F5">
            <w:pPr>
              <w:rPr>
                <w:rFonts w:ascii="宋体"/>
                <w:vanish/>
              </w:rPr>
            </w:pPr>
          </w:p>
        </w:tc>
      </w:tr>
    </w:tbl>
    <w:p w14:paraId="5CD8FC43" w14:textId="77777777" w:rsidR="00BA49F5" w:rsidRDefault="00BA49F5">
      <w:pPr>
        <w:ind w:firstLine="540"/>
        <w:jc w:val="both"/>
      </w:pPr>
    </w:p>
    <w:p w14:paraId="5CD8FC44" w14:textId="77777777" w:rsidR="00BA49F5" w:rsidRDefault="007E5E49">
      <w:pPr>
        <w:jc w:val="center"/>
      </w:pPr>
      <w:r>
        <w:rPr>
          <w:rFonts w:ascii="Times New Roman" w:eastAsia="宋体" w:hAnsi="Times New Roman"/>
          <w:color w:val="000000"/>
          <w:sz w:val="20"/>
          <w:szCs w:val="20"/>
        </w:rPr>
        <w:t>103</w:t>
      </w:r>
    </w:p>
    <w:p w14:paraId="5CD8FC45" w14:textId="77777777" w:rsidR="00BA49F5" w:rsidRDefault="007E5E49">
      <w:r>
        <w:pict w14:anchorId="5CD90D5C">
          <v:rect id="_x0000_i1127" style="width:415.3pt;height:1.5pt" o:hralign="center" o:hrstd="t" o:hr="t" fillcolor="#a0a0a0" stroked="f"/>
        </w:pict>
      </w:r>
    </w:p>
    <w:p w14:paraId="5CD8FC46" w14:textId="77777777" w:rsidR="00BA49F5" w:rsidRDefault="00BA49F5"/>
    <w:p w14:paraId="5CD8FC47" w14:textId="77777777" w:rsidR="00BA49F5" w:rsidRDefault="00BA49F5"/>
    <w:p w14:paraId="5CD8FC48" w14:textId="77777777" w:rsidR="00BA49F5" w:rsidRDefault="007E5E49">
      <w:hyperlink r:id="rId301" w:anchor="i6df229dad1864210ab76200083e26819_7" w:history="1">
        <w:r>
          <w:rPr>
            <w:rStyle w:val="a5"/>
            <w:rFonts w:ascii="Times New Roman" w:eastAsia="宋体" w:hAnsi="Times New Roman"/>
            <w:sz w:val="20"/>
            <w:szCs w:val="20"/>
          </w:rPr>
          <w:t>T</w:t>
        </w:r>
      </w:hyperlink>
      <w:hyperlink r:id="rId302" w:anchor="i6df229dad1864210ab76200083e26819_7" w:history="1">
        <w:r>
          <w:rPr>
            <w:rStyle w:val="a5"/>
            <w:rFonts w:ascii="Times New Roman" w:eastAsia="宋体" w:hAnsi="Times New Roman"/>
            <w:sz w:val="20"/>
            <w:szCs w:val="20"/>
          </w:rPr>
          <w:t>able of Contents</w:t>
        </w:r>
      </w:hyperlink>
    </w:p>
    <w:p w14:paraId="5CD8FC49" w14:textId="77777777" w:rsidR="00BA49F5" w:rsidRDefault="007E5E49">
      <w:pPr>
        <w:spacing w:before="180"/>
        <w:jc w:val="both"/>
      </w:pPr>
      <w:r>
        <w:rPr>
          <w:rFonts w:ascii="Times New Roman" w:eastAsia="宋体" w:hAnsi="Times New Roman"/>
          <w:b/>
          <w:bCs/>
          <w:color w:val="000000"/>
          <w:sz w:val="20"/>
          <w:szCs w:val="20"/>
        </w:rPr>
        <w:t>Note 6.</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Non-marketable Equity Securities</w:t>
      </w:r>
    </w:p>
    <w:p w14:paraId="5CD8FC4A" w14:textId="77777777" w:rsidR="00BA49F5" w:rsidRDefault="00BA49F5"/>
    <w:p w14:paraId="5CD8FC4B" w14:textId="77777777" w:rsidR="00BA49F5" w:rsidRDefault="007E5E49">
      <w:pPr>
        <w:ind w:firstLine="540"/>
        <w:jc w:val="both"/>
      </w:pPr>
      <w:r>
        <w:rPr>
          <w:rFonts w:ascii="Times New Roman" w:eastAsia="宋体" w:hAnsi="Times New Roman"/>
          <w:color w:val="000000"/>
          <w:sz w:val="20"/>
          <w:szCs w:val="20"/>
        </w:rPr>
        <w:t>Our non-marketable equity securities are investments in privately-held companies without readily determinable fair values. The following table sum</w:t>
      </w:r>
      <w:r>
        <w:rPr>
          <w:rFonts w:ascii="Times New Roman" w:eastAsia="宋体" w:hAnsi="Times New Roman"/>
          <w:color w:val="000000"/>
          <w:sz w:val="20"/>
          <w:szCs w:val="20"/>
        </w:rPr>
        <w:t>marizes our non-marketable equity securities that were measured using measurement alternative and equity method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337"/>
        <w:gridCol w:w="37"/>
        <w:gridCol w:w="121"/>
        <w:gridCol w:w="1267"/>
        <w:gridCol w:w="36"/>
        <w:gridCol w:w="36"/>
        <w:gridCol w:w="36"/>
        <w:gridCol w:w="36"/>
        <w:gridCol w:w="120"/>
        <w:gridCol w:w="1234"/>
        <w:gridCol w:w="36"/>
      </w:tblGrid>
      <w:tr w:rsidR="00BA49F5" w14:paraId="5CD8FC58" w14:textId="77777777">
        <w:tc>
          <w:tcPr>
            <w:tcW w:w="50" w:type="pct"/>
            <w:shd w:val="clear" w:color="auto" w:fill="auto"/>
            <w:vAlign w:val="bottom"/>
          </w:tcPr>
          <w:p w14:paraId="5CD8FC4C" w14:textId="77777777" w:rsidR="00BA49F5" w:rsidRDefault="00BA49F5">
            <w:pPr>
              <w:rPr>
                <w:rFonts w:ascii="宋体"/>
              </w:rPr>
            </w:pPr>
          </w:p>
        </w:tc>
        <w:tc>
          <w:tcPr>
            <w:tcW w:w="3226" w:type="pct"/>
            <w:shd w:val="clear" w:color="auto" w:fill="auto"/>
            <w:vAlign w:val="bottom"/>
          </w:tcPr>
          <w:p w14:paraId="5CD8FC4D" w14:textId="77777777" w:rsidR="00BA49F5" w:rsidRDefault="00BA49F5">
            <w:pPr>
              <w:rPr>
                <w:rFonts w:ascii="宋体"/>
              </w:rPr>
            </w:pPr>
          </w:p>
        </w:tc>
        <w:tc>
          <w:tcPr>
            <w:tcW w:w="5" w:type="pct"/>
            <w:shd w:val="clear" w:color="auto" w:fill="auto"/>
            <w:vAlign w:val="bottom"/>
          </w:tcPr>
          <w:p w14:paraId="5CD8FC4E" w14:textId="77777777" w:rsidR="00BA49F5" w:rsidRDefault="00BA49F5">
            <w:pPr>
              <w:rPr>
                <w:rFonts w:ascii="宋体"/>
              </w:rPr>
            </w:pPr>
          </w:p>
        </w:tc>
        <w:tc>
          <w:tcPr>
            <w:tcW w:w="50" w:type="pct"/>
            <w:shd w:val="clear" w:color="auto" w:fill="auto"/>
            <w:vAlign w:val="bottom"/>
          </w:tcPr>
          <w:p w14:paraId="5CD8FC4F" w14:textId="77777777" w:rsidR="00BA49F5" w:rsidRDefault="00BA49F5">
            <w:pPr>
              <w:rPr>
                <w:rFonts w:ascii="宋体"/>
              </w:rPr>
            </w:pPr>
          </w:p>
        </w:tc>
        <w:tc>
          <w:tcPr>
            <w:tcW w:w="785" w:type="pct"/>
            <w:shd w:val="clear" w:color="auto" w:fill="auto"/>
            <w:vAlign w:val="bottom"/>
          </w:tcPr>
          <w:p w14:paraId="5CD8FC50" w14:textId="77777777" w:rsidR="00BA49F5" w:rsidRDefault="00BA49F5">
            <w:pPr>
              <w:rPr>
                <w:rFonts w:ascii="宋体"/>
              </w:rPr>
            </w:pPr>
          </w:p>
        </w:tc>
        <w:tc>
          <w:tcPr>
            <w:tcW w:w="5" w:type="pct"/>
            <w:shd w:val="clear" w:color="auto" w:fill="auto"/>
            <w:vAlign w:val="bottom"/>
          </w:tcPr>
          <w:p w14:paraId="5CD8FC51" w14:textId="77777777" w:rsidR="00BA49F5" w:rsidRDefault="00BA49F5">
            <w:pPr>
              <w:rPr>
                <w:rFonts w:ascii="宋体"/>
              </w:rPr>
            </w:pPr>
          </w:p>
        </w:tc>
        <w:tc>
          <w:tcPr>
            <w:tcW w:w="5" w:type="pct"/>
            <w:shd w:val="clear" w:color="auto" w:fill="auto"/>
            <w:vAlign w:val="bottom"/>
          </w:tcPr>
          <w:p w14:paraId="5CD8FC52" w14:textId="77777777" w:rsidR="00BA49F5" w:rsidRDefault="00BA49F5">
            <w:pPr>
              <w:rPr>
                <w:rFonts w:ascii="宋体"/>
              </w:rPr>
            </w:pPr>
          </w:p>
        </w:tc>
        <w:tc>
          <w:tcPr>
            <w:tcW w:w="27" w:type="pct"/>
            <w:shd w:val="clear" w:color="auto" w:fill="auto"/>
            <w:vAlign w:val="bottom"/>
          </w:tcPr>
          <w:p w14:paraId="5CD8FC53" w14:textId="77777777" w:rsidR="00BA49F5" w:rsidRDefault="00BA49F5">
            <w:pPr>
              <w:rPr>
                <w:rFonts w:ascii="宋体"/>
              </w:rPr>
            </w:pPr>
          </w:p>
        </w:tc>
        <w:tc>
          <w:tcPr>
            <w:tcW w:w="5" w:type="pct"/>
            <w:shd w:val="clear" w:color="auto" w:fill="auto"/>
            <w:vAlign w:val="bottom"/>
          </w:tcPr>
          <w:p w14:paraId="5CD8FC54" w14:textId="77777777" w:rsidR="00BA49F5" w:rsidRDefault="00BA49F5">
            <w:pPr>
              <w:rPr>
                <w:rFonts w:ascii="宋体"/>
              </w:rPr>
            </w:pPr>
          </w:p>
        </w:tc>
        <w:tc>
          <w:tcPr>
            <w:tcW w:w="50" w:type="pct"/>
            <w:shd w:val="clear" w:color="auto" w:fill="auto"/>
            <w:vAlign w:val="bottom"/>
          </w:tcPr>
          <w:p w14:paraId="5CD8FC55" w14:textId="77777777" w:rsidR="00BA49F5" w:rsidRDefault="00BA49F5">
            <w:pPr>
              <w:rPr>
                <w:rFonts w:ascii="宋体"/>
              </w:rPr>
            </w:pPr>
          </w:p>
        </w:tc>
        <w:tc>
          <w:tcPr>
            <w:tcW w:w="785" w:type="pct"/>
            <w:shd w:val="clear" w:color="auto" w:fill="auto"/>
            <w:vAlign w:val="bottom"/>
          </w:tcPr>
          <w:p w14:paraId="5CD8FC56" w14:textId="77777777" w:rsidR="00BA49F5" w:rsidRDefault="00BA49F5">
            <w:pPr>
              <w:rPr>
                <w:rFonts w:ascii="宋体"/>
              </w:rPr>
            </w:pPr>
          </w:p>
        </w:tc>
        <w:tc>
          <w:tcPr>
            <w:tcW w:w="5" w:type="pct"/>
            <w:shd w:val="clear" w:color="auto" w:fill="auto"/>
            <w:vAlign w:val="bottom"/>
          </w:tcPr>
          <w:p w14:paraId="5CD8FC57" w14:textId="77777777" w:rsidR="00BA49F5" w:rsidRDefault="00BA49F5">
            <w:pPr>
              <w:rPr>
                <w:rFonts w:ascii="宋体"/>
              </w:rPr>
            </w:pPr>
          </w:p>
        </w:tc>
      </w:tr>
      <w:tr w:rsidR="00BA49F5" w14:paraId="5CD8FC5B" w14:textId="77777777">
        <w:tc>
          <w:tcPr>
            <w:tcW w:w="0" w:type="auto"/>
            <w:gridSpan w:val="3"/>
            <w:shd w:val="clear" w:color="auto" w:fill="auto"/>
            <w:tcMar>
              <w:top w:w="0" w:type="dxa"/>
              <w:left w:w="20" w:type="dxa"/>
              <w:bottom w:w="0" w:type="dxa"/>
              <w:right w:w="20" w:type="dxa"/>
            </w:tcMar>
            <w:vAlign w:val="bottom"/>
          </w:tcPr>
          <w:p w14:paraId="5CD8FC59"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8FC5A"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8FC60" w14:textId="77777777">
        <w:tc>
          <w:tcPr>
            <w:tcW w:w="0" w:type="auto"/>
            <w:gridSpan w:val="3"/>
            <w:shd w:val="clear" w:color="auto" w:fill="auto"/>
            <w:tcMar>
              <w:top w:w="0" w:type="dxa"/>
              <w:left w:w="20" w:type="dxa"/>
              <w:bottom w:w="0" w:type="dxa"/>
              <w:right w:w="20" w:type="dxa"/>
            </w:tcMar>
            <w:vAlign w:val="bottom"/>
          </w:tcPr>
          <w:p w14:paraId="5CD8FC5C"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C5D"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C5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C5F"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8FC65" w14:textId="77777777">
        <w:tc>
          <w:tcPr>
            <w:tcW w:w="0" w:type="auto"/>
            <w:gridSpan w:val="3"/>
            <w:shd w:val="clear" w:color="auto" w:fill="CCEEFF"/>
            <w:tcMar>
              <w:top w:w="40" w:type="dxa"/>
              <w:left w:w="20" w:type="dxa"/>
              <w:bottom w:w="40" w:type="dxa"/>
              <w:right w:w="20" w:type="dxa"/>
            </w:tcMar>
            <w:vAlign w:val="bottom"/>
          </w:tcPr>
          <w:p w14:paraId="5CD8FC61" w14:textId="77777777" w:rsidR="00BA49F5" w:rsidRDefault="007E5E49">
            <w:pPr>
              <w:textAlignment w:val="bottom"/>
            </w:pPr>
            <w:r>
              <w:rPr>
                <w:rFonts w:ascii="Times New Roman" w:eastAsia="宋体" w:hAnsi="Times New Roman"/>
                <w:color w:val="000000"/>
                <w:sz w:val="20"/>
                <w:szCs w:val="20"/>
              </w:rPr>
              <w:t>Non-marketable equity securities under measurement alternative: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C62"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C63"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C64" w14:textId="77777777" w:rsidR="00BA49F5" w:rsidRDefault="00BA49F5">
            <w:pPr>
              <w:rPr>
                <w:rFonts w:ascii="宋体"/>
              </w:rPr>
            </w:pPr>
          </w:p>
        </w:tc>
      </w:tr>
      <w:tr w:rsidR="00BA49F5" w14:paraId="5CD8FC6C" w14:textId="77777777">
        <w:tc>
          <w:tcPr>
            <w:tcW w:w="0" w:type="auto"/>
            <w:gridSpan w:val="3"/>
            <w:shd w:val="clear" w:color="auto" w:fill="FFFFFF"/>
            <w:tcMar>
              <w:top w:w="40" w:type="dxa"/>
              <w:left w:w="200" w:type="dxa"/>
              <w:bottom w:w="40" w:type="dxa"/>
              <w:right w:w="20" w:type="dxa"/>
            </w:tcMar>
            <w:vAlign w:val="bottom"/>
          </w:tcPr>
          <w:p w14:paraId="5CD8FC66" w14:textId="77777777" w:rsidR="00BA49F5" w:rsidRDefault="007E5E49">
            <w:pPr>
              <w:textAlignment w:val="bottom"/>
            </w:pPr>
            <w:r>
              <w:rPr>
                <w:rFonts w:ascii="Times New Roman" w:eastAsia="宋体" w:hAnsi="Times New Roman"/>
                <w:color w:val="000000"/>
                <w:sz w:val="20"/>
                <w:szCs w:val="20"/>
              </w:rPr>
              <w:t>Initial cost</w:t>
            </w:r>
          </w:p>
        </w:tc>
        <w:tc>
          <w:tcPr>
            <w:tcW w:w="0" w:type="auto"/>
            <w:shd w:val="clear" w:color="auto" w:fill="FFFFFF"/>
            <w:tcMar>
              <w:top w:w="40" w:type="dxa"/>
              <w:left w:w="20" w:type="dxa"/>
              <w:bottom w:w="40" w:type="dxa"/>
              <w:right w:w="0" w:type="dxa"/>
            </w:tcMar>
            <w:vAlign w:val="bottom"/>
          </w:tcPr>
          <w:p w14:paraId="5CD8FC67" w14:textId="77777777" w:rsidR="00BA49F5" w:rsidRDefault="007E5E49">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5CD8FC68" w14:textId="77777777" w:rsidR="00BA49F5" w:rsidRDefault="007E5E49">
            <w:pPr>
              <w:jc w:val="right"/>
              <w:textAlignment w:val="bottom"/>
            </w:pPr>
            <w:r>
              <w:rPr>
                <w:rFonts w:ascii="Times New Roman" w:eastAsia="宋体" w:hAnsi="Times New Roman"/>
                <w:color w:val="000000"/>
                <w:sz w:val="20"/>
                <w:szCs w:val="20"/>
              </w:rPr>
              <w:t>6,388</w:t>
            </w:r>
          </w:p>
        </w:tc>
        <w:tc>
          <w:tcPr>
            <w:tcW w:w="0" w:type="auto"/>
            <w:gridSpan w:val="3"/>
            <w:shd w:val="clear" w:color="auto" w:fill="FFFFFF"/>
            <w:tcMar>
              <w:top w:w="0" w:type="dxa"/>
              <w:left w:w="20" w:type="dxa"/>
              <w:bottom w:w="0" w:type="dxa"/>
              <w:right w:w="20" w:type="dxa"/>
            </w:tcMar>
            <w:vAlign w:val="bottom"/>
          </w:tcPr>
          <w:p w14:paraId="5CD8FC69"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C6A" w14:textId="77777777" w:rsidR="00BA49F5" w:rsidRDefault="007E5E49">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5CD8FC6B" w14:textId="77777777" w:rsidR="00BA49F5" w:rsidRDefault="007E5E49">
            <w:pPr>
              <w:jc w:val="right"/>
              <w:textAlignment w:val="bottom"/>
            </w:pPr>
            <w:r>
              <w:rPr>
                <w:rFonts w:ascii="Times New Roman" w:eastAsia="宋体" w:hAnsi="Times New Roman"/>
                <w:color w:val="000000"/>
                <w:sz w:val="20"/>
                <w:szCs w:val="20"/>
              </w:rPr>
              <w:t>6,480</w:t>
            </w:r>
          </w:p>
        </w:tc>
      </w:tr>
      <w:tr w:rsidR="00BA49F5" w14:paraId="5CD8FC71" w14:textId="77777777">
        <w:tc>
          <w:tcPr>
            <w:tcW w:w="0" w:type="auto"/>
            <w:gridSpan w:val="3"/>
            <w:shd w:val="clear" w:color="auto" w:fill="CCEEFF"/>
            <w:tcMar>
              <w:top w:w="40" w:type="dxa"/>
              <w:left w:w="200" w:type="dxa"/>
              <w:bottom w:w="40" w:type="dxa"/>
              <w:right w:w="20" w:type="dxa"/>
            </w:tcMar>
            <w:vAlign w:val="bottom"/>
          </w:tcPr>
          <w:p w14:paraId="5CD8FC6D" w14:textId="77777777" w:rsidR="00BA49F5" w:rsidRDefault="007E5E49">
            <w:pPr>
              <w:textAlignment w:val="bottom"/>
            </w:pPr>
            <w:r>
              <w:rPr>
                <w:rFonts w:ascii="Times New Roman" w:eastAsia="宋体" w:hAnsi="Times New Roman"/>
                <w:color w:val="000000"/>
                <w:sz w:val="20"/>
                <w:szCs w:val="20"/>
              </w:rPr>
              <w:t>Cumulative upward adjustments</w:t>
            </w:r>
          </w:p>
        </w:tc>
        <w:tc>
          <w:tcPr>
            <w:tcW w:w="0" w:type="auto"/>
            <w:gridSpan w:val="3"/>
            <w:shd w:val="clear" w:color="auto" w:fill="CCEEFF"/>
            <w:tcMar>
              <w:top w:w="40" w:type="dxa"/>
              <w:left w:w="20" w:type="dxa"/>
              <w:bottom w:w="40" w:type="dxa"/>
              <w:right w:w="140" w:type="dxa"/>
            </w:tcMar>
            <w:vAlign w:val="bottom"/>
          </w:tcPr>
          <w:p w14:paraId="5CD8FC6E" w14:textId="77777777" w:rsidR="00BA49F5" w:rsidRDefault="007E5E49">
            <w:pPr>
              <w:jc w:val="right"/>
              <w:textAlignment w:val="bottom"/>
            </w:pPr>
            <w:r>
              <w:rPr>
                <w:rFonts w:ascii="Times New Roman" w:eastAsia="宋体" w:hAnsi="Times New Roman"/>
                <w:color w:val="000000"/>
                <w:sz w:val="20"/>
                <w:szCs w:val="20"/>
              </w:rPr>
              <w:t>293</w:t>
            </w:r>
          </w:p>
        </w:tc>
        <w:tc>
          <w:tcPr>
            <w:tcW w:w="0" w:type="auto"/>
            <w:gridSpan w:val="3"/>
            <w:shd w:val="clear" w:color="auto" w:fill="CCEEFF"/>
            <w:tcMar>
              <w:top w:w="0" w:type="dxa"/>
              <w:left w:w="20" w:type="dxa"/>
              <w:bottom w:w="0" w:type="dxa"/>
              <w:right w:w="20" w:type="dxa"/>
            </w:tcMar>
            <w:vAlign w:val="bottom"/>
          </w:tcPr>
          <w:p w14:paraId="5CD8FC6F" w14:textId="77777777" w:rsidR="00BA49F5" w:rsidRDefault="00BA49F5">
            <w:pPr>
              <w:rPr>
                <w:rFonts w:ascii="宋体"/>
              </w:rPr>
            </w:pPr>
          </w:p>
        </w:tc>
        <w:tc>
          <w:tcPr>
            <w:tcW w:w="0" w:type="auto"/>
            <w:gridSpan w:val="3"/>
            <w:shd w:val="clear" w:color="auto" w:fill="CCEEFF"/>
            <w:tcMar>
              <w:top w:w="40" w:type="dxa"/>
              <w:left w:w="20" w:type="dxa"/>
              <w:bottom w:w="40" w:type="dxa"/>
              <w:right w:w="140" w:type="dxa"/>
            </w:tcMar>
            <w:vAlign w:val="bottom"/>
          </w:tcPr>
          <w:p w14:paraId="5CD8FC70" w14:textId="77777777" w:rsidR="00BA49F5" w:rsidRDefault="007E5E49">
            <w:pPr>
              <w:jc w:val="right"/>
              <w:textAlignment w:val="bottom"/>
            </w:pPr>
            <w:r>
              <w:rPr>
                <w:rFonts w:ascii="Times New Roman" w:eastAsia="宋体" w:hAnsi="Times New Roman"/>
                <w:color w:val="000000"/>
                <w:sz w:val="20"/>
                <w:szCs w:val="20"/>
              </w:rPr>
              <w:t>311</w:t>
            </w:r>
          </w:p>
        </w:tc>
      </w:tr>
      <w:tr w:rsidR="00BA49F5" w14:paraId="5CD8FC76" w14:textId="77777777">
        <w:tc>
          <w:tcPr>
            <w:tcW w:w="0" w:type="auto"/>
            <w:gridSpan w:val="3"/>
            <w:shd w:val="clear" w:color="auto" w:fill="FFFFFF"/>
            <w:tcMar>
              <w:top w:w="40" w:type="dxa"/>
              <w:left w:w="200" w:type="dxa"/>
              <w:bottom w:w="40" w:type="dxa"/>
              <w:right w:w="20" w:type="dxa"/>
            </w:tcMar>
            <w:vAlign w:val="bottom"/>
          </w:tcPr>
          <w:p w14:paraId="5CD8FC72" w14:textId="77777777" w:rsidR="00BA49F5" w:rsidRDefault="007E5E49">
            <w:pPr>
              <w:textAlignment w:val="bottom"/>
            </w:pPr>
            <w:r>
              <w:rPr>
                <w:rFonts w:ascii="Times New Roman" w:eastAsia="宋体" w:hAnsi="Times New Roman"/>
                <w:color w:val="000000"/>
                <w:sz w:val="20"/>
                <w:szCs w:val="20"/>
              </w:rPr>
              <w:t>Cumulative impairment/downward adjustments</w:t>
            </w:r>
          </w:p>
        </w:tc>
        <w:tc>
          <w:tcPr>
            <w:tcW w:w="0" w:type="auto"/>
            <w:gridSpan w:val="3"/>
            <w:shd w:val="clear" w:color="auto" w:fill="FFFFFF"/>
            <w:tcMar>
              <w:top w:w="40" w:type="dxa"/>
              <w:left w:w="20" w:type="dxa"/>
              <w:bottom w:w="40" w:type="dxa"/>
              <w:right w:w="140" w:type="dxa"/>
            </w:tcMar>
            <w:vAlign w:val="bottom"/>
          </w:tcPr>
          <w:p w14:paraId="5CD8FC73" w14:textId="77777777" w:rsidR="00BA49F5" w:rsidRDefault="007E5E49">
            <w:pPr>
              <w:jc w:val="right"/>
              <w:textAlignment w:val="bottom"/>
            </w:pPr>
            <w:r>
              <w:rPr>
                <w:rFonts w:ascii="Times New Roman" w:eastAsia="宋体" w:hAnsi="Times New Roman"/>
                <w:color w:val="000000"/>
                <w:sz w:val="20"/>
                <w:szCs w:val="20"/>
              </w:rPr>
              <w:t>(497)</w:t>
            </w:r>
          </w:p>
        </w:tc>
        <w:tc>
          <w:tcPr>
            <w:tcW w:w="0" w:type="auto"/>
            <w:gridSpan w:val="3"/>
            <w:shd w:val="clear" w:color="auto" w:fill="FFFFFF"/>
            <w:tcMar>
              <w:top w:w="0" w:type="dxa"/>
              <w:left w:w="20" w:type="dxa"/>
              <w:bottom w:w="0" w:type="dxa"/>
              <w:right w:w="20" w:type="dxa"/>
            </w:tcMar>
            <w:vAlign w:val="bottom"/>
          </w:tcPr>
          <w:p w14:paraId="5CD8FC74" w14:textId="77777777" w:rsidR="00BA49F5" w:rsidRDefault="00BA49F5">
            <w:pPr>
              <w:rPr>
                <w:rFonts w:ascii="宋体"/>
              </w:rPr>
            </w:pPr>
          </w:p>
        </w:tc>
        <w:tc>
          <w:tcPr>
            <w:tcW w:w="0" w:type="auto"/>
            <w:gridSpan w:val="3"/>
            <w:shd w:val="clear" w:color="auto" w:fill="FFFFFF"/>
            <w:tcMar>
              <w:top w:w="40" w:type="dxa"/>
              <w:left w:w="20" w:type="dxa"/>
              <w:bottom w:w="40" w:type="dxa"/>
              <w:right w:w="140" w:type="dxa"/>
            </w:tcMar>
            <w:vAlign w:val="bottom"/>
          </w:tcPr>
          <w:p w14:paraId="5CD8FC75" w14:textId="77777777" w:rsidR="00BA49F5" w:rsidRDefault="007E5E49">
            <w:pPr>
              <w:jc w:val="right"/>
              <w:textAlignment w:val="bottom"/>
            </w:pPr>
            <w:r>
              <w:rPr>
                <w:rFonts w:ascii="Times New Roman" w:eastAsia="宋体" w:hAnsi="Times New Roman"/>
                <w:color w:val="000000"/>
                <w:sz w:val="20"/>
                <w:szCs w:val="20"/>
              </w:rPr>
              <w:t>(50)</w:t>
            </w:r>
          </w:p>
        </w:tc>
      </w:tr>
      <w:tr w:rsidR="00BA49F5" w14:paraId="5CD8FC7B" w14:textId="77777777">
        <w:tc>
          <w:tcPr>
            <w:tcW w:w="0" w:type="auto"/>
            <w:gridSpan w:val="3"/>
            <w:shd w:val="clear" w:color="auto" w:fill="CCEEFF"/>
            <w:tcMar>
              <w:top w:w="40" w:type="dxa"/>
              <w:left w:w="20" w:type="dxa"/>
              <w:bottom w:w="40" w:type="dxa"/>
              <w:right w:w="20" w:type="dxa"/>
            </w:tcMar>
            <w:vAlign w:val="bottom"/>
          </w:tcPr>
          <w:p w14:paraId="5CD8FC77" w14:textId="77777777" w:rsidR="00BA49F5" w:rsidRDefault="007E5E49">
            <w:pPr>
              <w:textAlignment w:val="bottom"/>
            </w:pPr>
            <w:r>
              <w:rPr>
                <w:rFonts w:ascii="Times New Roman" w:eastAsia="宋体" w:hAnsi="Times New Roman"/>
                <w:color w:val="000000"/>
                <w:sz w:val="20"/>
                <w:szCs w:val="20"/>
              </w:rPr>
              <w:t>Carrying value</w:t>
            </w:r>
          </w:p>
        </w:tc>
        <w:tc>
          <w:tcPr>
            <w:tcW w:w="0" w:type="auto"/>
            <w:gridSpan w:val="3"/>
            <w:tcBorders>
              <w:top w:val="single" w:sz="8" w:space="0" w:color="000000"/>
            </w:tcBorders>
            <w:shd w:val="clear" w:color="auto" w:fill="CCEEFF"/>
            <w:tcMar>
              <w:top w:w="40" w:type="dxa"/>
              <w:left w:w="20" w:type="dxa"/>
              <w:bottom w:w="40" w:type="dxa"/>
              <w:right w:w="140" w:type="dxa"/>
            </w:tcMar>
            <w:vAlign w:val="bottom"/>
          </w:tcPr>
          <w:p w14:paraId="5CD8FC78" w14:textId="77777777" w:rsidR="00BA49F5" w:rsidRDefault="007E5E49">
            <w:pPr>
              <w:jc w:val="right"/>
              <w:textAlignment w:val="bottom"/>
            </w:pPr>
            <w:r>
              <w:rPr>
                <w:rFonts w:ascii="Times New Roman" w:eastAsia="宋体" w:hAnsi="Times New Roman"/>
                <w:color w:val="000000"/>
                <w:sz w:val="20"/>
                <w:szCs w:val="20"/>
              </w:rPr>
              <w:t>6,184</w:t>
            </w:r>
          </w:p>
        </w:tc>
        <w:tc>
          <w:tcPr>
            <w:tcW w:w="0" w:type="auto"/>
            <w:gridSpan w:val="3"/>
            <w:shd w:val="clear" w:color="auto" w:fill="CCEEFF"/>
            <w:tcMar>
              <w:top w:w="0" w:type="dxa"/>
              <w:left w:w="20" w:type="dxa"/>
              <w:bottom w:w="0" w:type="dxa"/>
              <w:right w:w="20" w:type="dxa"/>
            </w:tcMar>
            <w:vAlign w:val="bottom"/>
          </w:tcPr>
          <w:p w14:paraId="5CD8FC79"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140" w:type="dxa"/>
            </w:tcMar>
            <w:vAlign w:val="bottom"/>
          </w:tcPr>
          <w:p w14:paraId="5CD8FC7A" w14:textId="77777777" w:rsidR="00BA49F5" w:rsidRDefault="007E5E49">
            <w:pPr>
              <w:jc w:val="right"/>
              <w:textAlignment w:val="bottom"/>
            </w:pPr>
            <w:r>
              <w:rPr>
                <w:rFonts w:ascii="Times New Roman" w:eastAsia="宋体" w:hAnsi="Times New Roman"/>
                <w:color w:val="000000"/>
                <w:sz w:val="20"/>
                <w:szCs w:val="20"/>
              </w:rPr>
              <w:t>6,741</w:t>
            </w:r>
          </w:p>
        </w:tc>
      </w:tr>
      <w:tr w:rsidR="00BA49F5" w14:paraId="5CD8FC80" w14:textId="77777777">
        <w:tc>
          <w:tcPr>
            <w:tcW w:w="0" w:type="auto"/>
            <w:gridSpan w:val="3"/>
            <w:shd w:val="clear" w:color="auto" w:fill="FFFFFF"/>
            <w:tcMar>
              <w:top w:w="40" w:type="dxa"/>
              <w:left w:w="20" w:type="dxa"/>
              <w:bottom w:w="40" w:type="dxa"/>
              <w:right w:w="20" w:type="dxa"/>
            </w:tcMar>
            <w:vAlign w:val="bottom"/>
          </w:tcPr>
          <w:p w14:paraId="5CD8FC7C" w14:textId="77777777" w:rsidR="00BA49F5" w:rsidRDefault="007E5E49">
            <w:pPr>
              <w:textAlignment w:val="bottom"/>
            </w:pPr>
            <w:r>
              <w:rPr>
                <w:rFonts w:ascii="Times New Roman" w:eastAsia="宋体" w:hAnsi="Times New Roman"/>
                <w:color w:val="000000"/>
                <w:sz w:val="20"/>
                <w:szCs w:val="20"/>
              </w:rPr>
              <w:t>Non-marketable equity securities under equity method</w:t>
            </w:r>
          </w:p>
        </w:tc>
        <w:tc>
          <w:tcPr>
            <w:tcW w:w="0" w:type="auto"/>
            <w:gridSpan w:val="3"/>
            <w:shd w:val="clear" w:color="auto" w:fill="FFFFFF"/>
            <w:tcMar>
              <w:top w:w="40" w:type="dxa"/>
              <w:left w:w="20" w:type="dxa"/>
              <w:bottom w:w="40" w:type="dxa"/>
              <w:right w:w="140" w:type="dxa"/>
            </w:tcMar>
            <w:vAlign w:val="bottom"/>
          </w:tcPr>
          <w:p w14:paraId="5CD8FC7D" w14:textId="77777777" w:rsidR="00BA49F5" w:rsidRDefault="007E5E49">
            <w:pPr>
              <w:jc w:val="right"/>
              <w:textAlignment w:val="bottom"/>
            </w:pPr>
            <w:r>
              <w:rPr>
                <w:rFonts w:ascii="Times New Roman" w:eastAsia="宋体" w:hAnsi="Times New Roman"/>
                <w:color w:val="000000"/>
                <w:sz w:val="20"/>
                <w:szCs w:val="20"/>
              </w:rPr>
              <w:t>17</w:t>
            </w:r>
          </w:p>
        </w:tc>
        <w:tc>
          <w:tcPr>
            <w:tcW w:w="0" w:type="auto"/>
            <w:gridSpan w:val="3"/>
            <w:shd w:val="clear" w:color="auto" w:fill="FFFFFF"/>
            <w:tcMar>
              <w:top w:w="0" w:type="dxa"/>
              <w:left w:w="20" w:type="dxa"/>
              <w:bottom w:w="0" w:type="dxa"/>
              <w:right w:w="20" w:type="dxa"/>
            </w:tcMar>
            <w:vAlign w:val="bottom"/>
          </w:tcPr>
          <w:p w14:paraId="5CD8FC7E" w14:textId="77777777" w:rsidR="00BA49F5" w:rsidRDefault="00BA49F5">
            <w:pPr>
              <w:rPr>
                <w:rFonts w:ascii="宋体"/>
              </w:rPr>
            </w:pPr>
          </w:p>
        </w:tc>
        <w:tc>
          <w:tcPr>
            <w:tcW w:w="0" w:type="auto"/>
            <w:gridSpan w:val="3"/>
            <w:shd w:val="clear" w:color="auto" w:fill="FFFFFF"/>
            <w:tcMar>
              <w:top w:w="40" w:type="dxa"/>
              <w:left w:w="20" w:type="dxa"/>
              <w:bottom w:w="40" w:type="dxa"/>
              <w:right w:w="140" w:type="dxa"/>
            </w:tcMar>
            <w:vAlign w:val="bottom"/>
          </w:tcPr>
          <w:p w14:paraId="5CD8FC7F" w14:textId="77777777" w:rsidR="00BA49F5" w:rsidRDefault="007E5E49">
            <w:pPr>
              <w:jc w:val="right"/>
              <w:textAlignment w:val="bottom"/>
            </w:pPr>
            <w:r>
              <w:rPr>
                <w:rFonts w:ascii="Times New Roman" w:eastAsia="宋体" w:hAnsi="Times New Roman"/>
                <w:color w:val="000000"/>
                <w:sz w:val="20"/>
                <w:szCs w:val="20"/>
              </w:rPr>
              <w:t>34</w:t>
            </w:r>
          </w:p>
        </w:tc>
      </w:tr>
      <w:tr w:rsidR="00BA49F5" w14:paraId="5CD8FC87" w14:textId="77777777">
        <w:tc>
          <w:tcPr>
            <w:tcW w:w="0" w:type="auto"/>
            <w:gridSpan w:val="3"/>
            <w:shd w:val="clear" w:color="auto" w:fill="CCEEFF"/>
            <w:tcMar>
              <w:top w:w="40" w:type="dxa"/>
              <w:left w:w="380" w:type="dxa"/>
              <w:bottom w:w="40" w:type="dxa"/>
              <w:right w:w="20" w:type="dxa"/>
            </w:tcMar>
            <w:vAlign w:val="bottom"/>
          </w:tcPr>
          <w:p w14:paraId="5CD8FC81"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C82" w14:textId="77777777" w:rsidR="00BA49F5" w:rsidRDefault="007E5E49">
            <w:pPr>
              <w:textAlignment w:val="bottom"/>
            </w:pPr>
            <w:r>
              <w:rPr>
                <w:rFonts w:ascii="Times New Roman" w:eastAsia="宋体" w:hAnsi="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5CD8FC83" w14:textId="77777777" w:rsidR="00BA49F5" w:rsidRDefault="007E5E49">
            <w:pPr>
              <w:jc w:val="right"/>
              <w:textAlignment w:val="bottom"/>
            </w:pPr>
            <w:r>
              <w:rPr>
                <w:rFonts w:ascii="Times New Roman" w:eastAsia="宋体" w:hAnsi="Times New Roman"/>
                <w:color w:val="000000"/>
                <w:sz w:val="20"/>
                <w:szCs w:val="20"/>
              </w:rPr>
              <w:t>6,201</w:t>
            </w:r>
          </w:p>
        </w:tc>
        <w:tc>
          <w:tcPr>
            <w:tcW w:w="0" w:type="auto"/>
            <w:gridSpan w:val="3"/>
            <w:shd w:val="clear" w:color="auto" w:fill="CCEEFF"/>
            <w:tcMar>
              <w:top w:w="0" w:type="dxa"/>
              <w:left w:w="20" w:type="dxa"/>
              <w:bottom w:w="0" w:type="dxa"/>
              <w:right w:w="20" w:type="dxa"/>
            </w:tcMar>
            <w:vAlign w:val="bottom"/>
          </w:tcPr>
          <w:p w14:paraId="5CD8FC8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C85" w14:textId="77777777" w:rsidR="00BA49F5" w:rsidRDefault="007E5E49">
            <w:pPr>
              <w:textAlignment w:val="bottom"/>
            </w:pPr>
            <w:r>
              <w:rPr>
                <w:rFonts w:ascii="Times New Roman" w:eastAsia="宋体" w:hAnsi="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5CD8FC86" w14:textId="77777777" w:rsidR="00BA49F5" w:rsidRDefault="007E5E49">
            <w:pPr>
              <w:jc w:val="right"/>
              <w:textAlignment w:val="bottom"/>
            </w:pPr>
            <w:r>
              <w:rPr>
                <w:rFonts w:ascii="Times New Roman" w:eastAsia="宋体" w:hAnsi="Times New Roman"/>
                <w:color w:val="000000"/>
                <w:sz w:val="20"/>
                <w:szCs w:val="20"/>
              </w:rPr>
              <w:t>6,775</w:t>
            </w:r>
          </w:p>
        </w:tc>
      </w:tr>
    </w:tbl>
    <w:p w14:paraId="5CD8FC88" w14:textId="77777777" w:rsidR="00BA49F5" w:rsidRDefault="00BA49F5">
      <w:pPr>
        <w:jc w:val="both"/>
      </w:pPr>
    </w:p>
    <w:p w14:paraId="5CD8FC89" w14:textId="77777777" w:rsidR="00BA49F5" w:rsidRDefault="007E5E49">
      <w:pPr>
        <w:ind w:firstLine="540"/>
        <w:jc w:val="both"/>
      </w:pPr>
      <w:r>
        <w:rPr>
          <w:rFonts w:ascii="Times New Roman" w:eastAsia="宋体" w:hAnsi="Times New Roman"/>
          <w:color w:val="000000"/>
          <w:sz w:val="20"/>
          <w:szCs w:val="20"/>
        </w:rPr>
        <w:t>During the year ended December 31, 2022, we recorded $447 million of impairment and downward adjustments on our non-marketable equity securities that were measured using measurement alternative, which includes the impairment of our equity investment in Gip</w:t>
      </w:r>
      <w:r>
        <w:rPr>
          <w:rFonts w:ascii="Times New Roman" w:eastAsia="宋体" w:hAnsi="Times New Roman"/>
          <w:color w:val="000000"/>
          <w:sz w:val="20"/>
          <w:szCs w:val="20"/>
        </w:rPr>
        <w:t xml:space="preserve">hy due to a regulatory decision announced by the United Kingdom Competition and Markets Authority in October 2022. </w:t>
      </w:r>
    </w:p>
    <w:p w14:paraId="5CD8FC8A" w14:textId="77777777" w:rsidR="00BA49F5" w:rsidRDefault="00BA49F5">
      <w:pPr>
        <w:ind w:firstLine="540"/>
        <w:jc w:val="both"/>
      </w:pPr>
    </w:p>
    <w:p w14:paraId="5CD8FC8B" w14:textId="77777777" w:rsidR="00BA49F5" w:rsidRDefault="007E5E49">
      <w:pPr>
        <w:spacing w:before="180"/>
        <w:jc w:val="both"/>
      </w:pPr>
      <w:r>
        <w:rPr>
          <w:rFonts w:ascii="Times New Roman" w:eastAsia="宋体" w:hAnsi="Times New Roman"/>
          <w:b/>
          <w:bCs/>
          <w:color w:val="000000"/>
          <w:sz w:val="20"/>
          <w:szCs w:val="20"/>
        </w:rPr>
        <w:t>Note 7.</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Fair Value Measurements</w:t>
      </w:r>
    </w:p>
    <w:p w14:paraId="5CD8FC8C" w14:textId="77777777" w:rsidR="00BA49F5" w:rsidRDefault="00BA49F5">
      <w:pPr>
        <w:ind w:firstLine="540"/>
        <w:jc w:val="both"/>
      </w:pPr>
    </w:p>
    <w:p w14:paraId="5CD8FC8D" w14:textId="77777777" w:rsidR="00BA49F5" w:rsidRDefault="007E5E49">
      <w:pPr>
        <w:ind w:firstLine="540"/>
        <w:jc w:val="both"/>
      </w:pPr>
      <w:r>
        <w:rPr>
          <w:rFonts w:ascii="Times New Roman" w:eastAsia="宋体" w:hAnsi="Times New Roman"/>
          <w:color w:val="000000"/>
          <w:sz w:val="20"/>
          <w:szCs w:val="20"/>
        </w:rPr>
        <w:t xml:space="preserve">The following table summarizes our assets measured at fair value on a recurring basis and the </w:t>
      </w:r>
      <w:r>
        <w:rPr>
          <w:rFonts w:ascii="Times New Roman" w:eastAsia="宋体" w:hAnsi="Times New Roman"/>
          <w:color w:val="000000"/>
          <w:sz w:val="20"/>
          <w:szCs w:val="20"/>
        </w:rPr>
        <w:t>classification by level of input within the fair value hierarchy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3220"/>
        <w:gridCol w:w="37"/>
        <w:gridCol w:w="36"/>
        <w:gridCol w:w="36"/>
        <w:gridCol w:w="36"/>
        <w:gridCol w:w="120"/>
        <w:gridCol w:w="851"/>
        <w:gridCol w:w="36"/>
        <w:gridCol w:w="36"/>
        <w:gridCol w:w="36"/>
        <w:gridCol w:w="36"/>
        <w:gridCol w:w="121"/>
        <w:gridCol w:w="961"/>
        <w:gridCol w:w="37"/>
        <w:gridCol w:w="36"/>
        <w:gridCol w:w="36"/>
        <w:gridCol w:w="36"/>
        <w:gridCol w:w="121"/>
        <w:gridCol w:w="961"/>
        <w:gridCol w:w="37"/>
        <w:gridCol w:w="36"/>
        <w:gridCol w:w="36"/>
        <w:gridCol w:w="36"/>
        <w:gridCol w:w="121"/>
        <w:gridCol w:w="978"/>
        <w:gridCol w:w="36"/>
        <w:gridCol w:w="36"/>
        <w:gridCol w:w="36"/>
        <w:gridCol w:w="36"/>
        <w:gridCol w:w="36"/>
        <w:gridCol w:w="36"/>
        <w:gridCol w:w="36"/>
      </w:tblGrid>
      <w:tr w:rsidR="00BA49F5" w14:paraId="5CD8FCAB" w14:textId="77777777">
        <w:trPr>
          <w:jc w:val="center"/>
        </w:trPr>
        <w:tc>
          <w:tcPr>
            <w:tcW w:w="50" w:type="pct"/>
            <w:shd w:val="clear" w:color="auto" w:fill="auto"/>
            <w:vAlign w:val="bottom"/>
          </w:tcPr>
          <w:p w14:paraId="5CD8FC8E" w14:textId="77777777" w:rsidR="00BA49F5" w:rsidRDefault="00BA49F5">
            <w:pPr>
              <w:rPr>
                <w:rFonts w:ascii="宋体"/>
              </w:rPr>
            </w:pPr>
          </w:p>
        </w:tc>
        <w:tc>
          <w:tcPr>
            <w:tcW w:w="2031" w:type="pct"/>
            <w:shd w:val="clear" w:color="auto" w:fill="auto"/>
            <w:vAlign w:val="bottom"/>
          </w:tcPr>
          <w:p w14:paraId="5CD8FC8F" w14:textId="77777777" w:rsidR="00BA49F5" w:rsidRDefault="00BA49F5">
            <w:pPr>
              <w:rPr>
                <w:rFonts w:ascii="宋体"/>
              </w:rPr>
            </w:pPr>
          </w:p>
        </w:tc>
        <w:tc>
          <w:tcPr>
            <w:tcW w:w="5" w:type="pct"/>
            <w:shd w:val="clear" w:color="auto" w:fill="auto"/>
            <w:vAlign w:val="bottom"/>
          </w:tcPr>
          <w:p w14:paraId="5CD8FC90" w14:textId="77777777" w:rsidR="00BA49F5" w:rsidRDefault="00BA49F5">
            <w:pPr>
              <w:rPr>
                <w:rFonts w:ascii="宋体"/>
              </w:rPr>
            </w:pPr>
          </w:p>
        </w:tc>
        <w:tc>
          <w:tcPr>
            <w:tcW w:w="5" w:type="pct"/>
            <w:shd w:val="clear" w:color="auto" w:fill="auto"/>
            <w:vAlign w:val="bottom"/>
          </w:tcPr>
          <w:p w14:paraId="5CD8FC91" w14:textId="77777777" w:rsidR="00BA49F5" w:rsidRDefault="00BA49F5">
            <w:pPr>
              <w:rPr>
                <w:rFonts w:ascii="宋体"/>
              </w:rPr>
            </w:pPr>
          </w:p>
        </w:tc>
        <w:tc>
          <w:tcPr>
            <w:tcW w:w="27" w:type="pct"/>
            <w:shd w:val="clear" w:color="auto" w:fill="auto"/>
            <w:vAlign w:val="bottom"/>
          </w:tcPr>
          <w:p w14:paraId="5CD8FC92" w14:textId="77777777" w:rsidR="00BA49F5" w:rsidRDefault="00BA49F5">
            <w:pPr>
              <w:rPr>
                <w:rFonts w:ascii="宋体"/>
              </w:rPr>
            </w:pPr>
          </w:p>
        </w:tc>
        <w:tc>
          <w:tcPr>
            <w:tcW w:w="5" w:type="pct"/>
            <w:shd w:val="clear" w:color="auto" w:fill="auto"/>
            <w:vAlign w:val="bottom"/>
          </w:tcPr>
          <w:p w14:paraId="5CD8FC93" w14:textId="77777777" w:rsidR="00BA49F5" w:rsidRDefault="00BA49F5">
            <w:pPr>
              <w:rPr>
                <w:rFonts w:ascii="宋体"/>
              </w:rPr>
            </w:pPr>
          </w:p>
        </w:tc>
        <w:tc>
          <w:tcPr>
            <w:tcW w:w="50" w:type="pct"/>
            <w:shd w:val="clear" w:color="auto" w:fill="auto"/>
            <w:vAlign w:val="bottom"/>
          </w:tcPr>
          <w:p w14:paraId="5CD8FC94" w14:textId="77777777" w:rsidR="00BA49F5" w:rsidRDefault="00BA49F5">
            <w:pPr>
              <w:rPr>
                <w:rFonts w:ascii="宋体"/>
              </w:rPr>
            </w:pPr>
          </w:p>
        </w:tc>
        <w:tc>
          <w:tcPr>
            <w:tcW w:w="593" w:type="pct"/>
            <w:shd w:val="clear" w:color="auto" w:fill="auto"/>
            <w:vAlign w:val="bottom"/>
          </w:tcPr>
          <w:p w14:paraId="5CD8FC95" w14:textId="77777777" w:rsidR="00BA49F5" w:rsidRDefault="00BA49F5">
            <w:pPr>
              <w:rPr>
                <w:rFonts w:ascii="宋体"/>
              </w:rPr>
            </w:pPr>
          </w:p>
        </w:tc>
        <w:tc>
          <w:tcPr>
            <w:tcW w:w="5" w:type="pct"/>
            <w:shd w:val="clear" w:color="auto" w:fill="auto"/>
            <w:vAlign w:val="bottom"/>
          </w:tcPr>
          <w:p w14:paraId="5CD8FC96" w14:textId="77777777" w:rsidR="00BA49F5" w:rsidRDefault="00BA49F5">
            <w:pPr>
              <w:rPr>
                <w:rFonts w:ascii="宋体"/>
              </w:rPr>
            </w:pPr>
          </w:p>
        </w:tc>
        <w:tc>
          <w:tcPr>
            <w:tcW w:w="5" w:type="pct"/>
            <w:shd w:val="clear" w:color="auto" w:fill="auto"/>
            <w:vAlign w:val="bottom"/>
          </w:tcPr>
          <w:p w14:paraId="5CD8FC97" w14:textId="77777777" w:rsidR="00BA49F5" w:rsidRDefault="00BA49F5">
            <w:pPr>
              <w:rPr>
                <w:rFonts w:ascii="宋体"/>
              </w:rPr>
            </w:pPr>
          </w:p>
        </w:tc>
        <w:tc>
          <w:tcPr>
            <w:tcW w:w="27" w:type="pct"/>
            <w:shd w:val="clear" w:color="auto" w:fill="auto"/>
            <w:vAlign w:val="bottom"/>
          </w:tcPr>
          <w:p w14:paraId="5CD8FC98" w14:textId="77777777" w:rsidR="00BA49F5" w:rsidRDefault="00BA49F5">
            <w:pPr>
              <w:rPr>
                <w:rFonts w:ascii="宋体"/>
              </w:rPr>
            </w:pPr>
          </w:p>
        </w:tc>
        <w:tc>
          <w:tcPr>
            <w:tcW w:w="5" w:type="pct"/>
            <w:shd w:val="clear" w:color="auto" w:fill="auto"/>
            <w:vAlign w:val="bottom"/>
          </w:tcPr>
          <w:p w14:paraId="5CD8FC99" w14:textId="77777777" w:rsidR="00BA49F5" w:rsidRDefault="00BA49F5">
            <w:pPr>
              <w:rPr>
                <w:rFonts w:ascii="宋体"/>
              </w:rPr>
            </w:pPr>
          </w:p>
        </w:tc>
        <w:tc>
          <w:tcPr>
            <w:tcW w:w="50" w:type="pct"/>
            <w:shd w:val="clear" w:color="auto" w:fill="auto"/>
            <w:vAlign w:val="bottom"/>
          </w:tcPr>
          <w:p w14:paraId="5CD8FC9A" w14:textId="77777777" w:rsidR="00BA49F5" w:rsidRDefault="00BA49F5">
            <w:pPr>
              <w:rPr>
                <w:rFonts w:ascii="宋体"/>
              </w:rPr>
            </w:pPr>
          </w:p>
        </w:tc>
        <w:tc>
          <w:tcPr>
            <w:tcW w:w="660" w:type="pct"/>
            <w:shd w:val="clear" w:color="auto" w:fill="auto"/>
            <w:vAlign w:val="bottom"/>
          </w:tcPr>
          <w:p w14:paraId="5CD8FC9B" w14:textId="77777777" w:rsidR="00BA49F5" w:rsidRDefault="00BA49F5">
            <w:pPr>
              <w:rPr>
                <w:rFonts w:ascii="宋体"/>
              </w:rPr>
            </w:pPr>
          </w:p>
        </w:tc>
        <w:tc>
          <w:tcPr>
            <w:tcW w:w="5" w:type="pct"/>
            <w:shd w:val="clear" w:color="auto" w:fill="auto"/>
            <w:vAlign w:val="bottom"/>
          </w:tcPr>
          <w:p w14:paraId="5CD8FC9C" w14:textId="77777777" w:rsidR="00BA49F5" w:rsidRDefault="00BA49F5">
            <w:pPr>
              <w:rPr>
                <w:rFonts w:ascii="宋体"/>
              </w:rPr>
            </w:pPr>
          </w:p>
        </w:tc>
        <w:tc>
          <w:tcPr>
            <w:tcW w:w="5" w:type="pct"/>
            <w:shd w:val="clear" w:color="auto" w:fill="auto"/>
            <w:vAlign w:val="bottom"/>
          </w:tcPr>
          <w:p w14:paraId="5CD8FC9D" w14:textId="77777777" w:rsidR="00BA49F5" w:rsidRDefault="00BA49F5">
            <w:pPr>
              <w:rPr>
                <w:rFonts w:ascii="宋体"/>
              </w:rPr>
            </w:pPr>
          </w:p>
        </w:tc>
        <w:tc>
          <w:tcPr>
            <w:tcW w:w="27" w:type="pct"/>
            <w:shd w:val="clear" w:color="auto" w:fill="auto"/>
            <w:vAlign w:val="bottom"/>
          </w:tcPr>
          <w:p w14:paraId="5CD8FC9E" w14:textId="77777777" w:rsidR="00BA49F5" w:rsidRDefault="00BA49F5">
            <w:pPr>
              <w:rPr>
                <w:rFonts w:ascii="宋体"/>
              </w:rPr>
            </w:pPr>
          </w:p>
        </w:tc>
        <w:tc>
          <w:tcPr>
            <w:tcW w:w="5" w:type="pct"/>
            <w:shd w:val="clear" w:color="auto" w:fill="auto"/>
            <w:vAlign w:val="bottom"/>
          </w:tcPr>
          <w:p w14:paraId="5CD8FC9F" w14:textId="77777777" w:rsidR="00BA49F5" w:rsidRDefault="00BA49F5">
            <w:pPr>
              <w:rPr>
                <w:rFonts w:ascii="宋体"/>
              </w:rPr>
            </w:pPr>
          </w:p>
        </w:tc>
        <w:tc>
          <w:tcPr>
            <w:tcW w:w="50" w:type="pct"/>
            <w:shd w:val="clear" w:color="auto" w:fill="auto"/>
            <w:vAlign w:val="bottom"/>
          </w:tcPr>
          <w:p w14:paraId="5CD8FCA0" w14:textId="77777777" w:rsidR="00BA49F5" w:rsidRDefault="00BA49F5">
            <w:pPr>
              <w:rPr>
                <w:rFonts w:ascii="宋体"/>
              </w:rPr>
            </w:pPr>
          </w:p>
        </w:tc>
        <w:tc>
          <w:tcPr>
            <w:tcW w:w="660" w:type="pct"/>
            <w:shd w:val="clear" w:color="auto" w:fill="auto"/>
            <w:vAlign w:val="bottom"/>
          </w:tcPr>
          <w:p w14:paraId="5CD8FCA1" w14:textId="77777777" w:rsidR="00BA49F5" w:rsidRDefault="00BA49F5">
            <w:pPr>
              <w:rPr>
                <w:rFonts w:ascii="宋体"/>
              </w:rPr>
            </w:pPr>
          </w:p>
        </w:tc>
        <w:tc>
          <w:tcPr>
            <w:tcW w:w="5" w:type="pct"/>
            <w:shd w:val="clear" w:color="auto" w:fill="auto"/>
            <w:vAlign w:val="bottom"/>
          </w:tcPr>
          <w:p w14:paraId="5CD8FCA2" w14:textId="77777777" w:rsidR="00BA49F5" w:rsidRDefault="00BA49F5">
            <w:pPr>
              <w:rPr>
                <w:rFonts w:ascii="宋体"/>
              </w:rPr>
            </w:pPr>
          </w:p>
        </w:tc>
        <w:tc>
          <w:tcPr>
            <w:tcW w:w="5" w:type="pct"/>
            <w:shd w:val="clear" w:color="auto" w:fill="auto"/>
            <w:vAlign w:val="bottom"/>
          </w:tcPr>
          <w:p w14:paraId="5CD8FCA3" w14:textId="77777777" w:rsidR="00BA49F5" w:rsidRDefault="00BA49F5">
            <w:pPr>
              <w:rPr>
                <w:rFonts w:ascii="宋体"/>
              </w:rPr>
            </w:pPr>
          </w:p>
        </w:tc>
        <w:tc>
          <w:tcPr>
            <w:tcW w:w="19" w:type="pct"/>
            <w:shd w:val="clear" w:color="auto" w:fill="auto"/>
            <w:vAlign w:val="bottom"/>
          </w:tcPr>
          <w:p w14:paraId="5CD8FCA4" w14:textId="77777777" w:rsidR="00BA49F5" w:rsidRDefault="00BA49F5">
            <w:pPr>
              <w:rPr>
                <w:rFonts w:ascii="宋体"/>
              </w:rPr>
            </w:pPr>
          </w:p>
        </w:tc>
        <w:tc>
          <w:tcPr>
            <w:tcW w:w="5" w:type="pct"/>
            <w:shd w:val="clear" w:color="auto" w:fill="auto"/>
            <w:vAlign w:val="bottom"/>
          </w:tcPr>
          <w:p w14:paraId="5CD8FCA5" w14:textId="77777777" w:rsidR="00BA49F5" w:rsidRDefault="00BA49F5">
            <w:pPr>
              <w:rPr>
                <w:rFonts w:ascii="宋体"/>
              </w:rPr>
            </w:pPr>
          </w:p>
        </w:tc>
        <w:tc>
          <w:tcPr>
            <w:tcW w:w="50" w:type="pct"/>
            <w:shd w:val="clear" w:color="auto" w:fill="auto"/>
            <w:vAlign w:val="bottom"/>
          </w:tcPr>
          <w:p w14:paraId="5CD8FCA6" w14:textId="77777777" w:rsidR="00BA49F5" w:rsidRDefault="00BA49F5">
            <w:pPr>
              <w:rPr>
                <w:rFonts w:ascii="宋体"/>
              </w:rPr>
            </w:pPr>
          </w:p>
        </w:tc>
        <w:tc>
          <w:tcPr>
            <w:tcW w:w="638" w:type="pct"/>
            <w:shd w:val="clear" w:color="auto" w:fill="auto"/>
            <w:vAlign w:val="bottom"/>
          </w:tcPr>
          <w:p w14:paraId="5CD8FCA7" w14:textId="77777777" w:rsidR="00BA49F5" w:rsidRDefault="00BA49F5">
            <w:pPr>
              <w:rPr>
                <w:rFonts w:ascii="宋体"/>
              </w:rPr>
            </w:pPr>
          </w:p>
        </w:tc>
        <w:tc>
          <w:tcPr>
            <w:tcW w:w="5" w:type="pct"/>
            <w:shd w:val="clear" w:color="auto" w:fill="auto"/>
            <w:vAlign w:val="bottom"/>
          </w:tcPr>
          <w:p w14:paraId="5CD8FCA8" w14:textId="77777777" w:rsidR="00BA49F5" w:rsidRDefault="00BA49F5">
            <w:pPr>
              <w:rPr>
                <w:rFonts w:ascii="宋体"/>
              </w:rPr>
            </w:pPr>
          </w:p>
        </w:tc>
        <w:tc>
          <w:tcPr>
            <w:tcW w:w="0" w:type="auto"/>
            <w:gridSpan w:val="3"/>
            <w:shd w:val="clear" w:color="auto" w:fill="auto"/>
            <w:vAlign w:val="bottom"/>
          </w:tcPr>
          <w:p w14:paraId="5CD8FCA9" w14:textId="77777777" w:rsidR="00BA49F5" w:rsidRDefault="00BA49F5">
            <w:pPr>
              <w:rPr>
                <w:rFonts w:ascii="宋体"/>
                <w:vanish/>
              </w:rPr>
            </w:pPr>
          </w:p>
        </w:tc>
        <w:tc>
          <w:tcPr>
            <w:tcW w:w="0" w:type="auto"/>
            <w:gridSpan w:val="3"/>
            <w:shd w:val="clear" w:color="auto" w:fill="auto"/>
            <w:vAlign w:val="bottom"/>
          </w:tcPr>
          <w:p w14:paraId="5CD8FCAA" w14:textId="77777777" w:rsidR="00BA49F5" w:rsidRDefault="00BA49F5">
            <w:pPr>
              <w:rPr>
                <w:rFonts w:ascii="宋体"/>
                <w:vanish/>
              </w:rPr>
            </w:pPr>
          </w:p>
        </w:tc>
      </w:tr>
      <w:tr w:rsidR="00BA49F5" w14:paraId="5CD8FCB7" w14:textId="77777777">
        <w:trPr>
          <w:jc w:val="center"/>
        </w:trPr>
        <w:tc>
          <w:tcPr>
            <w:tcW w:w="0" w:type="auto"/>
            <w:gridSpan w:val="3"/>
            <w:shd w:val="clear" w:color="auto" w:fill="auto"/>
            <w:tcMar>
              <w:top w:w="40" w:type="dxa"/>
              <w:left w:w="20" w:type="dxa"/>
              <w:bottom w:w="40" w:type="dxa"/>
              <w:right w:w="20" w:type="dxa"/>
            </w:tcMar>
            <w:vAlign w:val="bottom"/>
          </w:tcPr>
          <w:p w14:paraId="5CD8FCAC" w14:textId="77777777" w:rsidR="00BA49F5" w:rsidRDefault="007E5E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CD8FCA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CAE" w14:textId="77777777" w:rsidR="00BA49F5" w:rsidRDefault="007E5E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CD8FCAF"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CB0" w14:textId="77777777" w:rsidR="00BA49F5" w:rsidRDefault="007E5E49">
            <w:pPr>
              <w:jc w:val="center"/>
              <w:textAlignment w:val="bottom"/>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5CD8FCB1" w14:textId="77777777" w:rsidR="00BA49F5" w:rsidRDefault="00BA49F5">
            <w:pPr>
              <w:rPr>
                <w:rFonts w:ascii="宋体"/>
              </w:rPr>
            </w:pPr>
          </w:p>
        </w:tc>
        <w:tc>
          <w:tcPr>
            <w:tcW w:w="0" w:type="auto"/>
            <w:shd w:val="clear" w:color="auto" w:fill="auto"/>
            <w:vAlign w:val="bottom"/>
          </w:tcPr>
          <w:p w14:paraId="5CD8FCB2" w14:textId="77777777" w:rsidR="00BA49F5" w:rsidRDefault="00BA49F5">
            <w:pPr>
              <w:rPr>
                <w:rFonts w:ascii="宋体"/>
              </w:rPr>
            </w:pPr>
          </w:p>
        </w:tc>
        <w:tc>
          <w:tcPr>
            <w:tcW w:w="0" w:type="auto"/>
            <w:shd w:val="clear" w:color="auto" w:fill="auto"/>
            <w:vAlign w:val="bottom"/>
          </w:tcPr>
          <w:p w14:paraId="5CD8FCB3" w14:textId="77777777" w:rsidR="00BA49F5" w:rsidRDefault="00BA49F5">
            <w:pPr>
              <w:rPr>
                <w:rFonts w:ascii="宋体"/>
              </w:rPr>
            </w:pPr>
          </w:p>
        </w:tc>
        <w:tc>
          <w:tcPr>
            <w:tcW w:w="0" w:type="auto"/>
            <w:shd w:val="clear" w:color="auto" w:fill="auto"/>
            <w:vAlign w:val="bottom"/>
          </w:tcPr>
          <w:p w14:paraId="5CD8FCB4" w14:textId="77777777" w:rsidR="00BA49F5" w:rsidRDefault="00BA49F5">
            <w:pPr>
              <w:rPr>
                <w:rFonts w:ascii="宋体"/>
              </w:rPr>
            </w:pPr>
          </w:p>
        </w:tc>
        <w:tc>
          <w:tcPr>
            <w:tcW w:w="0" w:type="auto"/>
            <w:shd w:val="clear" w:color="auto" w:fill="auto"/>
            <w:vAlign w:val="bottom"/>
          </w:tcPr>
          <w:p w14:paraId="5CD8FCB5" w14:textId="77777777" w:rsidR="00BA49F5" w:rsidRDefault="00BA49F5">
            <w:pPr>
              <w:rPr>
                <w:rFonts w:ascii="宋体"/>
              </w:rPr>
            </w:pPr>
          </w:p>
        </w:tc>
        <w:tc>
          <w:tcPr>
            <w:tcW w:w="0" w:type="auto"/>
            <w:shd w:val="clear" w:color="auto" w:fill="auto"/>
            <w:vAlign w:val="bottom"/>
          </w:tcPr>
          <w:p w14:paraId="5CD8FCB6" w14:textId="77777777" w:rsidR="00BA49F5" w:rsidRDefault="00BA49F5">
            <w:pPr>
              <w:rPr>
                <w:rFonts w:ascii="宋体"/>
              </w:rPr>
            </w:pPr>
          </w:p>
        </w:tc>
      </w:tr>
      <w:tr w:rsidR="00BA49F5" w14:paraId="5CD8FCC3" w14:textId="77777777">
        <w:trPr>
          <w:jc w:val="center"/>
        </w:trPr>
        <w:tc>
          <w:tcPr>
            <w:tcW w:w="0" w:type="auto"/>
            <w:gridSpan w:val="3"/>
            <w:shd w:val="clear" w:color="auto" w:fill="auto"/>
            <w:tcMar>
              <w:top w:w="40" w:type="dxa"/>
              <w:left w:w="20" w:type="dxa"/>
              <w:bottom w:w="40" w:type="dxa"/>
              <w:right w:w="20" w:type="dxa"/>
            </w:tcMar>
            <w:vAlign w:val="bottom"/>
          </w:tcPr>
          <w:p w14:paraId="5CD8FCB8" w14:textId="77777777" w:rsidR="00BA49F5" w:rsidRDefault="007E5E49">
            <w:pPr>
              <w:jc w:val="both"/>
              <w:textAlignment w:val="bottom"/>
            </w:pPr>
            <w:r>
              <w:rPr>
                <w:rFonts w:ascii="Times New Roman" w:eastAsia="宋体" w:hAnsi="Times New Roman"/>
                <w:b/>
                <w:bCs/>
                <w:color w:val="000000"/>
                <w:sz w:val="16"/>
                <w:szCs w:val="16"/>
              </w:rPr>
              <w:t>Description </w:t>
            </w:r>
          </w:p>
        </w:tc>
        <w:tc>
          <w:tcPr>
            <w:tcW w:w="0" w:type="auto"/>
            <w:gridSpan w:val="3"/>
            <w:shd w:val="clear" w:color="auto" w:fill="auto"/>
            <w:tcMar>
              <w:top w:w="0" w:type="dxa"/>
              <w:left w:w="20" w:type="dxa"/>
              <w:bottom w:w="0" w:type="dxa"/>
              <w:right w:w="20" w:type="dxa"/>
            </w:tcMar>
            <w:vAlign w:val="bottom"/>
          </w:tcPr>
          <w:p w14:paraId="5CD8FCB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CBA" w14:textId="77777777" w:rsidR="00BA49F5" w:rsidRDefault="007E5E49">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5CD8FCB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CBC" w14:textId="77777777" w:rsidR="00BA49F5" w:rsidRDefault="007E5E49">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CB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CBE" w14:textId="77777777" w:rsidR="00BA49F5" w:rsidRDefault="007E5E49">
            <w:pPr>
              <w:jc w:val="center"/>
              <w:textAlignment w:val="bottom"/>
            </w:pPr>
            <w:r>
              <w:rPr>
                <w:rFonts w:ascii="Times New Roman" w:eastAsia="宋体" w:hAnsi="Times New Roman"/>
                <w:b/>
                <w:bCs/>
                <w:color w:val="000000"/>
                <w:sz w:val="16"/>
                <w:szCs w:val="16"/>
              </w:rPr>
              <w:t xml:space="preserve">Significant Other </w:t>
            </w:r>
            <w:r>
              <w:rPr>
                <w:rFonts w:ascii="Times New Roman" w:eastAsia="宋体" w:hAnsi="Times New Roman"/>
                <w:b/>
                <w:bCs/>
                <w:color w:val="000000"/>
                <w:sz w:val="16"/>
                <w:szCs w:val="16"/>
              </w:rPr>
              <w:t>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CB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CC0" w14:textId="77777777" w:rsidR="00BA49F5" w:rsidRDefault="007E5E49">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c>
          <w:tcPr>
            <w:tcW w:w="0" w:type="auto"/>
            <w:gridSpan w:val="3"/>
            <w:shd w:val="clear" w:color="auto" w:fill="auto"/>
            <w:vAlign w:val="bottom"/>
          </w:tcPr>
          <w:p w14:paraId="5CD8FCC1" w14:textId="77777777" w:rsidR="00BA49F5" w:rsidRDefault="00BA49F5">
            <w:pPr>
              <w:rPr>
                <w:rFonts w:ascii="宋体"/>
                <w:vanish/>
              </w:rPr>
            </w:pPr>
          </w:p>
        </w:tc>
        <w:tc>
          <w:tcPr>
            <w:tcW w:w="0" w:type="auto"/>
            <w:gridSpan w:val="3"/>
            <w:shd w:val="clear" w:color="auto" w:fill="auto"/>
            <w:vAlign w:val="bottom"/>
          </w:tcPr>
          <w:p w14:paraId="5CD8FCC2" w14:textId="77777777" w:rsidR="00BA49F5" w:rsidRDefault="00BA49F5">
            <w:pPr>
              <w:rPr>
                <w:rFonts w:ascii="宋体"/>
                <w:vanish/>
              </w:rPr>
            </w:pPr>
          </w:p>
        </w:tc>
      </w:tr>
      <w:tr w:rsidR="00BA49F5" w14:paraId="5CD8FCCF"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CC4" w14:textId="77777777" w:rsidR="00BA49F5" w:rsidRDefault="007E5E49">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5CD8FCC5"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CC6"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CC7"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CC8"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CC9"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CCA"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CCB"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CCC" w14:textId="77777777" w:rsidR="00BA49F5" w:rsidRDefault="00BA49F5">
            <w:pPr>
              <w:rPr>
                <w:rFonts w:ascii="宋体"/>
              </w:rPr>
            </w:pPr>
          </w:p>
        </w:tc>
        <w:tc>
          <w:tcPr>
            <w:tcW w:w="0" w:type="auto"/>
            <w:gridSpan w:val="3"/>
            <w:shd w:val="clear" w:color="auto" w:fill="auto"/>
            <w:vAlign w:val="bottom"/>
          </w:tcPr>
          <w:p w14:paraId="5CD8FCCD" w14:textId="77777777" w:rsidR="00BA49F5" w:rsidRDefault="00BA49F5">
            <w:pPr>
              <w:rPr>
                <w:rFonts w:ascii="宋体"/>
                <w:vanish/>
              </w:rPr>
            </w:pPr>
          </w:p>
        </w:tc>
        <w:tc>
          <w:tcPr>
            <w:tcW w:w="0" w:type="auto"/>
            <w:gridSpan w:val="3"/>
            <w:shd w:val="clear" w:color="auto" w:fill="auto"/>
            <w:vAlign w:val="bottom"/>
          </w:tcPr>
          <w:p w14:paraId="5CD8FCCE" w14:textId="77777777" w:rsidR="00BA49F5" w:rsidRDefault="00BA49F5">
            <w:pPr>
              <w:rPr>
                <w:rFonts w:ascii="宋体"/>
                <w:vanish/>
              </w:rPr>
            </w:pPr>
          </w:p>
        </w:tc>
      </w:tr>
      <w:tr w:rsidR="00BA49F5" w14:paraId="5CD8FCE3" w14:textId="77777777">
        <w:trPr>
          <w:jc w:val="center"/>
        </w:trPr>
        <w:tc>
          <w:tcPr>
            <w:tcW w:w="0" w:type="auto"/>
            <w:gridSpan w:val="3"/>
            <w:shd w:val="clear" w:color="auto" w:fill="FFFFFF"/>
            <w:tcMar>
              <w:top w:w="40" w:type="dxa"/>
              <w:left w:w="200" w:type="dxa"/>
              <w:bottom w:w="40" w:type="dxa"/>
              <w:right w:w="20" w:type="dxa"/>
            </w:tcMar>
            <w:vAlign w:val="bottom"/>
          </w:tcPr>
          <w:p w14:paraId="5CD8FCD0" w14:textId="77777777" w:rsidR="00BA49F5" w:rsidRDefault="007E5E49">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5CD8FCD1"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CD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CD3" w14:textId="77777777" w:rsidR="00BA49F5" w:rsidRDefault="007E5E49">
            <w:pPr>
              <w:jc w:val="right"/>
              <w:textAlignment w:val="bottom"/>
            </w:pPr>
            <w:r>
              <w:rPr>
                <w:rFonts w:ascii="Times New Roman" w:eastAsia="宋体" w:hAnsi="Times New Roman"/>
                <w:color w:val="000000"/>
                <w:sz w:val="20"/>
                <w:szCs w:val="20"/>
              </w:rPr>
              <w:t>8,305 </w:t>
            </w:r>
          </w:p>
        </w:tc>
        <w:tc>
          <w:tcPr>
            <w:tcW w:w="0" w:type="auto"/>
            <w:shd w:val="clear" w:color="auto" w:fill="FFFFFF"/>
            <w:tcMar>
              <w:top w:w="40" w:type="dxa"/>
              <w:left w:w="0" w:type="dxa"/>
              <w:bottom w:w="40" w:type="dxa"/>
              <w:right w:w="20" w:type="dxa"/>
            </w:tcMar>
            <w:vAlign w:val="bottom"/>
          </w:tcPr>
          <w:p w14:paraId="5CD8FCD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D5"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CD6"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CD7" w14:textId="77777777" w:rsidR="00BA49F5" w:rsidRDefault="007E5E49">
            <w:pPr>
              <w:jc w:val="right"/>
              <w:textAlignment w:val="bottom"/>
            </w:pPr>
            <w:r>
              <w:rPr>
                <w:rFonts w:ascii="Times New Roman" w:eastAsia="宋体" w:hAnsi="Times New Roman"/>
                <w:color w:val="000000"/>
                <w:sz w:val="20"/>
                <w:szCs w:val="20"/>
              </w:rPr>
              <w:t>8,305 </w:t>
            </w:r>
          </w:p>
        </w:tc>
        <w:tc>
          <w:tcPr>
            <w:tcW w:w="0" w:type="auto"/>
            <w:shd w:val="clear" w:color="auto" w:fill="FFFFFF"/>
            <w:tcMar>
              <w:top w:w="40" w:type="dxa"/>
              <w:left w:w="0" w:type="dxa"/>
              <w:bottom w:w="40" w:type="dxa"/>
              <w:right w:w="20" w:type="dxa"/>
            </w:tcMar>
            <w:vAlign w:val="bottom"/>
          </w:tcPr>
          <w:p w14:paraId="5CD8FCD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D9"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CD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CD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CD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CDD"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CD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CD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CE0" w14:textId="77777777" w:rsidR="00BA49F5" w:rsidRDefault="00BA49F5">
            <w:pPr>
              <w:jc w:val="right"/>
              <w:rPr>
                <w:rFonts w:ascii="宋体"/>
              </w:rPr>
            </w:pPr>
          </w:p>
        </w:tc>
        <w:tc>
          <w:tcPr>
            <w:tcW w:w="0" w:type="auto"/>
            <w:gridSpan w:val="3"/>
            <w:shd w:val="clear" w:color="auto" w:fill="auto"/>
            <w:vAlign w:val="bottom"/>
          </w:tcPr>
          <w:p w14:paraId="5CD8FCE1" w14:textId="77777777" w:rsidR="00BA49F5" w:rsidRDefault="00BA49F5">
            <w:pPr>
              <w:rPr>
                <w:rFonts w:ascii="宋体"/>
                <w:vanish/>
              </w:rPr>
            </w:pPr>
          </w:p>
        </w:tc>
        <w:tc>
          <w:tcPr>
            <w:tcW w:w="0" w:type="auto"/>
            <w:gridSpan w:val="3"/>
            <w:shd w:val="clear" w:color="auto" w:fill="auto"/>
            <w:vAlign w:val="bottom"/>
          </w:tcPr>
          <w:p w14:paraId="5CD8FCE2" w14:textId="77777777" w:rsidR="00BA49F5" w:rsidRDefault="00BA49F5">
            <w:pPr>
              <w:rPr>
                <w:rFonts w:ascii="宋体"/>
                <w:vanish/>
              </w:rPr>
            </w:pPr>
          </w:p>
        </w:tc>
      </w:tr>
      <w:tr w:rsidR="00BA49F5" w14:paraId="5CD8FCEF" w14:textId="77777777">
        <w:trPr>
          <w:jc w:val="center"/>
          <w:hidden/>
        </w:trPr>
        <w:tc>
          <w:tcPr>
            <w:tcW w:w="0" w:type="auto"/>
            <w:gridSpan w:val="3"/>
            <w:shd w:val="clear" w:color="auto" w:fill="auto"/>
            <w:vAlign w:val="bottom"/>
          </w:tcPr>
          <w:p w14:paraId="5CD8FCE4" w14:textId="77777777" w:rsidR="00BA49F5" w:rsidRDefault="00BA49F5">
            <w:pPr>
              <w:rPr>
                <w:rFonts w:ascii="宋体"/>
                <w:vanish/>
              </w:rPr>
            </w:pPr>
          </w:p>
        </w:tc>
        <w:tc>
          <w:tcPr>
            <w:tcW w:w="0" w:type="auto"/>
            <w:gridSpan w:val="3"/>
            <w:shd w:val="clear" w:color="auto" w:fill="auto"/>
            <w:vAlign w:val="bottom"/>
          </w:tcPr>
          <w:p w14:paraId="5CD8FCE5" w14:textId="77777777" w:rsidR="00BA49F5" w:rsidRDefault="00BA49F5">
            <w:pPr>
              <w:rPr>
                <w:rFonts w:ascii="宋体"/>
                <w:vanish/>
              </w:rPr>
            </w:pPr>
          </w:p>
        </w:tc>
        <w:tc>
          <w:tcPr>
            <w:tcW w:w="0" w:type="auto"/>
            <w:gridSpan w:val="3"/>
            <w:shd w:val="clear" w:color="auto" w:fill="auto"/>
            <w:vAlign w:val="bottom"/>
          </w:tcPr>
          <w:p w14:paraId="5CD8FCE6" w14:textId="77777777" w:rsidR="00BA49F5" w:rsidRDefault="00BA49F5">
            <w:pPr>
              <w:rPr>
                <w:rFonts w:ascii="宋体"/>
                <w:vanish/>
              </w:rPr>
            </w:pPr>
          </w:p>
        </w:tc>
        <w:tc>
          <w:tcPr>
            <w:tcW w:w="0" w:type="auto"/>
            <w:gridSpan w:val="3"/>
            <w:shd w:val="clear" w:color="auto" w:fill="auto"/>
            <w:vAlign w:val="bottom"/>
          </w:tcPr>
          <w:p w14:paraId="5CD8FCE7" w14:textId="77777777" w:rsidR="00BA49F5" w:rsidRDefault="00BA49F5">
            <w:pPr>
              <w:rPr>
                <w:rFonts w:ascii="宋体"/>
                <w:vanish/>
              </w:rPr>
            </w:pPr>
          </w:p>
        </w:tc>
        <w:tc>
          <w:tcPr>
            <w:tcW w:w="0" w:type="auto"/>
            <w:gridSpan w:val="3"/>
            <w:shd w:val="clear" w:color="auto" w:fill="auto"/>
            <w:vAlign w:val="bottom"/>
          </w:tcPr>
          <w:p w14:paraId="5CD8FCE8" w14:textId="77777777" w:rsidR="00BA49F5" w:rsidRDefault="00BA49F5">
            <w:pPr>
              <w:rPr>
                <w:rFonts w:ascii="宋体"/>
                <w:vanish/>
              </w:rPr>
            </w:pPr>
          </w:p>
        </w:tc>
        <w:tc>
          <w:tcPr>
            <w:tcW w:w="0" w:type="auto"/>
            <w:gridSpan w:val="3"/>
            <w:shd w:val="clear" w:color="auto" w:fill="auto"/>
            <w:vAlign w:val="bottom"/>
          </w:tcPr>
          <w:p w14:paraId="5CD8FCE9" w14:textId="77777777" w:rsidR="00BA49F5" w:rsidRDefault="00BA49F5">
            <w:pPr>
              <w:rPr>
                <w:rFonts w:ascii="宋体"/>
                <w:vanish/>
              </w:rPr>
            </w:pPr>
          </w:p>
        </w:tc>
        <w:tc>
          <w:tcPr>
            <w:tcW w:w="0" w:type="auto"/>
            <w:gridSpan w:val="3"/>
            <w:shd w:val="clear" w:color="auto" w:fill="auto"/>
            <w:vAlign w:val="bottom"/>
          </w:tcPr>
          <w:p w14:paraId="5CD8FCEA" w14:textId="77777777" w:rsidR="00BA49F5" w:rsidRDefault="00BA49F5">
            <w:pPr>
              <w:rPr>
                <w:rFonts w:ascii="宋体"/>
                <w:vanish/>
              </w:rPr>
            </w:pPr>
          </w:p>
        </w:tc>
        <w:tc>
          <w:tcPr>
            <w:tcW w:w="0" w:type="auto"/>
            <w:gridSpan w:val="3"/>
            <w:shd w:val="clear" w:color="auto" w:fill="auto"/>
            <w:vAlign w:val="bottom"/>
          </w:tcPr>
          <w:p w14:paraId="5CD8FCEB" w14:textId="77777777" w:rsidR="00BA49F5" w:rsidRDefault="00BA49F5">
            <w:pPr>
              <w:rPr>
                <w:rFonts w:ascii="宋体"/>
                <w:vanish/>
              </w:rPr>
            </w:pPr>
          </w:p>
        </w:tc>
        <w:tc>
          <w:tcPr>
            <w:tcW w:w="0" w:type="auto"/>
            <w:gridSpan w:val="3"/>
            <w:shd w:val="clear" w:color="auto" w:fill="auto"/>
            <w:vAlign w:val="bottom"/>
          </w:tcPr>
          <w:p w14:paraId="5CD8FCEC" w14:textId="77777777" w:rsidR="00BA49F5" w:rsidRDefault="00BA49F5">
            <w:pPr>
              <w:rPr>
                <w:rFonts w:ascii="宋体"/>
                <w:vanish/>
              </w:rPr>
            </w:pPr>
          </w:p>
        </w:tc>
        <w:tc>
          <w:tcPr>
            <w:tcW w:w="0" w:type="auto"/>
            <w:gridSpan w:val="3"/>
            <w:shd w:val="clear" w:color="auto" w:fill="auto"/>
            <w:vAlign w:val="bottom"/>
          </w:tcPr>
          <w:p w14:paraId="5CD8FCED" w14:textId="77777777" w:rsidR="00BA49F5" w:rsidRDefault="00BA49F5">
            <w:pPr>
              <w:rPr>
                <w:rFonts w:ascii="宋体"/>
                <w:vanish/>
              </w:rPr>
            </w:pPr>
          </w:p>
        </w:tc>
        <w:tc>
          <w:tcPr>
            <w:tcW w:w="0" w:type="auto"/>
            <w:gridSpan w:val="3"/>
            <w:shd w:val="clear" w:color="auto" w:fill="auto"/>
            <w:vAlign w:val="bottom"/>
          </w:tcPr>
          <w:p w14:paraId="5CD8FCEE" w14:textId="77777777" w:rsidR="00BA49F5" w:rsidRDefault="00BA49F5">
            <w:pPr>
              <w:rPr>
                <w:rFonts w:ascii="宋体"/>
                <w:vanish/>
              </w:rPr>
            </w:pPr>
          </w:p>
        </w:tc>
      </w:tr>
      <w:tr w:rsidR="00BA49F5" w14:paraId="5CD8FCFF" w14:textId="77777777">
        <w:trPr>
          <w:jc w:val="center"/>
        </w:trPr>
        <w:tc>
          <w:tcPr>
            <w:tcW w:w="0" w:type="auto"/>
            <w:gridSpan w:val="3"/>
            <w:shd w:val="clear" w:color="auto" w:fill="CCEEFF"/>
            <w:tcMar>
              <w:top w:w="40" w:type="dxa"/>
              <w:left w:w="200" w:type="dxa"/>
              <w:bottom w:w="40" w:type="dxa"/>
              <w:right w:w="20" w:type="dxa"/>
            </w:tcMar>
            <w:vAlign w:val="bottom"/>
          </w:tcPr>
          <w:p w14:paraId="5CD8FCF0"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5CD8FCF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CF2"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CD8FCF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CF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CF5"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CD8FCF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CF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CF8"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CF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CF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CF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CFC" w14:textId="77777777" w:rsidR="00BA49F5" w:rsidRDefault="00BA49F5">
            <w:pPr>
              <w:jc w:val="right"/>
              <w:rPr>
                <w:rFonts w:ascii="宋体"/>
              </w:rPr>
            </w:pPr>
          </w:p>
        </w:tc>
        <w:tc>
          <w:tcPr>
            <w:tcW w:w="0" w:type="auto"/>
            <w:gridSpan w:val="3"/>
            <w:shd w:val="clear" w:color="auto" w:fill="auto"/>
            <w:vAlign w:val="bottom"/>
          </w:tcPr>
          <w:p w14:paraId="5CD8FCFD" w14:textId="77777777" w:rsidR="00BA49F5" w:rsidRDefault="00BA49F5">
            <w:pPr>
              <w:rPr>
                <w:rFonts w:ascii="宋体"/>
                <w:vanish/>
              </w:rPr>
            </w:pPr>
          </w:p>
        </w:tc>
        <w:tc>
          <w:tcPr>
            <w:tcW w:w="0" w:type="auto"/>
            <w:gridSpan w:val="3"/>
            <w:shd w:val="clear" w:color="auto" w:fill="auto"/>
            <w:vAlign w:val="bottom"/>
          </w:tcPr>
          <w:p w14:paraId="5CD8FCFE" w14:textId="77777777" w:rsidR="00BA49F5" w:rsidRDefault="00BA49F5">
            <w:pPr>
              <w:rPr>
                <w:rFonts w:ascii="宋体"/>
                <w:vanish/>
              </w:rPr>
            </w:pPr>
          </w:p>
        </w:tc>
      </w:tr>
      <w:tr w:rsidR="00BA49F5" w14:paraId="5CD8FD0F" w14:textId="77777777">
        <w:trPr>
          <w:jc w:val="center"/>
        </w:trPr>
        <w:tc>
          <w:tcPr>
            <w:tcW w:w="0" w:type="auto"/>
            <w:gridSpan w:val="3"/>
            <w:shd w:val="clear" w:color="auto" w:fill="FFFFFF"/>
            <w:tcMar>
              <w:top w:w="40" w:type="dxa"/>
              <w:left w:w="200" w:type="dxa"/>
              <w:bottom w:w="40" w:type="dxa"/>
              <w:right w:w="20" w:type="dxa"/>
            </w:tcMar>
            <w:vAlign w:val="bottom"/>
          </w:tcPr>
          <w:p w14:paraId="5CD8FD00" w14:textId="77777777" w:rsidR="00BA49F5" w:rsidRDefault="007E5E49">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FFFFFF"/>
            <w:tcMar>
              <w:top w:w="0" w:type="dxa"/>
              <w:left w:w="20" w:type="dxa"/>
              <w:bottom w:w="0" w:type="dxa"/>
              <w:right w:w="20" w:type="dxa"/>
            </w:tcMar>
            <w:vAlign w:val="bottom"/>
          </w:tcPr>
          <w:p w14:paraId="5CD8FD0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02" w14:textId="77777777" w:rsidR="00BA49F5" w:rsidRDefault="007E5E49">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5CD8FD0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0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0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0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0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08" w14:textId="77777777" w:rsidR="00BA49F5" w:rsidRDefault="007E5E49">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5CD8FD0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0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0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0C" w14:textId="77777777" w:rsidR="00BA49F5" w:rsidRDefault="00BA49F5">
            <w:pPr>
              <w:jc w:val="right"/>
              <w:rPr>
                <w:rFonts w:ascii="宋体"/>
              </w:rPr>
            </w:pPr>
          </w:p>
        </w:tc>
        <w:tc>
          <w:tcPr>
            <w:tcW w:w="0" w:type="auto"/>
            <w:gridSpan w:val="3"/>
            <w:shd w:val="clear" w:color="auto" w:fill="auto"/>
            <w:vAlign w:val="bottom"/>
          </w:tcPr>
          <w:p w14:paraId="5CD8FD0D" w14:textId="77777777" w:rsidR="00BA49F5" w:rsidRDefault="00BA49F5">
            <w:pPr>
              <w:rPr>
                <w:rFonts w:ascii="宋体"/>
                <w:vanish/>
              </w:rPr>
            </w:pPr>
          </w:p>
        </w:tc>
        <w:tc>
          <w:tcPr>
            <w:tcW w:w="0" w:type="auto"/>
            <w:gridSpan w:val="3"/>
            <w:shd w:val="clear" w:color="auto" w:fill="auto"/>
            <w:vAlign w:val="bottom"/>
          </w:tcPr>
          <w:p w14:paraId="5CD8FD0E" w14:textId="77777777" w:rsidR="00BA49F5" w:rsidRDefault="00BA49F5">
            <w:pPr>
              <w:rPr>
                <w:rFonts w:ascii="宋体"/>
                <w:vanish/>
              </w:rPr>
            </w:pPr>
          </w:p>
        </w:tc>
      </w:tr>
      <w:tr w:rsidR="00BA49F5" w14:paraId="5CD8FD1F" w14:textId="77777777">
        <w:trPr>
          <w:jc w:val="center"/>
        </w:trPr>
        <w:tc>
          <w:tcPr>
            <w:tcW w:w="0" w:type="auto"/>
            <w:gridSpan w:val="3"/>
            <w:shd w:val="clear" w:color="auto" w:fill="CCEEFF"/>
            <w:tcMar>
              <w:top w:w="40" w:type="dxa"/>
              <w:left w:w="200" w:type="dxa"/>
              <w:bottom w:w="40" w:type="dxa"/>
              <w:right w:w="20" w:type="dxa"/>
            </w:tcMar>
            <w:vAlign w:val="bottom"/>
          </w:tcPr>
          <w:p w14:paraId="5CD8FD10"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5CD8FD1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12" w14:textId="77777777" w:rsidR="00BA49F5" w:rsidRDefault="007E5E49">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CD8FD1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1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15"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1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1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18" w14:textId="77777777" w:rsidR="00BA49F5" w:rsidRDefault="007E5E49">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CD8FD1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1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1B"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1C" w14:textId="77777777" w:rsidR="00BA49F5" w:rsidRDefault="00BA49F5">
            <w:pPr>
              <w:jc w:val="right"/>
              <w:rPr>
                <w:rFonts w:ascii="宋体"/>
              </w:rPr>
            </w:pPr>
          </w:p>
        </w:tc>
        <w:tc>
          <w:tcPr>
            <w:tcW w:w="0" w:type="auto"/>
            <w:gridSpan w:val="3"/>
            <w:shd w:val="clear" w:color="auto" w:fill="auto"/>
            <w:vAlign w:val="bottom"/>
          </w:tcPr>
          <w:p w14:paraId="5CD8FD1D" w14:textId="77777777" w:rsidR="00BA49F5" w:rsidRDefault="00BA49F5">
            <w:pPr>
              <w:rPr>
                <w:rFonts w:ascii="宋体"/>
                <w:vanish/>
              </w:rPr>
            </w:pPr>
          </w:p>
        </w:tc>
        <w:tc>
          <w:tcPr>
            <w:tcW w:w="0" w:type="auto"/>
            <w:gridSpan w:val="3"/>
            <w:shd w:val="clear" w:color="auto" w:fill="auto"/>
            <w:vAlign w:val="bottom"/>
          </w:tcPr>
          <w:p w14:paraId="5CD8FD1E" w14:textId="77777777" w:rsidR="00BA49F5" w:rsidRDefault="00BA49F5">
            <w:pPr>
              <w:rPr>
                <w:rFonts w:ascii="宋体"/>
                <w:vanish/>
              </w:rPr>
            </w:pPr>
          </w:p>
        </w:tc>
      </w:tr>
      <w:tr w:rsidR="00BA49F5" w14:paraId="5CD8FD2B" w14:textId="77777777">
        <w:trPr>
          <w:jc w:val="center"/>
        </w:trPr>
        <w:tc>
          <w:tcPr>
            <w:tcW w:w="0" w:type="auto"/>
            <w:gridSpan w:val="3"/>
            <w:shd w:val="clear" w:color="auto" w:fill="FFFFFF"/>
            <w:tcMar>
              <w:top w:w="40" w:type="dxa"/>
              <w:left w:w="20" w:type="dxa"/>
              <w:bottom w:w="40" w:type="dxa"/>
              <w:right w:w="20" w:type="dxa"/>
            </w:tcMar>
            <w:vAlign w:val="bottom"/>
          </w:tcPr>
          <w:p w14:paraId="5CD8FD20" w14:textId="77777777" w:rsidR="00BA49F5" w:rsidRDefault="007E5E49">
            <w:pPr>
              <w:textAlignment w:val="bottom"/>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5CD8FD21"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D22"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D23"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D24"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D25"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D26"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8FD27"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D28" w14:textId="77777777" w:rsidR="00BA49F5" w:rsidRDefault="00BA49F5">
            <w:pPr>
              <w:rPr>
                <w:rFonts w:ascii="宋体"/>
              </w:rPr>
            </w:pPr>
          </w:p>
        </w:tc>
        <w:tc>
          <w:tcPr>
            <w:tcW w:w="0" w:type="auto"/>
            <w:gridSpan w:val="3"/>
            <w:shd w:val="clear" w:color="auto" w:fill="auto"/>
            <w:vAlign w:val="bottom"/>
          </w:tcPr>
          <w:p w14:paraId="5CD8FD29" w14:textId="77777777" w:rsidR="00BA49F5" w:rsidRDefault="00BA49F5">
            <w:pPr>
              <w:rPr>
                <w:rFonts w:ascii="宋体"/>
                <w:vanish/>
              </w:rPr>
            </w:pPr>
          </w:p>
        </w:tc>
        <w:tc>
          <w:tcPr>
            <w:tcW w:w="0" w:type="auto"/>
            <w:gridSpan w:val="3"/>
            <w:shd w:val="clear" w:color="auto" w:fill="auto"/>
            <w:vAlign w:val="bottom"/>
          </w:tcPr>
          <w:p w14:paraId="5CD8FD2A" w14:textId="77777777" w:rsidR="00BA49F5" w:rsidRDefault="00BA49F5">
            <w:pPr>
              <w:rPr>
                <w:rFonts w:ascii="宋体"/>
                <w:vanish/>
              </w:rPr>
            </w:pPr>
          </w:p>
        </w:tc>
      </w:tr>
      <w:tr w:rsidR="00BA49F5" w14:paraId="5CD8FD3B" w14:textId="77777777">
        <w:trPr>
          <w:jc w:val="center"/>
        </w:trPr>
        <w:tc>
          <w:tcPr>
            <w:tcW w:w="0" w:type="auto"/>
            <w:gridSpan w:val="3"/>
            <w:shd w:val="clear" w:color="auto" w:fill="CCEEFF"/>
            <w:tcMar>
              <w:top w:w="40" w:type="dxa"/>
              <w:left w:w="200" w:type="dxa"/>
              <w:bottom w:w="40" w:type="dxa"/>
              <w:right w:w="20" w:type="dxa"/>
            </w:tcMar>
            <w:vAlign w:val="bottom"/>
          </w:tcPr>
          <w:p w14:paraId="5CD8FD2C"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5CD8FD2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2E" w14:textId="77777777" w:rsidR="00BA49F5" w:rsidRDefault="007E5E49">
            <w:pPr>
              <w:jc w:val="right"/>
              <w:textAlignment w:val="bottom"/>
            </w:pPr>
            <w:r>
              <w:rPr>
                <w:rFonts w:ascii="Times New Roman" w:eastAsia="宋体" w:hAnsi="Times New Roman"/>
                <w:color w:val="000000"/>
                <w:sz w:val="20"/>
                <w:szCs w:val="20"/>
              </w:rPr>
              <w:t>8,708 </w:t>
            </w:r>
          </w:p>
        </w:tc>
        <w:tc>
          <w:tcPr>
            <w:tcW w:w="0" w:type="auto"/>
            <w:shd w:val="clear" w:color="auto" w:fill="CCEEFF"/>
            <w:tcMar>
              <w:top w:w="40" w:type="dxa"/>
              <w:left w:w="0" w:type="dxa"/>
              <w:bottom w:w="40" w:type="dxa"/>
              <w:right w:w="20" w:type="dxa"/>
            </w:tcMar>
            <w:vAlign w:val="bottom"/>
          </w:tcPr>
          <w:p w14:paraId="5CD8FD2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3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31" w14:textId="77777777" w:rsidR="00BA49F5" w:rsidRDefault="007E5E49">
            <w:pPr>
              <w:jc w:val="right"/>
              <w:textAlignment w:val="bottom"/>
            </w:pPr>
            <w:r>
              <w:rPr>
                <w:rFonts w:ascii="Times New Roman" w:eastAsia="宋体" w:hAnsi="Times New Roman"/>
                <w:color w:val="000000"/>
                <w:sz w:val="20"/>
                <w:szCs w:val="20"/>
              </w:rPr>
              <w:t>8,708 </w:t>
            </w:r>
          </w:p>
        </w:tc>
        <w:tc>
          <w:tcPr>
            <w:tcW w:w="0" w:type="auto"/>
            <w:shd w:val="clear" w:color="auto" w:fill="CCEEFF"/>
            <w:tcMar>
              <w:top w:w="40" w:type="dxa"/>
              <w:left w:w="0" w:type="dxa"/>
              <w:bottom w:w="40" w:type="dxa"/>
              <w:right w:w="20" w:type="dxa"/>
            </w:tcMar>
            <w:vAlign w:val="bottom"/>
          </w:tcPr>
          <w:p w14:paraId="5CD8FD3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3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3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3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3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3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38" w14:textId="77777777" w:rsidR="00BA49F5" w:rsidRDefault="00BA49F5">
            <w:pPr>
              <w:jc w:val="right"/>
              <w:rPr>
                <w:rFonts w:ascii="宋体"/>
              </w:rPr>
            </w:pPr>
          </w:p>
        </w:tc>
        <w:tc>
          <w:tcPr>
            <w:tcW w:w="0" w:type="auto"/>
            <w:gridSpan w:val="3"/>
            <w:shd w:val="clear" w:color="auto" w:fill="auto"/>
            <w:vAlign w:val="bottom"/>
          </w:tcPr>
          <w:p w14:paraId="5CD8FD39" w14:textId="77777777" w:rsidR="00BA49F5" w:rsidRDefault="00BA49F5">
            <w:pPr>
              <w:rPr>
                <w:rFonts w:ascii="宋体"/>
                <w:vanish/>
              </w:rPr>
            </w:pPr>
          </w:p>
        </w:tc>
        <w:tc>
          <w:tcPr>
            <w:tcW w:w="0" w:type="auto"/>
            <w:gridSpan w:val="3"/>
            <w:shd w:val="clear" w:color="auto" w:fill="auto"/>
            <w:vAlign w:val="bottom"/>
          </w:tcPr>
          <w:p w14:paraId="5CD8FD3A" w14:textId="77777777" w:rsidR="00BA49F5" w:rsidRDefault="00BA49F5">
            <w:pPr>
              <w:rPr>
                <w:rFonts w:ascii="宋体"/>
                <w:vanish/>
              </w:rPr>
            </w:pPr>
          </w:p>
        </w:tc>
      </w:tr>
      <w:tr w:rsidR="00BA49F5" w14:paraId="5CD8FD4B" w14:textId="77777777">
        <w:trPr>
          <w:jc w:val="center"/>
        </w:trPr>
        <w:tc>
          <w:tcPr>
            <w:tcW w:w="0" w:type="auto"/>
            <w:gridSpan w:val="3"/>
            <w:shd w:val="clear" w:color="auto" w:fill="FFFFFF"/>
            <w:tcMar>
              <w:top w:w="40" w:type="dxa"/>
              <w:left w:w="200" w:type="dxa"/>
              <w:bottom w:w="40" w:type="dxa"/>
              <w:right w:w="20" w:type="dxa"/>
            </w:tcMar>
            <w:vAlign w:val="bottom"/>
          </w:tcPr>
          <w:p w14:paraId="5CD8FD3C"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5CD8FD3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3E" w14:textId="77777777" w:rsidR="00BA49F5" w:rsidRDefault="007E5E49">
            <w:pPr>
              <w:jc w:val="right"/>
              <w:textAlignment w:val="bottom"/>
            </w:pPr>
            <w:r>
              <w:rPr>
                <w:rFonts w:ascii="Times New Roman" w:eastAsia="宋体" w:hAnsi="Times New Roman"/>
                <w:color w:val="000000"/>
                <w:sz w:val="20"/>
                <w:szCs w:val="20"/>
              </w:rPr>
              <w:t>4,989 </w:t>
            </w:r>
          </w:p>
        </w:tc>
        <w:tc>
          <w:tcPr>
            <w:tcW w:w="0" w:type="auto"/>
            <w:shd w:val="clear" w:color="auto" w:fill="FFFFFF"/>
            <w:tcMar>
              <w:top w:w="40" w:type="dxa"/>
              <w:left w:w="0" w:type="dxa"/>
              <w:bottom w:w="40" w:type="dxa"/>
              <w:right w:w="20" w:type="dxa"/>
            </w:tcMar>
            <w:vAlign w:val="bottom"/>
          </w:tcPr>
          <w:p w14:paraId="5CD8FD3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4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41" w14:textId="77777777" w:rsidR="00BA49F5" w:rsidRDefault="007E5E49">
            <w:pPr>
              <w:jc w:val="right"/>
              <w:textAlignment w:val="bottom"/>
            </w:pPr>
            <w:r>
              <w:rPr>
                <w:rFonts w:ascii="Times New Roman" w:eastAsia="宋体" w:hAnsi="Times New Roman"/>
                <w:color w:val="000000"/>
                <w:sz w:val="20"/>
                <w:szCs w:val="20"/>
              </w:rPr>
              <w:t>4,989 </w:t>
            </w:r>
          </w:p>
        </w:tc>
        <w:tc>
          <w:tcPr>
            <w:tcW w:w="0" w:type="auto"/>
            <w:shd w:val="clear" w:color="auto" w:fill="FFFFFF"/>
            <w:tcMar>
              <w:top w:w="40" w:type="dxa"/>
              <w:left w:w="0" w:type="dxa"/>
              <w:bottom w:w="40" w:type="dxa"/>
              <w:right w:w="20" w:type="dxa"/>
            </w:tcMar>
            <w:vAlign w:val="bottom"/>
          </w:tcPr>
          <w:p w14:paraId="5CD8FD4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4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4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4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4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4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48" w14:textId="77777777" w:rsidR="00BA49F5" w:rsidRDefault="00BA49F5">
            <w:pPr>
              <w:jc w:val="right"/>
              <w:rPr>
                <w:rFonts w:ascii="宋体"/>
              </w:rPr>
            </w:pPr>
          </w:p>
        </w:tc>
        <w:tc>
          <w:tcPr>
            <w:tcW w:w="0" w:type="auto"/>
            <w:gridSpan w:val="3"/>
            <w:shd w:val="clear" w:color="auto" w:fill="auto"/>
            <w:vAlign w:val="bottom"/>
          </w:tcPr>
          <w:p w14:paraId="5CD8FD49" w14:textId="77777777" w:rsidR="00BA49F5" w:rsidRDefault="00BA49F5">
            <w:pPr>
              <w:rPr>
                <w:rFonts w:ascii="宋体"/>
                <w:vanish/>
              </w:rPr>
            </w:pPr>
          </w:p>
        </w:tc>
        <w:tc>
          <w:tcPr>
            <w:tcW w:w="0" w:type="auto"/>
            <w:gridSpan w:val="3"/>
            <w:shd w:val="clear" w:color="auto" w:fill="auto"/>
            <w:vAlign w:val="bottom"/>
          </w:tcPr>
          <w:p w14:paraId="5CD8FD4A" w14:textId="77777777" w:rsidR="00BA49F5" w:rsidRDefault="00BA49F5">
            <w:pPr>
              <w:rPr>
                <w:rFonts w:ascii="宋体"/>
                <w:vanish/>
              </w:rPr>
            </w:pPr>
          </w:p>
        </w:tc>
      </w:tr>
      <w:tr w:rsidR="00BA49F5" w14:paraId="5CD8FD5B" w14:textId="77777777">
        <w:trPr>
          <w:jc w:val="center"/>
        </w:trPr>
        <w:tc>
          <w:tcPr>
            <w:tcW w:w="0" w:type="auto"/>
            <w:gridSpan w:val="3"/>
            <w:shd w:val="clear" w:color="auto" w:fill="CCEEFF"/>
            <w:tcMar>
              <w:top w:w="40" w:type="dxa"/>
              <w:left w:w="200" w:type="dxa"/>
              <w:bottom w:w="40" w:type="dxa"/>
              <w:right w:w="20" w:type="dxa"/>
            </w:tcMar>
            <w:vAlign w:val="bottom"/>
          </w:tcPr>
          <w:p w14:paraId="5CD8FD4C"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5CD8FD4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4E" w14:textId="77777777" w:rsidR="00BA49F5" w:rsidRDefault="007E5E49">
            <w:pPr>
              <w:jc w:val="right"/>
              <w:textAlignment w:val="bottom"/>
            </w:pPr>
            <w:r>
              <w:rPr>
                <w:rFonts w:ascii="Times New Roman" w:eastAsia="宋体" w:hAnsi="Times New Roman"/>
                <w:color w:val="000000"/>
                <w:sz w:val="20"/>
                <w:szCs w:val="20"/>
              </w:rPr>
              <w:t>12,335 </w:t>
            </w:r>
          </w:p>
        </w:tc>
        <w:tc>
          <w:tcPr>
            <w:tcW w:w="0" w:type="auto"/>
            <w:shd w:val="clear" w:color="auto" w:fill="CCEEFF"/>
            <w:tcMar>
              <w:top w:w="40" w:type="dxa"/>
              <w:left w:w="0" w:type="dxa"/>
              <w:bottom w:w="40" w:type="dxa"/>
              <w:right w:w="20" w:type="dxa"/>
            </w:tcMar>
            <w:vAlign w:val="bottom"/>
          </w:tcPr>
          <w:p w14:paraId="5CD8FD4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5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5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5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5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54" w14:textId="77777777" w:rsidR="00BA49F5" w:rsidRDefault="007E5E49">
            <w:pPr>
              <w:jc w:val="right"/>
              <w:textAlignment w:val="bottom"/>
            </w:pPr>
            <w:r>
              <w:rPr>
                <w:rFonts w:ascii="Times New Roman" w:eastAsia="宋体" w:hAnsi="Times New Roman"/>
                <w:color w:val="000000"/>
                <w:sz w:val="20"/>
                <w:szCs w:val="20"/>
              </w:rPr>
              <w:t>12,335 </w:t>
            </w:r>
          </w:p>
        </w:tc>
        <w:tc>
          <w:tcPr>
            <w:tcW w:w="0" w:type="auto"/>
            <w:shd w:val="clear" w:color="auto" w:fill="CCEEFF"/>
            <w:tcMar>
              <w:top w:w="40" w:type="dxa"/>
              <w:left w:w="0" w:type="dxa"/>
              <w:bottom w:w="40" w:type="dxa"/>
              <w:right w:w="20" w:type="dxa"/>
            </w:tcMar>
            <w:vAlign w:val="bottom"/>
          </w:tcPr>
          <w:p w14:paraId="5CD8FD5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5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5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58" w14:textId="77777777" w:rsidR="00BA49F5" w:rsidRDefault="00BA49F5">
            <w:pPr>
              <w:jc w:val="right"/>
              <w:rPr>
                <w:rFonts w:ascii="宋体"/>
              </w:rPr>
            </w:pPr>
          </w:p>
        </w:tc>
        <w:tc>
          <w:tcPr>
            <w:tcW w:w="0" w:type="auto"/>
            <w:gridSpan w:val="3"/>
            <w:shd w:val="clear" w:color="auto" w:fill="auto"/>
            <w:vAlign w:val="bottom"/>
          </w:tcPr>
          <w:p w14:paraId="5CD8FD59" w14:textId="77777777" w:rsidR="00BA49F5" w:rsidRDefault="00BA49F5">
            <w:pPr>
              <w:rPr>
                <w:rFonts w:ascii="宋体"/>
                <w:vanish/>
              </w:rPr>
            </w:pPr>
          </w:p>
        </w:tc>
        <w:tc>
          <w:tcPr>
            <w:tcW w:w="0" w:type="auto"/>
            <w:gridSpan w:val="3"/>
            <w:shd w:val="clear" w:color="auto" w:fill="auto"/>
            <w:vAlign w:val="bottom"/>
          </w:tcPr>
          <w:p w14:paraId="5CD8FD5A" w14:textId="77777777" w:rsidR="00BA49F5" w:rsidRDefault="00BA49F5">
            <w:pPr>
              <w:rPr>
                <w:rFonts w:ascii="宋体"/>
                <w:vanish/>
              </w:rPr>
            </w:pPr>
          </w:p>
        </w:tc>
      </w:tr>
      <w:tr w:rsidR="00BA49F5" w14:paraId="5CD8FD6B" w14:textId="77777777">
        <w:trPr>
          <w:jc w:val="center"/>
        </w:trPr>
        <w:tc>
          <w:tcPr>
            <w:tcW w:w="0" w:type="auto"/>
            <w:gridSpan w:val="3"/>
            <w:shd w:val="clear" w:color="auto" w:fill="FFFFFF"/>
            <w:tcMar>
              <w:top w:w="40" w:type="dxa"/>
              <w:left w:w="200" w:type="dxa"/>
              <w:bottom w:w="40" w:type="dxa"/>
              <w:right w:w="20" w:type="dxa"/>
            </w:tcMar>
            <w:vAlign w:val="bottom"/>
          </w:tcPr>
          <w:p w14:paraId="5CD8FD5C" w14:textId="77777777" w:rsidR="00BA49F5" w:rsidRDefault="007E5E49">
            <w:pPr>
              <w:textAlignment w:val="bottom"/>
            </w:pPr>
            <w:r>
              <w:rPr>
                <w:rFonts w:ascii="Times New Roman" w:eastAsia="宋体" w:hAnsi="Times New Roman"/>
                <w:color w:val="000000"/>
                <w:sz w:val="20"/>
                <w:szCs w:val="20"/>
              </w:rPr>
              <w:t>Marketable equity securities</w:t>
            </w:r>
          </w:p>
        </w:tc>
        <w:tc>
          <w:tcPr>
            <w:tcW w:w="0" w:type="auto"/>
            <w:gridSpan w:val="3"/>
            <w:shd w:val="clear" w:color="auto" w:fill="FFFFFF"/>
            <w:tcMar>
              <w:top w:w="0" w:type="dxa"/>
              <w:left w:w="20" w:type="dxa"/>
              <w:bottom w:w="0" w:type="dxa"/>
              <w:right w:w="20" w:type="dxa"/>
            </w:tcMar>
            <w:vAlign w:val="bottom"/>
          </w:tcPr>
          <w:p w14:paraId="5CD8FD5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5E"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5CD8FD5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6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61"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5CD8FD6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6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6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6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6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6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68" w14:textId="77777777" w:rsidR="00BA49F5" w:rsidRDefault="00BA49F5">
            <w:pPr>
              <w:jc w:val="right"/>
              <w:rPr>
                <w:rFonts w:ascii="宋体"/>
              </w:rPr>
            </w:pPr>
          </w:p>
        </w:tc>
        <w:tc>
          <w:tcPr>
            <w:tcW w:w="0" w:type="auto"/>
            <w:gridSpan w:val="3"/>
            <w:shd w:val="clear" w:color="auto" w:fill="auto"/>
            <w:vAlign w:val="bottom"/>
          </w:tcPr>
          <w:p w14:paraId="5CD8FD69" w14:textId="77777777" w:rsidR="00BA49F5" w:rsidRDefault="00BA49F5">
            <w:pPr>
              <w:rPr>
                <w:rFonts w:ascii="宋体"/>
                <w:vanish/>
              </w:rPr>
            </w:pPr>
          </w:p>
        </w:tc>
        <w:tc>
          <w:tcPr>
            <w:tcW w:w="0" w:type="auto"/>
            <w:gridSpan w:val="3"/>
            <w:shd w:val="clear" w:color="auto" w:fill="auto"/>
            <w:vAlign w:val="bottom"/>
          </w:tcPr>
          <w:p w14:paraId="5CD8FD6A" w14:textId="77777777" w:rsidR="00BA49F5" w:rsidRDefault="00BA49F5">
            <w:pPr>
              <w:rPr>
                <w:rFonts w:ascii="宋体"/>
                <w:vanish/>
              </w:rPr>
            </w:pPr>
          </w:p>
        </w:tc>
      </w:tr>
      <w:tr w:rsidR="00BA49F5" w14:paraId="5CD8FD7B" w14:textId="77777777">
        <w:trPr>
          <w:jc w:val="center"/>
        </w:trPr>
        <w:tc>
          <w:tcPr>
            <w:tcW w:w="0" w:type="auto"/>
            <w:gridSpan w:val="3"/>
            <w:shd w:val="clear" w:color="auto" w:fill="CCEEFF"/>
            <w:tcMar>
              <w:top w:w="40" w:type="dxa"/>
              <w:left w:w="20" w:type="dxa"/>
              <w:bottom w:w="40" w:type="dxa"/>
              <w:right w:w="20" w:type="dxa"/>
            </w:tcMar>
            <w:vAlign w:val="bottom"/>
          </w:tcPr>
          <w:p w14:paraId="5CD8FD6C" w14:textId="77777777" w:rsidR="00BA49F5" w:rsidRDefault="007E5E49">
            <w:pPr>
              <w:textAlignment w:val="bottom"/>
            </w:pPr>
            <w:r>
              <w:rPr>
                <w:rFonts w:ascii="Times New Roman" w:eastAsia="宋体" w:hAnsi="Times New Roman"/>
                <w:color w:val="000000"/>
                <w:sz w:val="20"/>
                <w:szCs w:val="20"/>
              </w:rPr>
              <w:t>Restricted cash equivalents</w:t>
            </w:r>
          </w:p>
        </w:tc>
        <w:tc>
          <w:tcPr>
            <w:tcW w:w="0" w:type="auto"/>
            <w:gridSpan w:val="3"/>
            <w:shd w:val="clear" w:color="auto" w:fill="CCEEFF"/>
            <w:tcMar>
              <w:top w:w="0" w:type="dxa"/>
              <w:left w:w="20" w:type="dxa"/>
              <w:bottom w:w="0" w:type="dxa"/>
              <w:right w:w="20" w:type="dxa"/>
            </w:tcMar>
            <w:vAlign w:val="bottom"/>
          </w:tcPr>
          <w:p w14:paraId="5CD8FD6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6E" w14:textId="77777777" w:rsidR="00BA49F5" w:rsidRDefault="007E5E49">
            <w:pPr>
              <w:jc w:val="right"/>
              <w:textAlignment w:val="bottom"/>
            </w:pPr>
            <w:r>
              <w:rPr>
                <w:rFonts w:ascii="Times New Roman" w:eastAsia="宋体" w:hAnsi="Times New Roman"/>
                <w:color w:val="000000"/>
                <w:sz w:val="20"/>
                <w:szCs w:val="20"/>
              </w:rPr>
              <w:t>583 </w:t>
            </w:r>
          </w:p>
        </w:tc>
        <w:tc>
          <w:tcPr>
            <w:tcW w:w="0" w:type="auto"/>
            <w:shd w:val="clear" w:color="auto" w:fill="CCEEFF"/>
            <w:tcMar>
              <w:top w:w="40" w:type="dxa"/>
              <w:left w:w="0" w:type="dxa"/>
              <w:bottom w:w="40" w:type="dxa"/>
              <w:right w:w="20" w:type="dxa"/>
            </w:tcMar>
            <w:vAlign w:val="bottom"/>
          </w:tcPr>
          <w:p w14:paraId="5CD8FD6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70"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71" w14:textId="77777777" w:rsidR="00BA49F5" w:rsidRDefault="007E5E49">
            <w:pPr>
              <w:jc w:val="right"/>
              <w:textAlignment w:val="bottom"/>
            </w:pPr>
            <w:r>
              <w:rPr>
                <w:rFonts w:ascii="Times New Roman" w:eastAsia="宋体" w:hAnsi="Times New Roman"/>
                <w:color w:val="000000"/>
                <w:sz w:val="20"/>
                <w:szCs w:val="20"/>
              </w:rPr>
              <w:t>583 </w:t>
            </w:r>
          </w:p>
        </w:tc>
        <w:tc>
          <w:tcPr>
            <w:tcW w:w="0" w:type="auto"/>
            <w:shd w:val="clear" w:color="auto" w:fill="CCEEFF"/>
            <w:tcMar>
              <w:top w:w="40" w:type="dxa"/>
              <w:left w:w="0" w:type="dxa"/>
              <w:bottom w:w="40" w:type="dxa"/>
              <w:right w:w="20" w:type="dxa"/>
            </w:tcMar>
            <w:vAlign w:val="bottom"/>
          </w:tcPr>
          <w:p w14:paraId="5CD8FD7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7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7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7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7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7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D78" w14:textId="77777777" w:rsidR="00BA49F5" w:rsidRDefault="00BA49F5">
            <w:pPr>
              <w:jc w:val="right"/>
              <w:rPr>
                <w:rFonts w:ascii="宋体"/>
              </w:rPr>
            </w:pPr>
          </w:p>
        </w:tc>
        <w:tc>
          <w:tcPr>
            <w:tcW w:w="0" w:type="auto"/>
            <w:gridSpan w:val="3"/>
            <w:shd w:val="clear" w:color="auto" w:fill="auto"/>
            <w:vAlign w:val="bottom"/>
          </w:tcPr>
          <w:p w14:paraId="5CD8FD79" w14:textId="77777777" w:rsidR="00BA49F5" w:rsidRDefault="00BA49F5">
            <w:pPr>
              <w:rPr>
                <w:rFonts w:ascii="宋体"/>
                <w:vanish/>
              </w:rPr>
            </w:pPr>
          </w:p>
        </w:tc>
        <w:tc>
          <w:tcPr>
            <w:tcW w:w="0" w:type="auto"/>
            <w:gridSpan w:val="3"/>
            <w:shd w:val="clear" w:color="auto" w:fill="auto"/>
            <w:vAlign w:val="bottom"/>
          </w:tcPr>
          <w:p w14:paraId="5CD8FD7A" w14:textId="77777777" w:rsidR="00BA49F5" w:rsidRDefault="00BA49F5">
            <w:pPr>
              <w:rPr>
                <w:rFonts w:ascii="宋体"/>
                <w:vanish/>
              </w:rPr>
            </w:pPr>
          </w:p>
        </w:tc>
      </w:tr>
      <w:tr w:rsidR="00BA49F5" w14:paraId="5CD8FD8B" w14:textId="77777777">
        <w:trPr>
          <w:jc w:val="center"/>
        </w:trPr>
        <w:tc>
          <w:tcPr>
            <w:tcW w:w="0" w:type="auto"/>
            <w:gridSpan w:val="3"/>
            <w:shd w:val="clear" w:color="auto" w:fill="FFFFFF"/>
            <w:tcMar>
              <w:top w:w="40" w:type="dxa"/>
              <w:left w:w="20" w:type="dxa"/>
              <w:bottom w:w="40" w:type="dxa"/>
              <w:right w:w="20" w:type="dxa"/>
            </w:tcMar>
            <w:vAlign w:val="bottom"/>
          </w:tcPr>
          <w:p w14:paraId="5CD8FD7C" w14:textId="77777777" w:rsidR="00BA49F5" w:rsidRDefault="007E5E49">
            <w:pPr>
              <w:textAlignment w:val="bottom"/>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5CD8FD7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7E" w14:textId="77777777" w:rsidR="00BA49F5" w:rsidRDefault="007E5E49">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5CD8FD7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8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81"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8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8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84"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8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8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D87" w14:textId="77777777" w:rsidR="00BA49F5" w:rsidRDefault="007E5E49">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5CD8FD88" w14:textId="77777777" w:rsidR="00BA49F5" w:rsidRDefault="00BA49F5">
            <w:pPr>
              <w:jc w:val="right"/>
              <w:rPr>
                <w:rFonts w:ascii="宋体"/>
              </w:rPr>
            </w:pPr>
          </w:p>
        </w:tc>
        <w:tc>
          <w:tcPr>
            <w:tcW w:w="0" w:type="auto"/>
            <w:gridSpan w:val="3"/>
            <w:shd w:val="clear" w:color="auto" w:fill="auto"/>
            <w:vAlign w:val="bottom"/>
          </w:tcPr>
          <w:p w14:paraId="5CD8FD89" w14:textId="77777777" w:rsidR="00BA49F5" w:rsidRDefault="00BA49F5">
            <w:pPr>
              <w:rPr>
                <w:rFonts w:ascii="宋体"/>
                <w:vanish/>
              </w:rPr>
            </w:pPr>
          </w:p>
        </w:tc>
        <w:tc>
          <w:tcPr>
            <w:tcW w:w="0" w:type="auto"/>
            <w:gridSpan w:val="3"/>
            <w:shd w:val="clear" w:color="auto" w:fill="auto"/>
            <w:vAlign w:val="bottom"/>
          </w:tcPr>
          <w:p w14:paraId="5CD8FD8A" w14:textId="77777777" w:rsidR="00BA49F5" w:rsidRDefault="00BA49F5">
            <w:pPr>
              <w:rPr>
                <w:rFonts w:ascii="宋体"/>
                <w:vanish/>
              </w:rPr>
            </w:pPr>
          </w:p>
        </w:tc>
      </w:tr>
      <w:tr w:rsidR="00BA49F5" w14:paraId="5CD8FD9F" w14:textId="77777777">
        <w:trPr>
          <w:jc w:val="center"/>
        </w:trPr>
        <w:tc>
          <w:tcPr>
            <w:tcW w:w="0" w:type="auto"/>
            <w:gridSpan w:val="3"/>
            <w:shd w:val="clear" w:color="auto" w:fill="CCEEFF"/>
            <w:tcMar>
              <w:top w:w="40" w:type="dxa"/>
              <w:left w:w="380" w:type="dxa"/>
              <w:bottom w:w="40" w:type="dxa"/>
              <w:right w:w="20" w:type="dxa"/>
            </w:tcMar>
            <w:vAlign w:val="bottom"/>
          </w:tcPr>
          <w:p w14:paraId="5CD8FD8C" w14:textId="77777777" w:rsidR="00BA49F5" w:rsidRDefault="007E5E49">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CD8FD8D"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D8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D8F" w14:textId="77777777" w:rsidR="00BA49F5" w:rsidRDefault="007E5E49">
            <w:pPr>
              <w:jc w:val="right"/>
              <w:textAlignment w:val="bottom"/>
            </w:pPr>
            <w:r>
              <w:rPr>
                <w:rFonts w:ascii="Times New Roman" w:eastAsia="宋体" w:hAnsi="Times New Roman"/>
                <w:color w:val="000000"/>
                <w:sz w:val="20"/>
                <w:szCs w:val="20"/>
              </w:rPr>
              <w:t>35,302 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D9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91"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D9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D93" w14:textId="77777777" w:rsidR="00BA49F5" w:rsidRDefault="007E5E49">
            <w:pPr>
              <w:jc w:val="right"/>
              <w:textAlignment w:val="bottom"/>
            </w:pPr>
            <w:r>
              <w:rPr>
                <w:rFonts w:ascii="Times New Roman" w:eastAsia="宋体" w:hAnsi="Times New Roman"/>
                <w:color w:val="000000"/>
                <w:sz w:val="20"/>
                <w:szCs w:val="20"/>
              </w:rPr>
              <w:t>22,626 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D9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95"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D9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D97" w14:textId="77777777" w:rsidR="00BA49F5" w:rsidRDefault="007E5E49">
            <w:pPr>
              <w:jc w:val="right"/>
              <w:textAlignment w:val="bottom"/>
            </w:pPr>
            <w:r>
              <w:rPr>
                <w:rFonts w:ascii="Times New Roman" w:eastAsia="宋体" w:hAnsi="Times New Roman"/>
                <w:color w:val="000000"/>
                <w:sz w:val="20"/>
                <w:szCs w:val="20"/>
              </w:rPr>
              <w:t>12,519 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D9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99"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D9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D9B" w14:textId="77777777" w:rsidR="00BA49F5" w:rsidRDefault="007E5E49">
            <w:pPr>
              <w:jc w:val="right"/>
              <w:textAlignment w:val="bottom"/>
            </w:pPr>
            <w:r>
              <w:rPr>
                <w:rFonts w:ascii="Times New Roman" w:eastAsia="宋体" w:hAnsi="Times New Roman"/>
                <w:color w:val="000000"/>
                <w:sz w:val="20"/>
                <w:szCs w:val="20"/>
              </w:rPr>
              <w:t>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D9C" w14:textId="77777777" w:rsidR="00BA49F5" w:rsidRDefault="00BA49F5">
            <w:pPr>
              <w:jc w:val="right"/>
              <w:rPr>
                <w:rFonts w:ascii="宋体"/>
              </w:rPr>
            </w:pPr>
          </w:p>
        </w:tc>
        <w:tc>
          <w:tcPr>
            <w:tcW w:w="0" w:type="auto"/>
            <w:gridSpan w:val="3"/>
            <w:shd w:val="clear" w:color="auto" w:fill="auto"/>
            <w:vAlign w:val="bottom"/>
          </w:tcPr>
          <w:p w14:paraId="5CD8FD9D" w14:textId="77777777" w:rsidR="00BA49F5" w:rsidRDefault="00BA49F5">
            <w:pPr>
              <w:rPr>
                <w:rFonts w:ascii="宋体"/>
                <w:vanish/>
              </w:rPr>
            </w:pPr>
          </w:p>
        </w:tc>
        <w:tc>
          <w:tcPr>
            <w:tcW w:w="0" w:type="auto"/>
            <w:gridSpan w:val="3"/>
            <w:shd w:val="clear" w:color="auto" w:fill="auto"/>
            <w:vAlign w:val="bottom"/>
          </w:tcPr>
          <w:p w14:paraId="5CD8FD9E" w14:textId="77777777" w:rsidR="00BA49F5" w:rsidRDefault="00BA49F5">
            <w:pPr>
              <w:rPr>
                <w:rFonts w:ascii="宋体"/>
                <w:vanish/>
              </w:rPr>
            </w:pPr>
          </w:p>
        </w:tc>
      </w:tr>
    </w:tbl>
    <w:p w14:paraId="5CD8FDA0" w14:textId="77777777" w:rsidR="00BA49F5" w:rsidRDefault="007E5E49">
      <w:pPr>
        <w:jc w:val="center"/>
      </w:pPr>
      <w:r>
        <w:rPr>
          <w:rFonts w:ascii="Times New Roman" w:eastAsia="宋体" w:hAnsi="Times New Roman"/>
          <w:color w:val="000000"/>
          <w:sz w:val="20"/>
          <w:szCs w:val="20"/>
        </w:rPr>
        <w:t>104</w:t>
      </w:r>
    </w:p>
    <w:p w14:paraId="5CD8FDA1" w14:textId="77777777" w:rsidR="00BA49F5" w:rsidRDefault="007E5E49">
      <w:r>
        <w:pict w14:anchorId="5CD90D5D">
          <v:rect id="_x0000_i1128" style="width:415.3pt;height:1.5pt" o:hralign="center" o:hrstd="t" o:hr="t" fillcolor="#a0a0a0" stroked="f"/>
        </w:pict>
      </w:r>
    </w:p>
    <w:p w14:paraId="5CD8FDA2" w14:textId="77777777" w:rsidR="00BA49F5" w:rsidRDefault="00BA49F5"/>
    <w:p w14:paraId="5CD8FDA3" w14:textId="77777777" w:rsidR="00BA49F5" w:rsidRDefault="00BA49F5"/>
    <w:p w14:paraId="5CD8FDA4" w14:textId="77777777" w:rsidR="00BA49F5" w:rsidRDefault="007E5E49">
      <w:hyperlink r:id="rId303" w:anchor="i6df229dad1864210ab76200083e26819_7" w:history="1">
        <w:r>
          <w:rPr>
            <w:rStyle w:val="a5"/>
            <w:rFonts w:ascii="Times New Roman" w:eastAsia="宋体" w:hAnsi="Times New Roman"/>
            <w:sz w:val="20"/>
            <w:szCs w:val="20"/>
          </w:rPr>
          <w:t>T</w:t>
        </w:r>
      </w:hyperlink>
      <w:hyperlink r:id="rId304" w:anchor="i6df229dad1864210ab76200083e26819_7" w:history="1">
        <w:r>
          <w:rPr>
            <w:rStyle w:val="a5"/>
            <w:rFonts w:ascii="Times New Roman" w:eastAsia="宋体" w:hAnsi="Times New Roman"/>
            <w:sz w:val="20"/>
            <w:szCs w:val="20"/>
          </w:rPr>
          <w:t>able of 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3221"/>
        <w:gridCol w:w="37"/>
        <w:gridCol w:w="36"/>
        <w:gridCol w:w="36"/>
        <w:gridCol w:w="36"/>
        <w:gridCol w:w="120"/>
        <w:gridCol w:w="851"/>
        <w:gridCol w:w="36"/>
        <w:gridCol w:w="36"/>
        <w:gridCol w:w="36"/>
        <w:gridCol w:w="36"/>
        <w:gridCol w:w="121"/>
        <w:gridCol w:w="960"/>
        <w:gridCol w:w="37"/>
        <w:gridCol w:w="36"/>
        <w:gridCol w:w="36"/>
        <w:gridCol w:w="36"/>
        <w:gridCol w:w="121"/>
        <w:gridCol w:w="950"/>
        <w:gridCol w:w="37"/>
        <w:gridCol w:w="36"/>
        <w:gridCol w:w="36"/>
        <w:gridCol w:w="36"/>
        <w:gridCol w:w="121"/>
        <w:gridCol w:w="989"/>
        <w:gridCol w:w="36"/>
        <w:gridCol w:w="36"/>
        <w:gridCol w:w="36"/>
        <w:gridCol w:w="36"/>
        <w:gridCol w:w="36"/>
        <w:gridCol w:w="36"/>
        <w:gridCol w:w="36"/>
      </w:tblGrid>
      <w:tr w:rsidR="00BA49F5" w14:paraId="5CD8FDC2" w14:textId="77777777">
        <w:trPr>
          <w:jc w:val="center"/>
        </w:trPr>
        <w:tc>
          <w:tcPr>
            <w:tcW w:w="50" w:type="pct"/>
            <w:shd w:val="clear" w:color="auto" w:fill="auto"/>
            <w:vAlign w:val="bottom"/>
          </w:tcPr>
          <w:p w14:paraId="5CD8FDA5" w14:textId="77777777" w:rsidR="00BA49F5" w:rsidRDefault="00BA49F5">
            <w:pPr>
              <w:rPr>
                <w:rFonts w:ascii="宋体"/>
              </w:rPr>
            </w:pPr>
          </w:p>
        </w:tc>
        <w:tc>
          <w:tcPr>
            <w:tcW w:w="2031" w:type="pct"/>
            <w:shd w:val="clear" w:color="auto" w:fill="auto"/>
            <w:vAlign w:val="bottom"/>
          </w:tcPr>
          <w:p w14:paraId="5CD8FDA6" w14:textId="77777777" w:rsidR="00BA49F5" w:rsidRDefault="00BA49F5">
            <w:pPr>
              <w:rPr>
                <w:rFonts w:ascii="宋体"/>
              </w:rPr>
            </w:pPr>
          </w:p>
        </w:tc>
        <w:tc>
          <w:tcPr>
            <w:tcW w:w="5" w:type="pct"/>
            <w:shd w:val="clear" w:color="auto" w:fill="auto"/>
            <w:vAlign w:val="bottom"/>
          </w:tcPr>
          <w:p w14:paraId="5CD8FDA7" w14:textId="77777777" w:rsidR="00BA49F5" w:rsidRDefault="00BA49F5">
            <w:pPr>
              <w:rPr>
                <w:rFonts w:ascii="宋体"/>
              </w:rPr>
            </w:pPr>
          </w:p>
        </w:tc>
        <w:tc>
          <w:tcPr>
            <w:tcW w:w="5" w:type="pct"/>
            <w:shd w:val="clear" w:color="auto" w:fill="auto"/>
            <w:vAlign w:val="bottom"/>
          </w:tcPr>
          <w:p w14:paraId="5CD8FDA8" w14:textId="77777777" w:rsidR="00BA49F5" w:rsidRDefault="00BA49F5">
            <w:pPr>
              <w:rPr>
                <w:rFonts w:ascii="宋体"/>
              </w:rPr>
            </w:pPr>
          </w:p>
        </w:tc>
        <w:tc>
          <w:tcPr>
            <w:tcW w:w="27" w:type="pct"/>
            <w:shd w:val="clear" w:color="auto" w:fill="auto"/>
            <w:vAlign w:val="bottom"/>
          </w:tcPr>
          <w:p w14:paraId="5CD8FDA9" w14:textId="77777777" w:rsidR="00BA49F5" w:rsidRDefault="00BA49F5">
            <w:pPr>
              <w:rPr>
                <w:rFonts w:ascii="宋体"/>
              </w:rPr>
            </w:pPr>
          </w:p>
        </w:tc>
        <w:tc>
          <w:tcPr>
            <w:tcW w:w="5" w:type="pct"/>
            <w:shd w:val="clear" w:color="auto" w:fill="auto"/>
            <w:vAlign w:val="bottom"/>
          </w:tcPr>
          <w:p w14:paraId="5CD8FDAA" w14:textId="77777777" w:rsidR="00BA49F5" w:rsidRDefault="00BA49F5">
            <w:pPr>
              <w:rPr>
                <w:rFonts w:ascii="宋体"/>
              </w:rPr>
            </w:pPr>
          </w:p>
        </w:tc>
        <w:tc>
          <w:tcPr>
            <w:tcW w:w="50" w:type="pct"/>
            <w:shd w:val="clear" w:color="auto" w:fill="auto"/>
            <w:vAlign w:val="bottom"/>
          </w:tcPr>
          <w:p w14:paraId="5CD8FDAB" w14:textId="77777777" w:rsidR="00BA49F5" w:rsidRDefault="00BA49F5">
            <w:pPr>
              <w:rPr>
                <w:rFonts w:ascii="宋体"/>
              </w:rPr>
            </w:pPr>
          </w:p>
        </w:tc>
        <w:tc>
          <w:tcPr>
            <w:tcW w:w="593" w:type="pct"/>
            <w:shd w:val="clear" w:color="auto" w:fill="auto"/>
            <w:vAlign w:val="bottom"/>
          </w:tcPr>
          <w:p w14:paraId="5CD8FDAC" w14:textId="77777777" w:rsidR="00BA49F5" w:rsidRDefault="00BA49F5">
            <w:pPr>
              <w:rPr>
                <w:rFonts w:ascii="宋体"/>
              </w:rPr>
            </w:pPr>
          </w:p>
        </w:tc>
        <w:tc>
          <w:tcPr>
            <w:tcW w:w="5" w:type="pct"/>
            <w:shd w:val="clear" w:color="auto" w:fill="auto"/>
            <w:vAlign w:val="bottom"/>
          </w:tcPr>
          <w:p w14:paraId="5CD8FDAD" w14:textId="77777777" w:rsidR="00BA49F5" w:rsidRDefault="00BA49F5">
            <w:pPr>
              <w:rPr>
                <w:rFonts w:ascii="宋体"/>
              </w:rPr>
            </w:pPr>
          </w:p>
        </w:tc>
        <w:tc>
          <w:tcPr>
            <w:tcW w:w="5" w:type="pct"/>
            <w:shd w:val="clear" w:color="auto" w:fill="auto"/>
            <w:vAlign w:val="bottom"/>
          </w:tcPr>
          <w:p w14:paraId="5CD8FDAE" w14:textId="77777777" w:rsidR="00BA49F5" w:rsidRDefault="00BA49F5">
            <w:pPr>
              <w:rPr>
                <w:rFonts w:ascii="宋体"/>
              </w:rPr>
            </w:pPr>
          </w:p>
        </w:tc>
        <w:tc>
          <w:tcPr>
            <w:tcW w:w="27" w:type="pct"/>
            <w:shd w:val="clear" w:color="auto" w:fill="auto"/>
            <w:vAlign w:val="bottom"/>
          </w:tcPr>
          <w:p w14:paraId="5CD8FDAF" w14:textId="77777777" w:rsidR="00BA49F5" w:rsidRDefault="00BA49F5">
            <w:pPr>
              <w:rPr>
                <w:rFonts w:ascii="宋体"/>
              </w:rPr>
            </w:pPr>
          </w:p>
        </w:tc>
        <w:tc>
          <w:tcPr>
            <w:tcW w:w="5" w:type="pct"/>
            <w:shd w:val="clear" w:color="auto" w:fill="auto"/>
            <w:vAlign w:val="bottom"/>
          </w:tcPr>
          <w:p w14:paraId="5CD8FDB0" w14:textId="77777777" w:rsidR="00BA49F5" w:rsidRDefault="00BA49F5">
            <w:pPr>
              <w:rPr>
                <w:rFonts w:ascii="宋体"/>
              </w:rPr>
            </w:pPr>
          </w:p>
        </w:tc>
        <w:tc>
          <w:tcPr>
            <w:tcW w:w="50" w:type="pct"/>
            <w:shd w:val="clear" w:color="auto" w:fill="auto"/>
            <w:vAlign w:val="bottom"/>
          </w:tcPr>
          <w:p w14:paraId="5CD8FDB1" w14:textId="77777777" w:rsidR="00BA49F5" w:rsidRDefault="00BA49F5">
            <w:pPr>
              <w:rPr>
                <w:rFonts w:ascii="宋体"/>
              </w:rPr>
            </w:pPr>
          </w:p>
        </w:tc>
        <w:tc>
          <w:tcPr>
            <w:tcW w:w="660" w:type="pct"/>
            <w:shd w:val="clear" w:color="auto" w:fill="auto"/>
            <w:vAlign w:val="bottom"/>
          </w:tcPr>
          <w:p w14:paraId="5CD8FDB2" w14:textId="77777777" w:rsidR="00BA49F5" w:rsidRDefault="00BA49F5">
            <w:pPr>
              <w:rPr>
                <w:rFonts w:ascii="宋体"/>
              </w:rPr>
            </w:pPr>
          </w:p>
        </w:tc>
        <w:tc>
          <w:tcPr>
            <w:tcW w:w="5" w:type="pct"/>
            <w:shd w:val="clear" w:color="auto" w:fill="auto"/>
            <w:vAlign w:val="bottom"/>
          </w:tcPr>
          <w:p w14:paraId="5CD8FDB3" w14:textId="77777777" w:rsidR="00BA49F5" w:rsidRDefault="00BA49F5">
            <w:pPr>
              <w:rPr>
                <w:rFonts w:ascii="宋体"/>
              </w:rPr>
            </w:pPr>
          </w:p>
        </w:tc>
        <w:tc>
          <w:tcPr>
            <w:tcW w:w="5" w:type="pct"/>
            <w:shd w:val="clear" w:color="auto" w:fill="auto"/>
            <w:vAlign w:val="bottom"/>
          </w:tcPr>
          <w:p w14:paraId="5CD8FDB4" w14:textId="77777777" w:rsidR="00BA49F5" w:rsidRDefault="00BA49F5">
            <w:pPr>
              <w:rPr>
                <w:rFonts w:ascii="宋体"/>
              </w:rPr>
            </w:pPr>
          </w:p>
        </w:tc>
        <w:tc>
          <w:tcPr>
            <w:tcW w:w="27" w:type="pct"/>
            <w:shd w:val="clear" w:color="auto" w:fill="auto"/>
            <w:vAlign w:val="bottom"/>
          </w:tcPr>
          <w:p w14:paraId="5CD8FDB5" w14:textId="77777777" w:rsidR="00BA49F5" w:rsidRDefault="00BA49F5">
            <w:pPr>
              <w:rPr>
                <w:rFonts w:ascii="宋体"/>
              </w:rPr>
            </w:pPr>
          </w:p>
        </w:tc>
        <w:tc>
          <w:tcPr>
            <w:tcW w:w="5" w:type="pct"/>
            <w:shd w:val="clear" w:color="auto" w:fill="auto"/>
            <w:vAlign w:val="bottom"/>
          </w:tcPr>
          <w:p w14:paraId="5CD8FDB6" w14:textId="77777777" w:rsidR="00BA49F5" w:rsidRDefault="00BA49F5">
            <w:pPr>
              <w:rPr>
                <w:rFonts w:ascii="宋体"/>
              </w:rPr>
            </w:pPr>
          </w:p>
        </w:tc>
        <w:tc>
          <w:tcPr>
            <w:tcW w:w="50" w:type="pct"/>
            <w:shd w:val="clear" w:color="auto" w:fill="auto"/>
            <w:vAlign w:val="bottom"/>
          </w:tcPr>
          <w:p w14:paraId="5CD8FDB7" w14:textId="77777777" w:rsidR="00BA49F5" w:rsidRDefault="00BA49F5">
            <w:pPr>
              <w:rPr>
                <w:rFonts w:ascii="宋体"/>
              </w:rPr>
            </w:pPr>
          </w:p>
        </w:tc>
        <w:tc>
          <w:tcPr>
            <w:tcW w:w="652" w:type="pct"/>
            <w:shd w:val="clear" w:color="auto" w:fill="auto"/>
            <w:vAlign w:val="bottom"/>
          </w:tcPr>
          <w:p w14:paraId="5CD8FDB8" w14:textId="77777777" w:rsidR="00BA49F5" w:rsidRDefault="00BA49F5">
            <w:pPr>
              <w:rPr>
                <w:rFonts w:ascii="宋体"/>
              </w:rPr>
            </w:pPr>
          </w:p>
        </w:tc>
        <w:tc>
          <w:tcPr>
            <w:tcW w:w="5" w:type="pct"/>
            <w:shd w:val="clear" w:color="auto" w:fill="auto"/>
            <w:vAlign w:val="bottom"/>
          </w:tcPr>
          <w:p w14:paraId="5CD8FDB9" w14:textId="77777777" w:rsidR="00BA49F5" w:rsidRDefault="00BA49F5">
            <w:pPr>
              <w:rPr>
                <w:rFonts w:ascii="宋体"/>
              </w:rPr>
            </w:pPr>
          </w:p>
        </w:tc>
        <w:tc>
          <w:tcPr>
            <w:tcW w:w="5" w:type="pct"/>
            <w:shd w:val="clear" w:color="auto" w:fill="auto"/>
            <w:vAlign w:val="bottom"/>
          </w:tcPr>
          <w:p w14:paraId="5CD8FDBA" w14:textId="77777777" w:rsidR="00BA49F5" w:rsidRDefault="00BA49F5">
            <w:pPr>
              <w:rPr>
                <w:rFonts w:ascii="宋体"/>
              </w:rPr>
            </w:pPr>
          </w:p>
        </w:tc>
        <w:tc>
          <w:tcPr>
            <w:tcW w:w="19" w:type="pct"/>
            <w:shd w:val="clear" w:color="auto" w:fill="auto"/>
            <w:vAlign w:val="bottom"/>
          </w:tcPr>
          <w:p w14:paraId="5CD8FDBB" w14:textId="77777777" w:rsidR="00BA49F5" w:rsidRDefault="00BA49F5">
            <w:pPr>
              <w:rPr>
                <w:rFonts w:ascii="宋体"/>
              </w:rPr>
            </w:pPr>
          </w:p>
        </w:tc>
        <w:tc>
          <w:tcPr>
            <w:tcW w:w="5" w:type="pct"/>
            <w:shd w:val="clear" w:color="auto" w:fill="auto"/>
            <w:vAlign w:val="bottom"/>
          </w:tcPr>
          <w:p w14:paraId="5CD8FDBC" w14:textId="77777777" w:rsidR="00BA49F5" w:rsidRDefault="00BA49F5">
            <w:pPr>
              <w:rPr>
                <w:rFonts w:ascii="宋体"/>
              </w:rPr>
            </w:pPr>
          </w:p>
        </w:tc>
        <w:tc>
          <w:tcPr>
            <w:tcW w:w="50" w:type="pct"/>
            <w:shd w:val="clear" w:color="auto" w:fill="auto"/>
            <w:vAlign w:val="bottom"/>
          </w:tcPr>
          <w:p w14:paraId="5CD8FDBD" w14:textId="77777777" w:rsidR="00BA49F5" w:rsidRDefault="00BA49F5">
            <w:pPr>
              <w:rPr>
                <w:rFonts w:ascii="宋体"/>
              </w:rPr>
            </w:pPr>
          </w:p>
        </w:tc>
        <w:tc>
          <w:tcPr>
            <w:tcW w:w="645" w:type="pct"/>
            <w:shd w:val="clear" w:color="auto" w:fill="auto"/>
            <w:vAlign w:val="bottom"/>
          </w:tcPr>
          <w:p w14:paraId="5CD8FDBE" w14:textId="77777777" w:rsidR="00BA49F5" w:rsidRDefault="00BA49F5">
            <w:pPr>
              <w:rPr>
                <w:rFonts w:ascii="宋体"/>
              </w:rPr>
            </w:pPr>
          </w:p>
        </w:tc>
        <w:tc>
          <w:tcPr>
            <w:tcW w:w="5" w:type="pct"/>
            <w:shd w:val="clear" w:color="auto" w:fill="auto"/>
            <w:vAlign w:val="bottom"/>
          </w:tcPr>
          <w:p w14:paraId="5CD8FDBF" w14:textId="77777777" w:rsidR="00BA49F5" w:rsidRDefault="00BA49F5">
            <w:pPr>
              <w:rPr>
                <w:rFonts w:ascii="宋体"/>
              </w:rPr>
            </w:pPr>
          </w:p>
        </w:tc>
        <w:tc>
          <w:tcPr>
            <w:tcW w:w="0" w:type="auto"/>
            <w:gridSpan w:val="3"/>
            <w:shd w:val="clear" w:color="auto" w:fill="auto"/>
            <w:vAlign w:val="bottom"/>
          </w:tcPr>
          <w:p w14:paraId="5CD8FDC0" w14:textId="77777777" w:rsidR="00BA49F5" w:rsidRDefault="00BA49F5">
            <w:pPr>
              <w:rPr>
                <w:rFonts w:ascii="宋体"/>
                <w:vanish/>
              </w:rPr>
            </w:pPr>
          </w:p>
        </w:tc>
        <w:tc>
          <w:tcPr>
            <w:tcW w:w="0" w:type="auto"/>
            <w:gridSpan w:val="3"/>
            <w:shd w:val="clear" w:color="auto" w:fill="auto"/>
            <w:vAlign w:val="bottom"/>
          </w:tcPr>
          <w:p w14:paraId="5CD8FDC1" w14:textId="77777777" w:rsidR="00BA49F5" w:rsidRDefault="00BA49F5">
            <w:pPr>
              <w:rPr>
                <w:rFonts w:ascii="宋体"/>
                <w:vanish/>
              </w:rPr>
            </w:pPr>
          </w:p>
        </w:tc>
      </w:tr>
      <w:tr w:rsidR="00BA49F5" w14:paraId="5CD8FDCE" w14:textId="77777777">
        <w:trPr>
          <w:jc w:val="center"/>
        </w:trPr>
        <w:tc>
          <w:tcPr>
            <w:tcW w:w="0" w:type="auto"/>
            <w:gridSpan w:val="3"/>
            <w:shd w:val="clear" w:color="auto" w:fill="auto"/>
            <w:tcMar>
              <w:top w:w="40" w:type="dxa"/>
              <w:left w:w="20" w:type="dxa"/>
              <w:bottom w:w="40" w:type="dxa"/>
              <w:right w:w="20" w:type="dxa"/>
            </w:tcMar>
            <w:vAlign w:val="bottom"/>
          </w:tcPr>
          <w:p w14:paraId="5CD8FDC3" w14:textId="77777777" w:rsidR="00BA49F5" w:rsidRDefault="007E5E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CD8FDC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DC5" w14:textId="77777777" w:rsidR="00BA49F5" w:rsidRDefault="007E5E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CD8FDC6"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DC7" w14:textId="77777777" w:rsidR="00BA49F5" w:rsidRDefault="007E5E49">
            <w:pPr>
              <w:jc w:val="center"/>
              <w:textAlignment w:val="bottom"/>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5CD8FDC8" w14:textId="77777777" w:rsidR="00BA49F5" w:rsidRDefault="00BA49F5">
            <w:pPr>
              <w:rPr>
                <w:rFonts w:ascii="宋体"/>
              </w:rPr>
            </w:pPr>
          </w:p>
        </w:tc>
        <w:tc>
          <w:tcPr>
            <w:tcW w:w="0" w:type="auto"/>
            <w:shd w:val="clear" w:color="auto" w:fill="auto"/>
            <w:vAlign w:val="bottom"/>
          </w:tcPr>
          <w:p w14:paraId="5CD8FDC9" w14:textId="77777777" w:rsidR="00BA49F5" w:rsidRDefault="00BA49F5">
            <w:pPr>
              <w:rPr>
                <w:rFonts w:ascii="宋体"/>
              </w:rPr>
            </w:pPr>
          </w:p>
        </w:tc>
        <w:tc>
          <w:tcPr>
            <w:tcW w:w="0" w:type="auto"/>
            <w:shd w:val="clear" w:color="auto" w:fill="auto"/>
            <w:vAlign w:val="bottom"/>
          </w:tcPr>
          <w:p w14:paraId="5CD8FDCA" w14:textId="77777777" w:rsidR="00BA49F5" w:rsidRDefault="00BA49F5">
            <w:pPr>
              <w:rPr>
                <w:rFonts w:ascii="宋体"/>
              </w:rPr>
            </w:pPr>
          </w:p>
        </w:tc>
        <w:tc>
          <w:tcPr>
            <w:tcW w:w="0" w:type="auto"/>
            <w:shd w:val="clear" w:color="auto" w:fill="auto"/>
            <w:vAlign w:val="bottom"/>
          </w:tcPr>
          <w:p w14:paraId="5CD8FDCB" w14:textId="77777777" w:rsidR="00BA49F5" w:rsidRDefault="00BA49F5">
            <w:pPr>
              <w:rPr>
                <w:rFonts w:ascii="宋体"/>
              </w:rPr>
            </w:pPr>
          </w:p>
        </w:tc>
        <w:tc>
          <w:tcPr>
            <w:tcW w:w="0" w:type="auto"/>
            <w:shd w:val="clear" w:color="auto" w:fill="auto"/>
            <w:vAlign w:val="bottom"/>
          </w:tcPr>
          <w:p w14:paraId="5CD8FDCC" w14:textId="77777777" w:rsidR="00BA49F5" w:rsidRDefault="00BA49F5">
            <w:pPr>
              <w:rPr>
                <w:rFonts w:ascii="宋体"/>
              </w:rPr>
            </w:pPr>
          </w:p>
        </w:tc>
        <w:tc>
          <w:tcPr>
            <w:tcW w:w="0" w:type="auto"/>
            <w:shd w:val="clear" w:color="auto" w:fill="auto"/>
            <w:vAlign w:val="bottom"/>
          </w:tcPr>
          <w:p w14:paraId="5CD8FDCD" w14:textId="77777777" w:rsidR="00BA49F5" w:rsidRDefault="00BA49F5">
            <w:pPr>
              <w:rPr>
                <w:rFonts w:ascii="宋体"/>
              </w:rPr>
            </w:pPr>
          </w:p>
        </w:tc>
      </w:tr>
      <w:tr w:rsidR="00BA49F5" w14:paraId="5CD8FDDA" w14:textId="77777777">
        <w:trPr>
          <w:jc w:val="center"/>
        </w:trPr>
        <w:tc>
          <w:tcPr>
            <w:tcW w:w="0" w:type="auto"/>
            <w:gridSpan w:val="3"/>
            <w:shd w:val="clear" w:color="auto" w:fill="auto"/>
            <w:tcMar>
              <w:top w:w="40" w:type="dxa"/>
              <w:left w:w="20" w:type="dxa"/>
              <w:bottom w:w="40" w:type="dxa"/>
              <w:right w:w="20" w:type="dxa"/>
            </w:tcMar>
            <w:vAlign w:val="bottom"/>
          </w:tcPr>
          <w:p w14:paraId="5CD8FDCF" w14:textId="77777777" w:rsidR="00BA49F5" w:rsidRDefault="007E5E49">
            <w:pPr>
              <w:jc w:val="both"/>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5CD8FDD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8FDD1" w14:textId="77777777" w:rsidR="00BA49F5" w:rsidRDefault="007E5E49">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CD8FDD2"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DD3" w14:textId="77777777" w:rsidR="00BA49F5" w:rsidRDefault="007E5E49">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DD4"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DD5" w14:textId="77777777" w:rsidR="00BA49F5" w:rsidRDefault="007E5E49">
            <w:pPr>
              <w:jc w:val="center"/>
              <w:textAlignment w:val="bottom"/>
            </w:pPr>
            <w:r>
              <w:rPr>
                <w:rFonts w:ascii="Times New Roman" w:eastAsia="宋体" w:hAnsi="Times New Roman"/>
                <w:b/>
                <w:bCs/>
                <w:color w:val="000000"/>
                <w:sz w:val="16"/>
                <w:szCs w:val="16"/>
              </w:rPr>
              <w:t xml:space="preserve">Significant Other </w:t>
            </w:r>
            <w:r>
              <w:rPr>
                <w:rFonts w:ascii="Times New Roman" w:eastAsia="宋体" w:hAnsi="Times New Roman"/>
                <w:b/>
                <w:bCs/>
                <w:color w:val="000000"/>
                <w:sz w:val="16"/>
                <w:szCs w:val="16"/>
              </w:rPr>
              <w:t>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DD6"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DD7" w14:textId="77777777" w:rsidR="00BA49F5" w:rsidRDefault="007E5E49">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c>
          <w:tcPr>
            <w:tcW w:w="0" w:type="auto"/>
            <w:gridSpan w:val="3"/>
            <w:shd w:val="clear" w:color="auto" w:fill="auto"/>
            <w:vAlign w:val="bottom"/>
          </w:tcPr>
          <w:p w14:paraId="5CD8FDD8" w14:textId="77777777" w:rsidR="00BA49F5" w:rsidRDefault="00BA49F5">
            <w:pPr>
              <w:rPr>
                <w:rFonts w:ascii="宋体"/>
                <w:vanish/>
              </w:rPr>
            </w:pPr>
          </w:p>
        </w:tc>
        <w:tc>
          <w:tcPr>
            <w:tcW w:w="0" w:type="auto"/>
            <w:gridSpan w:val="3"/>
            <w:shd w:val="clear" w:color="auto" w:fill="auto"/>
            <w:vAlign w:val="bottom"/>
          </w:tcPr>
          <w:p w14:paraId="5CD8FDD9" w14:textId="77777777" w:rsidR="00BA49F5" w:rsidRDefault="00BA49F5">
            <w:pPr>
              <w:rPr>
                <w:rFonts w:ascii="宋体"/>
                <w:vanish/>
              </w:rPr>
            </w:pPr>
          </w:p>
        </w:tc>
      </w:tr>
      <w:tr w:rsidR="00BA49F5" w14:paraId="5CD8FDE6"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DDB" w14:textId="77777777" w:rsidR="00BA49F5" w:rsidRDefault="007E5E49">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5CD8FDDC"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DDD"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DDE"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DDF"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DE0"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8FDE1"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8FDE2"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DE3" w14:textId="77777777" w:rsidR="00BA49F5" w:rsidRDefault="00BA49F5">
            <w:pPr>
              <w:rPr>
                <w:rFonts w:ascii="宋体"/>
              </w:rPr>
            </w:pPr>
          </w:p>
        </w:tc>
        <w:tc>
          <w:tcPr>
            <w:tcW w:w="0" w:type="auto"/>
            <w:gridSpan w:val="3"/>
            <w:shd w:val="clear" w:color="auto" w:fill="auto"/>
            <w:vAlign w:val="bottom"/>
          </w:tcPr>
          <w:p w14:paraId="5CD8FDE4" w14:textId="77777777" w:rsidR="00BA49F5" w:rsidRDefault="00BA49F5">
            <w:pPr>
              <w:rPr>
                <w:rFonts w:ascii="宋体"/>
                <w:vanish/>
              </w:rPr>
            </w:pPr>
          </w:p>
        </w:tc>
        <w:tc>
          <w:tcPr>
            <w:tcW w:w="0" w:type="auto"/>
            <w:gridSpan w:val="3"/>
            <w:shd w:val="clear" w:color="auto" w:fill="auto"/>
            <w:vAlign w:val="bottom"/>
          </w:tcPr>
          <w:p w14:paraId="5CD8FDE5" w14:textId="77777777" w:rsidR="00BA49F5" w:rsidRDefault="00BA49F5">
            <w:pPr>
              <w:rPr>
                <w:rFonts w:ascii="宋体"/>
                <w:vanish/>
              </w:rPr>
            </w:pPr>
          </w:p>
        </w:tc>
      </w:tr>
      <w:tr w:rsidR="00BA49F5" w14:paraId="5CD8FDFA" w14:textId="77777777">
        <w:trPr>
          <w:jc w:val="center"/>
        </w:trPr>
        <w:tc>
          <w:tcPr>
            <w:tcW w:w="0" w:type="auto"/>
            <w:gridSpan w:val="3"/>
            <w:shd w:val="clear" w:color="auto" w:fill="FFFFFF"/>
            <w:tcMar>
              <w:top w:w="40" w:type="dxa"/>
              <w:left w:w="200" w:type="dxa"/>
              <w:bottom w:w="40" w:type="dxa"/>
              <w:right w:w="20" w:type="dxa"/>
            </w:tcMar>
            <w:vAlign w:val="bottom"/>
          </w:tcPr>
          <w:p w14:paraId="5CD8FDE7" w14:textId="77777777" w:rsidR="00BA49F5" w:rsidRDefault="007E5E49">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5CD8FDE8"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DE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DEA" w14:textId="77777777" w:rsidR="00BA49F5" w:rsidRDefault="007E5E49">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5CD8FDE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EC"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DE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DEE" w14:textId="77777777" w:rsidR="00BA49F5" w:rsidRDefault="007E5E49">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5CD8FDE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F0"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DF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DF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F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DF4"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DF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DF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DF7" w14:textId="77777777" w:rsidR="00BA49F5" w:rsidRDefault="00BA49F5">
            <w:pPr>
              <w:jc w:val="right"/>
              <w:rPr>
                <w:rFonts w:ascii="宋体"/>
              </w:rPr>
            </w:pPr>
          </w:p>
        </w:tc>
        <w:tc>
          <w:tcPr>
            <w:tcW w:w="0" w:type="auto"/>
            <w:gridSpan w:val="3"/>
            <w:shd w:val="clear" w:color="auto" w:fill="auto"/>
            <w:vAlign w:val="bottom"/>
          </w:tcPr>
          <w:p w14:paraId="5CD8FDF8" w14:textId="77777777" w:rsidR="00BA49F5" w:rsidRDefault="00BA49F5">
            <w:pPr>
              <w:rPr>
                <w:rFonts w:ascii="宋体"/>
                <w:vanish/>
              </w:rPr>
            </w:pPr>
          </w:p>
        </w:tc>
        <w:tc>
          <w:tcPr>
            <w:tcW w:w="0" w:type="auto"/>
            <w:gridSpan w:val="3"/>
            <w:shd w:val="clear" w:color="auto" w:fill="auto"/>
            <w:vAlign w:val="bottom"/>
          </w:tcPr>
          <w:p w14:paraId="5CD8FDF9" w14:textId="77777777" w:rsidR="00BA49F5" w:rsidRDefault="00BA49F5">
            <w:pPr>
              <w:rPr>
                <w:rFonts w:ascii="宋体"/>
                <w:vanish/>
              </w:rPr>
            </w:pPr>
          </w:p>
        </w:tc>
      </w:tr>
      <w:tr w:rsidR="00BA49F5" w14:paraId="5CD8FE0A" w14:textId="77777777">
        <w:trPr>
          <w:jc w:val="center"/>
        </w:trPr>
        <w:tc>
          <w:tcPr>
            <w:tcW w:w="0" w:type="auto"/>
            <w:gridSpan w:val="3"/>
            <w:shd w:val="clear" w:color="auto" w:fill="CCEEFF"/>
            <w:tcMar>
              <w:top w:w="40" w:type="dxa"/>
              <w:left w:w="200" w:type="dxa"/>
              <w:bottom w:w="40" w:type="dxa"/>
              <w:right w:w="20" w:type="dxa"/>
            </w:tcMar>
            <w:vAlign w:val="bottom"/>
          </w:tcPr>
          <w:p w14:paraId="5CD8FDFB"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5CD8FDF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DFD"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CD8FDF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DF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00" w14:textId="77777777" w:rsidR="00BA49F5" w:rsidRDefault="007E5E49">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CD8FE0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0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0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0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0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0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07" w14:textId="77777777" w:rsidR="00BA49F5" w:rsidRDefault="00BA49F5">
            <w:pPr>
              <w:jc w:val="right"/>
              <w:rPr>
                <w:rFonts w:ascii="宋体"/>
              </w:rPr>
            </w:pPr>
          </w:p>
        </w:tc>
        <w:tc>
          <w:tcPr>
            <w:tcW w:w="0" w:type="auto"/>
            <w:gridSpan w:val="3"/>
            <w:shd w:val="clear" w:color="auto" w:fill="auto"/>
            <w:vAlign w:val="bottom"/>
          </w:tcPr>
          <w:p w14:paraId="5CD8FE08" w14:textId="77777777" w:rsidR="00BA49F5" w:rsidRDefault="00BA49F5">
            <w:pPr>
              <w:rPr>
                <w:rFonts w:ascii="宋体"/>
                <w:vanish/>
              </w:rPr>
            </w:pPr>
          </w:p>
        </w:tc>
        <w:tc>
          <w:tcPr>
            <w:tcW w:w="0" w:type="auto"/>
            <w:gridSpan w:val="3"/>
            <w:shd w:val="clear" w:color="auto" w:fill="auto"/>
            <w:vAlign w:val="bottom"/>
          </w:tcPr>
          <w:p w14:paraId="5CD8FE09" w14:textId="77777777" w:rsidR="00BA49F5" w:rsidRDefault="00BA49F5">
            <w:pPr>
              <w:rPr>
                <w:rFonts w:ascii="宋体"/>
                <w:vanish/>
              </w:rPr>
            </w:pPr>
          </w:p>
        </w:tc>
      </w:tr>
      <w:tr w:rsidR="00BA49F5" w14:paraId="5CD8FE1A" w14:textId="77777777">
        <w:trPr>
          <w:jc w:val="center"/>
        </w:trPr>
        <w:tc>
          <w:tcPr>
            <w:tcW w:w="0" w:type="auto"/>
            <w:gridSpan w:val="3"/>
            <w:shd w:val="clear" w:color="auto" w:fill="FFFFFF"/>
            <w:tcMar>
              <w:top w:w="40" w:type="dxa"/>
              <w:left w:w="200" w:type="dxa"/>
              <w:bottom w:w="40" w:type="dxa"/>
              <w:right w:w="20" w:type="dxa"/>
            </w:tcMar>
            <w:vAlign w:val="bottom"/>
          </w:tcPr>
          <w:p w14:paraId="5CD8FE0B"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5CD8FE0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0D" w14:textId="77777777" w:rsidR="00BA49F5" w:rsidRDefault="007E5E49">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5CD8FE0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0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10" w14:textId="77777777" w:rsidR="00BA49F5" w:rsidRDefault="007E5E49">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5CD8FE1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1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1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1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1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1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17" w14:textId="77777777" w:rsidR="00BA49F5" w:rsidRDefault="00BA49F5">
            <w:pPr>
              <w:jc w:val="right"/>
              <w:rPr>
                <w:rFonts w:ascii="宋体"/>
              </w:rPr>
            </w:pPr>
          </w:p>
        </w:tc>
        <w:tc>
          <w:tcPr>
            <w:tcW w:w="0" w:type="auto"/>
            <w:gridSpan w:val="3"/>
            <w:shd w:val="clear" w:color="auto" w:fill="auto"/>
            <w:vAlign w:val="bottom"/>
          </w:tcPr>
          <w:p w14:paraId="5CD8FE18" w14:textId="77777777" w:rsidR="00BA49F5" w:rsidRDefault="00BA49F5">
            <w:pPr>
              <w:rPr>
                <w:rFonts w:ascii="宋体"/>
                <w:vanish/>
              </w:rPr>
            </w:pPr>
          </w:p>
        </w:tc>
        <w:tc>
          <w:tcPr>
            <w:tcW w:w="0" w:type="auto"/>
            <w:gridSpan w:val="3"/>
            <w:shd w:val="clear" w:color="auto" w:fill="auto"/>
            <w:vAlign w:val="bottom"/>
          </w:tcPr>
          <w:p w14:paraId="5CD8FE19" w14:textId="77777777" w:rsidR="00BA49F5" w:rsidRDefault="00BA49F5">
            <w:pPr>
              <w:rPr>
                <w:rFonts w:ascii="宋体"/>
                <w:vanish/>
              </w:rPr>
            </w:pPr>
          </w:p>
        </w:tc>
      </w:tr>
      <w:tr w:rsidR="00BA49F5" w14:paraId="5CD8FE2A" w14:textId="77777777">
        <w:trPr>
          <w:jc w:val="center"/>
        </w:trPr>
        <w:tc>
          <w:tcPr>
            <w:tcW w:w="0" w:type="auto"/>
            <w:gridSpan w:val="3"/>
            <w:shd w:val="clear" w:color="auto" w:fill="CCEEFF"/>
            <w:tcMar>
              <w:top w:w="40" w:type="dxa"/>
              <w:left w:w="200" w:type="dxa"/>
              <w:bottom w:w="40" w:type="dxa"/>
              <w:right w:w="20" w:type="dxa"/>
            </w:tcMar>
            <w:vAlign w:val="bottom"/>
          </w:tcPr>
          <w:p w14:paraId="5CD8FE1B" w14:textId="77777777" w:rsidR="00BA49F5" w:rsidRDefault="007E5E49">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5CD8FE1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1D" w14:textId="77777777" w:rsidR="00BA49F5" w:rsidRDefault="007E5E49">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5CD8FE1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1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2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2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2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23" w14:textId="77777777" w:rsidR="00BA49F5" w:rsidRDefault="007E5E49">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5CD8FE2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2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2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27" w14:textId="77777777" w:rsidR="00BA49F5" w:rsidRDefault="00BA49F5">
            <w:pPr>
              <w:jc w:val="right"/>
              <w:rPr>
                <w:rFonts w:ascii="宋体"/>
              </w:rPr>
            </w:pPr>
          </w:p>
        </w:tc>
        <w:tc>
          <w:tcPr>
            <w:tcW w:w="0" w:type="auto"/>
            <w:gridSpan w:val="3"/>
            <w:shd w:val="clear" w:color="auto" w:fill="auto"/>
            <w:vAlign w:val="bottom"/>
          </w:tcPr>
          <w:p w14:paraId="5CD8FE28" w14:textId="77777777" w:rsidR="00BA49F5" w:rsidRDefault="00BA49F5">
            <w:pPr>
              <w:rPr>
                <w:rFonts w:ascii="宋体"/>
                <w:vanish/>
              </w:rPr>
            </w:pPr>
          </w:p>
        </w:tc>
        <w:tc>
          <w:tcPr>
            <w:tcW w:w="0" w:type="auto"/>
            <w:gridSpan w:val="3"/>
            <w:shd w:val="clear" w:color="auto" w:fill="auto"/>
            <w:vAlign w:val="bottom"/>
          </w:tcPr>
          <w:p w14:paraId="5CD8FE29" w14:textId="77777777" w:rsidR="00BA49F5" w:rsidRDefault="00BA49F5">
            <w:pPr>
              <w:rPr>
                <w:rFonts w:ascii="宋体"/>
                <w:vanish/>
              </w:rPr>
            </w:pPr>
          </w:p>
        </w:tc>
      </w:tr>
      <w:tr w:rsidR="00BA49F5" w14:paraId="5CD8FE3A" w14:textId="77777777">
        <w:trPr>
          <w:jc w:val="center"/>
        </w:trPr>
        <w:tc>
          <w:tcPr>
            <w:tcW w:w="0" w:type="auto"/>
            <w:gridSpan w:val="3"/>
            <w:shd w:val="clear" w:color="auto" w:fill="FFFFFF"/>
            <w:tcMar>
              <w:top w:w="40" w:type="dxa"/>
              <w:left w:w="200" w:type="dxa"/>
              <w:bottom w:w="40" w:type="dxa"/>
              <w:right w:w="20" w:type="dxa"/>
            </w:tcMar>
            <w:vAlign w:val="bottom"/>
          </w:tcPr>
          <w:p w14:paraId="5CD8FE2B"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5CD8FE2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2D" w14:textId="77777777" w:rsidR="00BA49F5" w:rsidRDefault="007E5E49">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5CD8FE2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2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3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3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3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33" w14:textId="77777777" w:rsidR="00BA49F5" w:rsidRDefault="007E5E49">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5CD8FE3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3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3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37" w14:textId="77777777" w:rsidR="00BA49F5" w:rsidRDefault="00BA49F5">
            <w:pPr>
              <w:jc w:val="right"/>
              <w:rPr>
                <w:rFonts w:ascii="宋体"/>
              </w:rPr>
            </w:pPr>
          </w:p>
        </w:tc>
        <w:tc>
          <w:tcPr>
            <w:tcW w:w="0" w:type="auto"/>
            <w:gridSpan w:val="3"/>
            <w:shd w:val="clear" w:color="auto" w:fill="auto"/>
            <w:vAlign w:val="bottom"/>
          </w:tcPr>
          <w:p w14:paraId="5CD8FE38" w14:textId="77777777" w:rsidR="00BA49F5" w:rsidRDefault="00BA49F5">
            <w:pPr>
              <w:rPr>
                <w:rFonts w:ascii="宋体"/>
                <w:vanish/>
              </w:rPr>
            </w:pPr>
          </w:p>
        </w:tc>
        <w:tc>
          <w:tcPr>
            <w:tcW w:w="0" w:type="auto"/>
            <w:gridSpan w:val="3"/>
            <w:shd w:val="clear" w:color="auto" w:fill="auto"/>
            <w:vAlign w:val="bottom"/>
          </w:tcPr>
          <w:p w14:paraId="5CD8FE39" w14:textId="77777777" w:rsidR="00BA49F5" w:rsidRDefault="00BA49F5">
            <w:pPr>
              <w:rPr>
                <w:rFonts w:ascii="宋体"/>
                <w:vanish/>
              </w:rPr>
            </w:pPr>
          </w:p>
        </w:tc>
      </w:tr>
      <w:tr w:rsidR="00BA49F5" w14:paraId="5CD8FE46" w14:textId="77777777">
        <w:trPr>
          <w:jc w:val="center"/>
        </w:trPr>
        <w:tc>
          <w:tcPr>
            <w:tcW w:w="0" w:type="auto"/>
            <w:gridSpan w:val="3"/>
            <w:shd w:val="clear" w:color="auto" w:fill="CCEEFF"/>
            <w:tcMar>
              <w:top w:w="40" w:type="dxa"/>
              <w:left w:w="20" w:type="dxa"/>
              <w:bottom w:w="40" w:type="dxa"/>
              <w:right w:w="20" w:type="dxa"/>
            </w:tcMar>
            <w:vAlign w:val="bottom"/>
          </w:tcPr>
          <w:p w14:paraId="5CD8FE3B" w14:textId="77777777" w:rsidR="00BA49F5" w:rsidRDefault="007E5E49">
            <w:pPr>
              <w:textAlignment w:val="bottom"/>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5CD8FE3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3D"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3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3F"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40"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41"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42"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E43" w14:textId="77777777" w:rsidR="00BA49F5" w:rsidRDefault="00BA49F5">
            <w:pPr>
              <w:rPr>
                <w:rFonts w:ascii="宋体"/>
              </w:rPr>
            </w:pPr>
          </w:p>
        </w:tc>
        <w:tc>
          <w:tcPr>
            <w:tcW w:w="0" w:type="auto"/>
            <w:gridSpan w:val="3"/>
            <w:shd w:val="clear" w:color="auto" w:fill="auto"/>
            <w:vAlign w:val="bottom"/>
          </w:tcPr>
          <w:p w14:paraId="5CD8FE44" w14:textId="77777777" w:rsidR="00BA49F5" w:rsidRDefault="00BA49F5">
            <w:pPr>
              <w:rPr>
                <w:rFonts w:ascii="宋体"/>
                <w:vanish/>
              </w:rPr>
            </w:pPr>
          </w:p>
        </w:tc>
        <w:tc>
          <w:tcPr>
            <w:tcW w:w="0" w:type="auto"/>
            <w:gridSpan w:val="3"/>
            <w:shd w:val="clear" w:color="auto" w:fill="auto"/>
            <w:vAlign w:val="bottom"/>
          </w:tcPr>
          <w:p w14:paraId="5CD8FE45" w14:textId="77777777" w:rsidR="00BA49F5" w:rsidRDefault="00BA49F5">
            <w:pPr>
              <w:rPr>
                <w:rFonts w:ascii="宋体"/>
                <w:vanish/>
              </w:rPr>
            </w:pPr>
          </w:p>
        </w:tc>
      </w:tr>
      <w:tr w:rsidR="00BA49F5" w14:paraId="5CD8FE56" w14:textId="77777777">
        <w:trPr>
          <w:jc w:val="center"/>
        </w:trPr>
        <w:tc>
          <w:tcPr>
            <w:tcW w:w="0" w:type="auto"/>
            <w:gridSpan w:val="3"/>
            <w:shd w:val="clear" w:color="auto" w:fill="FFFFFF"/>
            <w:tcMar>
              <w:top w:w="40" w:type="dxa"/>
              <w:left w:w="200" w:type="dxa"/>
              <w:bottom w:w="40" w:type="dxa"/>
              <w:right w:w="20" w:type="dxa"/>
            </w:tcMar>
            <w:vAlign w:val="bottom"/>
          </w:tcPr>
          <w:p w14:paraId="5CD8FE47" w14:textId="77777777" w:rsidR="00BA49F5" w:rsidRDefault="007E5E49">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5CD8FE4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49" w14:textId="77777777" w:rsidR="00BA49F5" w:rsidRDefault="007E5E49">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5CD8FE4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4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4C" w14:textId="77777777" w:rsidR="00BA49F5" w:rsidRDefault="007E5E49">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5CD8FE4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4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4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5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5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5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53" w14:textId="77777777" w:rsidR="00BA49F5" w:rsidRDefault="00BA49F5">
            <w:pPr>
              <w:jc w:val="right"/>
              <w:rPr>
                <w:rFonts w:ascii="宋体"/>
              </w:rPr>
            </w:pPr>
          </w:p>
        </w:tc>
        <w:tc>
          <w:tcPr>
            <w:tcW w:w="0" w:type="auto"/>
            <w:gridSpan w:val="3"/>
            <w:shd w:val="clear" w:color="auto" w:fill="auto"/>
            <w:vAlign w:val="bottom"/>
          </w:tcPr>
          <w:p w14:paraId="5CD8FE54" w14:textId="77777777" w:rsidR="00BA49F5" w:rsidRDefault="00BA49F5">
            <w:pPr>
              <w:rPr>
                <w:rFonts w:ascii="宋体"/>
                <w:vanish/>
              </w:rPr>
            </w:pPr>
          </w:p>
        </w:tc>
        <w:tc>
          <w:tcPr>
            <w:tcW w:w="0" w:type="auto"/>
            <w:gridSpan w:val="3"/>
            <w:shd w:val="clear" w:color="auto" w:fill="auto"/>
            <w:vAlign w:val="bottom"/>
          </w:tcPr>
          <w:p w14:paraId="5CD8FE55" w14:textId="77777777" w:rsidR="00BA49F5" w:rsidRDefault="00BA49F5">
            <w:pPr>
              <w:rPr>
                <w:rFonts w:ascii="宋体"/>
                <w:vanish/>
              </w:rPr>
            </w:pPr>
          </w:p>
        </w:tc>
      </w:tr>
      <w:tr w:rsidR="00BA49F5" w14:paraId="5CD8FE66" w14:textId="77777777">
        <w:trPr>
          <w:jc w:val="center"/>
        </w:trPr>
        <w:tc>
          <w:tcPr>
            <w:tcW w:w="0" w:type="auto"/>
            <w:gridSpan w:val="3"/>
            <w:shd w:val="clear" w:color="auto" w:fill="CCEEFF"/>
            <w:tcMar>
              <w:top w:w="40" w:type="dxa"/>
              <w:left w:w="200" w:type="dxa"/>
              <w:bottom w:w="40" w:type="dxa"/>
              <w:right w:w="20" w:type="dxa"/>
            </w:tcMar>
            <w:vAlign w:val="bottom"/>
          </w:tcPr>
          <w:p w14:paraId="5CD8FE57" w14:textId="77777777" w:rsidR="00BA49F5" w:rsidRDefault="007E5E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5CD8FE5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59" w14:textId="77777777" w:rsidR="00BA49F5" w:rsidRDefault="007E5E49">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5CD8FE5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5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5C" w14:textId="77777777" w:rsidR="00BA49F5" w:rsidRDefault="007E5E49">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5CD8FE5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5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5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6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6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6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63" w14:textId="77777777" w:rsidR="00BA49F5" w:rsidRDefault="00BA49F5">
            <w:pPr>
              <w:jc w:val="right"/>
              <w:rPr>
                <w:rFonts w:ascii="宋体"/>
              </w:rPr>
            </w:pPr>
          </w:p>
        </w:tc>
        <w:tc>
          <w:tcPr>
            <w:tcW w:w="0" w:type="auto"/>
            <w:gridSpan w:val="3"/>
            <w:shd w:val="clear" w:color="auto" w:fill="auto"/>
            <w:vAlign w:val="bottom"/>
          </w:tcPr>
          <w:p w14:paraId="5CD8FE64" w14:textId="77777777" w:rsidR="00BA49F5" w:rsidRDefault="00BA49F5">
            <w:pPr>
              <w:rPr>
                <w:rFonts w:ascii="宋体"/>
                <w:vanish/>
              </w:rPr>
            </w:pPr>
          </w:p>
        </w:tc>
        <w:tc>
          <w:tcPr>
            <w:tcW w:w="0" w:type="auto"/>
            <w:gridSpan w:val="3"/>
            <w:shd w:val="clear" w:color="auto" w:fill="auto"/>
            <w:vAlign w:val="bottom"/>
          </w:tcPr>
          <w:p w14:paraId="5CD8FE65" w14:textId="77777777" w:rsidR="00BA49F5" w:rsidRDefault="00BA49F5">
            <w:pPr>
              <w:rPr>
                <w:rFonts w:ascii="宋体"/>
                <w:vanish/>
              </w:rPr>
            </w:pPr>
          </w:p>
        </w:tc>
      </w:tr>
      <w:tr w:rsidR="00BA49F5" w14:paraId="5CD8FE76" w14:textId="77777777">
        <w:trPr>
          <w:jc w:val="center"/>
        </w:trPr>
        <w:tc>
          <w:tcPr>
            <w:tcW w:w="0" w:type="auto"/>
            <w:gridSpan w:val="3"/>
            <w:shd w:val="clear" w:color="auto" w:fill="FFFFFF"/>
            <w:tcMar>
              <w:top w:w="40" w:type="dxa"/>
              <w:left w:w="200" w:type="dxa"/>
              <w:bottom w:w="40" w:type="dxa"/>
              <w:right w:w="20" w:type="dxa"/>
            </w:tcMar>
            <w:vAlign w:val="bottom"/>
          </w:tcPr>
          <w:p w14:paraId="5CD8FE67" w14:textId="77777777" w:rsidR="00BA49F5" w:rsidRDefault="007E5E49">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5CD8FE6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69" w14:textId="77777777" w:rsidR="00BA49F5" w:rsidRDefault="007E5E49">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5CD8FE6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6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6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6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6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6F" w14:textId="77777777" w:rsidR="00BA49F5" w:rsidRDefault="007E5E49">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5CD8FE7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7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7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73" w14:textId="77777777" w:rsidR="00BA49F5" w:rsidRDefault="00BA49F5">
            <w:pPr>
              <w:jc w:val="right"/>
              <w:rPr>
                <w:rFonts w:ascii="宋体"/>
              </w:rPr>
            </w:pPr>
          </w:p>
        </w:tc>
        <w:tc>
          <w:tcPr>
            <w:tcW w:w="0" w:type="auto"/>
            <w:gridSpan w:val="3"/>
            <w:shd w:val="clear" w:color="auto" w:fill="auto"/>
            <w:vAlign w:val="bottom"/>
          </w:tcPr>
          <w:p w14:paraId="5CD8FE74" w14:textId="77777777" w:rsidR="00BA49F5" w:rsidRDefault="00BA49F5">
            <w:pPr>
              <w:rPr>
                <w:rFonts w:ascii="宋体"/>
                <w:vanish/>
              </w:rPr>
            </w:pPr>
          </w:p>
        </w:tc>
        <w:tc>
          <w:tcPr>
            <w:tcW w:w="0" w:type="auto"/>
            <w:gridSpan w:val="3"/>
            <w:shd w:val="clear" w:color="auto" w:fill="auto"/>
            <w:vAlign w:val="bottom"/>
          </w:tcPr>
          <w:p w14:paraId="5CD8FE75" w14:textId="77777777" w:rsidR="00BA49F5" w:rsidRDefault="00BA49F5">
            <w:pPr>
              <w:rPr>
                <w:rFonts w:ascii="宋体"/>
                <w:vanish/>
              </w:rPr>
            </w:pPr>
          </w:p>
        </w:tc>
      </w:tr>
      <w:tr w:rsidR="00BA49F5" w14:paraId="5CD8FE86" w14:textId="77777777">
        <w:trPr>
          <w:jc w:val="center"/>
        </w:trPr>
        <w:tc>
          <w:tcPr>
            <w:tcW w:w="0" w:type="auto"/>
            <w:gridSpan w:val="3"/>
            <w:shd w:val="clear" w:color="auto" w:fill="CCEEFF"/>
            <w:tcMar>
              <w:top w:w="40" w:type="dxa"/>
              <w:left w:w="20" w:type="dxa"/>
              <w:bottom w:w="40" w:type="dxa"/>
              <w:right w:w="20" w:type="dxa"/>
            </w:tcMar>
            <w:vAlign w:val="bottom"/>
          </w:tcPr>
          <w:p w14:paraId="5CD8FE77" w14:textId="77777777" w:rsidR="00BA49F5" w:rsidRDefault="007E5E49">
            <w:pPr>
              <w:textAlignment w:val="bottom"/>
            </w:pPr>
            <w:r>
              <w:rPr>
                <w:rFonts w:ascii="Times New Roman" w:eastAsia="宋体" w:hAnsi="Times New Roman"/>
                <w:color w:val="000000"/>
                <w:sz w:val="20"/>
                <w:szCs w:val="20"/>
              </w:rPr>
              <w:t>Restricted cash equivalents</w:t>
            </w:r>
          </w:p>
        </w:tc>
        <w:tc>
          <w:tcPr>
            <w:tcW w:w="0" w:type="auto"/>
            <w:gridSpan w:val="3"/>
            <w:shd w:val="clear" w:color="auto" w:fill="CCEEFF"/>
            <w:tcMar>
              <w:top w:w="0" w:type="dxa"/>
              <w:left w:w="20" w:type="dxa"/>
              <w:bottom w:w="0" w:type="dxa"/>
              <w:right w:w="20" w:type="dxa"/>
            </w:tcMar>
            <w:vAlign w:val="bottom"/>
          </w:tcPr>
          <w:p w14:paraId="5CD8FE7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79" w14:textId="77777777" w:rsidR="00BA49F5" w:rsidRDefault="007E5E49">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5CD8FE7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7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7C" w14:textId="77777777" w:rsidR="00BA49F5" w:rsidRDefault="007E5E49">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5CD8FE7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7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7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8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8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82"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8FE83" w14:textId="77777777" w:rsidR="00BA49F5" w:rsidRDefault="00BA49F5">
            <w:pPr>
              <w:jc w:val="right"/>
              <w:rPr>
                <w:rFonts w:ascii="宋体"/>
              </w:rPr>
            </w:pPr>
          </w:p>
        </w:tc>
        <w:tc>
          <w:tcPr>
            <w:tcW w:w="0" w:type="auto"/>
            <w:gridSpan w:val="3"/>
            <w:shd w:val="clear" w:color="auto" w:fill="auto"/>
            <w:vAlign w:val="bottom"/>
          </w:tcPr>
          <w:p w14:paraId="5CD8FE84" w14:textId="77777777" w:rsidR="00BA49F5" w:rsidRDefault="00BA49F5">
            <w:pPr>
              <w:rPr>
                <w:rFonts w:ascii="宋体"/>
                <w:vanish/>
              </w:rPr>
            </w:pPr>
          </w:p>
        </w:tc>
        <w:tc>
          <w:tcPr>
            <w:tcW w:w="0" w:type="auto"/>
            <w:gridSpan w:val="3"/>
            <w:shd w:val="clear" w:color="auto" w:fill="auto"/>
            <w:vAlign w:val="bottom"/>
          </w:tcPr>
          <w:p w14:paraId="5CD8FE85" w14:textId="77777777" w:rsidR="00BA49F5" w:rsidRDefault="00BA49F5">
            <w:pPr>
              <w:rPr>
                <w:rFonts w:ascii="宋体"/>
                <w:vanish/>
              </w:rPr>
            </w:pPr>
          </w:p>
        </w:tc>
      </w:tr>
      <w:tr w:rsidR="00BA49F5" w14:paraId="5CD8FE96" w14:textId="77777777">
        <w:trPr>
          <w:jc w:val="center"/>
        </w:trPr>
        <w:tc>
          <w:tcPr>
            <w:tcW w:w="0" w:type="auto"/>
            <w:gridSpan w:val="3"/>
            <w:shd w:val="clear" w:color="auto" w:fill="FFFFFF"/>
            <w:tcMar>
              <w:top w:w="40" w:type="dxa"/>
              <w:left w:w="20" w:type="dxa"/>
              <w:bottom w:w="40" w:type="dxa"/>
              <w:right w:w="20" w:type="dxa"/>
            </w:tcMar>
            <w:vAlign w:val="bottom"/>
          </w:tcPr>
          <w:p w14:paraId="5CD8FE87" w14:textId="77777777" w:rsidR="00BA49F5" w:rsidRDefault="007E5E49">
            <w:pPr>
              <w:textAlignment w:val="bottom"/>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5CD8FE8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89" w14:textId="77777777" w:rsidR="00BA49F5" w:rsidRDefault="007E5E49">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5CD8FE8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8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8C"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8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8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8F"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8FE9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9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92" w14:textId="77777777" w:rsidR="00BA49F5" w:rsidRDefault="007E5E49">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5CD8FE93" w14:textId="77777777" w:rsidR="00BA49F5" w:rsidRDefault="00BA49F5">
            <w:pPr>
              <w:jc w:val="right"/>
              <w:rPr>
                <w:rFonts w:ascii="宋体"/>
              </w:rPr>
            </w:pPr>
          </w:p>
        </w:tc>
        <w:tc>
          <w:tcPr>
            <w:tcW w:w="0" w:type="auto"/>
            <w:gridSpan w:val="3"/>
            <w:shd w:val="clear" w:color="auto" w:fill="auto"/>
            <w:vAlign w:val="bottom"/>
          </w:tcPr>
          <w:p w14:paraId="5CD8FE94" w14:textId="77777777" w:rsidR="00BA49F5" w:rsidRDefault="00BA49F5">
            <w:pPr>
              <w:rPr>
                <w:rFonts w:ascii="宋体"/>
                <w:vanish/>
              </w:rPr>
            </w:pPr>
          </w:p>
        </w:tc>
        <w:tc>
          <w:tcPr>
            <w:tcW w:w="0" w:type="auto"/>
            <w:gridSpan w:val="3"/>
            <w:shd w:val="clear" w:color="auto" w:fill="auto"/>
            <w:vAlign w:val="bottom"/>
          </w:tcPr>
          <w:p w14:paraId="5CD8FE95" w14:textId="77777777" w:rsidR="00BA49F5" w:rsidRDefault="00BA49F5">
            <w:pPr>
              <w:rPr>
                <w:rFonts w:ascii="宋体"/>
                <w:vanish/>
              </w:rPr>
            </w:pPr>
          </w:p>
        </w:tc>
      </w:tr>
      <w:tr w:rsidR="00BA49F5" w14:paraId="5CD8FEAA" w14:textId="77777777">
        <w:trPr>
          <w:jc w:val="center"/>
        </w:trPr>
        <w:tc>
          <w:tcPr>
            <w:tcW w:w="0" w:type="auto"/>
            <w:gridSpan w:val="3"/>
            <w:shd w:val="clear" w:color="auto" w:fill="CCEEFF"/>
            <w:tcMar>
              <w:top w:w="40" w:type="dxa"/>
              <w:left w:w="380" w:type="dxa"/>
              <w:bottom w:w="40" w:type="dxa"/>
              <w:right w:w="20" w:type="dxa"/>
            </w:tcMar>
            <w:vAlign w:val="bottom"/>
          </w:tcPr>
          <w:p w14:paraId="5CD8FE97" w14:textId="77777777" w:rsidR="00BA49F5" w:rsidRDefault="007E5E49">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CD8FE98"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E9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E9A" w14:textId="77777777" w:rsidR="00BA49F5" w:rsidRDefault="007E5E49">
            <w:pPr>
              <w:jc w:val="right"/>
              <w:textAlignment w:val="bottom"/>
            </w:pPr>
            <w:r>
              <w:rPr>
                <w:rFonts w:ascii="Times New Roman" w:eastAsia="宋体" w:hAnsi="Times New Roman"/>
                <w:color w:val="000000"/>
                <w:sz w:val="20"/>
                <w:szCs w:val="20"/>
              </w:rPr>
              <w:t>40,921 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E9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9C"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E9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E9E" w14:textId="77777777" w:rsidR="00BA49F5" w:rsidRDefault="007E5E49">
            <w:pPr>
              <w:jc w:val="right"/>
              <w:textAlignment w:val="bottom"/>
            </w:pPr>
            <w:r>
              <w:rPr>
                <w:rFonts w:ascii="Times New Roman" w:eastAsia="宋体" w:hAnsi="Times New Roman"/>
                <w:color w:val="000000"/>
                <w:sz w:val="20"/>
                <w:szCs w:val="20"/>
              </w:rPr>
              <w:t>25,882 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E9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A0"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EA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EA2" w14:textId="77777777" w:rsidR="00BA49F5" w:rsidRDefault="007E5E49">
            <w:pPr>
              <w:jc w:val="right"/>
              <w:textAlignment w:val="bottom"/>
            </w:pPr>
            <w:r>
              <w:rPr>
                <w:rFonts w:ascii="Times New Roman" w:eastAsia="宋体" w:hAnsi="Times New Roman"/>
                <w:color w:val="000000"/>
                <w:sz w:val="20"/>
                <w:szCs w:val="20"/>
              </w:rPr>
              <w:t>14,879 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EA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A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8FEA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8FEA6" w14:textId="77777777" w:rsidR="00BA49F5" w:rsidRDefault="007E5E49">
            <w:pPr>
              <w:jc w:val="right"/>
              <w:textAlignment w:val="bottom"/>
            </w:pPr>
            <w:r>
              <w:rPr>
                <w:rFonts w:ascii="Times New Roman" w:eastAsia="宋体" w:hAnsi="Times New Roman"/>
                <w:color w:val="000000"/>
                <w:sz w:val="20"/>
                <w:szCs w:val="20"/>
              </w:rPr>
              <w:t>160 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8FEA7" w14:textId="77777777" w:rsidR="00BA49F5" w:rsidRDefault="00BA49F5">
            <w:pPr>
              <w:jc w:val="right"/>
              <w:rPr>
                <w:rFonts w:ascii="宋体"/>
              </w:rPr>
            </w:pPr>
          </w:p>
        </w:tc>
        <w:tc>
          <w:tcPr>
            <w:tcW w:w="0" w:type="auto"/>
            <w:gridSpan w:val="3"/>
            <w:shd w:val="clear" w:color="auto" w:fill="auto"/>
            <w:vAlign w:val="bottom"/>
          </w:tcPr>
          <w:p w14:paraId="5CD8FEA8" w14:textId="77777777" w:rsidR="00BA49F5" w:rsidRDefault="00BA49F5">
            <w:pPr>
              <w:rPr>
                <w:rFonts w:ascii="宋体"/>
                <w:vanish/>
              </w:rPr>
            </w:pPr>
          </w:p>
        </w:tc>
        <w:tc>
          <w:tcPr>
            <w:tcW w:w="0" w:type="auto"/>
            <w:gridSpan w:val="3"/>
            <w:shd w:val="clear" w:color="auto" w:fill="auto"/>
            <w:vAlign w:val="bottom"/>
          </w:tcPr>
          <w:p w14:paraId="5CD8FEA9" w14:textId="77777777" w:rsidR="00BA49F5" w:rsidRDefault="00BA49F5">
            <w:pPr>
              <w:rPr>
                <w:rFonts w:ascii="宋体"/>
                <w:vanish/>
              </w:rPr>
            </w:pPr>
          </w:p>
        </w:tc>
      </w:tr>
    </w:tbl>
    <w:p w14:paraId="5CD8FEAB" w14:textId="77777777" w:rsidR="00BA49F5" w:rsidRDefault="00BA49F5">
      <w:pPr>
        <w:ind w:firstLine="540"/>
        <w:jc w:val="both"/>
      </w:pPr>
    </w:p>
    <w:p w14:paraId="5CD8FEAC" w14:textId="77777777" w:rsidR="00BA49F5" w:rsidRDefault="007E5E49">
      <w:pPr>
        <w:ind w:firstLine="540"/>
        <w:jc w:val="both"/>
      </w:pPr>
      <w:r>
        <w:rPr>
          <w:rFonts w:ascii="Times New Roman" w:eastAsia="宋体" w:hAnsi="Times New Roman"/>
          <w:color w:val="000000"/>
          <w:sz w:val="20"/>
          <w:szCs w:val="20"/>
        </w:rPr>
        <w:t>We classify our cash equivalents and marketable debt securities within Le</w:t>
      </w:r>
      <w:r>
        <w:rPr>
          <w:rFonts w:ascii="Times New Roman" w:eastAsia="宋体" w:hAnsi="Times New Roman"/>
          <w:color w:val="000000"/>
          <w:sz w:val="20"/>
          <w:szCs w:val="20"/>
        </w:rPr>
        <w:t>vel 1 or Level 2 because we use quoted market prices or alternative pricing sources and models utilizing market observable inputs to determine their fair value. Our marketable equity securities are publicly traded stocks measured at fair value and classifi</w:t>
      </w:r>
      <w:r>
        <w:rPr>
          <w:rFonts w:ascii="Times New Roman" w:eastAsia="宋体" w:hAnsi="Times New Roman"/>
          <w:color w:val="000000"/>
          <w:sz w:val="20"/>
          <w:szCs w:val="20"/>
        </w:rPr>
        <w:t xml:space="preserve">ed within Level 1 in the fair value hierarchy </w:t>
      </w:r>
      <w:r>
        <w:rPr>
          <w:rFonts w:ascii="Times New Roman" w:eastAsia="宋体" w:hAnsi="Times New Roman"/>
          <w:color w:val="000000"/>
          <w:sz w:val="20"/>
          <w:szCs w:val="20"/>
          <w:shd w:val="clear" w:color="auto" w:fill="FFFFFF"/>
        </w:rPr>
        <w:t xml:space="preserve">because we use quoted prices for identical assets in active markets to estimate their fair value. </w:t>
      </w:r>
      <w:r>
        <w:rPr>
          <w:rFonts w:ascii="Times New Roman" w:eastAsia="宋体" w:hAnsi="Times New Roman"/>
          <w:color w:val="000000"/>
          <w:sz w:val="20"/>
          <w:szCs w:val="20"/>
        </w:rPr>
        <w:t xml:space="preserve">Certain other assets are classified within Level 3 because factors used to develop the estimated fair value are </w:t>
      </w:r>
      <w:r>
        <w:rPr>
          <w:rFonts w:ascii="Times New Roman" w:eastAsia="宋体" w:hAnsi="Times New Roman"/>
          <w:color w:val="000000"/>
          <w:sz w:val="20"/>
          <w:szCs w:val="20"/>
        </w:rPr>
        <w:t xml:space="preserve">unobservable inputs that are not supported by market activity. </w:t>
      </w:r>
    </w:p>
    <w:p w14:paraId="5CD8FEAD" w14:textId="77777777" w:rsidR="00BA49F5" w:rsidRDefault="00BA49F5">
      <w:pPr>
        <w:ind w:firstLine="540"/>
        <w:jc w:val="both"/>
      </w:pPr>
    </w:p>
    <w:p w14:paraId="5CD8FEAE" w14:textId="77777777" w:rsidR="00BA49F5" w:rsidRDefault="007E5E49">
      <w:pPr>
        <w:ind w:firstLine="540"/>
        <w:jc w:val="both"/>
      </w:pPr>
      <w:r>
        <w:rPr>
          <w:rFonts w:ascii="Times New Roman" w:eastAsia="宋体" w:hAnsi="Times New Roman"/>
          <w:color w:val="000000"/>
          <w:sz w:val="20"/>
          <w:szCs w:val="20"/>
        </w:rPr>
        <w:t>Our non-marketable equity securities accounted for using the measurement alternative are measured at fair value on a non-recurring basis and are classified within Level 3 of the fair value hi</w:t>
      </w:r>
      <w:r>
        <w:rPr>
          <w:rFonts w:ascii="Times New Roman" w:eastAsia="宋体" w:hAnsi="Times New Roman"/>
          <w:color w:val="000000"/>
          <w:sz w:val="20"/>
          <w:szCs w:val="20"/>
        </w:rPr>
        <w:t>erarchy because we use significant unobservable inputs to estimate their fair value. Assets remeasured at fair value within Level 3 during the years ended December 31, 2022 and 2021 were immaterial and $913 million, respectively. For additional information</w:t>
      </w:r>
      <w:r>
        <w:rPr>
          <w:rFonts w:ascii="Times New Roman" w:eastAsia="宋体" w:hAnsi="Times New Roman"/>
          <w:color w:val="000000"/>
          <w:sz w:val="20"/>
          <w:szCs w:val="20"/>
        </w:rPr>
        <w:t xml:space="preserve">, see Note 6 — Non-marketable Equity Securities. </w:t>
      </w:r>
    </w:p>
    <w:p w14:paraId="5CD8FEAF" w14:textId="77777777" w:rsidR="00BA49F5" w:rsidRDefault="00BA49F5">
      <w:pPr>
        <w:ind w:firstLine="540"/>
        <w:jc w:val="both"/>
      </w:pPr>
    </w:p>
    <w:p w14:paraId="5CD8FEB0" w14:textId="77777777" w:rsidR="00BA49F5" w:rsidRDefault="007E5E49">
      <w:pPr>
        <w:spacing w:before="180"/>
        <w:jc w:val="both"/>
      </w:pPr>
      <w:r>
        <w:rPr>
          <w:rFonts w:ascii="Times New Roman" w:eastAsia="宋体" w:hAnsi="Times New Roman"/>
          <w:b/>
          <w:bCs/>
          <w:color w:val="000000"/>
          <w:sz w:val="20"/>
          <w:szCs w:val="20"/>
        </w:rPr>
        <w:t>Note 8.</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Property and Equipment</w:t>
      </w:r>
    </w:p>
    <w:p w14:paraId="5CD8FEB1" w14:textId="77777777" w:rsidR="00BA49F5" w:rsidRDefault="00BA49F5">
      <w:pPr>
        <w:ind w:firstLine="540"/>
        <w:jc w:val="both"/>
      </w:pPr>
    </w:p>
    <w:p w14:paraId="5CD8FEB2" w14:textId="77777777" w:rsidR="00BA49F5" w:rsidRDefault="007E5E49">
      <w:pPr>
        <w:ind w:firstLine="540"/>
        <w:jc w:val="both"/>
      </w:pPr>
      <w:r>
        <w:rPr>
          <w:rFonts w:ascii="Times New Roman" w:eastAsia="宋体" w:hAnsi="Times New Roman"/>
          <w:color w:val="000000"/>
          <w:sz w:val="20"/>
          <w:szCs w:val="20"/>
        </w:rPr>
        <w:t xml:space="preserve">Property and equipment, net consists of the following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BA49F5" w14:paraId="5CD8FEBF" w14:textId="77777777">
        <w:trPr>
          <w:jc w:val="center"/>
        </w:trPr>
        <w:tc>
          <w:tcPr>
            <w:tcW w:w="50" w:type="pct"/>
            <w:shd w:val="clear" w:color="auto" w:fill="auto"/>
            <w:vAlign w:val="bottom"/>
          </w:tcPr>
          <w:p w14:paraId="5CD8FEB3" w14:textId="77777777" w:rsidR="00BA49F5" w:rsidRDefault="00BA49F5">
            <w:pPr>
              <w:rPr>
                <w:rFonts w:ascii="宋体"/>
              </w:rPr>
            </w:pPr>
          </w:p>
        </w:tc>
        <w:tc>
          <w:tcPr>
            <w:tcW w:w="3613" w:type="pct"/>
            <w:shd w:val="clear" w:color="auto" w:fill="auto"/>
            <w:vAlign w:val="bottom"/>
          </w:tcPr>
          <w:p w14:paraId="5CD8FEB4" w14:textId="77777777" w:rsidR="00BA49F5" w:rsidRDefault="00BA49F5">
            <w:pPr>
              <w:rPr>
                <w:rFonts w:ascii="宋体"/>
              </w:rPr>
            </w:pPr>
          </w:p>
        </w:tc>
        <w:tc>
          <w:tcPr>
            <w:tcW w:w="5" w:type="pct"/>
            <w:shd w:val="clear" w:color="auto" w:fill="auto"/>
            <w:vAlign w:val="bottom"/>
          </w:tcPr>
          <w:p w14:paraId="5CD8FEB5" w14:textId="77777777" w:rsidR="00BA49F5" w:rsidRDefault="00BA49F5">
            <w:pPr>
              <w:rPr>
                <w:rFonts w:ascii="宋体"/>
              </w:rPr>
            </w:pPr>
          </w:p>
        </w:tc>
        <w:tc>
          <w:tcPr>
            <w:tcW w:w="50" w:type="pct"/>
            <w:shd w:val="clear" w:color="auto" w:fill="auto"/>
            <w:vAlign w:val="bottom"/>
          </w:tcPr>
          <w:p w14:paraId="5CD8FEB6" w14:textId="77777777" w:rsidR="00BA49F5" w:rsidRDefault="00BA49F5">
            <w:pPr>
              <w:rPr>
                <w:rFonts w:ascii="宋体"/>
              </w:rPr>
            </w:pPr>
          </w:p>
        </w:tc>
        <w:tc>
          <w:tcPr>
            <w:tcW w:w="592" w:type="pct"/>
            <w:shd w:val="clear" w:color="auto" w:fill="auto"/>
            <w:vAlign w:val="bottom"/>
          </w:tcPr>
          <w:p w14:paraId="5CD8FEB7" w14:textId="77777777" w:rsidR="00BA49F5" w:rsidRDefault="00BA49F5">
            <w:pPr>
              <w:rPr>
                <w:rFonts w:ascii="宋体"/>
              </w:rPr>
            </w:pPr>
          </w:p>
        </w:tc>
        <w:tc>
          <w:tcPr>
            <w:tcW w:w="5" w:type="pct"/>
            <w:shd w:val="clear" w:color="auto" w:fill="auto"/>
            <w:vAlign w:val="bottom"/>
          </w:tcPr>
          <w:p w14:paraId="5CD8FEB8" w14:textId="77777777" w:rsidR="00BA49F5" w:rsidRDefault="00BA49F5">
            <w:pPr>
              <w:rPr>
                <w:rFonts w:ascii="宋体"/>
              </w:rPr>
            </w:pPr>
          </w:p>
        </w:tc>
        <w:tc>
          <w:tcPr>
            <w:tcW w:w="5" w:type="pct"/>
            <w:shd w:val="clear" w:color="auto" w:fill="auto"/>
            <w:vAlign w:val="bottom"/>
          </w:tcPr>
          <w:p w14:paraId="5CD8FEB9" w14:textId="77777777" w:rsidR="00BA49F5" w:rsidRDefault="00BA49F5">
            <w:pPr>
              <w:rPr>
                <w:rFonts w:ascii="宋体"/>
              </w:rPr>
            </w:pPr>
          </w:p>
        </w:tc>
        <w:tc>
          <w:tcPr>
            <w:tcW w:w="27" w:type="pct"/>
            <w:shd w:val="clear" w:color="auto" w:fill="auto"/>
            <w:vAlign w:val="bottom"/>
          </w:tcPr>
          <w:p w14:paraId="5CD8FEBA" w14:textId="77777777" w:rsidR="00BA49F5" w:rsidRDefault="00BA49F5">
            <w:pPr>
              <w:rPr>
                <w:rFonts w:ascii="宋体"/>
              </w:rPr>
            </w:pPr>
          </w:p>
        </w:tc>
        <w:tc>
          <w:tcPr>
            <w:tcW w:w="5" w:type="pct"/>
            <w:shd w:val="clear" w:color="auto" w:fill="auto"/>
            <w:vAlign w:val="bottom"/>
          </w:tcPr>
          <w:p w14:paraId="5CD8FEBB" w14:textId="77777777" w:rsidR="00BA49F5" w:rsidRDefault="00BA49F5">
            <w:pPr>
              <w:rPr>
                <w:rFonts w:ascii="宋体"/>
              </w:rPr>
            </w:pPr>
          </w:p>
        </w:tc>
        <w:tc>
          <w:tcPr>
            <w:tcW w:w="50" w:type="pct"/>
            <w:shd w:val="clear" w:color="auto" w:fill="auto"/>
            <w:vAlign w:val="bottom"/>
          </w:tcPr>
          <w:p w14:paraId="5CD8FEBC" w14:textId="77777777" w:rsidR="00BA49F5" w:rsidRDefault="00BA49F5">
            <w:pPr>
              <w:rPr>
                <w:rFonts w:ascii="宋体"/>
              </w:rPr>
            </w:pPr>
          </w:p>
        </w:tc>
        <w:tc>
          <w:tcPr>
            <w:tcW w:w="592" w:type="pct"/>
            <w:shd w:val="clear" w:color="auto" w:fill="auto"/>
            <w:vAlign w:val="bottom"/>
          </w:tcPr>
          <w:p w14:paraId="5CD8FEBD" w14:textId="77777777" w:rsidR="00BA49F5" w:rsidRDefault="00BA49F5">
            <w:pPr>
              <w:rPr>
                <w:rFonts w:ascii="宋体"/>
              </w:rPr>
            </w:pPr>
          </w:p>
        </w:tc>
        <w:tc>
          <w:tcPr>
            <w:tcW w:w="5" w:type="pct"/>
            <w:shd w:val="clear" w:color="auto" w:fill="auto"/>
            <w:vAlign w:val="bottom"/>
          </w:tcPr>
          <w:p w14:paraId="5CD8FEBE" w14:textId="77777777" w:rsidR="00BA49F5" w:rsidRDefault="00BA49F5">
            <w:pPr>
              <w:rPr>
                <w:rFonts w:ascii="宋体"/>
              </w:rPr>
            </w:pPr>
          </w:p>
        </w:tc>
      </w:tr>
      <w:tr w:rsidR="00BA49F5" w14:paraId="5CD8FEC2" w14:textId="77777777">
        <w:trPr>
          <w:jc w:val="center"/>
        </w:trPr>
        <w:tc>
          <w:tcPr>
            <w:tcW w:w="0" w:type="auto"/>
            <w:gridSpan w:val="3"/>
            <w:shd w:val="clear" w:color="auto" w:fill="auto"/>
            <w:tcMar>
              <w:top w:w="40" w:type="dxa"/>
              <w:left w:w="20" w:type="dxa"/>
              <w:bottom w:w="40" w:type="dxa"/>
              <w:right w:w="20" w:type="dxa"/>
            </w:tcMar>
            <w:vAlign w:val="bottom"/>
          </w:tcPr>
          <w:p w14:paraId="5CD8FEC0" w14:textId="77777777" w:rsidR="00BA49F5" w:rsidRDefault="007E5E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5CD8FEC1" w14:textId="77777777" w:rsidR="00BA49F5" w:rsidRDefault="007E5E49">
            <w:pPr>
              <w:jc w:val="center"/>
              <w:textAlignment w:val="bottom"/>
            </w:pPr>
            <w:r>
              <w:rPr>
                <w:rFonts w:ascii="Times New Roman" w:eastAsia="宋体" w:hAnsi="Times New Roman"/>
                <w:b/>
                <w:bCs/>
                <w:color w:val="000000"/>
                <w:sz w:val="16"/>
                <w:szCs w:val="16"/>
              </w:rPr>
              <w:t xml:space="preserve">December 31, </w:t>
            </w:r>
          </w:p>
        </w:tc>
      </w:tr>
      <w:tr w:rsidR="00BA49F5" w14:paraId="5CD8FEC7" w14:textId="77777777">
        <w:trPr>
          <w:jc w:val="center"/>
        </w:trPr>
        <w:tc>
          <w:tcPr>
            <w:tcW w:w="0" w:type="auto"/>
            <w:gridSpan w:val="3"/>
            <w:shd w:val="clear" w:color="auto" w:fill="auto"/>
            <w:tcMar>
              <w:top w:w="40" w:type="dxa"/>
              <w:left w:w="20" w:type="dxa"/>
              <w:bottom w:w="40" w:type="dxa"/>
              <w:right w:w="20" w:type="dxa"/>
            </w:tcMar>
            <w:vAlign w:val="bottom"/>
          </w:tcPr>
          <w:p w14:paraId="5CD8FEC3"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EC4"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EC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EC6"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8FED0" w14:textId="77777777">
        <w:trPr>
          <w:jc w:val="center"/>
        </w:trPr>
        <w:tc>
          <w:tcPr>
            <w:tcW w:w="0" w:type="auto"/>
            <w:gridSpan w:val="3"/>
            <w:shd w:val="clear" w:color="auto" w:fill="CCEEFF"/>
            <w:tcMar>
              <w:top w:w="40" w:type="dxa"/>
              <w:left w:w="200" w:type="dxa"/>
              <w:bottom w:w="40" w:type="dxa"/>
              <w:right w:w="20" w:type="dxa"/>
            </w:tcMar>
            <w:vAlign w:val="bottom"/>
          </w:tcPr>
          <w:p w14:paraId="5CD8FEC8" w14:textId="77777777" w:rsidR="00BA49F5" w:rsidRDefault="007E5E49">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EC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ECA" w14:textId="77777777" w:rsidR="00BA49F5" w:rsidRDefault="007E5E49">
            <w:pPr>
              <w:jc w:val="right"/>
              <w:textAlignment w:val="bottom"/>
            </w:pPr>
            <w:r>
              <w:rPr>
                <w:rFonts w:ascii="Times New Roman" w:eastAsia="宋体" w:hAnsi="Times New Roman"/>
                <w:color w:val="000000"/>
                <w:sz w:val="20"/>
                <w:szCs w:val="20"/>
              </w:rPr>
              <w:t>1,874 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EC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C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EC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ECE" w14:textId="77777777" w:rsidR="00BA49F5" w:rsidRDefault="007E5E49">
            <w:pPr>
              <w:jc w:val="right"/>
              <w:textAlignment w:val="bottom"/>
            </w:pPr>
            <w:r>
              <w:rPr>
                <w:rFonts w:ascii="Times New Roman" w:eastAsia="宋体" w:hAnsi="Times New Roman"/>
                <w:color w:val="000000"/>
                <w:sz w:val="20"/>
                <w:szCs w:val="20"/>
              </w:rPr>
              <w:t>1,688 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ECF" w14:textId="77777777" w:rsidR="00BA49F5" w:rsidRDefault="00BA49F5">
            <w:pPr>
              <w:jc w:val="right"/>
              <w:rPr>
                <w:rFonts w:ascii="宋体"/>
              </w:rPr>
            </w:pPr>
          </w:p>
        </w:tc>
      </w:tr>
      <w:tr w:rsidR="00BA49F5" w14:paraId="5CD8FED7" w14:textId="77777777">
        <w:trPr>
          <w:jc w:val="center"/>
        </w:trPr>
        <w:tc>
          <w:tcPr>
            <w:tcW w:w="0" w:type="auto"/>
            <w:gridSpan w:val="3"/>
            <w:shd w:val="clear" w:color="auto" w:fill="FFFFFF"/>
            <w:tcMar>
              <w:top w:w="40" w:type="dxa"/>
              <w:left w:w="200" w:type="dxa"/>
              <w:bottom w:w="40" w:type="dxa"/>
              <w:right w:w="20" w:type="dxa"/>
            </w:tcMar>
            <w:vAlign w:val="bottom"/>
          </w:tcPr>
          <w:p w14:paraId="5CD8FED1" w14:textId="77777777" w:rsidR="00BA49F5" w:rsidRDefault="007E5E49">
            <w:pPr>
              <w:textAlignment w:val="bottom"/>
            </w:pPr>
            <w:r>
              <w:rPr>
                <w:rFonts w:ascii="Times New Roman" w:eastAsia="宋体" w:hAnsi="Times New Roman"/>
                <w:color w:val="000000"/>
                <w:sz w:val="20"/>
                <w:szCs w:val="20"/>
              </w:rPr>
              <w:t>Servers and network assets</w:t>
            </w:r>
          </w:p>
        </w:tc>
        <w:tc>
          <w:tcPr>
            <w:tcW w:w="0" w:type="auto"/>
            <w:gridSpan w:val="2"/>
            <w:shd w:val="clear" w:color="auto" w:fill="FFFFFF"/>
            <w:tcMar>
              <w:top w:w="40" w:type="dxa"/>
              <w:left w:w="20" w:type="dxa"/>
              <w:bottom w:w="40" w:type="dxa"/>
              <w:right w:w="0" w:type="dxa"/>
            </w:tcMar>
            <w:vAlign w:val="bottom"/>
          </w:tcPr>
          <w:p w14:paraId="5CD8FED2" w14:textId="77777777" w:rsidR="00BA49F5" w:rsidRDefault="007E5E49">
            <w:pPr>
              <w:jc w:val="right"/>
              <w:textAlignment w:val="bottom"/>
            </w:pPr>
            <w:r>
              <w:rPr>
                <w:rFonts w:ascii="Times New Roman" w:eastAsia="宋体" w:hAnsi="Times New Roman"/>
                <w:color w:val="000000"/>
                <w:sz w:val="20"/>
                <w:szCs w:val="20"/>
              </w:rPr>
              <w:t>34,330 </w:t>
            </w:r>
          </w:p>
        </w:tc>
        <w:tc>
          <w:tcPr>
            <w:tcW w:w="0" w:type="auto"/>
            <w:shd w:val="clear" w:color="auto" w:fill="FFFFFF"/>
            <w:tcMar>
              <w:top w:w="40" w:type="dxa"/>
              <w:left w:w="0" w:type="dxa"/>
              <w:bottom w:w="40" w:type="dxa"/>
              <w:right w:w="20" w:type="dxa"/>
            </w:tcMar>
            <w:vAlign w:val="bottom"/>
          </w:tcPr>
          <w:p w14:paraId="5CD8FED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D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D5" w14:textId="77777777" w:rsidR="00BA49F5" w:rsidRDefault="007E5E49">
            <w:pPr>
              <w:jc w:val="right"/>
              <w:textAlignment w:val="bottom"/>
            </w:pPr>
            <w:r>
              <w:rPr>
                <w:rFonts w:ascii="Times New Roman" w:eastAsia="宋体" w:hAnsi="Times New Roman"/>
                <w:color w:val="000000"/>
                <w:sz w:val="20"/>
                <w:szCs w:val="20"/>
              </w:rPr>
              <w:t>25,584 </w:t>
            </w:r>
          </w:p>
        </w:tc>
        <w:tc>
          <w:tcPr>
            <w:tcW w:w="0" w:type="auto"/>
            <w:shd w:val="clear" w:color="auto" w:fill="FFFFFF"/>
            <w:tcMar>
              <w:top w:w="40" w:type="dxa"/>
              <w:left w:w="0" w:type="dxa"/>
              <w:bottom w:w="40" w:type="dxa"/>
              <w:right w:w="20" w:type="dxa"/>
            </w:tcMar>
            <w:vAlign w:val="bottom"/>
          </w:tcPr>
          <w:p w14:paraId="5CD8FED6" w14:textId="77777777" w:rsidR="00BA49F5" w:rsidRDefault="00BA49F5">
            <w:pPr>
              <w:jc w:val="right"/>
              <w:rPr>
                <w:rFonts w:ascii="宋体"/>
              </w:rPr>
            </w:pPr>
          </w:p>
        </w:tc>
      </w:tr>
      <w:tr w:rsidR="00BA49F5" w14:paraId="5CD8FEDE" w14:textId="77777777">
        <w:trPr>
          <w:jc w:val="center"/>
        </w:trPr>
        <w:tc>
          <w:tcPr>
            <w:tcW w:w="0" w:type="auto"/>
            <w:gridSpan w:val="3"/>
            <w:shd w:val="clear" w:color="auto" w:fill="CCEEFF"/>
            <w:tcMar>
              <w:top w:w="40" w:type="dxa"/>
              <w:left w:w="200" w:type="dxa"/>
              <w:bottom w:w="40" w:type="dxa"/>
              <w:right w:w="20" w:type="dxa"/>
            </w:tcMar>
            <w:vAlign w:val="bottom"/>
          </w:tcPr>
          <w:p w14:paraId="5CD8FED8" w14:textId="77777777" w:rsidR="00BA49F5" w:rsidRDefault="007E5E49">
            <w:pPr>
              <w:textAlignment w:val="bottom"/>
            </w:pP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5CD8FED9" w14:textId="77777777" w:rsidR="00BA49F5" w:rsidRDefault="007E5E49">
            <w:pPr>
              <w:jc w:val="right"/>
              <w:textAlignment w:val="bottom"/>
            </w:pPr>
            <w:r>
              <w:rPr>
                <w:rFonts w:ascii="Times New Roman" w:eastAsia="宋体" w:hAnsi="Times New Roman"/>
                <w:color w:val="000000"/>
                <w:sz w:val="20"/>
                <w:szCs w:val="20"/>
              </w:rPr>
              <w:t>27,720 </w:t>
            </w:r>
          </w:p>
        </w:tc>
        <w:tc>
          <w:tcPr>
            <w:tcW w:w="0" w:type="auto"/>
            <w:shd w:val="clear" w:color="auto" w:fill="CCEEFF"/>
            <w:tcMar>
              <w:top w:w="40" w:type="dxa"/>
              <w:left w:w="0" w:type="dxa"/>
              <w:bottom w:w="40" w:type="dxa"/>
              <w:right w:w="20" w:type="dxa"/>
            </w:tcMar>
            <w:vAlign w:val="bottom"/>
          </w:tcPr>
          <w:p w14:paraId="5CD8FED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D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DC" w14:textId="77777777" w:rsidR="00BA49F5" w:rsidRDefault="007E5E49">
            <w:pPr>
              <w:jc w:val="right"/>
              <w:textAlignment w:val="bottom"/>
            </w:pPr>
            <w:r>
              <w:rPr>
                <w:rFonts w:ascii="Times New Roman" w:eastAsia="宋体" w:hAnsi="Times New Roman"/>
                <w:color w:val="000000"/>
                <w:sz w:val="20"/>
                <w:szCs w:val="20"/>
              </w:rPr>
              <w:t>22,531 </w:t>
            </w:r>
          </w:p>
        </w:tc>
        <w:tc>
          <w:tcPr>
            <w:tcW w:w="0" w:type="auto"/>
            <w:shd w:val="clear" w:color="auto" w:fill="CCEEFF"/>
            <w:tcMar>
              <w:top w:w="40" w:type="dxa"/>
              <w:left w:w="0" w:type="dxa"/>
              <w:bottom w:w="40" w:type="dxa"/>
              <w:right w:w="20" w:type="dxa"/>
            </w:tcMar>
            <w:vAlign w:val="bottom"/>
          </w:tcPr>
          <w:p w14:paraId="5CD8FEDD" w14:textId="77777777" w:rsidR="00BA49F5" w:rsidRDefault="00BA49F5">
            <w:pPr>
              <w:jc w:val="right"/>
              <w:rPr>
                <w:rFonts w:ascii="宋体"/>
              </w:rPr>
            </w:pPr>
          </w:p>
        </w:tc>
      </w:tr>
      <w:tr w:rsidR="00BA49F5" w14:paraId="5CD8FEE5" w14:textId="77777777">
        <w:trPr>
          <w:jc w:val="center"/>
        </w:trPr>
        <w:tc>
          <w:tcPr>
            <w:tcW w:w="0" w:type="auto"/>
            <w:gridSpan w:val="3"/>
            <w:shd w:val="clear" w:color="auto" w:fill="FFFFFF"/>
            <w:tcMar>
              <w:top w:w="40" w:type="dxa"/>
              <w:left w:w="200" w:type="dxa"/>
              <w:bottom w:w="40" w:type="dxa"/>
              <w:right w:w="20" w:type="dxa"/>
            </w:tcMar>
          </w:tcPr>
          <w:p w14:paraId="5CD8FEDF" w14:textId="77777777" w:rsidR="00BA49F5" w:rsidRDefault="007E5E49">
            <w:pPr>
              <w:textAlignment w:val="top"/>
            </w:pPr>
            <w:r>
              <w:rPr>
                <w:rFonts w:ascii="Times New Roman" w:eastAsia="宋体" w:hAnsi="Times New Roman"/>
                <w:color w:val="000000"/>
                <w:sz w:val="20"/>
                <w:szCs w:val="20"/>
              </w:rPr>
              <w:t>Leasehold improvements</w:t>
            </w:r>
          </w:p>
        </w:tc>
        <w:tc>
          <w:tcPr>
            <w:tcW w:w="0" w:type="auto"/>
            <w:gridSpan w:val="2"/>
            <w:shd w:val="clear" w:color="auto" w:fill="FFFFFF"/>
            <w:tcMar>
              <w:top w:w="40" w:type="dxa"/>
              <w:left w:w="20" w:type="dxa"/>
              <w:bottom w:w="40" w:type="dxa"/>
              <w:right w:w="0" w:type="dxa"/>
            </w:tcMar>
            <w:vAlign w:val="bottom"/>
          </w:tcPr>
          <w:p w14:paraId="5CD8FEE0" w14:textId="77777777" w:rsidR="00BA49F5" w:rsidRDefault="007E5E49">
            <w:pPr>
              <w:jc w:val="right"/>
              <w:textAlignment w:val="bottom"/>
            </w:pPr>
            <w:r>
              <w:rPr>
                <w:rFonts w:ascii="Times New Roman" w:eastAsia="宋体" w:hAnsi="Times New Roman"/>
                <w:color w:val="000000"/>
                <w:sz w:val="20"/>
                <w:szCs w:val="20"/>
              </w:rPr>
              <w:t>6,522 </w:t>
            </w:r>
          </w:p>
        </w:tc>
        <w:tc>
          <w:tcPr>
            <w:tcW w:w="0" w:type="auto"/>
            <w:shd w:val="clear" w:color="auto" w:fill="FFFFFF"/>
            <w:tcMar>
              <w:top w:w="40" w:type="dxa"/>
              <w:left w:w="0" w:type="dxa"/>
              <w:bottom w:w="40" w:type="dxa"/>
              <w:right w:w="20" w:type="dxa"/>
            </w:tcMar>
            <w:vAlign w:val="bottom"/>
          </w:tcPr>
          <w:p w14:paraId="5CD8FEE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E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E3" w14:textId="77777777" w:rsidR="00BA49F5" w:rsidRDefault="007E5E49">
            <w:pPr>
              <w:jc w:val="right"/>
              <w:textAlignment w:val="bottom"/>
            </w:pPr>
            <w:r>
              <w:rPr>
                <w:rFonts w:ascii="Times New Roman" w:eastAsia="宋体" w:hAnsi="Times New Roman"/>
                <w:color w:val="000000"/>
                <w:sz w:val="20"/>
                <w:szCs w:val="20"/>
              </w:rPr>
              <w:t>5,795 </w:t>
            </w:r>
          </w:p>
        </w:tc>
        <w:tc>
          <w:tcPr>
            <w:tcW w:w="0" w:type="auto"/>
            <w:shd w:val="clear" w:color="auto" w:fill="FFFFFF"/>
            <w:tcMar>
              <w:top w:w="40" w:type="dxa"/>
              <w:left w:w="0" w:type="dxa"/>
              <w:bottom w:w="40" w:type="dxa"/>
              <w:right w:w="20" w:type="dxa"/>
            </w:tcMar>
            <w:vAlign w:val="bottom"/>
          </w:tcPr>
          <w:p w14:paraId="5CD8FEE4" w14:textId="77777777" w:rsidR="00BA49F5" w:rsidRDefault="00BA49F5">
            <w:pPr>
              <w:jc w:val="right"/>
              <w:rPr>
                <w:rFonts w:ascii="宋体"/>
              </w:rPr>
            </w:pPr>
          </w:p>
        </w:tc>
      </w:tr>
      <w:tr w:rsidR="00BA49F5" w14:paraId="5CD8FEEC" w14:textId="77777777">
        <w:trPr>
          <w:jc w:val="center"/>
        </w:trPr>
        <w:tc>
          <w:tcPr>
            <w:tcW w:w="0" w:type="auto"/>
            <w:gridSpan w:val="3"/>
            <w:shd w:val="clear" w:color="auto" w:fill="CCEEFF"/>
            <w:tcMar>
              <w:top w:w="40" w:type="dxa"/>
              <w:left w:w="200" w:type="dxa"/>
              <w:bottom w:w="40" w:type="dxa"/>
              <w:right w:w="20" w:type="dxa"/>
            </w:tcMar>
          </w:tcPr>
          <w:p w14:paraId="5CD8FEE6" w14:textId="77777777" w:rsidR="00BA49F5" w:rsidRDefault="007E5E49">
            <w:pPr>
              <w:textAlignment w:val="top"/>
            </w:pPr>
            <w:r>
              <w:rPr>
                <w:rFonts w:ascii="Times New Roman" w:eastAsia="宋体" w:hAnsi="Times New Roman"/>
                <w:color w:val="000000"/>
                <w:sz w:val="20"/>
                <w:szCs w:val="20"/>
              </w:rPr>
              <w:t>Equipment and other</w:t>
            </w:r>
          </w:p>
        </w:tc>
        <w:tc>
          <w:tcPr>
            <w:tcW w:w="0" w:type="auto"/>
            <w:gridSpan w:val="2"/>
            <w:shd w:val="clear" w:color="auto" w:fill="CCEEFF"/>
            <w:tcMar>
              <w:top w:w="40" w:type="dxa"/>
              <w:left w:w="20" w:type="dxa"/>
              <w:bottom w:w="40" w:type="dxa"/>
              <w:right w:w="0" w:type="dxa"/>
            </w:tcMar>
            <w:vAlign w:val="bottom"/>
          </w:tcPr>
          <w:p w14:paraId="5CD8FEE7" w14:textId="77777777" w:rsidR="00BA49F5" w:rsidRDefault="007E5E49">
            <w:pPr>
              <w:jc w:val="right"/>
              <w:textAlignment w:val="bottom"/>
            </w:pPr>
            <w:r>
              <w:rPr>
                <w:rFonts w:ascii="Times New Roman" w:eastAsia="宋体" w:hAnsi="Times New Roman"/>
                <w:color w:val="000000"/>
                <w:sz w:val="20"/>
                <w:szCs w:val="20"/>
              </w:rPr>
              <w:t>5,642 </w:t>
            </w:r>
          </w:p>
        </w:tc>
        <w:tc>
          <w:tcPr>
            <w:tcW w:w="0" w:type="auto"/>
            <w:shd w:val="clear" w:color="auto" w:fill="CCEEFF"/>
            <w:tcMar>
              <w:top w:w="40" w:type="dxa"/>
              <w:left w:w="0" w:type="dxa"/>
              <w:bottom w:w="40" w:type="dxa"/>
              <w:right w:w="20" w:type="dxa"/>
            </w:tcMar>
            <w:vAlign w:val="bottom"/>
          </w:tcPr>
          <w:p w14:paraId="5CD8FEE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E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EA" w14:textId="77777777" w:rsidR="00BA49F5" w:rsidRDefault="007E5E49">
            <w:pPr>
              <w:jc w:val="right"/>
              <w:textAlignment w:val="bottom"/>
            </w:pPr>
            <w:r>
              <w:rPr>
                <w:rFonts w:ascii="Times New Roman" w:eastAsia="宋体" w:hAnsi="Times New Roman"/>
                <w:color w:val="000000"/>
                <w:sz w:val="20"/>
                <w:szCs w:val="20"/>
              </w:rPr>
              <w:t>4,764 </w:t>
            </w:r>
          </w:p>
        </w:tc>
        <w:tc>
          <w:tcPr>
            <w:tcW w:w="0" w:type="auto"/>
            <w:shd w:val="clear" w:color="auto" w:fill="CCEEFF"/>
            <w:tcMar>
              <w:top w:w="40" w:type="dxa"/>
              <w:left w:w="0" w:type="dxa"/>
              <w:bottom w:w="40" w:type="dxa"/>
              <w:right w:w="20" w:type="dxa"/>
            </w:tcMar>
            <w:vAlign w:val="bottom"/>
          </w:tcPr>
          <w:p w14:paraId="5CD8FEEB" w14:textId="77777777" w:rsidR="00BA49F5" w:rsidRDefault="00BA49F5">
            <w:pPr>
              <w:jc w:val="right"/>
              <w:rPr>
                <w:rFonts w:ascii="宋体"/>
              </w:rPr>
            </w:pPr>
          </w:p>
        </w:tc>
      </w:tr>
      <w:tr w:rsidR="00BA49F5" w14:paraId="5CD8FEF3" w14:textId="77777777">
        <w:trPr>
          <w:jc w:val="center"/>
        </w:trPr>
        <w:tc>
          <w:tcPr>
            <w:tcW w:w="0" w:type="auto"/>
            <w:gridSpan w:val="3"/>
            <w:shd w:val="clear" w:color="auto" w:fill="FFFFFF"/>
            <w:tcMar>
              <w:top w:w="40" w:type="dxa"/>
              <w:left w:w="200" w:type="dxa"/>
              <w:bottom w:w="40" w:type="dxa"/>
              <w:right w:w="20" w:type="dxa"/>
            </w:tcMar>
            <w:vAlign w:val="bottom"/>
          </w:tcPr>
          <w:p w14:paraId="5CD8FEED" w14:textId="77777777" w:rsidR="00BA49F5" w:rsidRDefault="007E5E49">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5CD8FEEE" w14:textId="77777777" w:rsidR="00BA49F5" w:rsidRDefault="007E5E49">
            <w:pPr>
              <w:jc w:val="right"/>
              <w:textAlignment w:val="bottom"/>
            </w:pPr>
            <w:r>
              <w:rPr>
                <w:rFonts w:ascii="Times New Roman" w:eastAsia="宋体" w:hAnsi="Times New Roman"/>
                <w:color w:val="000000"/>
                <w:sz w:val="20"/>
                <w:szCs w:val="20"/>
              </w:rPr>
              <w:t>3,353 </w:t>
            </w:r>
          </w:p>
        </w:tc>
        <w:tc>
          <w:tcPr>
            <w:tcW w:w="0" w:type="auto"/>
            <w:shd w:val="clear" w:color="auto" w:fill="FFFFFF"/>
            <w:tcMar>
              <w:top w:w="40" w:type="dxa"/>
              <w:left w:w="0" w:type="dxa"/>
              <w:bottom w:w="40" w:type="dxa"/>
              <w:right w:w="20" w:type="dxa"/>
            </w:tcMar>
            <w:vAlign w:val="bottom"/>
          </w:tcPr>
          <w:p w14:paraId="5CD8FEE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F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EF1" w14:textId="77777777" w:rsidR="00BA49F5" w:rsidRDefault="007E5E49">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5CD8FEF2" w14:textId="77777777" w:rsidR="00BA49F5" w:rsidRDefault="00BA49F5">
            <w:pPr>
              <w:jc w:val="right"/>
              <w:rPr>
                <w:rFonts w:ascii="宋体"/>
              </w:rPr>
            </w:pPr>
          </w:p>
        </w:tc>
      </w:tr>
      <w:tr w:rsidR="00BA49F5" w14:paraId="5CD8FEFA" w14:textId="77777777">
        <w:trPr>
          <w:jc w:val="center"/>
        </w:trPr>
        <w:tc>
          <w:tcPr>
            <w:tcW w:w="0" w:type="auto"/>
            <w:gridSpan w:val="3"/>
            <w:shd w:val="clear" w:color="auto" w:fill="CCEEFF"/>
            <w:tcMar>
              <w:top w:w="40" w:type="dxa"/>
              <w:left w:w="200" w:type="dxa"/>
              <w:bottom w:w="40" w:type="dxa"/>
              <w:right w:w="20" w:type="dxa"/>
            </w:tcMar>
            <w:vAlign w:val="bottom"/>
          </w:tcPr>
          <w:p w14:paraId="5CD8FEF4" w14:textId="77777777" w:rsidR="00BA49F5" w:rsidRDefault="007E5E49">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5CD8FEF5" w14:textId="77777777" w:rsidR="00BA49F5" w:rsidRDefault="007E5E49">
            <w:pPr>
              <w:jc w:val="right"/>
              <w:textAlignment w:val="bottom"/>
            </w:pPr>
            <w:r>
              <w:rPr>
                <w:rFonts w:ascii="Times New Roman" w:eastAsia="宋体" w:hAnsi="Times New Roman"/>
                <w:color w:val="000000"/>
                <w:sz w:val="20"/>
                <w:szCs w:val="20"/>
              </w:rPr>
              <w:t>25,052 </w:t>
            </w:r>
          </w:p>
        </w:tc>
        <w:tc>
          <w:tcPr>
            <w:tcW w:w="0" w:type="auto"/>
            <w:shd w:val="clear" w:color="auto" w:fill="CCEEFF"/>
            <w:tcMar>
              <w:top w:w="40" w:type="dxa"/>
              <w:left w:w="0" w:type="dxa"/>
              <w:bottom w:w="40" w:type="dxa"/>
              <w:right w:w="20" w:type="dxa"/>
            </w:tcMar>
            <w:vAlign w:val="bottom"/>
          </w:tcPr>
          <w:p w14:paraId="5CD8FEF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EF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EF8" w14:textId="77777777" w:rsidR="00BA49F5" w:rsidRDefault="007E5E49">
            <w:pPr>
              <w:jc w:val="right"/>
              <w:textAlignment w:val="bottom"/>
            </w:pPr>
            <w:r>
              <w:rPr>
                <w:rFonts w:ascii="Times New Roman" w:eastAsia="宋体" w:hAnsi="Times New Roman"/>
                <w:color w:val="000000"/>
                <w:sz w:val="20"/>
                <w:szCs w:val="20"/>
              </w:rPr>
              <w:t>14,687 </w:t>
            </w:r>
          </w:p>
        </w:tc>
        <w:tc>
          <w:tcPr>
            <w:tcW w:w="0" w:type="auto"/>
            <w:shd w:val="clear" w:color="auto" w:fill="CCEEFF"/>
            <w:tcMar>
              <w:top w:w="40" w:type="dxa"/>
              <w:left w:w="0" w:type="dxa"/>
              <w:bottom w:w="40" w:type="dxa"/>
              <w:right w:w="20" w:type="dxa"/>
            </w:tcMar>
            <w:vAlign w:val="bottom"/>
          </w:tcPr>
          <w:p w14:paraId="5CD8FEF9" w14:textId="77777777" w:rsidR="00BA49F5" w:rsidRDefault="00BA49F5">
            <w:pPr>
              <w:jc w:val="right"/>
              <w:rPr>
                <w:rFonts w:ascii="宋体"/>
              </w:rPr>
            </w:pPr>
          </w:p>
        </w:tc>
      </w:tr>
      <w:tr w:rsidR="00BA49F5" w14:paraId="5CD8FF01" w14:textId="77777777">
        <w:trPr>
          <w:jc w:val="center"/>
        </w:trPr>
        <w:tc>
          <w:tcPr>
            <w:tcW w:w="0" w:type="auto"/>
            <w:gridSpan w:val="3"/>
            <w:shd w:val="clear" w:color="auto" w:fill="FFFFFF"/>
            <w:tcMar>
              <w:top w:w="40" w:type="dxa"/>
              <w:left w:w="20" w:type="dxa"/>
              <w:bottom w:w="40" w:type="dxa"/>
              <w:right w:w="20" w:type="dxa"/>
            </w:tcMar>
            <w:vAlign w:val="bottom"/>
          </w:tcPr>
          <w:p w14:paraId="5CD8FEFB" w14:textId="77777777" w:rsidR="00BA49F5" w:rsidRDefault="007E5E49">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EFC" w14:textId="77777777" w:rsidR="00BA49F5" w:rsidRDefault="007E5E49">
            <w:pPr>
              <w:jc w:val="right"/>
              <w:textAlignment w:val="bottom"/>
            </w:pPr>
            <w:r>
              <w:rPr>
                <w:rFonts w:ascii="Times New Roman" w:eastAsia="宋体" w:hAnsi="Times New Roman"/>
                <w:color w:val="000000"/>
                <w:sz w:val="20"/>
                <w:szCs w:val="20"/>
              </w:rPr>
              <w:t>104,493 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EF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EFE"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8FEFF" w14:textId="77777777" w:rsidR="00BA49F5" w:rsidRDefault="007E5E49">
            <w:pPr>
              <w:jc w:val="right"/>
              <w:textAlignment w:val="bottom"/>
            </w:pPr>
            <w:r>
              <w:rPr>
                <w:rFonts w:ascii="Times New Roman" w:eastAsia="宋体" w:hAnsi="Times New Roman"/>
                <w:color w:val="000000"/>
                <w:sz w:val="20"/>
                <w:szCs w:val="20"/>
              </w:rPr>
              <w:t>77,889 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8FF00" w14:textId="77777777" w:rsidR="00BA49F5" w:rsidRDefault="00BA49F5">
            <w:pPr>
              <w:jc w:val="right"/>
              <w:rPr>
                <w:rFonts w:ascii="宋体"/>
              </w:rPr>
            </w:pPr>
          </w:p>
        </w:tc>
      </w:tr>
      <w:tr w:rsidR="00BA49F5" w14:paraId="5CD8FF08" w14:textId="77777777">
        <w:trPr>
          <w:jc w:val="center"/>
        </w:trPr>
        <w:tc>
          <w:tcPr>
            <w:tcW w:w="0" w:type="auto"/>
            <w:gridSpan w:val="3"/>
            <w:shd w:val="clear" w:color="auto" w:fill="CCEEFF"/>
            <w:tcMar>
              <w:top w:w="40" w:type="dxa"/>
              <w:left w:w="20" w:type="dxa"/>
              <w:bottom w:w="40" w:type="dxa"/>
              <w:right w:w="20" w:type="dxa"/>
            </w:tcMar>
            <w:vAlign w:val="bottom"/>
          </w:tcPr>
          <w:p w14:paraId="5CD8FF02" w14:textId="77777777" w:rsidR="00BA49F5" w:rsidRDefault="007E5E49">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5CD8FF03" w14:textId="77777777" w:rsidR="00BA49F5" w:rsidRDefault="007E5E49">
            <w:pPr>
              <w:jc w:val="right"/>
              <w:textAlignment w:val="bottom"/>
            </w:pPr>
            <w:r>
              <w:rPr>
                <w:rFonts w:ascii="Times New Roman" w:eastAsia="宋体" w:hAnsi="Times New Roman"/>
                <w:color w:val="000000"/>
                <w:sz w:val="20"/>
                <w:szCs w:val="20"/>
              </w:rPr>
              <w:t>(24,975)</w:t>
            </w:r>
          </w:p>
        </w:tc>
        <w:tc>
          <w:tcPr>
            <w:tcW w:w="0" w:type="auto"/>
            <w:shd w:val="clear" w:color="auto" w:fill="CCEEFF"/>
            <w:tcMar>
              <w:top w:w="40" w:type="dxa"/>
              <w:left w:w="0" w:type="dxa"/>
              <w:bottom w:w="40" w:type="dxa"/>
              <w:right w:w="20" w:type="dxa"/>
            </w:tcMar>
            <w:vAlign w:val="bottom"/>
          </w:tcPr>
          <w:p w14:paraId="5CD8FF0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0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06" w14:textId="77777777" w:rsidR="00BA49F5" w:rsidRDefault="007E5E49">
            <w:pPr>
              <w:jc w:val="right"/>
              <w:textAlignment w:val="bottom"/>
            </w:pPr>
            <w:r>
              <w:rPr>
                <w:rFonts w:ascii="Times New Roman" w:eastAsia="宋体" w:hAnsi="Times New Roman"/>
                <w:color w:val="000000"/>
                <w:sz w:val="20"/>
                <w:szCs w:val="20"/>
              </w:rPr>
              <w:t>(20,080)</w:t>
            </w:r>
          </w:p>
        </w:tc>
        <w:tc>
          <w:tcPr>
            <w:tcW w:w="0" w:type="auto"/>
            <w:shd w:val="clear" w:color="auto" w:fill="CCEEFF"/>
            <w:tcMar>
              <w:top w:w="40" w:type="dxa"/>
              <w:left w:w="0" w:type="dxa"/>
              <w:bottom w:w="40" w:type="dxa"/>
              <w:right w:w="20" w:type="dxa"/>
            </w:tcMar>
            <w:vAlign w:val="bottom"/>
          </w:tcPr>
          <w:p w14:paraId="5CD8FF07" w14:textId="77777777" w:rsidR="00BA49F5" w:rsidRDefault="00BA49F5">
            <w:pPr>
              <w:jc w:val="right"/>
              <w:rPr>
                <w:rFonts w:ascii="宋体"/>
              </w:rPr>
            </w:pPr>
          </w:p>
        </w:tc>
      </w:tr>
      <w:tr w:rsidR="00BA49F5" w14:paraId="5CD8FF11" w14:textId="77777777">
        <w:trPr>
          <w:jc w:val="center"/>
        </w:trPr>
        <w:tc>
          <w:tcPr>
            <w:tcW w:w="0" w:type="auto"/>
            <w:gridSpan w:val="3"/>
            <w:shd w:val="clear" w:color="auto" w:fill="FFFFFF"/>
            <w:tcMar>
              <w:top w:w="40" w:type="dxa"/>
              <w:left w:w="380" w:type="dxa"/>
              <w:bottom w:w="40" w:type="dxa"/>
              <w:right w:w="20" w:type="dxa"/>
            </w:tcMar>
            <w:vAlign w:val="bottom"/>
          </w:tcPr>
          <w:p w14:paraId="5CD8FF09" w14:textId="77777777" w:rsidR="00BA49F5" w:rsidRDefault="007E5E49">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F0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F0B" w14:textId="77777777" w:rsidR="00BA49F5" w:rsidRDefault="007E5E49">
            <w:pPr>
              <w:jc w:val="right"/>
              <w:textAlignment w:val="bottom"/>
            </w:pPr>
            <w:r>
              <w:rPr>
                <w:rFonts w:ascii="Times New Roman" w:eastAsia="宋体" w:hAnsi="Times New Roman"/>
                <w:color w:val="000000"/>
                <w:sz w:val="20"/>
                <w:szCs w:val="20"/>
              </w:rPr>
              <w:t>79,518 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F0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0D"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F0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F0F" w14:textId="77777777" w:rsidR="00BA49F5" w:rsidRDefault="007E5E49">
            <w:pPr>
              <w:jc w:val="right"/>
              <w:textAlignment w:val="bottom"/>
            </w:pPr>
            <w:r>
              <w:rPr>
                <w:rFonts w:ascii="Times New Roman" w:eastAsia="宋体" w:hAnsi="Times New Roman"/>
                <w:color w:val="000000"/>
                <w:sz w:val="20"/>
                <w:szCs w:val="20"/>
              </w:rPr>
              <w:t>57,809 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F10" w14:textId="77777777" w:rsidR="00BA49F5" w:rsidRDefault="00BA49F5">
            <w:pPr>
              <w:jc w:val="right"/>
              <w:rPr>
                <w:rFonts w:ascii="宋体"/>
              </w:rPr>
            </w:pPr>
          </w:p>
        </w:tc>
      </w:tr>
    </w:tbl>
    <w:p w14:paraId="5CD8FF12" w14:textId="77777777" w:rsidR="00BA49F5" w:rsidRDefault="00BA49F5">
      <w:pPr>
        <w:ind w:firstLine="540"/>
        <w:jc w:val="both"/>
      </w:pPr>
    </w:p>
    <w:p w14:paraId="5CD8FF13" w14:textId="77777777" w:rsidR="00BA49F5" w:rsidRDefault="007E5E49">
      <w:pPr>
        <w:jc w:val="center"/>
      </w:pPr>
      <w:r>
        <w:rPr>
          <w:rFonts w:ascii="Times New Roman" w:eastAsia="宋体" w:hAnsi="Times New Roman"/>
          <w:color w:val="000000"/>
          <w:sz w:val="20"/>
          <w:szCs w:val="20"/>
        </w:rPr>
        <w:t>105</w:t>
      </w:r>
    </w:p>
    <w:p w14:paraId="5CD8FF14" w14:textId="77777777" w:rsidR="00BA49F5" w:rsidRDefault="007E5E49">
      <w:r>
        <w:pict w14:anchorId="5CD90D5E">
          <v:rect id="_x0000_i1129" style="width:415.3pt;height:1.5pt" o:hralign="center" o:hrstd="t" o:hr="t" fillcolor="#a0a0a0" stroked="f"/>
        </w:pict>
      </w:r>
    </w:p>
    <w:p w14:paraId="5CD8FF15" w14:textId="77777777" w:rsidR="00BA49F5" w:rsidRDefault="00BA49F5"/>
    <w:p w14:paraId="5CD8FF16" w14:textId="77777777" w:rsidR="00BA49F5" w:rsidRDefault="00BA49F5"/>
    <w:p w14:paraId="5CD8FF17" w14:textId="77777777" w:rsidR="00BA49F5" w:rsidRDefault="007E5E49">
      <w:hyperlink r:id="rId305" w:anchor="i6df229dad1864210ab76200083e26819_7" w:history="1">
        <w:r>
          <w:rPr>
            <w:rStyle w:val="a5"/>
            <w:rFonts w:ascii="Times New Roman" w:eastAsia="宋体" w:hAnsi="Times New Roman"/>
            <w:sz w:val="20"/>
            <w:szCs w:val="20"/>
          </w:rPr>
          <w:t>T</w:t>
        </w:r>
      </w:hyperlink>
      <w:hyperlink r:id="rId306" w:anchor="i6df229dad1864210ab76200083e26819_7" w:history="1">
        <w:r>
          <w:rPr>
            <w:rStyle w:val="a5"/>
            <w:rFonts w:ascii="Times New Roman" w:eastAsia="宋体" w:hAnsi="Times New Roman"/>
            <w:sz w:val="20"/>
            <w:szCs w:val="20"/>
          </w:rPr>
          <w:t>able of Contents</w:t>
        </w:r>
      </w:hyperlink>
    </w:p>
    <w:p w14:paraId="5CD8FF18" w14:textId="77777777" w:rsidR="00BA49F5" w:rsidRDefault="007E5E49">
      <w:pPr>
        <w:ind w:firstLine="540"/>
        <w:jc w:val="both"/>
      </w:pPr>
      <w:r>
        <w:rPr>
          <w:rFonts w:ascii="Times New Roman" w:eastAsia="宋体" w:hAnsi="Times New Roman"/>
          <w:color w:val="000000"/>
          <w:sz w:val="20"/>
          <w:szCs w:val="20"/>
        </w:rPr>
        <w:t>Construction in progress includes costs mostly related to construction of data centers, network infrastructure, servers, and office facilities. As of December 31, 2022, construction in pro</w:t>
      </w:r>
      <w:r>
        <w:rPr>
          <w:rFonts w:ascii="Times New Roman" w:eastAsia="宋体" w:hAnsi="Times New Roman"/>
          <w:color w:val="000000"/>
          <w:sz w:val="20"/>
          <w:szCs w:val="20"/>
        </w:rPr>
        <w:t>gress also includes $2.18 billion of servers and network assets components stored by our suppliers until required by our design manufacturers to fulfill certain purchase orders.</w:t>
      </w:r>
    </w:p>
    <w:p w14:paraId="5CD8FF19" w14:textId="77777777" w:rsidR="00BA49F5" w:rsidRDefault="00BA49F5">
      <w:pPr>
        <w:ind w:firstLine="540"/>
        <w:jc w:val="both"/>
      </w:pPr>
    </w:p>
    <w:p w14:paraId="5CD8FF1A" w14:textId="77777777" w:rsidR="00BA49F5" w:rsidRDefault="007E5E49">
      <w:pPr>
        <w:ind w:firstLine="540"/>
        <w:jc w:val="both"/>
      </w:pPr>
      <w:r>
        <w:rPr>
          <w:rFonts w:ascii="Times New Roman" w:eastAsia="宋体" w:hAnsi="Times New Roman"/>
          <w:color w:val="000000"/>
          <w:sz w:val="20"/>
          <w:szCs w:val="20"/>
        </w:rPr>
        <w:t>Depreciation expense on property and equipment was $8.50 billion, $7.56 billi</w:t>
      </w:r>
      <w:r>
        <w:rPr>
          <w:rFonts w:ascii="Times New Roman" w:eastAsia="宋体" w:hAnsi="Times New Roman"/>
          <w:color w:val="000000"/>
          <w:sz w:val="20"/>
          <w:szCs w:val="20"/>
        </w:rPr>
        <w:t>on, and $6.39 billion for the years ended December 31, 2022, 2021, and 2020, respectively. The majority of the property and equipment depreciation expense was from servers and network assets depreciation of $5.29 billion, $4.94 billion, and $4.38 billion f</w:t>
      </w:r>
      <w:r>
        <w:rPr>
          <w:rFonts w:ascii="Times New Roman" w:eastAsia="宋体" w:hAnsi="Times New Roman"/>
          <w:color w:val="000000"/>
          <w:sz w:val="20"/>
          <w:szCs w:val="20"/>
        </w:rPr>
        <w:t>or the years ended December 31, 2022, 2021, and 2020, respectively. For additional information regarding changes in the estimated useful life of our servers and network assets, see Note 1 — Summary of Significant Accounting Policies.</w:t>
      </w:r>
    </w:p>
    <w:p w14:paraId="5CD8FF1B" w14:textId="77777777" w:rsidR="00BA49F5" w:rsidRDefault="00BA49F5">
      <w:pPr>
        <w:ind w:firstLine="540"/>
        <w:jc w:val="both"/>
      </w:pPr>
    </w:p>
    <w:p w14:paraId="5CD8FF1C" w14:textId="77777777" w:rsidR="00BA49F5" w:rsidRDefault="007E5E49">
      <w:pPr>
        <w:ind w:firstLine="540"/>
        <w:jc w:val="both"/>
      </w:pPr>
      <w:r>
        <w:rPr>
          <w:rFonts w:ascii="Times New Roman" w:eastAsia="宋体" w:hAnsi="Times New Roman"/>
          <w:color w:val="000000"/>
          <w:sz w:val="20"/>
          <w:szCs w:val="20"/>
        </w:rPr>
        <w:t>During the year ended</w:t>
      </w:r>
      <w:r>
        <w:rPr>
          <w:rFonts w:ascii="Times New Roman" w:eastAsia="宋体" w:hAnsi="Times New Roman"/>
          <w:color w:val="000000"/>
          <w:sz w:val="20"/>
          <w:szCs w:val="20"/>
        </w:rPr>
        <w:t xml:space="preserve"> December 31, 2022, we recorded $1.34 billion abandonment charge and $508 million impairment loss for data center assets and leasehold improvements assets, respectively, as a result of our restructuring efforts. For additional information, see Note 3 — Res</w:t>
      </w:r>
      <w:r>
        <w:rPr>
          <w:rFonts w:ascii="Times New Roman" w:eastAsia="宋体" w:hAnsi="Times New Roman"/>
          <w:color w:val="000000"/>
          <w:sz w:val="20"/>
          <w:szCs w:val="20"/>
        </w:rPr>
        <w:t xml:space="preserve">tructuring. </w:t>
      </w:r>
    </w:p>
    <w:p w14:paraId="5CD8FF1D" w14:textId="77777777" w:rsidR="00BA49F5" w:rsidRDefault="00BA49F5">
      <w:pPr>
        <w:ind w:firstLine="540"/>
        <w:jc w:val="both"/>
      </w:pPr>
    </w:p>
    <w:p w14:paraId="5CD8FF1E" w14:textId="77777777" w:rsidR="00BA49F5" w:rsidRDefault="007E5E49">
      <w:pPr>
        <w:spacing w:before="180"/>
        <w:jc w:val="both"/>
      </w:pPr>
      <w:r>
        <w:rPr>
          <w:rFonts w:ascii="Times New Roman" w:eastAsia="宋体" w:hAnsi="Times New Roman"/>
          <w:b/>
          <w:bCs/>
          <w:color w:val="000000"/>
          <w:sz w:val="20"/>
          <w:szCs w:val="20"/>
        </w:rPr>
        <w:t>Note 9.</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Leases</w:t>
      </w:r>
    </w:p>
    <w:p w14:paraId="5CD8FF1F" w14:textId="77777777" w:rsidR="00BA49F5" w:rsidRDefault="00BA49F5"/>
    <w:p w14:paraId="5CD8FF20" w14:textId="77777777" w:rsidR="00BA49F5" w:rsidRDefault="007E5E49">
      <w:pPr>
        <w:ind w:firstLine="540"/>
        <w:jc w:val="both"/>
      </w:pPr>
      <w:r>
        <w:rPr>
          <w:rFonts w:ascii="Times New Roman" w:eastAsia="宋体" w:hAnsi="Times New Roman"/>
          <w:color w:val="000000"/>
          <w:sz w:val="20"/>
          <w:szCs w:val="20"/>
        </w:rPr>
        <w:t xml:space="preserve">We have entered into various non-cancelable operating lease agreements mostly for certain of our offices, data centers, colocations, and land. We have also entered into various non-cancelable finance lease agreements </w:t>
      </w:r>
      <w:r>
        <w:rPr>
          <w:rFonts w:ascii="Times New Roman" w:eastAsia="宋体" w:hAnsi="Times New Roman"/>
          <w:color w:val="000000"/>
          <w:sz w:val="20"/>
          <w:szCs w:val="20"/>
        </w:rPr>
        <w:t>mostly for certain network infrastructure. Our leases have original lease periods expiring between 2023 and 2093. Many leases include one or more options to renew. We do not assume renewals in our determination of the lease term unless the renewals are dee</w:t>
      </w:r>
      <w:r>
        <w:rPr>
          <w:rFonts w:ascii="Times New Roman" w:eastAsia="宋体" w:hAnsi="Times New Roman"/>
          <w:color w:val="000000"/>
          <w:sz w:val="20"/>
          <w:szCs w:val="20"/>
        </w:rPr>
        <w:t>med to be reasonably assured. Our lease agreements generally do not contain any material residual value guarantees or material restrictive covenants.</w:t>
      </w:r>
    </w:p>
    <w:p w14:paraId="5CD8FF21" w14:textId="77777777" w:rsidR="00BA49F5" w:rsidRDefault="00BA49F5">
      <w:pPr>
        <w:ind w:firstLine="540"/>
        <w:jc w:val="both"/>
      </w:pPr>
    </w:p>
    <w:p w14:paraId="5CD8FF22" w14:textId="77777777" w:rsidR="00BA49F5" w:rsidRDefault="007E5E49">
      <w:pPr>
        <w:spacing w:after="160"/>
        <w:ind w:firstLine="540"/>
        <w:jc w:val="both"/>
      </w:pPr>
      <w:r>
        <w:rPr>
          <w:rFonts w:ascii="Times New Roman" w:eastAsia="宋体" w:hAnsi="Times New Roman"/>
          <w:color w:val="000000"/>
          <w:sz w:val="20"/>
          <w:szCs w:val="20"/>
        </w:rPr>
        <w:t>The components of lease costs are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818"/>
        <w:gridCol w:w="37"/>
        <w:gridCol w:w="120"/>
        <w:gridCol w:w="931"/>
        <w:gridCol w:w="36"/>
        <w:gridCol w:w="36"/>
        <w:gridCol w:w="36"/>
        <w:gridCol w:w="36"/>
        <w:gridCol w:w="120"/>
        <w:gridCol w:w="884"/>
        <w:gridCol w:w="36"/>
        <w:gridCol w:w="36"/>
        <w:gridCol w:w="36"/>
        <w:gridCol w:w="36"/>
        <w:gridCol w:w="120"/>
        <w:gridCol w:w="932"/>
        <w:gridCol w:w="36"/>
      </w:tblGrid>
      <w:tr w:rsidR="00BA49F5" w14:paraId="5CD8FF35" w14:textId="77777777">
        <w:tc>
          <w:tcPr>
            <w:tcW w:w="50" w:type="pct"/>
            <w:shd w:val="clear" w:color="auto" w:fill="auto"/>
            <w:vAlign w:val="bottom"/>
          </w:tcPr>
          <w:p w14:paraId="5CD8FF23" w14:textId="77777777" w:rsidR="00BA49F5" w:rsidRDefault="00BA49F5">
            <w:pPr>
              <w:rPr>
                <w:rFonts w:ascii="宋体"/>
              </w:rPr>
            </w:pPr>
          </w:p>
        </w:tc>
        <w:tc>
          <w:tcPr>
            <w:tcW w:w="2933" w:type="pct"/>
            <w:shd w:val="clear" w:color="auto" w:fill="auto"/>
            <w:vAlign w:val="bottom"/>
          </w:tcPr>
          <w:p w14:paraId="5CD8FF24" w14:textId="77777777" w:rsidR="00BA49F5" w:rsidRDefault="00BA49F5">
            <w:pPr>
              <w:rPr>
                <w:rFonts w:ascii="宋体"/>
              </w:rPr>
            </w:pPr>
          </w:p>
        </w:tc>
        <w:tc>
          <w:tcPr>
            <w:tcW w:w="5" w:type="pct"/>
            <w:shd w:val="clear" w:color="auto" w:fill="auto"/>
            <w:vAlign w:val="bottom"/>
          </w:tcPr>
          <w:p w14:paraId="5CD8FF25" w14:textId="77777777" w:rsidR="00BA49F5" w:rsidRDefault="00BA49F5">
            <w:pPr>
              <w:rPr>
                <w:rFonts w:ascii="宋体"/>
              </w:rPr>
            </w:pPr>
          </w:p>
        </w:tc>
        <w:tc>
          <w:tcPr>
            <w:tcW w:w="50" w:type="pct"/>
            <w:shd w:val="clear" w:color="auto" w:fill="auto"/>
            <w:vAlign w:val="bottom"/>
          </w:tcPr>
          <w:p w14:paraId="5CD8FF26" w14:textId="77777777" w:rsidR="00BA49F5" w:rsidRDefault="00BA49F5">
            <w:pPr>
              <w:rPr>
                <w:rFonts w:ascii="宋体"/>
              </w:rPr>
            </w:pPr>
          </w:p>
        </w:tc>
        <w:tc>
          <w:tcPr>
            <w:tcW w:w="593" w:type="pct"/>
            <w:shd w:val="clear" w:color="auto" w:fill="auto"/>
            <w:vAlign w:val="bottom"/>
          </w:tcPr>
          <w:p w14:paraId="5CD8FF27" w14:textId="77777777" w:rsidR="00BA49F5" w:rsidRDefault="00BA49F5">
            <w:pPr>
              <w:rPr>
                <w:rFonts w:ascii="宋体"/>
              </w:rPr>
            </w:pPr>
          </w:p>
        </w:tc>
        <w:tc>
          <w:tcPr>
            <w:tcW w:w="5" w:type="pct"/>
            <w:shd w:val="clear" w:color="auto" w:fill="auto"/>
            <w:vAlign w:val="bottom"/>
          </w:tcPr>
          <w:p w14:paraId="5CD8FF28" w14:textId="77777777" w:rsidR="00BA49F5" w:rsidRDefault="00BA49F5">
            <w:pPr>
              <w:rPr>
                <w:rFonts w:ascii="宋体"/>
              </w:rPr>
            </w:pPr>
          </w:p>
        </w:tc>
        <w:tc>
          <w:tcPr>
            <w:tcW w:w="5" w:type="pct"/>
            <w:shd w:val="clear" w:color="auto" w:fill="auto"/>
            <w:vAlign w:val="bottom"/>
          </w:tcPr>
          <w:p w14:paraId="5CD8FF29" w14:textId="77777777" w:rsidR="00BA49F5" w:rsidRDefault="00BA49F5">
            <w:pPr>
              <w:rPr>
                <w:rFonts w:ascii="宋体"/>
              </w:rPr>
            </w:pPr>
          </w:p>
        </w:tc>
        <w:tc>
          <w:tcPr>
            <w:tcW w:w="27" w:type="pct"/>
            <w:shd w:val="clear" w:color="auto" w:fill="auto"/>
            <w:vAlign w:val="bottom"/>
          </w:tcPr>
          <w:p w14:paraId="5CD8FF2A" w14:textId="77777777" w:rsidR="00BA49F5" w:rsidRDefault="00BA49F5">
            <w:pPr>
              <w:rPr>
                <w:rFonts w:ascii="宋体"/>
              </w:rPr>
            </w:pPr>
          </w:p>
        </w:tc>
        <w:tc>
          <w:tcPr>
            <w:tcW w:w="5" w:type="pct"/>
            <w:shd w:val="clear" w:color="auto" w:fill="auto"/>
            <w:vAlign w:val="bottom"/>
          </w:tcPr>
          <w:p w14:paraId="5CD8FF2B" w14:textId="77777777" w:rsidR="00BA49F5" w:rsidRDefault="00BA49F5">
            <w:pPr>
              <w:rPr>
                <w:rFonts w:ascii="宋体"/>
              </w:rPr>
            </w:pPr>
          </w:p>
        </w:tc>
        <w:tc>
          <w:tcPr>
            <w:tcW w:w="50" w:type="pct"/>
            <w:shd w:val="clear" w:color="auto" w:fill="auto"/>
            <w:vAlign w:val="bottom"/>
          </w:tcPr>
          <w:p w14:paraId="5CD8FF2C" w14:textId="77777777" w:rsidR="00BA49F5" w:rsidRDefault="00BA49F5">
            <w:pPr>
              <w:rPr>
                <w:rFonts w:ascii="宋体"/>
              </w:rPr>
            </w:pPr>
          </w:p>
        </w:tc>
        <w:tc>
          <w:tcPr>
            <w:tcW w:w="593" w:type="pct"/>
            <w:shd w:val="clear" w:color="auto" w:fill="auto"/>
            <w:vAlign w:val="bottom"/>
          </w:tcPr>
          <w:p w14:paraId="5CD8FF2D" w14:textId="77777777" w:rsidR="00BA49F5" w:rsidRDefault="00BA49F5">
            <w:pPr>
              <w:rPr>
                <w:rFonts w:ascii="宋体"/>
              </w:rPr>
            </w:pPr>
          </w:p>
        </w:tc>
        <w:tc>
          <w:tcPr>
            <w:tcW w:w="5" w:type="pct"/>
            <w:shd w:val="clear" w:color="auto" w:fill="auto"/>
            <w:vAlign w:val="bottom"/>
          </w:tcPr>
          <w:p w14:paraId="5CD8FF2E" w14:textId="77777777" w:rsidR="00BA49F5" w:rsidRDefault="00BA49F5">
            <w:pPr>
              <w:rPr>
                <w:rFonts w:ascii="宋体"/>
              </w:rPr>
            </w:pPr>
          </w:p>
        </w:tc>
        <w:tc>
          <w:tcPr>
            <w:tcW w:w="5" w:type="pct"/>
            <w:shd w:val="clear" w:color="auto" w:fill="auto"/>
            <w:vAlign w:val="bottom"/>
          </w:tcPr>
          <w:p w14:paraId="5CD8FF2F" w14:textId="77777777" w:rsidR="00BA49F5" w:rsidRDefault="00BA49F5">
            <w:pPr>
              <w:rPr>
                <w:rFonts w:ascii="宋体"/>
              </w:rPr>
            </w:pPr>
          </w:p>
        </w:tc>
        <w:tc>
          <w:tcPr>
            <w:tcW w:w="19" w:type="pct"/>
            <w:shd w:val="clear" w:color="auto" w:fill="auto"/>
            <w:vAlign w:val="bottom"/>
          </w:tcPr>
          <w:p w14:paraId="5CD8FF30" w14:textId="77777777" w:rsidR="00BA49F5" w:rsidRDefault="00BA49F5">
            <w:pPr>
              <w:rPr>
                <w:rFonts w:ascii="宋体"/>
              </w:rPr>
            </w:pPr>
          </w:p>
        </w:tc>
        <w:tc>
          <w:tcPr>
            <w:tcW w:w="5" w:type="pct"/>
            <w:shd w:val="clear" w:color="auto" w:fill="auto"/>
            <w:vAlign w:val="bottom"/>
          </w:tcPr>
          <w:p w14:paraId="5CD8FF31" w14:textId="77777777" w:rsidR="00BA49F5" w:rsidRDefault="00BA49F5">
            <w:pPr>
              <w:rPr>
                <w:rFonts w:ascii="宋体"/>
              </w:rPr>
            </w:pPr>
          </w:p>
        </w:tc>
        <w:tc>
          <w:tcPr>
            <w:tcW w:w="50" w:type="pct"/>
            <w:shd w:val="clear" w:color="auto" w:fill="auto"/>
            <w:vAlign w:val="bottom"/>
          </w:tcPr>
          <w:p w14:paraId="5CD8FF32" w14:textId="77777777" w:rsidR="00BA49F5" w:rsidRDefault="00BA49F5">
            <w:pPr>
              <w:rPr>
                <w:rFonts w:ascii="宋体"/>
              </w:rPr>
            </w:pPr>
          </w:p>
        </w:tc>
        <w:tc>
          <w:tcPr>
            <w:tcW w:w="593" w:type="pct"/>
            <w:shd w:val="clear" w:color="auto" w:fill="auto"/>
            <w:vAlign w:val="bottom"/>
          </w:tcPr>
          <w:p w14:paraId="5CD8FF33" w14:textId="77777777" w:rsidR="00BA49F5" w:rsidRDefault="00BA49F5">
            <w:pPr>
              <w:rPr>
                <w:rFonts w:ascii="宋体"/>
              </w:rPr>
            </w:pPr>
          </w:p>
        </w:tc>
        <w:tc>
          <w:tcPr>
            <w:tcW w:w="5" w:type="pct"/>
            <w:shd w:val="clear" w:color="auto" w:fill="auto"/>
            <w:vAlign w:val="bottom"/>
          </w:tcPr>
          <w:p w14:paraId="5CD8FF34" w14:textId="77777777" w:rsidR="00BA49F5" w:rsidRDefault="00BA49F5">
            <w:pPr>
              <w:rPr>
                <w:rFonts w:ascii="宋体"/>
              </w:rPr>
            </w:pPr>
          </w:p>
        </w:tc>
      </w:tr>
      <w:tr w:rsidR="00BA49F5" w14:paraId="5CD8FF38" w14:textId="77777777">
        <w:tc>
          <w:tcPr>
            <w:tcW w:w="0" w:type="auto"/>
            <w:gridSpan w:val="3"/>
            <w:shd w:val="clear" w:color="auto" w:fill="auto"/>
            <w:tcMar>
              <w:top w:w="0" w:type="dxa"/>
              <w:left w:w="20" w:type="dxa"/>
              <w:bottom w:w="0" w:type="dxa"/>
              <w:right w:w="20" w:type="dxa"/>
            </w:tcMar>
            <w:vAlign w:val="bottom"/>
          </w:tcPr>
          <w:p w14:paraId="5CD8FF36"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8FF37" w14:textId="77777777" w:rsidR="00BA49F5" w:rsidRDefault="007E5E49">
            <w:pPr>
              <w:jc w:val="center"/>
              <w:textAlignment w:val="bottom"/>
            </w:pPr>
            <w:r>
              <w:rPr>
                <w:rFonts w:ascii="Times New Roman" w:eastAsia="宋体" w:hAnsi="Times New Roman"/>
                <w:b/>
                <w:bCs/>
                <w:color w:val="000000"/>
                <w:sz w:val="16"/>
                <w:szCs w:val="16"/>
              </w:rPr>
              <w:t xml:space="preserve">Year Ended December 31, </w:t>
            </w:r>
          </w:p>
        </w:tc>
      </w:tr>
      <w:tr w:rsidR="00BA49F5" w14:paraId="5CD8FF3F" w14:textId="77777777">
        <w:tc>
          <w:tcPr>
            <w:tcW w:w="0" w:type="auto"/>
            <w:gridSpan w:val="3"/>
            <w:shd w:val="clear" w:color="auto" w:fill="FFFFFF"/>
            <w:tcMar>
              <w:top w:w="0" w:type="dxa"/>
              <w:left w:w="20" w:type="dxa"/>
              <w:bottom w:w="0" w:type="dxa"/>
              <w:right w:w="20" w:type="dxa"/>
            </w:tcMar>
            <w:vAlign w:val="bottom"/>
          </w:tcPr>
          <w:p w14:paraId="5CD8FF3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F3A"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F3B"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F3C"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F3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F3E"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8FF46" w14:textId="77777777">
        <w:tc>
          <w:tcPr>
            <w:tcW w:w="0" w:type="auto"/>
            <w:gridSpan w:val="3"/>
            <w:shd w:val="clear" w:color="auto" w:fill="CCEEFF"/>
            <w:tcMar>
              <w:top w:w="40" w:type="dxa"/>
              <w:left w:w="20" w:type="dxa"/>
              <w:bottom w:w="40" w:type="dxa"/>
              <w:right w:w="20" w:type="dxa"/>
            </w:tcMar>
            <w:vAlign w:val="bottom"/>
          </w:tcPr>
          <w:p w14:paraId="5CD8FF40" w14:textId="77777777" w:rsidR="00BA49F5" w:rsidRDefault="007E5E49">
            <w:pPr>
              <w:textAlignment w:val="bottom"/>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F41"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F42"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F43"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F44"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F45" w14:textId="77777777" w:rsidR="00BA49F5" w:rsidRDefault="00BA49F5">
            <w:pPr>
              <w:rPr>
                <w:rFonts w:ascii="宋体"/>
              </w:rPr>
            </w:pPr>
          </w:p>
        </w:tc>
      </w:tr>
      <w:tr w:rsidR="00BA49F5" w14:paraId="5CD8FF53" w14:textId="77777777">
        <w:tc>
          <w:tcPr>
            <w:tcW w:w="0" w:type="auto"/>
            <w:gridSpan w:val="3"/>
            <w:shd w:val="clear" w:color="auto" w:fill="FFFFFF"/>
            <w:tcMar>
              <w:top w:w="40" w:type="dxa"/>
              <w:left w:w="200" w:type="dxa"/>
              <w:bottom w:w="40" w:type="dxa"/>
              <w:right w:w="20" w:type="dxa"/>
            </w:tcMar>
            <w:vAlign w:val="bottom"/>
          </w:tcPr>
          <w:p w14:paraId="5CD8FF47" w14:textId="77777777" w:rsidR="00BA49F5" w:rsidRDefault="007E5E49">
            <w:pPr>
              <w:textAlignment w:val="bottom"/>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vAlign w:val="bottom"/>
          </w:tcPr>
          <w:p w14:paraId="5CD8FF4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F49" w14:textId="77777777" w:rsidR="00BA49F5" w:rsidRDefault="007E5E49">
            <w:pPr>
              <w:jc w:val="right"/>
              <w:textAlignment w:val="bottom"/>
            </w:pPr>
            <w:r>
              <w:rPr>
                <w:rFonts w:ascii="Times New Roman" w:eastAsia="宋体" w:hAnsi="Times New Roman"/>
                <w:color w:val="000000"/>
                <w:sz w:val="20"/>
                <w:szCs w:val="20"/>
              </w:rPr>
              <w:t>380 </w:t>
            </w:r>
          </w:p>
        </w:tc>
        <w:tc>
          <w:tcPr>
            <w:tcW w:w="0" w:type="auto"/>
            <w:shd w:val="clear" w:color="auto" w:fill="FFFFFF"/>
            <w:tcMar>
              <w:top w:w="40" w:type="dxa"/>
              <w:left w:w="0" w:type="dxa"/>
              <w:bottom w:w="40" w:type="dxa"/>
              <w:right w:w="20" w:type="dxa"/>
            </w:tcMar>
            <w:vAlign w:val="bottom"/>
          </w:tcPr>
          <w:p w14:paraId="5CD8FF4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4B"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F4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F4D" w14:textId="77777777" w:rsidR="00BA49F5" w:rsidRDefault="007E5E49">
            <w:pPr>
              <w:jc w:val="right"/>
              <w:textAlignment w:val="bottom"/>
            </w:pPr>
            <w:r>
              <w:rPr>
                <w:rFonts w:ascii="Times New Roman" w:eastAsia="宋体" w:hAnsi="Times New Roman"/>
                <w:color w:val="000000"/>
                <w:sz w:val="20"/>
                <w:szCs w:val="20"/>
              </w:rPr>
              <w:t>344 </w:t>
            </w:r>
          </w:p>
        </w:tc>
        <w:tc>
          <w:tcPr>
            <w:tcW w:w="0" w:type="auto"/>
            <w:shd w:val="clear" w:color="auto" w:fill="FFFFFF"/>
            <w:tcMar>
              <w:top w:w="40" w:type="dxa"/>
              <w:left w:w="0" w:type="dxa"/>
              <w:bottom w:w="40" w:type="dxa"/>
              <w:right w:w="20" w:type="dxa"/>
            </w:tcMar>
            <w:vAlign w:val="bottom"/>
          </w:tcPr>
          <w:p w14:paraId="5CD8FF4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4F"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8FF5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8FF51" w14:textId="77777777" w:rsidR="00BA49F5" w:rsidRDefault="007E5E49">
            <w:pPr>
              <w:jc w:val="right"/>
              <w:textAlignment w:val="bottom"/>
            </w:pPr>
            <w:r>
              <w:rPr>
                <w:rFonts w:ascii="Times New Roman" w:eastAsia="宋体" w:hAnsi="Times New Roman"/>
                <w:color w:val="000000"/>
                <w:sz w:val="20"/>
                <w:szCs w:val="20"/>
              </w:rPr>
              <w:t>259 </w:t>
            </w:r>
          </w:p>
        </w:tc>
        <w:tc>
          <w:tcPr>
            <w:tcW w:w="0" w:type="auto"/>
            <w:shd w:val="clear" w:color="auto" w:fill="FFFFFF"/>
            <w:tcMar>
              <w:top w:w="40" w:type="dxa"/>
              <w:left w:w="0" w:type="dxa"/>
              <w:bottom w:w="40" w:type="dxa"/>
              <w:right w:w="20" w:type="dxa"/>
            </w:tcMar>
            <w:vAlign w:val="bottom"/>
          </w:tcPr>
          <w:p w14:paraId="5CD8FF52" w14:textId="77777777" w:rsidR="00BA49F5" w:rsidRDefault="00BA49F5">
            <w:pPr>
              <w:jc w:val="right"/>
              <w:rPr>
                <w:rFonts w:ascii="宋体"/>
              </w:rPr>
            </w:pPr>
          </w:p>
        </w:tc>
      </w:tr>
      <w:tr w:rsidR="00BA49F5" w14:paraId="5CD8FF5D" w14:textId="77777777">
        <w:tc>
          <w:tcPr>
            <w:tcW w:w="0" w:type="auto"/>
            <w:gridSpan w:val="3"/>
            <w:shd w:val="clear" w:color="auto" w:fill="CCEEFF"/>
            <w:tcMar>
              <w:top w:w="40" w:type="dxa"/>
              <w:left w:w="200" w:type="dxa"/>
              <w:bottom w:w="40" w:type="dxa"/>
              <w:right w:w="20" w:type="dxa"/>
            </w:tcMar>
            <w:vAlign w:val="bottom"/>
          </w:tcPr>
          <w:p w14:paraId="5CD8FF54" w14:textId="77777777" w:rsidR="00BA49F5" w:rsidRDefault="007E5E49">
            <w:pPr>
              <w:textAlignment w:val="bottom"/>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vAlign w:val="bottom"/>
          </w:tcPr>
          <w:p w14:paraId="5CD8FF55"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CD8FF5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5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58" w14:textId="77777777" w:rsidR="00BA49F5" w:rsidRDefault="007E5E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5CD8FF5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5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5B" w14:textId="77777777" w:rsidR="00BA49F5" w:rsidRDefault="007E5E49">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5CD8FF5C" w14:textId="77777777" w:rsidR="00BA49F5" w:rsidRDefault="00BA49F5">
            <w:pPr>
              <w:jc w:val="right"/>
              <w:rPr>
                <w:rFonts w:ascii="宋体"/>
              </w:rPr>
            </w:pPr>
          </w:p>
        </w:tc>
      </w:tr>
      <w:tr w:rsidR="00BA49F5" w14:paraId="5CD8FF67" w14:textId="77777777">
        <w:tc>
          <w:tcPr>
            <w:tcW w:w="0" w:type="auto"/>
            <w:gridSpan w:val="3"/>
            <w:shd w:val="clear" w:color="auto" w:fill="FFFFFF"/>
            <w:tcMar>
              <w:top w:w="40" w:type="dxa"/>
              <w:left w:w="20" w:type="dxa"/>
              <w:bottom w:w="40" w:type="dxa"/>
              <w:right w:w="20" w:type="dxa"/>
            </w:tcMar>
            <w:vAlign w:val="bottom"/>
          </w:tcPr>
          <w:p w14:paraId="5CD8FF5E" w14:textId="77777777" w:rsidR="00BA49F5" w:rsidRDefault="007E5E49">
            <w:pPr>
              <w:textAlignment w:val="bottom"/>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vAlign w:val="bottom"/>
          </w:tcPr>
          <w:p w14:paraId="5CD8FF5F" w14:textId="77777777" w:rsidR="00BA49F5" w:rsidRDefault="007E5E49">
            <w:pPr>
              <w:jc w:val="right"/>
              <w:textAlignment w:val="bottom"/>
            </w:pPr>
            <w:r>
              <w:rPr>
                <w:rFonts w:ascii="Times New Roman" w:eastAsia="宋体" w:hAnsi="Times New Roman"/>
                <w:color w:val="000000"/>
                <w:sz w:val="20"/>
                <w:szCs w:val="20"/>
              </w:rPr>
              <w:t>1,857 </w:t>
            </w:r>
          </w:p>
        </w:tc>
        <w:tc>
          <w:tcPr>
            <w:tcW w:w="0" w:type="auto"/>
            <w:shd w:val="clear" w:color="auto" w:fill="FFFFFF"/>
            <w:tcMar>
              <w:top w:w="40" w:type="dxa"/>
              <w:left w:w="0" w:type="dxa"/>
              <w:bottom w:w="40" w:type="dxa"/>
              <w:right w:w="20" w:type="dxa"/>
            </w:tcMar>
            <w:vAlign w:val="bottom"/>
          </w:tcPr>
          <w:p w14:paraId="5CD8FF6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6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62" w14:textId="77777777" w:rsidR="00BA49F5" w:rsidRDefault="007E5E49">
            <w:pPr>
              <w:jc w:val="right"/>
              <w:textAlignment w:val="bottom"/>
            </w:pPr>
            <w:r>
              <w:rPr>
                <w:rFonts w:ascii="Times New Roman" w:eastAsia="宋体" w:hAnsi="Times New Roman"/>
                <w:color w:val="000000"/>
                <w:sz w:val="20"/>
                <w:szCs w:val="20"/>
              </w:rPr>
              <w:t>1,540 </w:t>
            </w:r>
          </w:p>
        </w:tc>
        <w:tc>
          <w:tcPr>
            <w:tcW w:w="0" w:type="auto"/>
            <w:shd w:val="clear" w:color="auto" w:fill="FFFFFF"/>
            <w:tcMar>
              <w:top w:w="40" w:type="dxa"/>
              <w:left w:w="0" w:type="dxa"/>
              <w:bottom w:w="40" w:type="dxa"/>
              <w:right w:w="20" w:type="dxa"/>
            </w:tcMar>
            <w:vAlign w:val="bottom"/>
          </w:tcPr>
          <w:p w14:paraId="5CD8FF6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6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65" w14:textId="77777777" w:rsidR="00BA49F5" w:rsidRDefault="007E5E49">
            <w:pPr>
              <w:jc w:val="right"/>
              <w:textAlignment w:val="bottom"/>
            </w:pPr>
            <w:r>
              <w:rPr>
                <w:rFonts w:ascii="Times New Roman" w:eastAsia="宋体" w:hAnsi="Times New Roman"/>
                <w:color w:val="000000"/>
                <w:sz w:val="20"/>
                <w:szCs w:val="20"/>
              </w:rPr>
              <w:t>1,391 </w:t>
            </w:r>
          </w:p>
        </w:tc>
        <w:tc>
          <w:tcPr>
            <w:tcW w:w="0" w:type="auto"/>
            <w:shd w:val="clear" w:color="auto" w:fill="FFFFFF"/>
            <w:tcMar>
              <w:top w:w="40" w:type="dxa"/>
              <w:left w:w="0" w:type="dxa"/>
              <w:bottom w:w="40" w:type="dxa"/>
              <w:right w:w="20" w:type="dxa"/>
            </w:tcMar>
            <w:vAlign w:val="bottom"/>
          </w:tcPr>
          <w:p w14:paraId="5CD8FF66" w14:textId="77777777" w:rsidR="00BA49F5" w:rsidRDefault="00BA49F5">
            <w:pPr>
              <w:jc w:val="right"/>
              <w:rPr>
                <w:rFonts w:ascii="宋体"/>
              </w:rPr>
            </w:pPr>
          </w:p>
        </w:tc>
      </w:tr>
      <w:tr w:rsidR="00BA49F5" w14:paraId="5CD8FF71" w14:textId="77777777">
        <w:tc>
          <w:tcPr>
            <w:tcW w:w="0" w:type="auto"/>
            <w:gridSpan w:val="3"/>
            <w:shd w:val="clear" w:color="auto" w:fill="CCEEFF"/>
            <w:tcMar>
              <w:top w:w="40" w:type="dxa"/>
              <w:left w:w="20" w:type="dxa"/>
              <w:bottom w:w="40" w:type="dxa"/>
              <w:right w:w="20" w:type="dxa"/>
            </w:tcMar>
            <w:vAlign w:val="bottom"/>
          </w:tcPr>
          <w:p w14:paraId="5CD8FF68" w14:textId="77777777" w:rsidR="00BA49F5" w:rsidRDefault="007E5E49">
            <w:pPr>
              <w:textAlignment w:val="bottom"/>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vAlign w:val="bottom"/>
          </w:tcPr>
          <w:p w14:paraId="5CD8FF69" w14:textId="77777777" w:rsidR="00BA49F5" w:rsidRDefault="007E5E49">
            <w:pPr>
              <w:jc w:val="right"/>
              <w:textAlignment w:val="bottom"/>
            </w:pPr>
            <w:r>
              <w:rPr>
                <w:rFonts w:ascii="Times New Roman" w:eastAsia="宋体" w:hAnsi="Times New Roman"/>
                <w:color w:val="000000"/>
                <w:sz w:val="20"/>
                <w:szCs w:val="20"/>
              </w:rPr>
              <w:t>363 </w:t>
            </w:r>
          </w:p>
        </w:tc>
        <w:tc>
          <w:tcPr>
            <w:tcW w:w="0" w:type="auto"/>
            <w:shd w:val="clear" w:color="auto" w:fill="CCEEFF"/>
            <w:tcMar>
              <w:top w:w="40" w:type="dxa"/>
              <w:left w:w="0" w:type="dxa"/>
              <w:bottom w:w="40" w:type="dxa"/>
              <w:right w:w="20" w:type="dxa"/>
            </w:tcMar>
            <w:vAlign w:val="bottom"/>
          </w:tcPr>
          <w:p w14:paraId="5CD8FF6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6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6C" w14:textId="77777777" w:rsidR="00BA49F5" w:rsidRDefault="007E5E49">
            <w:pPr>
              <w:jc w:val="right"/>
              <w:textAlignment w:val="bottom"/>
            </w:pPr>
            <w:r>
              <w:rPr>
                <w:rFonts w:ascii="Times New Roman" w:eastAsia="宋体" w:hAnsi="Times New Roman"/>
                <w:color w:val="000000"/>
                <w:sz w:val="20"/>
                <w:szCs w:val="20"/>
              </w:rPr>
              <w:t>272 </w:t>
            </w:r>
          </w:p>
        </w:tc>
        <w:tc>
          <w:tcPr>
            <w:tcW w:w="0" w:type="auto"/>
            <w:shd w:val="clear" w:color="auto" w:fill="CCEEFF"/>
            <w:tcMar>
              <w:top w:w="40" w:type="dxa"/>
              <w:left w:w="0" w:type="dxa"/>
              <w:bottom w:w="40" w:type="dxa"/>
              <w:right w:w="20" w:type="dxa"/>
            </w:tcMar>
            <w:vAlign w:val="bottom"/>
          </w:tcPr>
          <w:p w14:paraId="5CD8FF6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6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6F" w14:textId="77777777" w:rsidR="00BA49F5" w:rsidRDefault="007E5E49">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5CD8FF70" w14:textId="77777777" w:rsidR="00BA49F5" w:rsidRDefault="00BA49F5">
            <w:pPr>
              <w:jc w:val="right"/>
              <w:rPr>
                <w:rFonts w:ascii="宋体"/>
              </w:rPr>
            </w:pPr>
          </w:p>
        </w:tc>
      </w:tr>
      <w:tr w:rsidR="00BA49F5" w14:paraId="5CD8FF7E" w14:textId="77777777">
        <w:tc>
          <w:tcPr>
            <w:tcW w:w="0" w:type="auto"/>
            <w:gridSpan w:val="3"/>
            <w:shd w:val="clear" w:color="auto" w:fill="FFFFFF"/>
            <w:tcMar>
              <w:top w:w="40" w:type="dxa"/>
              <w:left w:w="380" w:type="dxa"/>
              <w:bottom w:w="40" w:type="dxa"/>
              <w:right w:w="20" w:type="dxa"/>
            </w:tcMar>
            <w:vAlign w:val="bottom"/>
          </w:tcPr>
          <w:p w14:paraId="5CD8FF72" w14:textId="77777777" w:rsidR="00BA49F5" w:rsidRDefault="007E5E49">
            <w:pPr>
              <w:textAlignment w:val="bottom"/>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F7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F74" w14:textId="77777777" w:rsidR="00BA49F5" w:rsidRDefault="007E5E49">
            <w:pPr>
              <w:jc w:val="right"/>
              <w:textAlignment w:val="bottom"/>
            </w:pPr>
            <w:r>
              <w:rPr>
                <w:rFonts w:ascii="Times New Roman" w:eastAsia="宋体" w:hAnsi="Times New Roman"/>
                <w:color w:val="000000"/>
                <w:sz w:val="20"/>
                <w:szCs w:val="20"/>
              </w:rPr>
              <w:t>2,616 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F7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76"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F77"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F78" w14:textId="77777777" w:rsidR="00BA49F5" w:rsidRDefault="007E5E49">
            <w:pPr>
              <w:jc w:val="right"/>
              <w:textAlignment w:val="bottom"/>
            </w:pPr>
            <w:r>
              <w:rPr>
                <w:rFonts w:ascii="Times New Roman" w:eastAsia="宋体" w:hAnsi="Times New Roman"/>
                <w:color w:val="000000"/>
                <w:sz w:val="20"/>
                <w:szCs w:val="20"/>
              </w:rPr>
              <w:t>2,171 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F7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7A"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8FF7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8FF7C" w14:textId="77777777" w:rsidR="00BA49F5" w:rsidRDefault="007E5E49">
            <w:pPr>
              <w:jc w:val="right"/>
              <w:textAlignment w:val="bottom"/>
            </w:pPr>
            <w:r>
              <w:rPr>
                <w:rFonts w:ascii="Times New Roman" w:eastAsia="宋体" w:hAnsi="Times New Roman"/>
                <w:color w:val="000000"/>
                <w:sz w:val="20"/>
                <w:szCs w:val="20"/>
              </w:rPr>
              <w:t>1,933 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8FF7D" w14:textId="77777777" w:rsidR="00BA49F5" w:rsidRDefault="00BA49F5">
            <w:pPr>
              <w:jc w:val="right"/>
              <w:rPr>
                <w:rFonts w:ascii="宋体"/>
              </w:rPr>
            </w:pPr>
          </w:p>
        </w:tc>
      </w:tr>
    </w:tbl>
    <w:p w14:paraId="5CD8FF7F" w14:textId="77777777" w:rsidR="00BA49F5" w:rsidRDefault="007E5E49">
      <w:pPr>
        <w:spacing w:before="100"/>
        <w:ind w:firstLine="540"/>
        <w:jc w:val="both"/>
      </w:pPr>
      <w:r>
        <w:rPr>
          <w:rFonts w:ascii="Times New Roman" w:eastAsia="宋体" w:hAnsi="Times New Roman"/>
          <w:color w:val="000000"/>
          <w:sz w:val="20"/>
          <w:szCs w:val="20"/>
        </w:rPr>
        <w:t>During the year ended December 31, 2022, we also recorded $1.71 billion impairment loss for operating lease ROU assets as a part of our facilities consolidation restructuring efforts. For additiona</w:t>
      </w:r>
      <w:r>
        <w:rPr>
          <w:rFonts w:ascii="Times New Roman" w:eastAsia="宋体" w:hAnsi="Times New Roman"/>
          <w:color w:val="000000"/>
          <w:sz w:val="20"/>
          <w:szCs w:val="20"/>
        </w:rPr>
        <w:t xml:space="preserve">l information, see Note 3 — Restructuring. </w:t>
      </w:r>
    </w:p>
    <w:p w14:paraId="5CD8FF80" w14:textId="77777777" w:rsidR="00BA49F5" w:rsidRDefault="007E5E49">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21"/>
        <w:gridCol w:w="36"/>
        <w:gridCol w:w="37"/>
        <w:gridCol w:w="1069"/>
        <w:gridCol w:w="188"/>
        <w:gridCol w:w="37"/>
        <w:gridCol w:w="36"/>
        <w:gridCol w:w="36"/>
        <w:gridCol w:w="36"/>
        <w:gridCol w:w="1016"/>
        <w:gridCol w:w="187"/>
      </w:tblGrid>
      <w:tr w:rsidR="00BA49F5" w14:paraId="5CD8FF8D" w14:textId="77777777">
        <w:trPr>
          <w:jc w:val="center"/>
        </w:trPr>
        <w:tc>
          <w:tcPr>
            <w:tcW w:w="50" w:type="pct"/>
            <w:shd w:val="clear" w:color="auto" w:fill="auto"/>
            <w:vAlign w:val="bottom"/>
          </w:tcPr>
          <w:p w14:paraId="5CD8FF81" w14:textId="77777777" w:rsidR="00BA49F5" w:rsidRDefault="00BA49F5">
            <w:pPr>
              <w:rPr>
                <w:rFonts w:ascii="宋体"/>
              </w:rPr>
            </w:pPr>
          </w:p>
        </w:tc>
        <w:tc>
          <w:tcPr>
            <w:tcW w:w="3419" w:type="pct"/>
            <w:shd w:val="clear" w:color="auto" w:fill="auto"/>
            <w:vAlign w:val="bottom"/>
          </w:tcPr>
          <w:p w14:paraId="5CD8FF82" w14:textId="77777777" w:rsidR="00BA49F5" w:rsidRDefault="00BA49F5">
            <w:pPr>
              <w:rPr>
                <w:rFonts w:ascii="宋体"/>
              </w:rPr>
            </w:pPr>
          </w:p>
        </w:tc>
        <w:tc>
          <w:tcPr>
            <w:tcW w:w="5" w:type="pct"/>
            <w:shd w:val="clear" w:color="auto" w:fill="auto"/>
            <w:vAlign w:val="bottom"/>
          </w:tcPr>
          <w:p w14:paraId="5CD8FF83" w14:textId="77777777" w:rsidR="00BA49F5" w:rsidRDefault="00BA49F5">
            <w:pPr>
              <w:rPr>
                <w:rFonts w:ascii="宋体"/>
              </w:rPr>
            </w:pPr>
          </w:p>
        </w:tc>
        <w:tc>
          <w:tcPr>
            <w:tcW w:w="50" w:type="pct"/>
            <w:shd w:val="clear" w:color="auto" w:fill="auto"/>
            <w:vAlign w:val="bottom"/>
          </w:tcPr>
          <w:p w14:paraId="5CD8FF84" w14:textId="77777777" w:rsidR="00BA49F5" w:rsidRDefault="00BA49F5">
            <w:pPr>
              <w:rPr>
                <w:rFonts w:ascii="宋体"/>
              </w:rPr>
            </w:pPr>
          </w:p>
        </w:tc>
        <w:tc>
          <w:tcPr>
            <w:tcW w:w="689" w:type="pct"/>
            <w:shd w:val="clear" w:color="auto" w:fill="auto"/>
            <w:vAlign w:val="bottom"/>
          </w:tcPr>
          <w:p w14:paraId="5CD8FF85" w14:textId="77777777" w:rsidR="00BA49F5" w:rsidRDefault="00BA49F5">
            <w:pPr>
              <w:rPr>
                <w:rFonts w:ascii="宋体"/>
              </w:rPr>
            </w:pPr>
          </w:p>
        </w:tc>
        <w:tc>
          <w:tcPr>
            <w:tcW w:w="5" w:type="pct"/>
            <w:shd w:val="clear" w:color="auto" w:fill="auto"/>
            <w:vAlign w:val="bottom"/>
          </w:tcPr>
          <w:p w14:paraId="5CD8FF86" w14:textId="77777777" w:rsidR="00BA49F5" w:rsidRDefault="00BA49F5">
            <w:pPr>
              <w:rPr>
                <w:rFonts w:ascii="宋体"/>
              </w:rPr>
            </w:pPr>
          </w:p>
        </w:tc>
        <w:tc>
          <w:tcPr>
            <w:tcW w:w="5" w:type="pct"/>
            <w:shd w:val="clear" w:color="auto" w:fill="auto"/>
            <w:vAlign w:val="bottom"/>
          </w:tcPr>
          <w:p w14:paraId="5CD8FF87" w14:textId="77777777" w:rsidR="00BA49F5" w:rsidRDefault="00BA49F5">
            <w:pPr>
              <w:rPr>
                <w:rFonts w:ascii="宋体"/>
              </w:rPr>
            </w:pPr>
          </w:p>
        </w:tc>
        <w:tc>
          <w:tcPr>
            <w:tcW w:w="27" w:type="pct"/>
            <w:shd w:val="clear" w:color="auto" w:fill="auto"/>
            <w:vAlign w:val="bottom"/>
          </w:tcPr>
          <w:p w14:paraId="5CD8FF88" w14:textId="77777777" w:rsidR="00BA49F5" w:rsidRDefault="00BA49F5">
            <w:pPr>
              <w:rPr>
                <w:rFonts w:ascii="宋体"/>
              </w:rPr>
            </w:pPr>
          </w:p>
        </w:tc>
        <w:tc>
          <w:tcPr>
            <w:tcW w:w="5" w:type="pct"/>
            <w:shd w:val="clear" w:color="auto" w:fill="auto"/>
            <w:vAlign w:val="bottom"/>
          </w:tcPr>
          <w:p w14:paraId="5CD8FF89" w14:textId="77777777" w:rsidR="00BA49F5" w:rsidRDefault="00BA49F5">
            <w:pPr>
              <w:rPr>
                <w:rFonts w:ascii="宋体"/>
              </w:rPr>
            </w:pPr>
          </w:p>
        </w:tc>
        <w:tc>
          <w:tcPr>
            <w:tcW w:w="50" w:type="pct"/>
            <w:shd w:val="clear" w:color="auto" w:fill="auto"/>
            <w:vAlign w:val="bottom"/>
          </w:tcPr>
          <w:p w14:paraId="5CD8FF8A" w14:textId="77777777" w:rsidR="00BA49F5" w:rsidRDefault="00BA49F5">
            <w:pPr>
              <w:rPr>
                <w:rFonts w:ascii="宋体"/>
              </w:rPr>
            </w:pPr>
          </w:p>
        </w:tc>
        <w:tc>
          <w:tcPr>
            <w:tcW w:w="689" w:type="pct"/>
            <w:shd w:val="clear" w:color="auto" w:fill="auto"/>
            <w:vAlign w:val="bottom"/>
          </w:tcPr>
          <w:p w14:paraId="5CD8FF8B" w14:textId="77777777" w:rsidR="00BA49F5" w:rsidRDefault="00BA49F5">
            <w:pPr>
              <w:rPr>
                <w:rFonts w:ascii="宋体"/>
              </w:rPr>
            </w:pPr>
          </w:p>
        </w:tc>
        <w:tc>
          <w:tcPr>
            <w:tcW w:w="5" w:type="pct"/>
            <w:shd w:val="clear" w:color="auto" w:fill="auto"/>
            <w:vAlign w:val="bottom"/>
          </w:tcPr>
          <w:p w14:paraId="5CD8FF8C" w14:textId="77777777" w:rsidR="00BA49F5" w:rsidRDefault="00BA49F5">
            <w:pPr>
              <w:rPr>
                <w:rFonts w:ascii="宋体"/>
              </w:rPr>
            </w:pPr>
          </w:p>
        </w:tc>
      </w:tr>
      <w:tr w:rsidR="00BA49F5" w14:paraId="5CD8FF90" w14:textId="77777777">
        <w:trPr>
          <w:jc w:val="center"/>
        </w:trPr>
        <w:tc>
          <w:tcPr>
            <w:tcW w:w="0" w:type="auto"/>
            <w:gridSpan w:val="3"/>
            <w:shd w:val="clear" w:color="auto" w:fill="auto"/>
            <w:tcMar>
              <w:top w:w="0" w:type="dxa"/>
              <w:left w:w="20" w:type="dxa"/>
              <w:bottom w:w="0" w:type="dxa"/>
              <w:right w:w="20" w:type="dxa"/>
            </w:tcMar>
            <w:vAlign w:val="bottom"/>
          </w:tcPr>
          <w:p w14:paraId="5CD8FF8E"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8FF8F" w14:textId="77777777" w:rsidR="00BA49F5" w:rsidRDefault="007E5E49">
            <w:pPr>
              <w:jc w:val="center"/>
              <w:textAlignment w:val="bottom"/>
            </w:pPr>
            <w:r>
              <w:rPr>
                <w:rFonts w:ascii="Times New Roman" w:eastAsia="宋体" w:hAnsi="Times New Roman"/>
                <w:b/>
                <w:bCs/>
                <w:color w:val="000000"/>
                <w:sz w:val="16"/>
                <w:szCs w:val="16"/>
              </w:rPr>
              <w:t xml:space="preserve">December 31, </w:t>
            </w:r>
          </w:p>
        </w:tc>
      </w:tr>
      <w:tr w:rsidR="00BA49F5" w14:paraId="5CD8FF95" w14:textId="77777777">
        <w:trPr>
          <w:jc w:val="center"/>
        </w:trPr>
        <w:tc>
          <w:tcPr>
            <w:tcW w:w="0" w:type="auto"/>
            <w:gridSpan w:val="3"/>
            <w:shd w:val="clear" w:color="auto" w:fill="FFFFFF"/>
            <w:tcMar>
              <w:top w:w="0" w:type="dxa"/>
              <w:left w:w="20" w:type="dxa"/>
              <w:bottom w:w="0" w:type="dxa"/>
              <w:right w:w="20" w:type="dxa"/>
            </w:tcMar>
            <w:vAlign w:val="bottom"/>
          </w:tcPr>
          <w:p w14:paraId="5CD8FF9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F92"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8FF9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8FF94"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8FF9A" w14:textId="77777777">
        <w:trPr>
          <w:jc w:val="center"/>
        </w:trPr>
        <w:tc>
          <w:tcPr>
            <w:tcW w:w="0" w:type="auto"/>
            <w:gridSpan w:val="3"/>
            <w:shd w:val="clear" w:color="auto" w:fill="CCEEFF"/>
            <w:tcMar>
              <w:top w:w="40" w:type="dxa"/>
              <w:left w:w="20" w:type="dxa"/>
              <w:bottom w:w="40" w:type="dxa"/>
              <w:right w:w="20" w:type="dxa"/>
            </w:tcMar>
            <w:vAlign w:val="bottom"/>
          </w:tcPr>
          <w:p w14:paraId="5CD8FF96" w14:textId="77777777" w:rsidR="00BA49F5" w:rsidRDefault="007E5E49">
            <w:pPr>
              <w:textAlignment w:val="bottom"/>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F9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8FF98"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8FF99" w14:textId="77777777" w:rsidR="00BA49F5" w:rsidRDefault="00BA49F5">
            <w:pPr>
              <w:rPr>
                <w:rFonts w:ascii="宋体"/>
              </w:rPr>
            </w:pPr>
          </w:p>
        </w:tc>
      </w:tr>
      <w:tr w:rsidR="00BA49F5" w14:paraId="5CD8FF9F" w14:textId="77777777">
        <w:trPr>
          <w:jc w:val="center"/>
        </w:trPr>
        <w:tc>
          <w:tcPr>
            <w:tcW w:w="0" w:type="auto"/>
            <w:gridSpan w:val="3"/>
            <w:shd w:val="clear" w:color="auto" w:fill="FFFFFF"/>
            <w:tcMar>
              <w:top w:w="40" w:type="dxa"/>
              <w:left w:w="200" w:type="dxa"/>
              <w:bottom w:w="40" w:type="dxa"/>
              <w:right w:w="20" w:type="dxa"/>
            </w:tcMar>
            <w:vAlign w:val="bottom"/>
          </w:tcPr>
          <w:p w14:paraId="5CD8FF9B" w14:textId="77777777" w:rsidR="00BA49F5" w:rsidRDefault="007E5E49">
            <w:pPr>
              <w:textAlignment w:val="bottom"/>
            </w:pPr>
            <w:r>
              <w:rPr>
                <w:rFonts w:ascii="Times New Roman" w:eastAsia="宋体" w:hAnsi="Times New Roman"/>
                <w:color w:val="000000"/>
                <w:sz w:val="20"/>
                <w:szCs w:val="20"/>
              </w:rPr>
              <w:t>Finance leases</w:t>
            </w:r>
          </w:p>
        </w:tc>
        <w:tc>
          <w:tcPr>
            <w:tcW w:w="0" w:type="auto"/>
            <w:gridSpan w:val="3"/>
            <w:shd w:val="clear" w:color="auto" w:fill="FFFFFF"/>
            <w:tcMar>
              <w:top w:w="40" w:type="dxa"/>
              <w:left w:w="20" w:type="dxa"/>
              <w:bottom w:w="40" w:type="dxa"/>
              <w:right w:w="20" w:type="dxa"/>
            </w:tcMar>
            <w:vAlign w:val="bottom"/>
          </w:tcPr>
          <w:p w14:paraId="5CD8FF9C" w14:textId="77777777" w:rsidR="00BA49F5" w:rsidRDefault="007E5E49">
            <w:pPr>
              <w:jc w:val="right"/>
              <w:textAlignment w:val="bottom"/>
            </w:pPr>
            <w:r>
              <w:rPr>
                <w:rFonts w:ascii="Times New Roman" w:eastAsia="宋体" w:hAnsi="Times New Roman"/>
                <w:color w:val="000000"/>
                <w:sz w:val="20"/>
                <w:szCs w:val="20"/>
              </w:rPr>
              <w:t>14.4 years</w:t>
            </w:r>
          </w:p>
        </w:tc>
        <w:tc>
          <w:tcPr>
            <w:tcW w:w="0" w:type="auto"/>
            <w:gridSpan w:val="3"/>
            <w:shd w:val="clear" w:color="auto" w:fill="FFFFFF"/>
            <w:tcMar>
              <w:top w:w="0" w:type="dxa"/>
              <w:left w:w="20" w:type="dxa"/>
              <w:bottom w:w="0" w:type="dxa"/>
              <w:right w:w="20" w:type="dxa"/>
            </w:tcMar>
            <w:vAlign w:val="bottom"/>
          </w:tcPr>
          <w:p w14:paraId="5CD8FF9D"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8FF9E" w14:textId="77777777" w:rsidR="00BA49F5" w:rsidRDefault="007E5E49">
            <w:pPr>
              <w:jc w:val="right"/>
              <w:textAlignment w:val="bottom"/>
            </w:pPr>
            <w:r>
              <w:rPr>
                <w:rFonts w:ascii="Times New Roman" w:eastAsia="宋体" w:hAnsi="Times New Roman"/>
                <w:color w:val="000000"/>
                <w:sz w:val="20"/>
                <w:szCs w:val="20"/>
              </w:rPr>
              <w:t>13.9 years</w:t>
            </w:r>
          </w:p>
        </w:tc>
      </w:tr>
      <w:tr w:rsidR="00BA49F5" w14:paraId="5CD8FFA4" w14:textId="77777777">
        <w:trPr>
          <w:jc w:val="center"/>
        </w:trPr>
        <w:tc>
          <w:tcPr>
            <w:tcW w:w="0" w:type="auto"/>
            <w:gridSpan w:val="3"/>
            <w:shd w:val="clear" w:color="auto" w:fill="CCEEFF"/>
            <w:tcMar>
              <w:top w:w="40" w:type="dxa"/>
              <w:left w:w="200" w:type="dxa"/>
              <w:bottom w:w="40" w:type="dxa"/>
              <w:right w:w="20" w:type="dxa"/>
            </w:tcMar>
            <w:vAlign w:val="bottom"/>
          </w:tcPr>
          <w:p w14:paraId="5CD8FFA0" w14:textId="77777777" w:rsidR="00BA49F5" w:rsidRDefault="007E5E49">
            <w:pPr>
              <w:textAlignment w:val="bottom"/>
            </w:pPr>
            <w:r>
              <w:rPr>
                <w:rFonts w:ascii="Times New Roman" w:eastAsia="宋体" w:hAnsi="Times New Roman"/>
                <w:color w:val="000000"/>
                <w:sz w:val="20"/>
                <w:szCs w:val="20"/>
              </w:rPr>
              <w:t xml:space="preserve">Operating leases </w:t>
            </w:r>
          </w:p>
        </w:tc>
        <w:tc>
          <w:tcPr>
            <w:tcW w:w="0" w:type="auto"/>
            <w:gridSpan w:val="3"/>
            <w:shd w:val="clear" w:color="auto" w:fill="CCEEFF"/>
            <w:tcMar>
              <w:top w:w="40" w:type="dxa"/>
              <w:left w:w="20" w:type="dxa"/>
              <w:bottom w:w="40" w:type="dxa"/>
              <w:right w:w="20" w:type="dxa"/>
            </w:tcMar>
            <w:vAlign w:val="bottom"/>
          </w:tcPr>
          <w:p w14:paraId="5CD8FFA1" w14:textId="77777777" w:rsidR="00BA49F5" w:rsidRDefault="007E5E49">
            <w:pPr>
              <w:jc w:val="right"/>
              <w:textAlignment w:val="bottom"/>
            </w:pPr>
            <w:r>
              <w:rPr>
                <w:rFonts w:ascii="Times New Roman" w:eastAsia="宋体" w:hAnsi="Times New Roman"/>
                <w:color w:val="000000"/>
                <w:sz w:val="20"/>
                <w:szCs w:val="20"/>
              </w:rPr>
              <w:t>12.5 years</w:t>
            </w:r>
          </w:p>
        </w:tc>
        <w:tc>
          <w:tcPr>
            <w:tcW w:w="0" w:type="auto"/>
            <w:gridSpan w:val="3"/>
            <w:shd w:val="clear" w:color="auto" w:fill="CCEEFF"/>
            <w:tcMar>
              <w:top w:w="0" w:type="dxa"/>
              <w:left w:w="20" w:type="dxa"/>
              <w:bottom w:w="0" w:type="dxa"/>
              <w:right w:w="20" w:type="dxa"/>
            </w:tcMar>
            <w:vAlign w:val="bottom"/>
          </w:tcPr>
          <w:p w14:paraId="5CD8FFA2"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8FFA3" w14:textId="77777777" w:rsidR="00BA49F5" w:rsidRDefault="007E5E49">
            <w:pPr>
              <w:jc w:val="right"/>
              <w:textAlignment w:val="bottom"/>
            </w:pPr>
            <w:r>
              <w:rPr>
                <w:rFonts w:ascii="Times New Roman" w:eastAsia="宋体" w:hAnsi="Times New Roman"/>
                <w:color w:val="000000"/>
                <w:sz w:val="20"/>
                <w:szCs w:val="20"/>
              </w:rPr>
              <w:t>13.0 years</w:t>
            </w:r>
          </w:p>
        </w:tc>
      </w:tr>
      <w:tr w:rsidR="00BA49F5" w14:paraId="5CD8FFA9" w14:textId="77777777">
        <w:trPr>
          <w:jc w:val="center"/>
        </w:trPr>
        <w:tc>
          <w:tcPr>
            <w:tcW w:w="0" w:type="auto"/>
            <w:gridSpan w:val="3"/>
            <w:shd w:val="clear" w:color="auto" w:fill="FFFFFF"/>
            <w:tcMar>
              <w:top w:w="40" w:type="dxa"/>
              <w:left w:w="20" w:type="dxa"/>
              <w:bottom w:w="40" w:type="dxa"/>
              <w:right w:w="20" w:type="dxa"/>
            </w:tcMar>
            <w:vAlign w:val="bottom"/>
          </w:tcPr>
          <w:p w14:paraId="5CD8FFA5" w14:textId="77777777" w:rsidR="00BA49F5" w:rsidRDefault="007E5E49">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5CD8FFA6"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FA7"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8FFA8" w14:textId="77777777" w:rsidR="00BA49F5" w:rsidRDefault="00BA49F5">
            <w:pPr>
              <w:rPr>
                <w:rFonts w:ascii="宋体"/>
              </w:rPr>
            </w:pPr>
          </w:p>
        </w:tc>
      </w:tr>
      <w:tr w:rsidR="00BA49F5" w14:paraId="5CD8FFB0" w14:textId="77777777">
        <w:trPr>
          <w:jc w:val="center"/>
        </w:trPr>
        <w:tc>
          <w:tcPr>
            <w:tcW w:w="0" w:type="auto"/>
            <w:gridSpan w:val="3"/>
            <w:shd w:val="clear" w:color="auto" w:fill="CCEEFF"/>
            <w:tcMar>
              <w:top w:w="40" w:type="dxa"/>
              <w:left w:w="200" w:type="dxa"/>
              <w:bottom w:w="40" w:type="dxa"/>
              <w:right w:w="20" w:type="dxa"/>
            </w:tcMar>
            <w:vAlign w:val="bottom"/>
          </w:tcPr>
          <w:p w14:paraId="5CD8FFAA" w14:textId="77777777" w:rsidR="00BA49F5" w:rsidRDefault="007E5E49">
            <w:pPr>
              <w:textAlignment w:val="bottom"/>
            </w:pPr>
            <w:r>
              <w:rPr>
                <w:rFonts w:ascii="Times New Roman" w:eastAsia="宋体" w:hAnsi="Times New Roman"/>
                <w:color w:val="000000"/>
                <w:sz w:val="20"/>
                <w:szCs w:val="20"/>
              </w:rPr>
              <w:t>Finance leases</w:t>
            </w:r>
          </w:p>
        </w:tc>
        <w:tc>
          <w:tcPr>
            <w:tcW w:w="0" w:type="auto"/>
            <w:gridSpan w:val="2"/>
            <w:shd w:val="clear" w:color="auto" w:fill="CCEEFF"/>
            <w:tcMar>
              <w:top w:w="40" w:type="dxa"/>
              <w:left w:w="20" w:type="dxa"/>
              <w:bottom w:w="40" w:type="dxa"/>
              <w:right w:w="0" w:type="dxa"/>
            </w:tcMar>
            <w:vAlign w:val="bottom"/>
          </w:tcPr>
          <w:p w14:paraId="5CD8FFAB" w14:textId="77777777" w:rsidR="00BA49F5" w:rsidRDefault="007E5E49">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5CD8FFAC"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8FFA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AE" w14:textId="77777777" w:rsidR="00BA49F5" w:rsidRDefault="007E5E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5CD8FFAF" w14:textId="77777777" w:rsidR="00BA49F5" w:rsidRDefault="007E5E49">
            <w:pPr>
              <w:jc w:val="right"/>
              <w:textAlignment w:val="bottom"/>
            </w:pPr>
            <w:r>
              <w:rPr>
                <w:rFonts w:ascii="Times New Roman" w:eastAsia="宋体" w:hAnsi="Times New Roman"/>
                <w:color w:val="000000"/>
                <w:sz w:val="20"/>
                <w:szCs w:val="20"/>
              </w:rPr>
              <w:t>%</w:t>
            </w:r>
          </w:p>
        </w:tc>
      </w:tr>
      <w:tr w:rsidR="00BA49F5" w14:paraId="5CD8FFB7" w14:textId="77777777">
        <w:trPr>
          <w:jc w:val="center"/>
        </w:trPr>
        <w:tc>
          <w:tcPr>
            <w:tcW w:w="0" w:type="auto"/>
            <w:gridSpan w:val="3"/>
            <w:shd w:val="clear" w:color="auto" w:fill="FFFFFF"/>
            <w:tcMar>
              <w:top w:w="40" w:type="dxa"/>
              <w:left w:w="200" w:type="dxa"/>
              <w:bottom w:w="40" w:type="dxa"/>
              <w:right w:w="20" w:type="dxa"/>
            </w:tcMar>
            <w:vAlign w:val="bottom"/>
          </w:tcPr>
          <w:p w14:paraId="5CD8FFB1" w14:textId="77777777" w:rsidR="00BA49F5" w:rsidRDefault="007E5E49">
            <w:pPr>
              <w:textAlignment w:val="bottom"/>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5CD8FFB2" w14:textId="77777777" w:rsidR="00BA49F5" w:rsidRDefault="007E5E49">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5CD8FFB3"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CD8FFB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B5" w14:textId="77777777" w:rsidR="00BA49F5" w:rsidRDefault="007E5E49">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5CD8FFB6" w14:textId="77777777" w:rsidR="00BA49F5" w:rsidRDefault="007E5E49">
            <w:pPr>
              <w:jc w:val="right"/>
              <w:textAlignment w:val="bottom"/>
            </w:pPr>
            <w:r>
              <w:rPr>
                <w:rFonts w:ascii="Times New Roman" w:eastAsia="宋体" w:hAnsi="Times New Roman"/>
                <w:color w:val="000000"/>
                <w:sz w:val="20"/>
                <w:szCs w:val="20"/>
              </w:rPr>
              <w:t>%</w:t>
            </w:r>
          </w:p>
        </w:tc>
      </w:tr>
    </w:tbl>
    <w:p w14:paraId="5CD8FFB8" w14:textId="77777777" w:rsidR="00BA49F5" w:rsidRDefault="00BA49F5">
      <w:pPr>
        <w:jc w:val="center"/>
      </w:pPr>
    </w:p>
    <w:p w14:paraId="5CD8FFB9" w14:textId="77777777" w:rsidR="00BA49F5" w:rsidRDefault="007E5E49">
      <w:pPr>
        <w:jc w:val="center"/>
      </w:pPr>
      <w:r>
        <w:rPr>
          <w:rFonts w:ascii="Times New Roman" w:eastAsia="宋体" w:hAnsi="Times New Roman"/>
          <w:color w:val="000000"/>
          <w:sz w:val="20"/>
          <w:szCs w:val="20"/>
        </w:rPr>
        <w:t>106</w:t>
      </w:r>
    </w:p>
    <w:p w14:paraId="5CD8FFBA" w14:textId="77777777" w:rsidR="00BA49F5" w:rsidRDefault="007E5E49">
      <w:r>
        <w:pict w14:anchorId="5CD90D5F">
          <v:rect id="_x0000_i1130" style="width:415.3pt;height:1.5pt" o:hralign="center" o:hrstd="t" o:hr="t" fillcolor="#a0a0a0" stroked="f"/>
        </w:pict>
      </w:r>
    </w:p>
    <w:p w14:paraId="5CD8FFBB" w14:textId="77777777" w:rsidR="00BA49F5" w:rsidRDefault="00BA49F5"/>
    <w:p w14:paraId="5CD8FFBC" w14:textId="77777777" w:rsidR="00BA49F5" w:rsidRDefault="00BA49F5"/>
    <w:p w14:paraId="5CD8FFBD" w14:textId="77777777" w:rsidR="00BA49F5" w:rsidRDefault="007E5E49">
      <w:hyperlink r:id="rId307" w:anchor="i6df229dad1864210ab76200083e26819_7" w:history="1">
        <w:r>
          <w:rPr>
            <w:rStyle w:val="a5"/>
            <w:rFonts w:ascii="Times New Roman" w:eastAsia="宋体" w:hAnsi="Times New Roman"/>
            <w:sz w:val="20"/>
            <w:szCs w:val="20"/>
          </w:rPr>
          <w:t>T</w:t>
        </w:r>
      </w:hyperlink>
      <w:hyperlink r:id="rId308" w:anchor="i6df229dad1864210ab76200083e26819_7" w:history="1">
        <w:r>
          <w:rPr>
            <w:rStyle w:val="a5"/>
            <w:rFonts w:ascii="Times New Roman" w:eastAsia="宋体" w:hAnsi="Times New Roman"/>
            <w:sz w:val="20"/>
            <w:szCs w:val="20"/>
          </w:rPr>
          <w:t>able of Contents</w:t>
        </w:r>
      </w:hyperlink>
    </w:p>
    <w:p w14:paraId="5CD8FFBE" w14:textId="77777777" w:rsidR="00BA49F5" w:rsidRDefault="007E5E49">
      <w:pPr>
        <w:ind w:firstLine="540"/>
      </w:pPr>
      <w:r>
        <w:rPr>
          <w:rFonts w:ascii="Times New Roman" w:eastAsia="宋体" w:hAnsi="Times New Roman"/>
          <w:color w:val="000000"/>
          <w:sz w:val="20"/>
          <w:szCs w:val="20"/>
        </w:rPr>
        <w:t>The following is a schedule, by years, of maturities of lease liabilities as of December 31, 2022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6"/>
        <w:gridCol w:w="36"/>
        <w:gridCol w:w="36"/>
        <w:gridCol w:w="36"/>
        <w:gridCol w:w="36"/>
        <w:gridCol w:w="121"/>
        <w:gridCol w:w="1074"/>
        <w:gridCol w:w="36"/>
      </w:tblGrid>
      <w:tr w:rsidR="00BA49F5" w14:paraId="5CD8FFCB" w14:textId="77777777">
        <w:tc>
          <w:tcPr>
            <w:tcW w:w="50" w:type="pct"/>
            <w:shd w:val="clear" w:color="auto" w:fill="auto"/>
            <w:vAlign w:val="bottom"/>
          </w:tcPr>
          <w:p w14:paraId="5CD8FFBF" w14:textId="77777777" w:rsidR="00BA49F5" w:rsidRDefault="00BA49F5">
            <w:pPr>
              <w:rPr>
                <w:rFonts w:ascii="宋体"/>
              </w:rPr>
            </w:pPr>
          </w:p>
        </w:tc>
        <w:tc>
          <w:tcPr>
            <w:tcW w:w="3419" w:type="pct"/>
            <w:shd w:val="clear" w:color="auto" w:fill="auto"/>
            <w:vAlign w:val="bottom"/>
          </w:tcPr>
          <w:p w14:paraId="5CD8FFC0" w14:textId="77777777" w:rsidR="00BA49F5" w:rsidRDefault="00BA49F5">
            <w:pPr>
              <w:rPr>
                <w:rFonts w:ascii="宋体"/>
              </w:rPr>
            </w:pPr>
          </w:p>
        </w:tc>
        <w:tc>
          <w:tcPr>
            <w:tcW w:w="5" w:type="pct"/>
            <w:shd w:val="clear" w:color="auto" w:fill="auto"/>
            <w:vAlign w:val="bottom"/>
          </w:tcPr>
          <w:p w14:paraId="5CD8FFC1" w14:textId="77777777" w:rsidR="00BA49F5" w:rsidRDefault="00BA49F5">
            <w:pPr>
              <w:rPr>
                <w:rFonts w:ascii="宋体"/>
              </w:rPr>
            </w:pPr>
          </w:p>
        </w:tc>
        <w:tc>
          <w:tcPr>
            <w:tcW w:w="50" w:type="pct"/>
            <w:shd w:val="clear" w:color="auto" w:fill="auto"/>
            <w:vAlign w:val="bottom"/>
          </w:tcPr>
          <w:p w14:paraId="5CD8FFC2" w14:textId="77777777" w:rsidR="00BA49F5" w:rsidRDefault="00BA49F5">
            <w:pPr>
              <w:rPr>
                <w:rFonts w:ascii="宋体"/>
              </w:rPr>
            </w:pPr>
          </w:p>
        </w:tc>
        <w:tc>
          <w:tcPr>
            <w:tcW w:w="689" w:type="pct"/>
            <w:shd w:val="clear" w:color="auto" w:fill="auto"/>
            <w:vAlign w:val="bottom"/>
          </w:tcPr>
          <w:p w14:paraId="5CD8FFC3" w14:textId="77777777" w:rsidR="00BA49F5" w:rsidRDefault="00BA49F5">
            <w:pPr>
              <w:rPr>
                <w:rFonts w:ascii="宋体"/>
              </w:rPr>
            </w:pPr>
          </w:p>
        </w:tc>
        <w:tc>
          <w:tcPr>
            <w:tcW w:w="5" w:type="pct"/>
            <w:shd w:val="clear" w:color="auto" w:fill="auto"/>
            <w:vAlign w:val="bottom"/>
          </w:tcPr>
          <w:p w14:paraId="5CD8FFC4" w14:textId="77777777" w:rsidR="00BA49F5" w:rsidRDefault="00BA49F5">
            <w:pPr>
              <w:rPr>
                <w:rFonts w:ascii="宋体"/>
              </w:rPr>
            </w:pPr>
          </w:p>
        </w:tc>
        <w:tc>
          <w:tcPr>
            <w:tcW w:w="5" w:type="pct"/>
            <w:shd w:val="clear" w:color="auto" w:fill="auto"/>
            <w:vAlign w:val="bottom"/>
          </w:tcPr>
          <w:p w14:paraId="5CD8FFC5" w14:textId="77777777" w:rsidR="00BA49F5" w:rsidRDefault="00BA49F5">
            <w:pPr>
              <w:rPr>
                <w:rFonts w:ascii="宋体"/>
              </w:rPr>
            </w:pPr>
          </w:p>
        </w:tc>
        <w:tc>
          <w:tcPr>
            <w:tcW w:w="27" w:type="pct"/>
            <w:shd w:val="clear" w:color="auto" w:fill="auto"/>
            <w:vAlign w:val="bottom"/>
          </w:tcPr>
          <w:p w14:paraId="5CD8FFC6" w14:textId="77777777" w:rsidR="00BA49F5" w:rsidRDefault="00BA49F5">
            <w:pPr>
              <w:rPr>
                <w:rFonts w:ascii="宋体"/>
              </w:rPr>
            </w:pPr>
          </w:p>
        </w:tc>
        <w:tc>
          <w:tcPr>
            <w:tcW w:w="5" w:type="pct"/>
            <w:shd w:val="clear" w:color="auto" w:fill="auto"/>
            <w:vAlign w:val="bottom"/>
          </w:tcPr>
          <w:p w14:paraId="5CD8FFC7" w14:textId="77777777" w:rsidR="00BA49F5" w:rsidRDefault="00BA49F5">
            <w:pPr>
              <w:rPr>
                <w:rFonts w:ascii="宋体"/>
              </w:rPr>
            </w:pPr>
          </w:p>
        </w:tc>
        <w:tc>
          <w:tcPr>
            <w:tcW w:w="50" w:type="pct"/>
            <w:shd w:val="clear" w:color="auto" w:fill="auto"/>
            <w:vAlign w:val="bottom"/>
          </w:tcPr>
          <w:p w14:paraId="5CD8FFC8" w14:textId="77777777" w:rsidR="00BA49F5" w:rsidRDefault="00BA49F5">
            <w:pPr>
              <w:rPr>
                <w:rFonts w:ascii="宋体"/>
              </w:rPr>
            </w:pPr>
          </w:p>
        </w:tc>
        <w:tc>
          <w:tcPr>
            <w:tcW w:w="689" w:type="pct"/>
            <w:shd w:val="clear" w:color="auto" w:fill="auto"/>
            <w:vAlign w:val="bottom"/>
          </w:tcPr>
          <w:p w14:paraId="5CD8FFC9" w14:textId="77777777" w:rsidR="00BA49F5" w:rsidRDefault="00BA49F5">
            <w:pPr>
              <w:rPr>
                <w:rFonts w:ascii="宋体"/>
              </w:rPr>
            </w:pPr>
          </w:p>
        </w:tc>
        <w:tc>
          <w:tcPr>
            <w:tcW w:w="5" w:type="pct"/>
            <w:shd w:val="clear" w:color="auto" w:fill="auto"/>
            <w:vAlign w:val="bottom"/>
          </w:tcPr>
          <w:p w14:paraId="5CD8FFCA" w14:textId="77777777" w:rsidR="00BA49F5" w:rsidRDefault="00BA49F5">
            <w:pPr>
              <w:rPr>
                <w:rFonts w:ascii="宋体"/>
              </w:rPr>
            </w:pPr>
          </w:p>
        </w:tc>
      </w:tr>
      <w:tr w:rsidR="00BA49F5" w14:paraId="5CD8FFD0" w14:textId="77777777">
        <w:tc>
          <w:tcPr>
            <w:tcW w:w="0" w:type="auto"/>
            <w:gridSpan w:val="3"/>
            <w:shd w:val="clear" w:color="auto" w:fill="auto"/>
            <w:tcMar>
              <w:top w:w="0" w:type="dxa"/>
              <w:left w:w="20" w:type="dxa"/>
              <w:bottom w:w="0" w:type="dxa"/>
              <w:right w:w="20" w:type="dxa"/>
            </w:tcMar>
            <w:vAlign w:val="bottom"/>
          </w:tcPr>
          <w:p w14:paraId="5CD8FFC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center"/>
          </w:tcPr>
          <w:p w14:paraId="5CD8FFCD" w14:textId="77777777" w:rsidR="00BA49F5" w:rsidRDefault="007E5E49">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5CD8FFC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center"/>
          </w:tcPr>
          <w:p w14:paraId="5CD8FFCF" w14:textId="77777777" w:rsidR="00BA49F5" w:rsidRDefault="007E5E49">
            <w:pPr>
              <w:jc w:val="center"/>
              <w:textAlignment w:val="center"/>
            </w:pPr>
            <w:r>
              <w:rPr>
                <w:rFonts w:ascii="Times New Roman" w:eastAsia="宋体" w:hAnsi="Times New Roman"/>
                <w:b/>
                <w:bCs/>
                <w:color w:val="000000"/>
                <w:sz w:val="16"/>
                <w:szCs w:val="16"/>
              </w:rPr>
              <w:t>Finance Leases</w:t>
            </w:r>
          </w:p>
        </w:tc>
      </w:tr>
      <w:tr w:rsidR="00BA49F5" w14:paraId="5CD8FFD9" w14:textId="77777777">
        <w:tc>
          <w:tcPr>
            <w:tcW w:w="0" w:type="auto"/>
            <w:gridSpan w:val="3"/>
            <w:shd w:val="clear" w:color="auto" w:fill="CCEEFF"/>
            <w:tcMar>
              <w:top w:w="40" w:type="dxa"/>
              <w:left w:w="20" w:type="dxa"/>
              <w:bottom w:w="40" w:type="dxa"/>
              <w:right w:w="20" w:type="dxa"/>
            </w:tcMar>
            <w:vAlign w:val="bottom"/>
          </w:tcPr>
          <w:p w14:paraId="5CD8FFD1" w14:textId="77777777" w:rsidR="00BA49F5" w:rsidRDefault="007E5E49">
            <w:pPr>
              <w:textAlignment w:val="bottom"/>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CD8FFD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FD3" w14:textId="77777777" w:rsidR="00BA49F5" w:rsidRDefault="007E5E49">
            <w:pPr>
              <w:jc w:val="right"/>
              <w:textAlignment w:val="bottom"/>
            </w:pPr>
            <w:r>
              <w:rPr>
                <w:rFonts w:ascii="Times New Roman" w:eastAsia="宋体" w:hAnsi="Times New Roman"/>
                <w:color w:val="000000"/>
                <w:sz w:val="20"/>
                <w:szCs w:val="20"/>
              </w:rPr>
              <w:t>1,739 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FD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D5"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8FFD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8FFD7" w14:textId="77777777" w:rsidR="00BA49F5" w:rsidRDefault="007E5E49">
            <w:pPr>
              <w:jc w:val="right"/>
              <w:textAlignment w:val="bottom"/>
            </w:pPr>
            <w:r>
              <w:rPr>
                <w:rFonts w:ascii="Times New Roman" w:eastAsia="宋体" w:hAnsi="Times New Roman"/>
                <w:color w:val="000000"/>
                <w:sz w:val="20"/>
                <w:szCs w:val="20"/>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FD8" w14:textId="77777777" w:rsidR="00BA49F5" w:rsidRDefault="00BA49F5">
            <w:pPr>
              <w:jc w:val="right"/>
              <w:rPr>
                <w:rFonts w:ascii="宋体"/>
              </w:rPr>
            </w:pPr>
          </w:p>
        </w:tc>
      </w:tr>
      <w:tr w:rsidR="00BA49F5" w14:paraId="5CD8FFE0" w14:textId="77777777">
        <w:tc>
          <w:tcPr>
            <w:tcW w:w="0" w:type="auto"/>
            <w:gridSpan w:val="3"/>
            <w:shd w:val="clear" w:color="auto" w:fill="FFFFFF"/>
            <w:tcMar>
              <w:top w:w="40" w:type="dxa"/>
              <w:left w:w="20" w:type="dxa"/>
              <w:bottom w:w="40" w:type="dxa"/>
              <w:right w:w="20" w:type="dxa"/>
            </w:tcMar>
            <w:vAlign w:val="bottom"/>
          </w:tcPr>
          <w:p w14:paraId="5CD8FFDA" w14:textId="77777777" w:rsidR="00BA49F5" w:rsidRDefault="007E5E49">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CD8FFDB" w14:textId="77777777" w:rsidR="00BA49F5" w:rsidRDefault="007E5E49">
            <w:pPr>
              <w:jc w:val="right"/>
              <w:textAlignment w:val="bottom"/>
            </w:pPr>
            <w:r>
              <w:rPr>
                <w:rFonts w:ascii="Times New Roman" w:eastAsia="宋体" w:hAnsi="Times New Roman"/>
                <w:color w:val="000000"/>
                <w:sz w:val="20"/>
                <w:szCs w:val="20"/>
              </w:rPr>
              <w:t>2,034 </w:t>
            </w:r>
          </w:p>
        </w:tc>
        <w:tc>
          <w:tcPr>
            <w:tcW w:w="0" w:type="auto"/>
            <w:shd w:val="clear" w:color="auto" w:fill="FFFFFF"/>
            <w:tcMar>
              <w:top w:w="40" w:type="dxa"/>
              <w:left w:w="0" w:type="dxa"/>
              <w:bottom w:w="40" w:type="dxa"/>
              <w:right w:w="20" w:type="dxa"/>
            </w:tcMar>
            <w:vAlign w:val="bottom"/>
          </w:tcPr>
          <w:p w14:paraId="5CD8FFD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D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DE" w14:textId="77777777" w:rsidR="00BA49F5" w:rsidRDefault="007E5E4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5CD8FFDF" w14:textId="77777777" w:rsidR="00BA49F5" w:rsidRDefault="00BA49F5">
            <w:pPr>
              <w:jc w:val="right"/>
              <w:rPr>
                <w:rFonts w:ascii="宋体"/>
              </w:rPr>
            </w:pPr>
          </w:p>
        </w:tc>
      </w:tr>
      <w:tr w:rsidR="00BA49F5" w14:paraId="5CD8FFE7" w14:textId="77777777">
        <w:tc>
          <w:tcPr>
            <w:tcW w:w="0" w:type="auto"/>
            <w:gridSpan w:val="3"/>
            <w:shd w:val="clear" w:color="auto" w:fill="CCEEFF"/>
            <w:tcMar>
              <w:top w:w="40" w:type="dxa"/>
              <w:left w:w="20" w:type="dxa"/>
              <w:bottom w:w="40" w:type="dxa"/>
              <w:right w:w="20" w:type="dxa"/>
            </w:tcMar>
            <w:vAlign w:val="bottom"/>
          </w:tcPr>
          <w:p w14:paraId="5CD8FFE1" w14:textId="77777777" w:rsidR="00BA49F5" w:rsidRDefault="007E5E49">
            <w:pPr>
              <w:textAlignment w:val="bottom"/>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CD8FFE2" w14:textId="77777777" w:rsidR="00BA49F5" w:rsidRDefault="007E5E49">
            <w:pPr>
              <w:jc w:val="right"/>
              <w:textAlignment w:val="bottom"/>
            </w:pPr>
            <w:r>
              <w:rPr>
                <w:rFonts w:ascii="Times New Roman" w:eastAsia="宋体" w:hAnsi="Times New Roman"/>
                <w:color w:val="000000"/>
                <w:sz w:val="20"/>
                <w:szCs w:val="20"/>
              </w:rPr>
              <w:t>1,771 </w:t>
            </w:r>
          </w:p>
        </w:tc>
        <w:tc>
          <w:tcPr>
            <w:tcW w:w="0" w:type="auto"/>
            <w:shd w:val="clear" w:color="auto" w:fill="CCEEFF"/>
            <w:tcMar>
              <w:top w:w="40" w:type="dxa"/>
              <w:left w:w="0" w:type="dxa"/>
              <w:bottom w:w="40" w:type="dxa"/>
              <w:right w:w="20" w:type="dxa"/>
            </w:tcMar>
            <w:vAlign w:val="bottom"/>
          </w:tcPr>
          <w:p w14:paraId="5CD8FFE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E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E5" w14:textId="77777777" w:rsidR="00BA49F5" w:rsidRDefault="007E5E49">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5CD8FFE6" w14:textId="77777777" w:rsidR="00BA49F5" w:rsidRDefault="00BA49F5">
            <w:pPr>
              <w:jc w:val="right"/>
              <w:rPr>
                <w:rFonts w:ascii="宋体"/>
              </w:rPr>
            </w:pPr>
          </w:p>
        </w:tc>
      </w:tr>
      <w:tr w:rsidR="00BA49F5" w14:paraId="5CD8FFEE" w14:textId="77777777">
        <w:tc>
          <w:tcPr>
            <w:tcW w:w="0" w:type="auto"/>
            <w:gridSpan w:val="3"/>
            <w:shd w:val="clear" w:color="auto" w:fill="FFFFFF"/>
            <w:tcMar>
              <w:top w:w="40" w:type="dxa"/>
              <w:left w:w="20" w:type="dxa"/>
              <w:bottom w:w="40" w:type="dxa"/>
              <w:right w:w="20" w:type="dxa"/>
            </w:tcMar>
            <w:vAlign w:val="bottom"/>
          </w:tcPr>
          <w:p w14:paraId="5CD8FFE8" w14:textId="77777777" w:rsidR="00BA49F5" w:rsidRDefault="007E5E49">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CD8FFE9" w14:textId="77777777" w:rsidR="00BA49F5" w:rsidRDefault="007E5E49">
            <w:pPr>
              <w:jc w:val="right"/>
              <w:textAlignment w:val="bottom"/>
            </w:pPr>
            <w:r>
              <w:rPr>
                <w:rFonts w:ascii="Times New Roman" w:eastAsia="宋体" w:hAnsi="Times New Roman"/>
                <w:color w:val="000000"/>
                <w:sz w:val="20"/>
                <w:szCs w:val="20"/>
              </w:rPr>
              <w:t>1,723 </w:t>
            </w:r>
          </w:p>
        </w:tc>
        <w:tc>
          <w:tcPr>
            <w:tcW w:w="0" w:type="auto"/>
            <w:shd w:val="clear" w:color="auto" w:fill="FFFFFF"/>
            <w:tcMar>
              <w:top w:w="40" w:type="dxa"/>
              <w:left w:w="0" w:type="dxa"/>
              <w:bottom w:w="40" w:type="dxa"/>
              <w:right w:w="20" w:type="dxa"/>
            </w:tcMar>
            <w:vAlign w:val="bottom"/>
          </w:tcPr>
          <w:p w14:paraId="5CD8FFE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E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EC" w14:textId="77777777" w:rsidR="00BA49F5" w:rsidRDefault="007E5E49">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5CD8FFED" w14:textId="77777777" w:rsidR="00BA49F5" w:rsidRDefault="00BA49F5">
            <w:pPr>
              <w:jc w:val="right"/>
              <w:rPr>
                <w:rFonts w:ascii="宋体"/>
              </w:rPr>
            </w:pPr>
          </w:p>
        </w:tc>
      </w:tr>
      <w:tr w:rsidR="00BA49F5" w14:paraId="5CD8FFF5" w14:textId="77777777">
        <w:tc>
          <w:tcPr>
            <w:tcW w:w="0" w:type="auto"/>
            <w:gridSpan w:val="3"/>
            <w:shd w:val="clear" w:color="auto" w:fill="CCEEFF"/>
            <w:tcMar>
              <w:top w:w="40" w:type="dxa"/>
              <w:left w:w="20" w:type="dxa"/>
              <w:bottom w:w="40" w:type="dxa"/>
              <w:right w:w="20" w:type="dxa"/>
            </w:tcMar>
            <w:vAlign w:val="bottom"/>
          </w:tcPr>
          <w:p w14:paraId="5CD8FFEF" w14:textId="77777777" w:rsidR="00BA49F5" w:rsidRDefault="007E5E49">
            <w:pPr>
              <w:textAlignment w:val="bottom"/>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CD8FFF0" w14:textId="77777777" w:rsidR="00BA49F5" w:rsidRDefault="007E5E49">
            <w:pPr>
              <w:jc w:val="right"/>
              <w:textAlignment w:val="bottom"/>
            </w:pPr>
            <w:r>
              <w:rPr>
                <w:rFonts w:ascii="Times New Roman" w:eastAsia="宋体" w:hAnsi="Times New Roman"/>
                <w:color w:val="000000"/>
                <w:sz w:val="20"/>
                <w:szCs w:val="20"/>
              </w:rPr>
              <w:t>1,699 </w:t>
            </w:r>
          </w:p>
        </w:tc>
        <w:tc>
          <w:tcPr>
            <w:tcW w:w="0" w:type="auto"/>
            <w:shd w:val="clear" w:color="auto" w:fill="CCEEFF"/>
            <w:tcMar>
              <w:top w:w="40" w:type="dxa"/>
              <w:left w:w="0" w:type="dxa"/>
              <w:bottom w:w="40" w:type="dxa"/>
              <w:right w:w="20" w:type="dxa"/>
            </w:tcMar>
            <w:vAlign w:val="bottom"/>
          </w:tcPr>
          <w:p w14:paraId="5CD8FFF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8FFF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8FFF3" w14:textId="77777777" w:rsidR="00BA49F5" w:rsidRDefault="007E5E49">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5CD8FFF4" w14:textId="77777777" w:rsidR="00BA49F5" w:rsidRDefault="00BA49F5">
            <w:pPr>
              <w:jc w:val="right"/>
              <w:rPr>
                <w:rFonts w:ascii="宋体"/>
              </w:rPr>
            </w:pPr>
          </w:p>
        </w:tc>
      </w:tr>
      <w:tr w:rsidR="00BA49F5" w14:paraId="5CD8FFFC" w14:textId="77777777">
        <w:tc>
          <w:tcPr>
            <w:tcW w:w="0" w:type="auto"/>
            <w:gridSpan w:val="3"/>
            <w:shd w:val="clear" w:color="auto" w:fill="FFFFFF"/>
            <w:tcMar>
              <w:top w:w="40" w:type="dxa"/>
              <w:left w:w="20" w:type="dxa"/>
              <w:bottom w:w="40" w:type="dxa"/>
              <w:right w:w="20" w:type="dxa"/>
            </w:tcMar>
            <w:vAlign w:val="bottom"/>
          </w:tcPr>
          <w:p w14:paraId="5CD8FFF6" w14:textId="77777777" w:rsidR="00BA49F5" w:rsidRDefault="007E5E4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CD8FFF7" w14:textId="77777777" w:rsidR="00BA49F5" w:rsidRDefault="007E5E49">
            <w:pPr>
              <w:jc w:val="right"/>
              <w:textAlignment w:val="bottom"/>
            </w:pPr>
            <w:r>
              <w:rPr>
                <w:rFonts w:ascii="Times New Roman" w:eastAsia="宋体" w:hAnsi="Times New Roman"/>
                <w:color w:val="000000"/>
                <w:sz w:val="20"/>
                <w:szCs w:val="20"/>
              </w:rPr>
              <w:t>11,801 </w:t>
            </w:r>
          </w:p>
        </w:tc>
        <w:tc>
          <w:tcPr>
            <w:tcW w:w="0" w:type="auto"/>
            <w:shd w:val="clear" w:color="auto" w:fill="FFFFFF"/>
            <w:tcMar>
              <w:top w:w="40" w:type="dxa"/>
              <w:left w:w="0" w:type="dxa"/>
              <w:bottom w:w="40" w:type="dxa"/>
              <w:right w:w="20" w:type="dxa"/>
            </w:tcMar>
            <w:vAlign w:val="bottom"/>
          </w:tcPr>
          <w:p w14:paraId="5CD8FFF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8FFF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8FFFA" w14:textId="77777777" w:rsidR="00BA49F5" w:rsidRDefault="007E5E49">
            <w:pPr>
              <w:jc w:val="right"/>
              <w:textAlignment w:val="bottom"/>
            </w:pPr>
            <w:r>
              <w:rPr>
                <w:rFonts w:ascii="Times New Roman" w:eastAsia="宋体" w:hAnsi="Times New Roman"/>
                <w:color w:val="000000"/>
                <w:sz w:val="20"/>
                <w:szCs w:val="20"/>
              </w:rPr>
              <w:t>460 </w:t>
            </w:r>
          </w:p>
        </w:tc>
        <w:tc>
          <w:tcPr>
            <w:tcW w:w="0" w:type="auto"/>
            <w:shd w:val="clear" w:color="auto" w:fill="FFFFFF"/>
            <w:tcMar>
              <w:top w:w="40" w:type="dxa"/>
              <w:left w:w="0" w:type="dxa"/>
              <w:bottom w:w="40" w:type="dxa"/>
              <w:right w:w="20" w:type="dxa"/>
            </w:tcMar>
            <w:vAlign w:val="bottom"/>
          </w:tcPr>
          <w:p w14:paraId="5CD8FFFB" w14:textId="77777777" w:rsidR="00BA49F5" w:rsidRDefault="00BA49F5">
            <w:pPr>
              <w:jc w:val="right"/>
              <w:rPr>
                <w:rFonts w:ascii="宋体"/>
              </w:rPr>
            </w:pPr>
          </w:p>
        </w:tc>
      </w:tr>
      <w:tr w:rsidR="00BA49F5" w14:paraId="5CD90003" w14:textId="77777777">
        <w:tc>
          <w:tcPr>
            <w:tcW w:w="0" w:type="auto"/>
            <w:gridSpan w:val="3"/>
            <w:shd w:val="clear" w:color="auto" w:fill="CCEEFF"/>
            <w:tcMar>
              <w:top w:w="40" w:type="dxa"/>
              <w:left w:w="200" w:type="dxa"/>
              <w:bottom w:w="40" w:type="dxa"/>
              <w:right w:w="20" w:type="dxa"/>
            </w:tcMar>
            <w:vAlign w:val="bottom"/>
          </w:tcPr>
          <w:p w14:paraId="5CD8FFFD" w14:textId="77777777" w:rsidR="00BA49F5" w:rsidRDefault="007E5E49">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8FFFE" w14:textId="77777777" w:rsidR="00BA49F5" w:rsidRDefault="007E5E49">
            <w:pPr>
              <w:jc w:val="right"/>
              <w:textAlignment w:val="bottom"/>
            </w:pPr>
            <w:r>
              <w:rPr>
                <w:rFonts w:ascii="Times New Roman" w:eastAsia="宋体" w:hAnsi="Times New Roman"/>
                <w:color w:val="000000"/>
                <w:sz w:val="20"/>
                <w:szCs w:val="20"/>
              </w:rPr>
              <w:t>20,767 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8FFF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0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001" w14:textId="77777777" w:rsidR="00BA49F5" w:rsidRDefault="007E5E49">
            <w:pPr>
              <w:jc w:val="right"/>
              <w:textAlignment w:val="bottom"/>
            </w:pPr>
            <w:r>
              <w:rPr>
                <w:rFonts w:ascii="Times New Roman" w:eastAsia="宋体" w:hAnsi="Times New Roman"/>
                <w:color w:val="000000"/>
                <w:sz w:val="20"/>
                <w:szCs w:val="20"/>
              </w:rPr>
              <w:t>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02" w14:textId="77777777" w:rsidR="00BA49F5" w:rsidRDefault="00BA49F5">
            <w:pPr>
              <w:jc w:val="right"/>
              <w:rPr>
                <w:rFonts w:ascii="宋体"/>
              </w:rPr>
            </w:pPr>
          </w:p>
        </w:tc>
      </w:tr>
      <w:tr w:rsidR="00BA49F5" w14:paraId="5CD9000A" w14:textId="77777777">
        <w:tc>
          <w:tcPr>
            <w:tcW w:w="0" w:type="auto"/>
            <w:gridSpan w:val="3"/>
            <w:shd w:val="clear" w:color="auto" w:fill="FFFFFF"/>
            <w:tcMar>
              <w:top w:w="40" w:type="dxa"/>
              <w:left w:w="200" w:type="dxa"/>
              <w:bottom w:w="40" w:type="dxa"/>
              <w:right w:w="20" w:type="dxa"/>
            </w:tcMar>
            <w:vAlign w:val="bottom"/>
          </w:tcPr>
          <w:p w14:paraId="5CD90004" w14:textId="77777777" w:rsidR="00BA49F5" w:rsidRDefault="007E5E49">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5CD90005" w14:textId="77777777" w:rsidR="00BA49F5" w:rsidRDefault="007E5E49">
            <w:pPr>
              <w:jc w:val="right"/>
              <w:textAlignment w:val="bottom"/>
            </w:pPr>
            <w:r>
              <w:rPr>
                <w:rFonts w:ascii="Times New Roman" w:eastAsia="宋体" w:hAnsi="Times New Roman"/>
                <w:color w:val="000000"/>
                <w:sz w:val="20"/>
                <w:szCs w:val="20"/>
              </w:rPr>
              <w:t>(4,099)</w:t>
            </w:r>
          </w:p>
        </w:tc>
        <w:tc>
          <w:tcPr>
            <w:tcW w:w="0" w:type="auto"/>
            <w:shd w:val="clear" w:color="auto" w:fill="FFFFFF"/>
            <w:tcMar>
              <w:top w:w="40" w:type="dxa"/>
              <w:left w:w="0" w:type="dxa"/>
              <w:bottom w:w="40" w:type="dxa"/>
              <w:right w:w="20" w:type="dxa"/>
            </w:tcMar>
            <w:vAlign w:val="bottom"/>
          </w:tcPr>
          <w:p w14:paraId="5CD9000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0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08" w14:textId="77777777" w:rsidR="00BA49F5" w:rsidRDefault="007E5E49">
            <w:pPr>
              <w:jc w:val="right"/>
              <w:textAlignment w:val="bottom"/>
            </w:pPr>
            <w:r>
              <w:rPr>
                <w:rFonts w:ascii="Times New Roman" w:eastAsia="宋体" w:hAnsi="Times New Roman"/>
                <w:color w:val="000000"/>
                <w:sz w:val="20"/>
                <w:szCs w:val="20"/>
              </w:rPr>
              <w:t>(138)</w:t>
            </w:r>
          </w:p>
        </w:tc>
        <w:tc>
          <w:tcPr>
            <w:tcW w:w="0" w:type="auto"/>
            <w:shd w:val="clear" w:color="auto" w:fill="FFFFFF"/>
            <w:tcMar>
              <w:top w:w="40" w:type="dxa"/>
              <w:left w:w="0" w:type="dxa"/>
              <w:bottom w:w="40" w:type="dxa"/>
              <w:right w:w="20" w:type="dxa"/>
            </w:tcMar>
            <w:vAlign w:val="bottom"/>
          </w:tcPr>
          <w:p w14:paraId="5CD90009" w14:textId="77777777" w:rsidR="00BA49F5" w:rsidRDefault="00BA49F5">
            <w:pPr>
              <w:jc w:val="right"/>
              <w:rPr>
                <w:rFonts w:ascii="宋体"/>
              </w:rPr>
            </w:pPr>
          </w:p>
        </w:tc>
      </w:tr>
      <w:tr w:rsidR="00BA49F5" w14:paraId="5CD90013" w14:textId="77777777">
        <w:tc>
          <w:tcPr>
            <w:tcW w:w="0" w:type="auto"/>
            <w:gridSpan w:val="3"/>
            <w:shd w:val="clear" w:color="auto" w:fill="CCEEFF"/>
            <w:tcMar>
              <w:top w:w="40" w:type="dxa"/>
              <w:left w:w="20" w:type="dxa"/>
              <w:bottom w:w="40" w:type="dxa"/>
              <w:right w:w="20" w:type="dxa"/>
            </w:tcMar>
            <w:vAlign w:val="bottom"/>
          </w:tcPr>
          <w:p w14:paraId="5CD9000B" w14:textId="77777777" w:rsidR="00BA49F5" w:rsidRDefault="007E5E49">
            <w:pPr>
              <w:textAlignment w:val="bottom"/>
            </w:pPr>
            <w:r>
              <w:rPr>
                <w:rFonts w:ascii="Times New Roman" w:eastAsia="宋体" w:hAnsi="Times New Roman"/>
                <w:color w:val="000000"/>
                <w:sz w:val="20"/>
                <w:szCs w:val="20"/>
              </w:rPr>
              <w:t xml:space="preserve">Present value of lease liabilities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00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00D" w14:textId="77777777" w:rsidR="00BA49F5" w:rsidRDefault="007E5E49">
            <w:pPr>
              <w:jc w:val="right"/>
              <w:textAlignment w:val="bottom"/>
            </w:pPr>
            <w:r>
              <w:rPr>
                <w:rFonts w:ascii="Times New Roman" w:eastAsia="宋体" w:hAnsi="Times New Roman"/>
                <w:color w:val="000000"/>
                <w:sz w:val="20"/>
                <w:szCs w:val="20"/>
              </w:rPr>
              <w:t>16,668 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0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0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01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011" w14:textId="77777777" w:rsidR="00BA49F5" w:rsidRDefault="007E5E49">
            <w:pPr>
              <w:jc w:val="right"/>
              <w:textAlignment w:val="bottom"/>
            </w:pPr>
            <w:r>
              <w:rPr>
                <w:rFonts w:ascii="Times New Roman" w:eastAsia="宋体" w:hAnsi="Times New Roman"/>
                <w:color w:val="000000"/>
                <w:sz w:val="20"/>
                <w:szCs w:val="20"/>
              </w:rPr>
              <w:t>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12" w14:textId="77777777" w:rsidR="00BA49F5" w:rsidRDefault="00BA49F5">
            <w:pPr>
              <w:jc w:val="right"/>
              <w:rPr>
                <w:rFonts w:ascii="宋体"/>
              </w:rPr>
            </w:pPr>
          </w:p>
        </w:tc>
      </w:tr>
      <w:tr w:rsidR="00BA49F5" w14:paraId="5CD90018" w14:textId="77777777">
        <w:trPr>
          <w:trHeight w:val="300"/>
        </w:trPr>
        <w:tc>
          <w:tcPr>
            <w:tcW w:w="0" w:type="auto"/>
            <w:gridSpan w:val="3"/>
            <w:shd w:val="clear" w:color="auto" w:fill="FFFFFF"/>
            <w:tcMar>
              <w:top w:w="0" w:type="dxa"/>
              <w:left w:w="20" w:type="dxa"/>
              <w:bottom w:w="0" w:type="dxa"/>
              <w:right w:w="20" w:type="dxa"/>
            </w:tcMar>
            <w:vAlign w:val="bottom"/>
          </w:tcPr>
          <w:p w14:paraId="5CD90014" w14:textId="77777777" w:rsidR="00BA49F5" w:rsidRDefault="00BA49F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CD9001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16" w14:textId="77777777" w:rsidR="00BA49F5" w:rsidRDefault="00BA49F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CD90017" w14:textId="77777777" w:rsidR="00BA49F5" w:rsidRDefault="00BA49F5">
            <w:pPr>
              <w:rPr>
                <w:rFonts w:ascii="宋体"/>
              </w:rPr>
            </w:pPr>
          </w:p>
        </w:tc>
      </w:tr>
      <w:tr w:rsidR="00BA49F5" w14:paraId="5CD90021" w14:textId="77777777">
        <w:tc>
          <w:tcPr>
            <w:tcW w:w="0" w:type="auto"/>
            <w:gridSpan w:val="3"/>
            <w:shd w:val="clear" w:color="auto" w:fill="CCEEFF"/>
            <w:tcMar>
              <w:top w:w="40" w:type="dxa"/>
              <w:left w:w="20" w:type="dxa"/>
              <w:bottom w:w="40" w:type="dxa"/>
              <w:right w:w="20" w:type="dxa"/>
            </w:tcMar>
            <w:vAlign w:val="bottom"/>
          </w:tcPr>
          <w:p w14:paraId="5CD90019" w14:textId="77777777" w:rsidR="00BA49F5" w:rsidRDefault="007E5E49">
            <w:pPr>
              <w:textAlignment w:val="bottom"/>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5CD9001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1B" w14:textId="77777777" w:rsidR="00BA49F5" w:rsidRDefault="007E5E49">
            <w:pPr>
              <w:jc w:val="right"/>
              <w:textAlignment w:val="bottom"/>
            </w:pPr>
            <w:r>
              <w:rPr>
                <w:rFonts w:ascii="Times New Roman" w:eastAsia="宋体" w:hAnsi="Times New Roman"/>
                <w:color w:val="000000"/>
                <w:sz w:val="20"/>
                <w:szCs w:val="20"/>
              </w:rPr>
              <w:t>1,367 </w:t>
            </w:r>
          </w:p>
        </w:tc>
        <w:tc>
          <w:tcPr>
            <w:tcW w:w="0" w:type="auto"/>
            <w:shd w:val="clear" w:color="auto" w:fill="CCEEFF"/>
            <w:tcMar>
              <w:top w:w="40" w:type="dxa"/>
              <w:left w:w="0" w:type="dxa"/>
              <w:bottom w:w="40" w:type="dxa"/>
              <w:right w:w="20" w:type="dxa"/>
            </w:tcMar>
            <w:vAlign w:val="bottom"/>
          </w:tcPr>
          <w:p w14:paraId="5CD9001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1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01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1F" w14:textId="77777777" w:rsidR="00BA49F5" w:rsidRDefault="007E5E49">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5CD90020" w14:textId="77777777" w:rsidR="00BA49F5" w:rsidRDefault="00BA49F5">
            <w:pPr>
              <w:jc w:val="right"/>
              <w:rPr>
                <w:rFonts w:ascii="宋体"/>
              </w:rPr>
            </w:pPr>
          </w:p>
        </w:tc>
      </w:tr>
      <w:tr w:rsidR="00BA49F5" w14:paraId="5CD90028" w14:textId="77777777">
        <w:tc>
          <w:tcPr>
            <w:tcW w:w="0" w:type="auto"/>
            <w:gridSpan w:val="3"/>
            <w:shd w:val="clear" w:color="auto" w:fill="FFFFFF"/>
            <w:tcMar>
              <w:top w:w="40" w:type="dxa"/>
              <w:left w:w="20" w:type="dxa"/>
              <w:bottom w:w="40" w:type="dxa"/>
              <w:right w:w="20" w:type="dxa"/>
            </w:tcMar>
            <w:vAlign w:val="bottom"/>
          </w:tcPr>
          <w:p w14:paraId="5CD90022" w14:textId="77777777" w:rsidR="00BA49F5" w:rsidRDefault="007E5E49">
            <w:pPr>
              <w:textAlignment w:val="bottom"/>
            </w:pPr>
            <w:r>
              <w:rPr>
                <w:rFonts w:ascii="Times New Roman" w:eastAsia="宋体" w:hAnsi="Times New Roman"/>
                <w:color w:val="000000"/>
                <w:sz w:val="20"/>
                <w:szCs w:val="20"/>
              </w:rPr>
              <w:t>Lease liabilities, non current</w:t>
            </w:r>
          </w:p>
        </w:tc>
        <w:tc>
          <w:tcPr>
            <w:tcW w:w="0" w:type="auto"/>
            <w:gridSpan w:val="2"/>
            <w:shd w:val="clear" w:color="auto" w:fill="FFFFFF"/>
            <w:tcMar>
              <w:top w:w="40" w:type="dxa"/>
              <w:left w:w="20" w:type="dxa"/>
              <w:bottom w:w="40" w:type="dxa"/>
              <w:right w:w="0" w:type="dxa"/>
            </w:tcMar>
            <w:vAlign w:val="bottom"/>
          </w:tcPr>
          <w:p w14:paraId="5CD90023" w14:textId="77777777" w:rsidR="00BA49F5" w:rsidRDefault="007E5E49">
            <w:pPr>
              <w:jc w:val="right"/>
              <w:textAlignment w:val="bottom"/>
            </w:pPr>
            <w:r>
              <w:rPr>
                <w:rFonts w:ascii="Times New Roman" w:eastAsia="宋体" w:hAnsi="Times New Roman"/>
                <w:color w:val="000000"/>
                <w:sz w:val="20"/>
                <w:szCs w:val="20"/>
              </w:rPr>
              <w:t>15,301 </w:t>
            </w:r>
          </w:p>
        </w:tc>
        <w:tc>
          <w:tcPr>
            <w:tcW w:w="0" w:type="auto"/>
            <w:shd w:val="clear" w:color="auto" w:fill="FFFFFF"/>
            <w:tcMar>
              <w:top w:w="40" w:type="dxa"/>
              <w:left w:w="0" w:type="dxa"/>
              <w:bottom w:w="40" w:type="dxa"/>
              <w:right w:w="20" w:type="dxa"/>
            </w:tcMar>
            <w:vAlign w:val="bottom"/>
          </w:tcPr>
          <w:p w14:paraId="5CD9002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2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26" w14:textId="77777777" w:rsidR="00BA49F5" w:rsidRDefault="007E5E49">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left w:w="0" w:type="dxa"/>
              <w:bottom w:w="40" w:type="dxa"/>
              <w:right w:w="20" w:type="dxa"/>
            </w:tcMar>
            <w:vAlign w:val="bottom"/>
          </w:tcPr>
          <w:p w14:paraId="5CD90027" w14:textId="77777777" w:rsidR="00BA49F5" w:rsidRDefault="00BA49F5">
            <w:pPr>
              <w:jc w:val="right"/>
              <w:rPr>
                <w:rFonts w:ascii="宋体"/>
              </w:rPr>
            </w:pPr>
          </w:p>
        </w:tc>
      </w:tr>
      <w:tr w:rsidR="00BA49F5" w14:paraId="5CD90031" w14:textId="77777777">
        <w:tc>
          <w:tcPr>
            <w:tcW w:w="0" w:type="auto"/>
            <w:gridSpan w:val="3"/>
            <w:shd w:val="clear" w:color="auto" w:fill="CCEEFF"/>
            <w:tcMar>
              <w:top w:w="40" w:type="dxa"/>
              <w:left w:w="20" w:type="dxa"/>
              <w:bottom w:w="40" w:type="dxa"/>
              <w:right w:w="20" w:type="dxa"/>
            </w:tcMar>
            <w:vAlign w:val="bottom"/>
          </w:tcPr>
          <w:p w14:paraId="5CD90029" w14:textId="77777777" w:rsidR="00BA49F5" w:rsidRDefault="007E5E49">
            <w:pPr>
              <w:textAlignment w:val="bottom"/>
            </w:pPr>
            <w:r>
              <w:rPr>
                <w:rFonts w:ascii="Times New Roman" w:eastAsia="宋体" w:hAnsi="Times New Roman"/>
                <w:color w:val="000000"/>
                <w:sz w:val="20"/>
                <w:szCs w:val="20"/>
              </w:rPr>
              <w:t xml:space="preserve">Present value of lease liabilities </w:t>
            </w:r>
            <w:r>
              <w:rPr>
                <w:rFonts w:ascii="Times New Roman" w:eastAsia="宋体" w:hAnsi="Times New Roman"/>
                <w:color w:val="000000"/>
                <w:sz w:val="13"/>
                <w:szCs w:val="13"/>
              </w:rPr>
              <w:t>(1)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02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02B" w14:textId="77777777" w:rsidR="00BA49F5" w:rsidRDefault="007E5E49">
            <w:pPr>
              <w:jc w:val="right"/>
              <w:textAlignment w:val="bottom"/>
            </w:pPr>
            <w:r>
              <w:rPr>
                <w:rFonts w:ascii="Times New Roman" w:eastAsia="宋体" w:hAnsi="Times New Roman"/>
                <w:color w:val="000000"/>
                <w:sz w:val="20"/>
                <w:szCs w:val="20"/>
              </w:rPr>
              <w:t>16,668 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02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2D"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02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02F" w14:textId="77777777" w:rsidR="00BA49F5" w:rsidRDefault="007E5E49">
            <w:pPr>
              <w:jc w:val="right"/>
              <w:textAlignment w:val="bottom"/>
            </w:pPr>
            <w:r>
              <w:rPr>
                <w:rFonts w:ascii="Times New Roman" w:eastAsia="宋体" w:hAnsi="Times New Roman"/>
                <w:color w:val="000000"/>
                <w:sz w:val="20"/>
                <w:szCs w:val="20"/>
              </w:rPr>
              <w:t>687 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030" w14:textId="77777777" w:rsidR="00BA49F5" w:rsidRDefault="00BA49F5">
            <w:pPr>
              <w:jc w:val="right"/>
              <w:rPr>
                <w:rFonts w:ascii="宋体"/>
              </w:rPr>
            </w:pPr>
          </w:p>
        </w:tc>
      </w:tr>
    </w:tbl>
    <w:p w14:paraId="5CD90032" w14:textId="77777777" w:rsidR="00BA49F5" w:rsidRDefault="007E5E49">
      <w:r>
        <w:rPr>
          <w:rFonts w:ascii="Times New Roman" w:eastAsia="宋体" w:hAnsi="Times New Roman"/>
          <w:i/>
          <w:iCs/>
          <w:color w:val="000000"/>
          <w:sz w:val="18"/>
          <w:szCs w:val="18"/>
        </w:rPr>
        <w:t>_________________</w:t>
      </w:r>
    </w:p>
    <w:p w14:paraId="5CD90033" w14:textId="77777777" w:rsidR="00BA49F5" w:rsidRDefault="007E5E49">
      <w:pPr>
        <w:ind w:hanging="360"/>
      </w:pPr>
      <w:r>
        <w:rPr>
          <w:rFonts w:ascii="Times New Roman" w:eastAsia="宋体" w:hAnsi="Times New Roman"/>
          <w:color w:val="000000"/>
          <w:sz w:val="18"/>
          <w:szCs w:val="18"/>
        </w:rPr>
        <w:t>(1)    Lease liabilities include those operating leases that we plan to sublease or abandon as a part of our facilities consolidation restructuring efforts. For additional information, see Note 3 — Restructuring.</w:t>
      </w:r>
    </w:p>
    <w:p w14:paraId="5CD90034" w14:textId="77777777" w:rsidR="00BA49F5" w:rsidRDefault="00BA49F5"/>
    <w:p w14:paraId="5CD90035" w14:textId="77777777" w:rsidR="00BA49F5" w:rsidRDefault="007E5E49">
      <w:pPr>
        <w:ind w:firstLine="540"/>
        <w:jc w:val="both"/>
      </w:pPr>
      <w:r>
        <w:rPr>
          <w:rFonts w:ascii="Times New Roman" w:eastAsia="宋体" w:hAnsi="Times New Roman"/>
          <w:color w:val="000000"/>
          <w:sz w:val="20"/>
          <w:szCs w:val="20"/>
        </w:rPr>
        <w:t>The table above does not include lease payments that were not fixed at commencement or lease modification. As of December 31, 2022, we have additional operating and finance leases, that have not yet commenced, with lease obligations of approximately $8.36 </w:t>
      </w:r>
      <w:r>
        <w:rPr>
          <w:rFonts w:ascii="Times New Roman" w:eastAsia="宋体" w:hAnsi="Times New Roman"/>
          <w:color w:val="000000"/>
          <w:sz w:val="20"/>
          <w:szCs w:val="20"/>
        </w:rPr>
        <w:t xml:space="preserve">billion and $1.43 billion, respectively, mostly for data centers, offices, network infrastructure, and colocations. These operating and finance leases will commence between 2023 and 2028 with lease terms of greater than one year to 30 years. </w:t>
      </w:r>
    </w:p>
    <w:p w14:paraId="5CD90036" w14:textId="77777777" w:rsidR="00BA49F5" w:rsidRDefault="00BA49F5">
      <w:pPr>
        <w:jc w:val="both"/>
      </w:pPr>
    </w:p>
    <w:p w14:paraId="5CD90037" w14:textId="77777777" w:rsidR="00BA49F5" w:rsidRDefault="007E5E49">
      <w:pPr>
        <w:ind w:firstLine="540"/>
        <w:jc w:val="both"/>
      </w:pPr>
      <w:r>
        <w:rPr>
          <w:rFonts w:ascii="Times New Roman" w:eastAsia="宋体" w:hAnsi="Times New Roman"/>
          <w:color w:val="000000"/>
          <w:sz w:val="20"/>
          <w:szCs w:val="20"/>
        </w:rPr>
        <w:t>Supplemental</w:t>
      </w:r>
      <w:r>
        <w:rPr>
          <w:rFonts w:ascii="Times New Roman" w:eastAsia="宋体" w:hAnsi="Times New Roman"/>
          <w:color w:val="000000"/>
          <w:sz w:val="20"/>
          <w:szCs w:val="20"/>
        </w:rPr>
        <w:t xml:space="preserve">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A49F5" w14:paraId="5CD9004A" w14:textId="77777777">
        <w:tc>
          <w:tcPr>
            <w:tcW w:w="50" w:type="pct"/>
            <w:shd w:val="clear" w:color="auto" w:fill="auto"/>
            <w:vAlign w:val="bottom"/>
          </w:tcPr>
          <w:p w14:paraId="5CD90038" w14:textId="77777777" w:rsidR="00BA49F5" w:rsidRDefault="00BA49F5">
            <w:pPr>
              <w:rPr>
                <w:rFonts w:ascii="宋体"/>
              </w:rPr>
            </w:pPr>
          </w:p>
        </w:tc>
        <w:tc>
          <w:tcPr>
            <w:tcW w:w="2928" w:type="pct"/>
            <w:shd w:val="clear" w:color="auto" w:fill="auto"/>
            <w:vAlign w:val="bottom"/>
          </w:tcPr>
          <w:p w14:paraId="5CD90039" w14:textId="77777777" w:rsidR="00BA49F5" w:rsidRDefault="00BA49F5">
            <w:pPr>
              <w:rPr>
                <w:rFonts w:ascii="宋体"/>
              </w:rPr>
            </w:pPr>
          </w:p>
        </w:tc>
        <w:tc>
          <w:tcPr>
            <w:tcW w:w="5" w:type="pct"/>
            <w:shd w:val="clear" w:color="auto" w:fill="auto"/>
            <w:vAlign w:val="bottom"/>
          </w:tcPr>
          <w:p w14:paraId="5CD9003A" w14:textId="77777777" w:rsidR="00BA49F5" w:rsidRDefault="00BA49F5">
            <w:pPr>
              <w:rPr>
                <w:rFonts w:ascii="宋体"/>
              </w:rPr>
            </w:pPr>
          </w:p>
        </w:tc>
        <w:tc>
          <w:tcPr>
            <w:tcW w:w="50" w:type="pct"/>
            <w:shd w:val="clear" w:color="auto" w:fill="auto"/>
            <w:vAlign w:val="bottom"/>
          </w:tcPr>
          <w:p w14:paraId="5CD9003B" w14:textId="77777777" w:rsidR="00BA49F5" w:rsidRDefault="00BA49F5">
            <w:pPr>
              <w:rPr>
                <w:rFonts w:ascii="宋体"/>
              </w:rPr>
            </w:pPr>
          </w:p>
        </w:tc>
        <w:tc>
          <w:tcPr>
            <w:tcW w:w="592" w:type="pct"/>
            <w:shd w:val="clear" w:color="auto" w:fill="auto"/>
            <w:vAlign w:val="bottom"/>
          </w:tcPr>
          <w:p w14:paraId="5CD9003C" w14:textId="77777777" w:rsidR="00BA49F5" w:rsidRDefault="00BA49F5">
            <w:pPr>
              <w:rPr>
                <w:rFonts w:ascii="宋体"/>
              </w:rPr>
            </w:pPr>
          </w:p>
        </w:tc>
        <w:tc>
          <w:tcPr>
            <w:tcW w:w="5" w:type="pct"/>
            <w:shd w:val="clear" w:color="auto" w:fill="auto"/>
            <w:vAlign w:val="bottom"/>
          </w:tcPr>
          <w:p w14:paraId="5CD9003D" w14:textId="77777777" w:rsidR="00BA49F5" w:rsidRDefault="00BA49F5">
            <w:pPr>
              <w:rPr>
                <w:rFonts w:ascii="宋体"/>
              </w:rPr>
            </w:pPr>
          </w:p>
        </w:tc>
        <w:tc>
          <w:tcPr>
            <w:tcW w:w="5" w:type="pct"/>
            <w:shd w:val="clear" w:color="auto" w:fill="auto"/>
            <w:vAlign w:val="bottom"/>
          </w:tcPr>
          <w:p w14:paraId="5CD9003E" w14:textId="77777777" w:rsidR="00BA49F5" w:rsidRDefault="00BA49F5">
            <w:pPr>
              <w:rPr>
                <w:rFonts w:ascii="宋体"/>
              </w:rPr>
            </w:pPr>
          </w:p>
        </w:tc>
        <w:tc>
          <w:tcPr>
            <w:tcW w:w="27" w:type="pct"/>
            <w:shd w:val="clear" w:color="auto" w:fill="auto"/>
            <w:vAlign w:val="bottom"/>
          </w:tcPr>
          <w:p w14:paraId="5CD9003F" w14:textId="77777777" w:rsidR="00BA49F5" w:rsidRDefault="00BA49F5">
            <w:pPr>
              <w:rPr>
                <w:rFonts w:ascii="宋体"/>
              </w:rPr>
            </w:pPr>
          </w:p>
        </w:tc>
        <w:tc>
          <w:tcPr>
            <w:tcW w:w="5" w:type="pct"/>
            <w:shd w:val="clear" w:color="auto" w:fill="auto"/>
            <w:vAlign w:val="bottom"/>
          </w:tcPr>
          <w:p w14:paraId="5CD90040" w14:textId="77777777" w:rsidR="00BA49F5" w:rsidRDefault="00BA49F5">
            <w:pPr>
              <w:rPr>
                <w:rFonts w:ascii="宋体"/>
              </w:rPr>
            </w:pPr>
          </w:p>
        </w:tc>
        <w:tc>
          <w:tcPr>
            <w:tcW w:w="50" w:type="pct"/>
            <w:shd w:val="clear" w:color="auto" w:fill="auto"/>
            <w:vAlign w:val="bottom"/>
          </w:tcPr>
          <w:p w14:paraId="5CD90041" w14:textId="77777777" w:rsidR="00BA49F5" w:rsidRDefault="00BA49F5">
            <w:pPr>
              <w:rPr>
                <w:rFonts w:ascii="宋体"/>
              </w:rPr>
            </w:pPr>
          </w:p>
        </w:tc>
        <w:tc>
          <w:tcPr>
            <w:tcW w:w="592" w:type="pct"/>
            <w:shd w:val="clear" w:color="auto" w:fill="auto"/>
            <w:vAlign w:val="bottom"/>
          </w:tcPr>
          <w:p w14:paraId="5CD90042" w14:textId="77777777" w:rsidR="00BA49F5" w:rsidRDefault="00BA49F5">
            <w:pPr>
              <w:rPr>
                <w:rFonts w:ascii="宋体"/>
              </w:rPr>
            </w:pPr>
          </w:p>
        </w:tc>
        <w:tc>
          <w:tcPr>
            <w:tcW w:w="5" w:type="pct"/>
            <w:shd w:val="clear" w:color="auto" w:fill="auto"/>
            <w:vAlign w:val="bottom"/>
          </w:tcPr>
          <w:p w14:paraId="5CD90043" w14:textId="77777777" w:rsidR="00BA49F5" w:rsidRDefault="00BA49F5">
            <w:pPr>
              <w:rPr>
                <w:rFonts w:ascii="宋体"/>
              </w:rPr>
            </w:pPr>
          </w:p>
        </w:tc>
        <w:tc>
          <w:tcPr>
            <w:tcW w:w="5" w:type="pct"/>
            <w:shd w:val="clear" w:color="auto" w:fill="auto"/>
            <w:vAlign w:val="bottom"/>
          </w:tcPr>
          <w:p w14:paraId="5CD90044" w14:textId="77777777" w:rsidR="00BA49F5" w:rsidRDefault="00BA49F5">
            <w:pPr>
              <w:rPr>
                <w:rFonts w:ascii="宋体"/>
              </w:rPr>
            </w:pPr>
          </w:p>
        </w:tc>
        <w:tc>
          <w:tcPr>
            <w:tcW w:w="27" w:type="pct"/>
            <w:shd w:val="clear" w:color="auto" w:fill="auto"/>
            <w:vAlign w:val="bottom"/>
          </w:tcPr>
          <w:p w14:paraId="5CD90045" w14:textId="77777777" w:rsidR="00BA49F5" w:rsidRDefault="00BA49F5">
            <w:pPr>
              <w:rPr>
                <w:rFonts w:ascii="宋体"/>
              </w:rPr>
            </w:pPr>
          </w:p>
        </w:tc>
        <w:tc>
          <w:tcPr>
            <w:tcW w:w="5" w:type="pct"/>
            <w:shd w:val="clear" w:color="auto" w:fill="auto"/>
            <w:vAlign w:val="bottom"/>
          </w:tcPr>
          <w:p w14:paraId="5CD90046" w14:textId="77777777" w:rsidR="00BA49F5" w:rsidRDefault="00BA49F5">
            <w:pPr>
              <w:rPr>
                <w:rFonts w:ascii="宋体"/>
              </w:rPr>
            </w:pPr>
          </w:p>
        </w:tc>
        <w:tc>
          <w:tcPr>
            <w:tcW w:w="50" w:type="pct"/>
            <w:shd w:val="clear" w:color="auto" w:fill="auto"/>
            <w:vAlign w:val="bottom"/>
          </w:tcPr>
          <w:p w14:paraId="5CD90047" w14:textId="77777777" w:rsidR="00BA49F5" w:rsidRDefault="00BA49F5">
            <w:pPr>
              <w:rPr>
                <w:rFonts w:ascii="宋体"/>
              </w:rPr>
            </w:pPr>
          </w:p>
        </w:tc>
        <w:tc>
          <w:tcPr>
            <w:tcW w:w="592" w:type="pct"/>
            <w:shd w:val="clear" w:color="auto" w:fill="auto"/>
            <w:vAlign w:val="bottom"/>
          </w:tcPr>
          <w:p w14:paraId="5CD90048" w14:textId="77777777" w:rsidR="00BA49F5" w:rsidRDefault="00BA49F5">
            <w:pPr>
              <w:rPr>
                <w:rFonts w:ascii="宋体"/>
              </w:rPr>
            </w:pPr>
          </w:p>
        </w:tc>
        <w:tc>
          <w:tcPr>
            <w:tcW w:w="5" w:type="pct"/>
            <w:shd w:val="clear" w:color="auto" w:fill="auto"/>
            <w:vAlign w:val="bottom"/>
          </w:tcPr>
          <w:p w14:paraId="5CD90049" w14:textId="77777777" w:rsidR="00BA49F5" w:rsidRDefault="00BA49F5">
            <w:pPr>
              <w:rPr>
                <w:rFonts w:ascii="宋体"/>
              </w:rPr>
            </w:pPr>
          </w:p>
        </w:tc>
      </w:tr>
      <w:tr w:rsidR="00BA49F5" w14:paraId="5CD9004D" w14:textId="77777777">
        <w:tc>
          <w:tcPr>
            <w:tcW w:w="0" w:type="auto"/>
            <w:gridSpan w:val="3"/>
            <w:shd w:val="clear" w:color="auto" w:fill="auto"/>
            <w:tcMar>
              <w:top w:w="0" w:type="dxa"/>
              <w:left w:w="20" w:type="dxa"/>
              <w:bottom w:w="0" w:type="dxa"/>
              <w:right w:w="20" w:type="dxa"/>
            </w:tcMar>
            <w:vAlign w:val="bottom"/>
          </w:tcPr>
          <w:p w14:paraId="5CD9004B"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9004C" w14:textId="77777777" w:rsidR="00BA49F5" w:rsidRDefault="007E5E49">
            <w:pPr>
              <w:jc w:val="center"/>
              <w:textAlignment w:val="bottom"/>
            </w:pPr>
            <w:r>
              <w:rPr>
                <w:rFonts w:ascii="Times New Roman" w:eastAsia="宋体" w:hAnsi="Times New Roman"/>
                <w:b/>
                <w:bCs/>
                <w:color w:val="000000"/>
                <w:sz w:val="16"/>
                <w:szCs w:val="16"/>
              </w:rPr>
              <w:t xml:space="preserve">Year Ended December 31, </w:t>
            </w:r>
          </w:p>
        </w:tc>
      </w:tr>
      <w:tr w:rsidR="00BA49F5" w14:paraId="5CD90054" w14:textId="77777777">
        <w:tc>
          <w:tcPr>
            <w:tcW w:w="0" w:type="auto"/>
            <w:gridSpan w:val="3"/>
            <w:shd w:val="clear" w:color="auto" w:fill="FFFFFF"/>
            <w:tcMar>
              <w:top w:w="0" w:type="dxa"/>
              <w:left w:w="20" w:type="dxa"/>
              <w:bottom w:w="0" w:type="dxa"/>
              <w:right w:w="20" w:type="dxa"/>
            </w:tcMar>
            <w:vAlign w:val="bottom"/>
          </w:tcPr>
          <w:p w14:paraId="5CD9004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04F"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90050"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051"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052"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053"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05B" w14:textId="77777777">
        <w:tc>
          <w:tcPr>
            <w:tcW w:w="0" w:type="auto"/>
            <w:gridSpan w:val="3"/>
            <w:shd w:val="clear" w:color="auto" w:fill="CCEEFF"/>
            <w:tcMar>
              <w:top w:w="40" w:type="dxa"/>
              <w:left w:w="20" w:type="dxa"/>
              <w:bottom w:w="40" w:type="dxa"/>
              <w:right w:w="20" w:type="dxa"/>
            </w:tcMar>
            <w:vAlign w:val="bottom"/>
          </w:tcPr>
          <w:p w14:paraId="5CD90055" w14:textId="77777777" w:rsidR="00BA49F5" w:rsidRDefault="007E5E49">
            <w:pPr>
              <w:textAlignment w:val="bottom"/>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056"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57"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058"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59"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05A" w14:textId="77777777" w:rsidR="00BA49F5" w:rsidRDefault="00BA49F5">
            <w:pPr>
              <w:rPr>
                <w:rFonts w:ascii="宋体"/>
              </w:rPr>
            </w:pPr>
          </w:p>
        </w:tc>
      </w:tr>
      <w:tr w:rsidR="00BA49F5" w14:paraId="5CD90068" w14:textId="77777777">
        <w:tc>
          <w:tcPr>
            <w:tcW w:w="0" w:type="auto"/>
            <w:gridSpan w:val="3"/>
            <w:shd w:val="clear" w:color="auto" w:fill="FFFFFF"/>
            <w:tcMar>
              <w:top w:w="40" w:type="dxa"/>
              <w:left w:w="200" w:type="dxa"/>
              <w:bottom w:w="40" w:type="dxa"/>
              <w:right w:w="20" w:type="dxa"/>
            </w:tcMar>
            <w:vAlign w:val="bottom"/>
          </w:tcPr>
          <w:p w14:paraId="5CD9005C" w14:textId="77777777" w:rsidR="00BA49F5" w:rsidRDefault="007E5E49">
            <w:pPr>
              <w:textAlignment w:val="bottom"/>
            </w:pPr>
            <w:r>
              <w:rPr>
                <w:rFonts w:ascii="Times New Roman" w:eastAsia="宋体" w:hAnsi="Times New Roman"/>
                <w:color w:val="000000"/>
                <w:sz w:val="20"/>
                <w:szCs w:val="20"/>
              </w:rPr>
              <w:t xml:space="preserve">Operating cash flows for operating </w:t>
            </w:r>
            <w:r>
              <w:rPr>
                <w:rFonts w:ascii="Times New Roman" w:eastAsia="宋体" w:hAnsi="Times New Roman"/>
                <w:color w:val="000000"/>
                <w:sz w:val="20"/>
                <w:szCs w:val="20"/>
              </w:rPr>
              <w:t>leases</w:t>
            </w:r>
          </w:p>
        </w:tc>
        <w:tc>
          <w:tcPr>
            <w:tcW w:w="0" w:type="auto"/>
            <w:shd w:val="clear" w:color="auto" w:fill="FFFFFF"/>
            <w:tcMar>
              <w:top w:w="40" w:type="dxa"/>
              <w:left w:w="20" w:type="dxa"/>
              <w:bottom w:w="40" w:type="dxa"/>
              <w:right w:w="0" w:type="dxa"/>
            </w:tcMar>
            <w:vAlign w:val="bottom"/>
          </w:tcPr>
          <w:p w14:paraId="5CD9005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5E" w14:textId="77777777" w:rsidR="00BA49F5" w:rsidRDefault="007E5E49">
            <w:pPr>
              <w:jc w:val="right"/>
              <w:textAlignment w:val="bottom"/>
            </w:pPr>
            <w:r>
              <w:rPr>
                <w:rFonts w:ascii="Times New Roman" w:eastAsia="宋体" w:hAnsi="Times New Roman"/>
                <w:color w:val="000000"/>
                <w:sz w:val="20"/>
                <w:szCs w:val="20"/>
              </w:rPr>
              <w:t>1,654 </w:t>
            </w:r>
          </w:p>
        </w:tc>
        <w:tc>
          <w:tcPr>
            <w:tcW w:w="0" w:type="auto"/>
            <w:shd w:val="clear" w:color="auto" w:fill="FFFFFF"/>
            <w:tcMar>
              <w:top w:w="40" w:type="dxa"/>
              <w:left w:w="0" w:type="dxa"/>
              <w:bottom w:w="40" w:type="dxa"/>
              <w:right w:w="20" w:type="dxa"/>
            </w:tcMar>
            <w:vAlign w:val="bottom"/>
          </w:tcPr>
          <w:p w14:paraId="5CD9005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60"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61"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62" w14:textId="77777777" w:rsidR="00BA49F5" w:rsidRDefault="007E5E49">
            <w:pPr>
              <w:jc w:val="right"/>
              <w:textAlignment w:val="bottom"/>
            </w:pPr>
            <w:r>
              <w:rPr>
                <w:rFonts w:ascii="Times New Roman" w:eastAsia="宋体" w:hAnsi="Times New Roman"/>
                <w:color w:val="000000"/>
                <w:sz w:val="20"/>
                <w:szCs w:val="20"/>
              </w:rPr>
              <w:t>1,406 </w:t>
            </w:r>
          </w:p>
        </w:tc>
        <w:tc>
          <w:tcPr>
            <w:tcW w:w="0" w:type="auto"/>
            <w:shd w:val="clear" w:color="auto" w:fill="FFFFFF"/>
            <w:tcMar>
              <w:top w:w="40" w:type="dxa"/>
              <w:left w:w="0" w:type="dxa"/>
              <w:bottom w:w="40" w:type="dxa"/>
              <w:right w:w="20" w:type="dxa"/>
            </w:tcMar>
            <w:vAlign w:val="bottom"/>
          </w:tcPr>
          <w:p w14:paraId="5CD9006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64"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6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66" w14:textId="77777777" w:rsidR="00BA49F5" w:rsidRDefault="007E5E49">
            <w:pPr>
              <w:jc w:val="right"/>
              <w:textAlignment w:val="bottom"/>
            </w:pPr>
            <w:r>
              <w:rPr>
                <w:rFonts w:ascii="Times New Roman" w:eastAsia="宋体" w:hAnsi="Times New Roman"/>
                <w:color w:val="000000"/>
                <w:sz w:val="20"/>
                <w:szCs w:val="20"/>
              </w:rPr>
              <w:t>1,208 </w:t>
            </w:r>
          </w:p>
        </w:tc>
        <w:tc>
          <w:tcPr>
            <w:tcW w:w="0" w:type="auto"/>
            <w:shd w:val="clear" w:color="auto" w:fill="FFFFFF"/>
            <w:tcMar>
              <w:top w:w="40" w:type="dxa"/>
              <w:left w:w="0" w:type="dxa"/>
              <w:bottom w:w="40" w:type="dxa"/>
              <w:right w:w="20" w:type="dxa"/>
            </w:tcMar>
            <w:vAlign w:val="bottom"/>
          </w:tcPr>
          <w:p w14:paraId="5CD90067" w14:textId="77777777" w:rsidR="00BA49F5" w:rsidRDefault="00BA49F5">
            <w:pPr>
              <w:jc w:val="right"/>
              <w:rPr>
                <w:rFonts w:ascii="宋体"/>
              </w:rPr>
            </w:pPr>
          </w:p>
        </w:tc>
      </w:tr>
      <w:tr w:rsidR="00BA49F5" w14:paraId="5CD90075" w14:textId="77777777">
        <w:tc>
          <w:tcPr>
            <w:tcW w:w="0" w:type="auto"/>
            <w:gridSpan w:val="3"/>
            <w:shd w:val="clear" w:color="auto" w:fill="CCEEFF"/>
            <w:tcMar>
              <w:top w:w="40" w:type="dxa"/>
              <w:left w:w="200" w:type="dxa"/>
              <w:bottom w:w="40" w:type="dxa"/>
              <w:right w:w="20" w:type="dxa"/>
            </w:tcMar>
            <w:vAlign w:val="bottom"/>
          </w:tcPr>
          <w:p w14:paraId="5CD90069" w14:textId="77777777" w:rsidR="00BA49F5" w:rsidRDefault="007E5E49">
            <w:pPr>
              <w:textAlignment w:val="bottom"/>
            </w:pPr>
            <w:r>
              <w:rPr>
                <w:rFonts w:ascii="Times New Roman" w:eastAsia="宋体" w:hAnsi="Times New Roman"/>
                <w:color w:val="000000"/>
                <w:sz w:val="20"/>
                <w:szCs w:val="20"/>
              </w:rPr>
              <w:t>Operating cash flows for finance leases</w:t>
            </w:r>
          </w:p>
        </w:tc>
        <w:tc>
          <w:tcPr>
            <w:tcW w:w="0" w:type="auto"/>
            <w:shd w:val="clear" w:color="auto" w:fill="CCEEFF"/>
            <w:tcMar>
              <w:top w:w="40" w:type="dxa"/>
              <w:left w:w="20" w:type="dxa"/>
              <w:bottom w:w="40" w:type="dxa"/>
              <w:right w:w="0" w:type="dxa"/>
            </w:tcMar>
            <w:vAlign w:val="bottom"/>
          </w:tcPr>
          <w:p w14:paraId="5CD9006A"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6B" w14:textId="77777777" w:rsidR="00BA49F5" w:rsidRDefault="007E5E49">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CD9006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6D"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06E"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6F" w14:textId="77777777" w:rsidR="00BA49F5" w:rsidRDefault="007E5E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5CD9007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71"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072"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73" w14:textId="77777777" w:rsidR="00BA49F5" w:rsidRDefault="007E5E49">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5CD90074" w14:textId="77777777" w:rsidR="00BA49F5" w:rsidRDefault="00BA49F5">
            <w:pPr>
              <w:jc w:val="right"/>
              <w:rPr>
                <w:rFonts w:ascii="宋体"/>
              </w:rPr>
            </w:pPr>
          </w:p>
        </w:tc>
      </w:tr>
      <w:tr w:rsidR="00BA49F5" w14:paraId="5CD90082" w14:textId="77777777">
        <w:tc>
          <w:tcPr>
            <w:tcW w:w="0" w:type="auto"/>
            <w:gridSpan w:val="3"/>
            <w:shd w:val="clear" w:color="auto" w:fill="FFFFFF"/>
            <w:tcMar>
              <w:top w:w="40" w:type="dxa"/>
              <w:left w:w="200" w:type="dxa"/>
              <w:bottom w:w="40" w:type="dxa"/>
              <w:right w:w="20" w:type="dxa"/>
            </w:tcMar>
            <w:vAlign w:val="bottom"/>
          </w:tcPr>
          <w:p w14:paraId="5CD90076" w14:textId="77777777" w:rsidR="00BA49F5" w:rsidRDefault="007E5E49">
            <w:pPr>
              <w:textAlignment w:val="bottom"/>
            </w:pPr>
            <w:r>
              <w:rPr>
                <w:rFonts w:ascii="Times New Roman" w:eastAsia="宋体" w:hAnsi="Times New Roman"/>
                <w:color w:val="000000"/>
                <w:sz w:val="20"/>
                <w:szCs w:val="20"/>
              </w:rPr>
              <w:t>Financing cash flows for finance leases</w:t>
            </w:r>
          </w:p>
        </w:tc>
        <w:tc>
          <w:tcPr>
            <w:tcW w:w="0" w:type="auto"/>
            <w:shd w:val="clear" w:color="auto" w:fill="FFFFFF"/>
            <w:tcMar>
              <w:top w:w="40" w:type="dxa"/>
              <w:left w:w="20" w:type="dxa"/>
              <w:bottom w:w="40" w:type="dxa"/>
              <w:right w:w="0" w:type="dxa"/>
            </w:tcMar>
            <w:vAlign w:val="bottom"/>
          </w:tcPr>
          <w:p w14:paraId="5CD9007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78" w14:textId="77777777" w:rsidR="00BA49F5" w:rsidRDefault="007E5E49">
            <w:pPr>
              <w:jc w:val="right"/>
              <w:textAlignment w:val="bottom"/>
            </w:pPr>
            <w:r>
              <w:rPr>
                <w:rFonts w:ascii="Times New Roman" w:eastAsia="宋体" w:hAnsi="Times New Roman"/>
                <w:color w:val="000000"/>
                <w:sz w:val="20"/>
                <w:szCs w:val="20"/>
              </w:rPr>
              <w:t>850 </w:t>
            </w:r>
          </w:p>
        </w:tc>
        <w:tc>
          <w:tcPr>
            <w:tcW w:w="0" w:type="auto"/>
            <w:shd w:val="clear" w:color="auto" w:fill="FFFFFF"/>
            <w:tcMar>
              <w:top w:w="40" w:type="dxa"/>
              <w:left w:w="0" w:type="dxa"/>
              <w:bottom w:w="40" w:type="dxa"/>
              <w:right w:w="20" w:type="dxa"/>
            </w:tcMar>
            <w:vAlign w:val="bottom"/>
          </w:tcPr>
          <w:p w14:paraId="5CD9007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7A"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7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7C" w14:textId="77777777" w:rsidR="00BA49F5" w:rsidRDefault="007E5E49">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5CD9007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7E"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7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80" w14:textId="77777777" w:rsidR="00BA49F5" w:rsidRDefault="007E5E49">
            <w:pPr>
              <w:jc w:val="right"/>
              <w:textAlignment w:val="bottom"/>
            </w:pPr>
            <w:r>
              <w:rPr>
                <w:rFonts w:ascii="Times New Roman" w:eastAsia="宋体" w:hAnsi="Times New Roman"/>
                <w:color w:val="000000"/>
                <w:sz w:val="20"/>
                <w:szCs w:val="20"/>
              </w:rPr>
              <w:t>604 </w:t>
            </w:r>
          </w:p>
        </w:tc>
        <w:tc>
          <w:tcPr>
            <w:tcW w:w="0" w:type="auto"/>
            <w:shd w:val="clear" w:color="auto" w:fill="FFFFFF"/>
            <w:tcMar>
              <w:top w:w="40" w:type="dxa"/>
              <w:left w:w="0" w:type="dxa"/>
              <w:bottom w:w="40" w:type="dxa"/>
              <w:right w:w="20" w:type="dxa"/>
            </w:tcMar>
            <w:vAlign w:val="bottom"/>
          </w:tcPr>
          <w:p w14:paraId="5CD90081" w14:textId="77777777" w:rsidR="00BA49F5" w:rsidRDefault="00BA49F5">
            <w:pPr>
              <w:jc w:val="right"/>
              <w:rPr>
                <w:rFonts w:ascii="宋体"/>
              </w:rPr>
            </w:pPr>
          </w:p>
        </w:tc>
      </w:tr>
      <w:tr w:rsidR="00BA49F5" w14:paraId="5CD90089" w14:textId="77777777">
        <w:tc>
          <w:tcPr>
            <w:tcW w:w="0" w:type="auto"/>
            <w:gridSpan w:val="3"/>
            <w:shd w:val="clear" w:color="auto" w:fill="CCEEFF"/>
            <w:tcMar>
              <w:top w:w="40" w:type="dxa"/>
              <w:left w:w="20" w:type="dxa"/>
              <w:bottom w:w="40" w:type="dxa"/>
              <w:right w:w="20" w:type="dxa"/>
            </w:tcMar>
            <w:vAlign w:val="bottom"/>
          </w:tcPr>
          <w:p w14:paraId="5CD90083" w14:textId="77777777" w:rsidR="00BA49F5" w:rsidRDefault="007E5E49">
            <w:pPr>
              <w:textAlignment w:val="bottom"/>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5CD90084"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85"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86"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8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88" w14:textId="77777777" w:rsidR="00BA49F5" w:rsidRDefault="00BA49F5">
            <w:pPr>
              <w:rPr>
                <w:rFonts w:ascii="宋体"/>
              </w:rPr>
            </w:pPr>
          </w:p>
        </w:tc>
      </w:tr>
      <w:tr w:rsidR="00BA49F5" w14:paraId="5CD90096" w14:textId="77777777">
        <w:tc>
          <w:tcPr>
            <w:tcW w:w="0" w:type="auto"/>
            <w:gridSpan w:val="3"/>
            <w:shd w:val="clear" w:color="auto" w:fill="FFFFFF"/>
            <w:tcMar>
              <w:top w:w="40" w:type="dxa"/>
              <w:left w:w="200" w:type="dxa"/>
              <w:bottom w:w="40" w:type="dxa"/>
              <w:right w:w="20" w:type="dxa"/>
            </w:tcMar>
            <w:vAlign w:val="bottom"/>
          </w:tcPr>
          <w:p w14:paraId="5CD9008A" w14:textId="77777777" w:rsidR="00BA49F5" w:rsidRDefault="007E5E49">
            <w:pPr>
              <w:textAlignment w:val="bottom"/>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vAlign w:val="bottom"/>
          </w:tcPr>
          <w:p w14:paraId="5CD9008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8C" w14:textId="77777777" w:rsidR="00BA49F5" w:rsidRDefault="007E5E49">
            <w:pPr>
              <w:jc w:val="right"/>
              <w:textAlignment w:val="bottom"/>
            </w:pPr>
            <w:r>
              <w:rPr>
                <w:rFonts w:ascii="Times New Roman" w:eastAsia="宋体" w:hAnsi="Times New Roman"/>
                <w:color w:val="000000"/>
                <w:sz w:val="20"/>
                <w:szCs w:val="20"/>
              </w:rPr>
              <w:t>4,366 </w:t>
            </w:r>
          </w:p>
        </w:tc>
        <w:tc>
          <w:tcPr>
            <w:tcW w:w="0" w:type="auto"/>
            <w:shd w:val="clear" w:color="auto" w:fill="FFFFFF"/>
            <w:tcMar>
              <w:top w:w="40" w:type="dxa"/>
              <w:left w:w="0" w:type="dxa"/>
              <w:bottom w:w="40" w:type="dxa"/>
              <w:right w:w="20" w:type="dxa"/>
            </w:tcMar>
            <w:vAlign w:val="bottom"/>
          </w:tcPr>
          <w:p w14:paraId="5CD9008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8E"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8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90" w14:textId="77777777" w:rsidR="00BA49F5" w:rsidRDefault="007E5E49">
            <w:pPr>
              <w:jc w:val="right"/>
              <w:textAlignment w:val="bottom"/>
            </w:pPr>
            <w:r>
              <w:rPr>
                <w:rFonts w:ascii="Times New Roman" w:eastAsia="宋体" w:hAnsi="Times New Roman"/>
                <w:color w:val="000000"/>
                <w:sz w:val="20"/>
                <w:szCs w:val="20"/>
              </w:rPr>
              <w:t>4,466 </w:t>
            </w:r>
          </w:p>
        </w:tc>
        <w:tc>
          <w:tcPr>
            <w:tcW w:w="0" w:type="auto"/>
            <w:shd w:val="clear" w:color="auto" w:fill="FFFFFF"/>
            <w:tcMar>
              <w:top w:w="40" w:type="dxa"/>
              <w:left w:w="0" w:type="dxa"/>
              <w:bottom w:w="40" w:type="dxa"/>
              <w:right w:w="20" w:type="dxa"/>
            </w:tcMar>
            <w:vAlign w:val="bottom"/>
          </w:tcPr>
          <w:p w14:paraId="5CD9009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92"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09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094" w14:textId="77777777" w:rsidR="00BA49F5" w:rsidRDefault="007E5E49">
            <w:pPr>
              <w:jc w:val="right"/>
              <w:textAlignment w:val="bottom"/>
            </w:pPr>
            <w:r>
              <w:rPr>
                <w:rFonts w:ascii="Times New Roman" w:eastAsia="宋体" w:hAnsi="Times New Roman"/>
                <w:color w:val="000000"/>
                <w:sz w:val="20"/>
                <w:szCs w:val="20"/>
              </w:rPr>
              <w:t>1,158 </w:t>
            </w:r>
          </w:p>
        </w:tc>
        <w:tc>
          <w:tcPr>
            <w:tcW w:w="0" w:type="auto"/>
            <w:shd w:val="clear" w:color="auto" w:fill="FFFFFF"/>
            <w:tcMar>
              <w:top w:w="40" w:type="dxa"/>
              <w:left w:w="0" w:type="dxa"/>
              <w:bottom w:w="40" w:type="dxa"/>
              <w:right w:w="20" w:type="dxa"/>
            </w:tcMar>
            <w:vAlign w:val="bottom"/>
          </w:tcPr>
          <w:p w14:paraId="5CD90095" w14:textId="77777777" w:rsidR="00BA49F5" w:rsidRDefault="00BA49F5">
            <w:pPr>
              <w:jc w:val="right"/>
              <w:rPr>
                <w:rFonts w:ascii="宋体"/>
              </w:rPr>
            </w:pPr>
          </w:p>
        </w:tc>
      </w:tr>
      <w:tr w:rsidR="00BA49F5" w14:paraId="5CD900A3" w14:textId="77777777">
        <w:tc>
          <w:tcPr>
            <w:tcW w:w="0" w:type="auto"/>
            <w:gridSpan w:val="3"/>
            <w:shd w:val="clear" w:color="auto" w:fill="CCEEFF"/>
            <w:tcMar>
              <w:top w:w="40" w:type="dxa"/>
              <w:left w:w="200" w:type="dxa"/>
              <w:bottom w:w="40" w:type="dxa"/>
              <w:right w:w="20" w:type="dxa"/>
            </w:tcMar>
            <w:vAlign w:val="bottom"/>
          </w:tcPr>
          <w:p w14:paraId="5CD90097" w14:textId="77777777" w:rsidR="00BA49F5" w:rsidRDefault="007E5E49">
            <w:pPr>
              <w:textAlignment w:val="bottom"/>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vAlign w:val="bottom"/>
          </w:tcPr>
          <w:p w14:paraId="5CD90098"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99" w14:textId="77777777" w:rsidR="00BA49F5" w:rsidRDefault="007E5E49">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5CD9009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9B"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09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9D" w14:textId="77777777" w:rsidR="00BA49F5" w:rsidRDefault="007E5E49">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5CD9009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9F"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0A0"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0A1" w14:textId="77777777" w:rsidR="00BA49F5" w:rsidRDefault="007E5E49">
            <w:pPr>
              <w:jc w:val="right"/>
              <w:textAlignment w:val="bottom"/>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vAlign w:val="bottom"/>
          </w:tcPr>
          <w:p w14:paraId="5CD900A2" w14:textId="77777777" w:rsidR="00BA49F5" w:rsidRDefault="00BA49F5">
            <w:pPr>
              <w:jc w:val="right"/>
              <w:rPr>
                <w:rFonts w:ascii="宋体"/>
              </w:rPr>
            </w:pPr>
          </w:p>
        </w:tc>
      </w:tr>
    </w:tbl>
    <w:p w14:paraId="5CD900A4" w14:textId="77777777" w:rsidR="00BA49F5" w:rsidRDefault="00BA49F5"/>
    <w:p w14:paraId="5CD900A5" w14:textId="77777777" w:rsidR="00BA49F5" w:rsidRDefault="007E5E49">
      <w:pPr>
        <w:spacing w:before="180"/>
        <w:jc w:val="both"/>
      </w:pPr>
      <w:r>
        <w:rPr>
          <w:rFonts w:ascii="Times New Roman" w:eastAsia="宋体" w:hAnsi="Times New Roman"/>
          <w:b/>
          <w:bCs/>
          <w:color w:val="000000"/>
          <w:sz w:val="20"/>
          <w:szCs w:val="20"/>
        </w:rPr>
        <w:t>Note 10.</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Acquisitions, Goodwill, and Intangible Assets</w:t>
      </w:r>
    </w:p>
    <w:p w14:paraId="5CD900A6" w14:textId="77777777" w:rsidR="00BA49F5" w:rsidRDefault="00BA49F5">
      <w:pPr>
        <w:ind w:firstLine="540"/>
        <w:jc w:val="both"/>
      </w:pPr>
    </w:p>
    <w:p w14:paraId="5CD900A7" w14:textId="77777777" w:rsidR="00BA49F5" w:rsidRDefault="007E5E49">
      <w:pPr>
        <w:ind w:firstLine="540"/>
        <w:jc w:val="both"/>
      </w:pPr>
      <w:r>
        <w:rPr>
          <w:rFonts w:ascii="Times New Roman" w:eastAsia="宋体" w:hAnsi="Times New Roman"/>
          <w:color w:val="000000"/>
          <w:sz w:val="20"/>
          <w:szCs w:val="20"/>
        </w:rPr>
        <w:t>During the year ended December 31, 2022, we completed several business combinations with total cash consideration transferre</w:t>
      </w:r>
      <w:r>
        <w:rPr>
          <w:rFonts w:ascii="Times New Roman" w:eastAsia="宋体" w:hAnsi="Times New Roman"/>
          <w:color w:val="000000"/>
          <w:sz w:val="20"/>
          <w:szCs w:val="20"/>
        </w:rPr>
        <w:t>d of $1.23 billion, which in aggregate was allocated to $317 million of intangible assets, $1.14 billion of goodwill, and $223 million of net liabilities assumed. Goodwill generated from all business acquisitions completed was primarily attributable to exp</w:t>
      </w:r>
      <w:r>
        <w:rPr>
          <w:rFonts w:ascii="Times New Roman" w:eastAsia="宋体" w:hAnsi="Times New Roman"/>
          <w:color w:val="000000"/>
          <w:sz w:val="20"/>
          <w:szCs w:val="20"/>
        </w:rPr>
        <w:t>ected synergies and potential monetization opportunities. The amount of goodwill generated that was deductible for tax purposes was not material. Acquisition-related costs were immaterial and were expensed as incurred. Pro forma historical results of opera</w:t>
      </w:r>
      <w:r>
        <w:rPr>
          <w:rFonts w:ascii="Times New Roman" w:eastAsia="宋体" w:hAnsi="Times New Roman"/>
          <w:color w:val="000000"/>
          <w:sz w:val="20"/>
          <w:szCs w:val="20"/>
        </w:rPr>
        <w:t xml:space="preserve">tions related to these business acquisitions have not been presented because they are not significant to our consolidated financial statements, either individually or in aggregate. We have included the financial results of these acquired businesses in our </w:t>
      </w:r>
      <w:r>
        <w:rPr>
          <w:rFonts w:ascii="Times New Roman" w:eastAsia="宋体" w:hAnsi="Times New Roman"/>
          <w:color w:val="000000"/>
          <w:sz w:val="20"/>
          <w:szCs w:val="20"/>
        </w:rPr>
        <w:t>consolidated financial statements from their respective dates of acquisition.</w:t>
      </w:r>
    </w:p>
    <w:p w14:paraId="5CD900A8" w14:textId="77777777" w:rsidR="00BA49F5" w:rsidRDefault="00BA49F5">
      <w:pPr>
        <w:ind w:firstLine="540"/>
        <w:jc w:val="both"/>
      </w:pPr>
    </w:p>
    <w:p w14:paraId="5CD900A9" w14:textId="77777777" w:rsidR="00BA49F5" w:rsidRDefault="007E5E49">
      <w:pPr>
        <w:jc w:val="center"/>
      </w:pPr>
      <w:r>
        <w:rPr>
          <w:rFonts w:ascii="Times New Roman" w:eastAsia="宋体" w:hAnsi="Times New Roman"/>
          <w:color w:val="000000"/>
          <w:sz w:val="20"/>
          <w:szCs w:val="20"/>
        </w:rPr>
        <w:t>107</w:t>
      </w:r>
    </w:p>
    <w:p w14:paraId="5CD900AA" w14:textId="77777777" w:rsidR="00BA49F5" w:rsidRDefault="007E5E49">
      <w:r>
        <w:pict w14:anchorId="5CD90D60">
          <v:rect id="_x0000_i1131" style="width:415.3pt;height:1.5pt" o:hralign="center" o:hrstd="t" o:hr="t" fillcolor="#a0a0a0" stroked="f"/>
        </w:pict>
      </w:r>
    </w:p>
    <w:p w14:paraId="5CD900AB" w14:textId="77777777" w:rsidR="00BA49F5" w:rsidRDefault="00BA49F5"/>
    <w:p w14:paraId="5CD900AC" w14:textId="77777777" w:rsidR="00BA49F5" w:rsidRDefault="00BA49F5"/>
    <w:p w14:paraId="5CD900AD" w14:textId="77777777" w:rsidR="00BA49F5" w:rsidRDefault="007E5E49">
      <w:hyperlink r:id="rId309" w:anchor="i6df229dad1864210ab76200083e26819_7" w:history="1">
        <w:r>
          <w:rPr>
            <w:rStyle w:val="a5"/>
            <w:rFonts w:ascii="Times New Roman" w:eastAsia="宋体" w:hAnsi="Times New Roman"/>
            <w:sz w:val="20"/>
            <w:szCs w:val="20"/>
          </w:rPr>
          <w:t>T</w:t>
        </w:r>
      </w:hyperlink>
      <w:hyperlink r:id="rId310" w:anchor="i6df229dad1864210ab76200083e26819_7" w:history="1">
        <w:r>
          <w:rPr>
            <w:rStyle w:val="a5"/>
            <w:rFonts w:ascii="Times New Roman" w:eastAsia="宋体" w:hAnsi="Times New Roman"/>
            <w:sz w:val="20"/>
            <w:szCs w:val="20"/>
          </w:rPr>
          <w:t>able of Contents</w:t>
        </w:r>
      </w:hyperlink>
    </w:p>
    <w:p w14:paraId="5CD900AE" w14:textId="77777777" w:rsidR="00BA49F5" w:rsidRDefault="007E5E49">
      <w:pPr>
        <w:ind w:firstLine="540"/>
        <w:jc w:val="both"/>
      </w:pPr>
      <w:r>
        <w:rPr>
          <w:rFonts w:ascii="Times New Roman" w:eastAsia="宋体" w:hAnsi="Times New Roman"/>
          <w:color w:val="000000"/>
          <w:sz w:val="20"/>
          <w:szCs w:val="20"/>
          <w:shd w:val="clear" w:color="auto" w:fill="FFFFFF"/>
        </w:rPr>
        <w:t>Changes in the carrying amount of goodwill by reportable segment for the years ended D</w:t>
      </w:r>
      <w:r>
        <w:rPr>
          <w:rFonts w:ascii="Times New Roman" w:eastAsia="宋体" w:hAnsi="Times New Roman"/>
          <w:color w:val="000000"/>
          <w:sz w:val="20"/>
          <w:szCs w:val="20"/>
          <w:shd w:val="clear" w:color="auto" w:fill="FFFFFF"/>
        </w:rPr>
        <w:t>ecember 31, 2022 and 2021 are as follows (in millions):</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4767"/>
        <w:gridCol w:w="38"/>
        <w:gridCol w:w="120"/>
        <w:gridCol w:w="919"/>
        <w:gridCol w:w="36"/>
        <w:gridCol w:w="36"/>
        <w:gridCol w:w="36"/>
        <w:gridCol w:w="36"/>
        <w:gridCol w:w="120"/>
        <w:gridCol w:w="919"/>
        <w:gridCol w:w="36"/>
        <w:gridCol w:w="36"/>
        <w:gridCol w:w="36"/>
        <w:gridCol w:w="36"/>
        <w:gridCol w:w="120"/>
        <w:gridCol w:w="920"/>
        <w:gridCol w:w="36"/>
      </w:tblGrid>
      <w:tr w:rsidR="00BA49F5" w14:paraId="5CD900C1" w14:textId="77777777">
        <w:trPr>
          <w:jc w:val="center"/>
        </w:trPr>
        <w:tc>
          <w:tcPr>
            <w:tcW w:w="50" w:type="pct"/>
            <w:shd w:val="clear" w:color="auto" w:fill="auto"/>
            <w:vAlign w:val="bottom"/>
          </w:tcPr>
          <w:p w14:paraId="5CD900AF" w14:textId="77777777" w:rsidR="00BA49F5" w:rsidRDefault="00BA49F5">
            <w:pPr>
              <w:rPr>
                <w:rFonts w:ascii="宋体"/>
              </w:rPr>
            </w:pPr>
          </w:p>
        </w:tc>
        <w:tc>
          <w:tcPr>
            <w:tcW w:w="2931" w:type="pct"/>
            <w:shd w:val="clear" w:color="auto" w:fill="auto"/>
            <w:vAlign w:val="bottom"/>
          </w:tcPr>
          <w:p w14:paraId="5CD900B0" w14:textId="77777777" w:rsidR="00BA49F5" w:rsidRDefault="00BA49F5">
            <w:pPr>
              <w:rPr>
                <w:rFonts w:ascii="宋体"/>
              </w:rPr>
            </w:pPr>
          </w:p>
        </w:tc>
        <w:tc>
          <w:tcPr>
            <w:tcW w:w="5" w:type="pct"/>
            <w:shd w:val="clear" w:color="auto" w:fill="auto"/>
            <w:vAlign w:val="bottom"/>
          </w:tcPr>
          <w:p w14:paraId="5CD900B1" w14:textId="77777777" w:rsidR="00BA49F5" w:rsidRDefault="00BA49F5">
            <w:pPr>
              <w:rPr>
                <w:rFonts w:ascii="宋体"/>
              </w:rPr>
            </w:pPr>
          </w:p>
        </w:tc>
        <w:tc>
          <w:tcPr>
            <w:tcW w:w="50" w:type="pct"/>
            <w:shd w:val="clear" w:color="auto" w:fill="auto"/>
            <w:vAlign w:val="bottom"/>
          </w:tcPr>
          <w:p w14:paraId="5CD900B2" w14:textId="77777777" w:rsidR="00BA49F5" w:rsidRDefault="00BA49F5">
            <w:pPr>
              <w:rPr>
                <w:rFonts w:ascii="宋体"/>
              </w:rPr>
            </w:pPr>
          </w:p>
        </w:tc>
        <w:tc>
          <w:tcPr>
            <w:tcW w:w="596" w:type="pct"/>
            <w:shd w:val="clear" w:color="auto" w:fill="auto"/>
            <w:vAlign w:val="bottom"/>
          </w:tcPr>
          <w:p w14:paraId="5CD900B3" w14:textId="77777777" w:rsidR="00BA49F5" w:rsidRDefault="00BA49F5">
            <w:pPr>
              <w:rPr>
                <w:rFonts w:ascii="宋体"/>
              </w:rPr>
            </w:pPr>
          </w:p>
        </w:tc>
        <w:tc>
          <w:tcPr>
            <w:tcW w:w="5" w:type="pct"/>
            <w:shd w:val="clear" w:color="auto" w:fill="auto"/>
            <w:vAlign w:val="bottom"/>
          </w:tcPr>
          <w:p w14:paraId="5CD900B4" w14:textId="77777777" w:rsidR="00BA49F5" w:rsidRDefault="00BA49F5">
            <w:pPr>
              <w:rPr>
                <w:rFonts w:ascii="宋体"/>
              </w:rPr>
            </w:pPr>
          </w:p>
        </w:tc>
        <w:tc>
          <w:tcPr>
            <w:tcW w:w="5" w:type="pct"/>
            <w:shd w:val="clear" w:color="auto" w:fill="auto"/>
            <w:vAlign w:val="bottom"/>
          </w:tcPr>
          <w:p w14:paraId="5CD900B5" w14:textId="77777777" w:rsidR="00BA49F5" w:rsidRDefault="00BA49F5">
            <w:pPr>
              <w:rPr>
                <w:rFonts w:ascii="宋体"/>
              </w:rPr>
            </w:pPr>
          </w:p>
        </w:tc>
        <w:tc>
          <w:tcPr>
            <w:tcW w:w="19" w:type="pct"/>
            <w:shd w:val="clear" w:color="auto" w:fill="auto"/>
            <w:vAlign w:val="bottom"/>
          </w:tcPr>
          <w:p w14:paraId="5CD900B6" w14:textId="77777777" w:rsidR="00BA49F5" w:rsidRDefault="00BA49F5">
            <w:pPr>
              <w:rPr>
                <w:rFonts w:ascii="宋体"/>
              </w:rPr>
            </w:pPr>
          </w:p>
        </w:tc>
        <w:tc>
          <w:tcPr>
            <w:tcW w:w="5" w:type="pct"/>
            <w:shd w:val="clear" w:color="auto" w:fill="auto"/>
            <w:vAlign w:val="bottom"/>
          </w:tcPr>
          <w:p w14:paraId="5CD900B7" w14:textId="77777777" w:rsidR="00BA49F5" w:rsidRDefault="00BA49F5">
            <w:pPr>
              <w:rPr>
                <w:rFonts w:ascii="宋体"/>
              </w:rPr>
            </w:pPr>
          </w:p>
        </w:tc>
        <w:tc>
          <w:tcPr>
            <w:tcW w:w="50" w:type="pct"/>
            <w:shd w:val="clear" w:color="auto" w:fill="auto"/>
            <w:vAlign w:val="bottom"/>
          </w:tcPr>
          <w:p w14:paraId="5CD900B8" w14:textId="77777777" w:rsidR="00BA49F5" w:rsidRDefault="00BA49F5">
            <w:pPr>
              <w:rPr>
                <w:rFonts w:ascii="宋体"/>
              </w:rPr>
            </w:pPr>
          </w:p>
        </w:tc>
        <w:tc>
          <w:tcPr>
            <w:tcW w:w="596" w:type="pct"/>
            <w:shd w:val="clear" w:color="auto" w:fill="auto"/>
            <w:vAlign w:val="bottom"/>
          </w:tcPr>
          <w:p w14:paraId="5CD900B9" w14:textId="77777777" w:rsidR="00BA49F5" w:rsidRDefault="00BA49F5">
            <w:pPr>
              <w:rPr>
                <w:rFonts w:ascii="宋体"/>
              </w:rPr>
            </w:pPr>
          </w:p>
        </w:tc>
        <w:tc>
          <w:tcPr>
            <w:tcW w:w="5" w:type="pct"/>
            <w:shd w:val="clear" w:color="auto" w:fill="auto"/>
            <w:vAlign w:val="bottom"/>
          </w:tcPr>
          <w:p w14:paraId="5CD900BA" w14:textId="77777777" w:rsidR="00BA49F5" w:rsidRDefault="00BA49F5">
            <w:pPr>
              <w:rPr>
                <w:rFonts w:ascii="宋体"/>
              </w:rPr>
            </w:pPr>
          </w:p>
        </w:tc>
        <w:tc>
          <w:tcPr>
            <w:tcW w:w="5" w:type="pct"/>
            <w:shd w:val="clear" w:color="auto" w:fill="auto"/>
            <w:vAlign w:val="bottom"/>
          </w:tcPr>
          <w:p w14:paraId="5CD900BB" w14:textId="77777777" w:rsidR="00BA49F5" w:rsidRDefault="00BA49F5">
            <w:pPr>
              <w:rPr>
                <w:rFonts w:ascii="宋体"/>
              </w:rPr>
            </w:pPr>
          </w:p>
        </w:tc>
        <w:tc>
          <w:tcPr>
            <w:tcW w:w="19" w:type="pct"/>
            <w:shd w:val="clear" w:color="auto" w:fill="auto"/>
            <w:vAlign w:val="bottom"/>
          </w:tcPr>
          <w:p w14:paraId="5CD900BC" w14:textId="77777777" w:rsidR="00BA49F5" w:rsidRDefault="00BA49F5">
            <w:pPr>
              <w:rPr>
                <w:rFonts w:ascii="宋体"/>
              </w:rPr>
            </w:pPr>
          </w:p>
        </w:tc>
        <w:tc>
          <w:tcPr>
            <w:tcW w:w="5" w:type="pct"/>
            <w:shd w:val="clear" w:color="auto" w:fill="auto"/>
            <w:vAlign w:val="bottom"/>
          </w:tcPr>
          <w:p w14:paraId="5CD900BD" w14:textId="77777777" w:rsidR="00BA49F5" w:rsidRDefault="00BA49F5">
            <w:pPr>
              <w:rPr>
                <w:rFonts w:ascii="宋体"/>
              </w:rPr>
            </w:pPr>
          </w:p>
        </w:tc>
        <w:tc>
          <w:tcPr>
            <w:tcW w:w="50" w:type="pct"/>
            <w:shd w:val="clear" w:color="auto" w:fill="auto"/>
            <w:vAlign w:val="bottom"/>
          </w:tcPr>
          <w:p w14:paraId="5CD900BE" w14:textId="77777777" w:rsidR="00BA49F5" w:rsidRDefault="00BA49F5">
            <w:pPr>
              <w:rPr>
                <w:rFonts w:ascii="宋体"/>
              </w:rPr>
            </w:pPr>
          </w:p>
        </w:tc>
        <w:tc>
          <w:tcPr>
            <w:tcW w:w="596" w:type="pct"/>
            <w:shd w:val="clear" w:color="auto" w:fill="auto"/>
            <w:vAlign w:val="bottom"/>
          </w:tcPr>
          <w:p w14:paraId="5CD900BF" w14:textId="77777777" w:rsidR="00BA49F5" w:rsidRDefault="00BA49F5">
            <w:pPr>
              <w:rPr>
                <w:rFonts w:ascii="宋体"/>
              </w:rPr>
            </w:pPr>
          </w:p>
        </w:tc>
        <w:tc>
          <w:tcPr>
            <w:tcW w:w="5" w:type="pct"/>
            <w:shd w:val="clear" w:color="auto" w:fill="auto"/>
            <w:vAlign w:val="bottom"/>
          </w:tcPr>
          <w:p w14:paraId="5CD900C0" w14:textId="77777777" w:rsidR="00BA49F5" w:rsidRDefault="00BA49F5">
            <w:pPr>
              <w:rPr>
                <w:rFonts w:ascii="宋体"/>
              </w:rPr>
            </w:pPr>
          </w:p>
        </w:tc>
      </w:tr>
      <w:tr w:rsidR="00BA49F5" w14:paraId="5CD900C8" w14:textId="77777777">
        <w:trPr>
          <w:jc w:val="center"/>
        </w:trPr>
        <w:tc>
          <w:tcPr>
            <w:tcW w:w="0" w:type="auto"/>
            <w:gridSpan w:val="3"/>
            <w:shd w:val="clear" w:color="auto" w:fill="FFFFFF"/>
            <w:tcMar>
              <w:top w:w="0" w:type="dxa"/>
              <w:left w:w="20" w:type="dxa"/>
              <w:bottom w:w="0" w:type="dxa"/>
              <w:right w:w="20" w:type="dxa"/>
            </w:tcMar>
            <w:vAlign w:val="bottom"/>
          </w:tcPr>
          <w:p w14:paraId="5CD900C2"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0C3" w14:textId="77777777" w:rsidR="00BA49F5" w:rsidRDefault="007E5E49">
            <w:pPr>
              <w:jc w:val="center"/>
              <w:textAlignment w:val="center"/>
            </w:pPr>
            <w:r>
              <w:rPr>
                <w:rFonts w:ascii="Times New Roman" w:eastAsia="宋体" w:hAnsi="Times New Roman"/>
                <w:b/>
                <w:bCs/>
                <w:color w:val="000000"/>
                <w:sz w:val="16"/>
                <w:szCs w:val="16"/>
              </w:rPr>
              <w:t>Family of Apps</w:t>
            </w:r>
          </w:p>
        </w:tc>
        <w:tc>
          <w:tcPr>
            <w:tcW w:w="0" w:type="auto"/>
            <w:gridSpan w:val="3"/>
            <w:shd w:val="clear" w:color="auto" w:fill="FFFFFF"/>
            <w:tcMar>
              <w:top w:w="0" w:type="dxa"/>
              <w:left w:w="20" w:type="dxa"/>
              <w:bottom w:w="0" w:type="dxa"/>
              <w:right w:w="20" w:type="dxa"/>
            </w:tcMar>
            <w:vAlign w:val="bottom"/>
          </w:tcPr>
          <w:p w14:paraId="5CD900C4"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0C5" w14:textId="77777777" w:rsidR="00BA49F5" w:rsidRDefault="007E5E49">
            <w:pPr>
              <w:jc w:val="center"/>
              <w:textAlignment w:val="center"/>
            </w:pPr>
            <w:r>
              <w:rPr>
                <w:rFonts w:ascii="Times New Roman" w:eastAsia="宋体" w:hAnsi="Times New Roman"/>
                <w:b/>
                <w:bCs/>
                <w:color w:val="000000"/>
                <w:sz w:val="16"/>
                <w:szCs w:val="16"/>
              </w:rPr>
              <w:t>Reality Labs</w:t>
            </w:r>
          </w:p>
        </w:tc>
        <w:tc>
          <w:tcPr>
            <w:tcW w:w="0" w:type="auto"/>
            <w:gridSpan w:val="3"/>
            <w:shd w:val="clear" w:color="auto" w:fill="FFFFFF"/>
            <w:tcMar>
              <w:top w:w="0" w:type="dxa"/>
              <w:left w:w="20" w:type="dxa"/>
              <w:bottom w:w="0" w:type="dxa"/>
              <w:right w:w="20" w:type="dxa"/>
            </w:tcMar>
            <w:vAlign w:val="bottom"/>
          </w:tcPr>
          <w:p w14:paraId="5CD900C6"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0C7" w14:textId="77777777" w:rsidR="00BA49F5" w:rsidRDefault="007E5E49">
            <w:pPr>
              <w:jc w:val="center"/>
              <w:textAlignment w:val="center"/>
            </w:pPr>
            <w:r>
              <w:rPr>
                <w:rFonts w:ascii="Times New Roman" w:eastAsia="宋体" w:hAnsi="Times New Roman"/>
                <w:b/>
                <w:bCs/>
                <w:color w:val="000000"/>
                <w:sz w:val="16"/>
                <w:szCs w:val="16"/>
              </w:rPr>
              <w:t>Total</w:t>
            </w:r>
          </w:p>
        </w:tc>
      </w:tr>
      <w:tr w:rsidR="00BA49F5" w14:paraId="5CD900D1" w14:textId="77777777">
        <w:trPr>
          <w:jc w:val="center"/>
        </w:trPr>
        <w:tc>
          <w:tcPr>
            <w:tcW w:w="0" w:type="auto"/>
            <w:gridSpan w:val="3"/>
            <w:shd w:val="clear" w:color="auto" w:fill="CCEEFF"/>
            <w:tcMar>
              <w:top w:w="40" w:type="dxa"/>
              <w:left w:w="20" w:type="dxa"/>
              <w:bottom w:w="40" w:type="dxa"/>
              <w:right w:w="20" w:type="dxa"/>
            </w:tcMar>
            <w:vAlign w:val="bottom"/>
          </w:tcPr>
          <w:p w14:paraId="5CD900C9" w14:textId="77777777" w:rsidR="00BA49F5" w:rsidRDefault="007E5E49">
            <w:pPr>
              <w:textAlignment w:val="bottom"/>
            </w:pPr>
            <w:r>
              <w:rPr>
                <w:rFonts w:ascii="Times New Roman" w:eastAsia="宋体" w:hAnsi="Times New Roman"/>
                <w:color w:val="000000"/>
                <w:sz w:val="20"/>
                <w:szCs w:val="20"/>
              </w:rPr>
              <w:t>Goodwill at December 31, 2020</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0CA"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CB"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0C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CD"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0C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0CF" w14:textId="77777777" w:rsidR="00BA49F5" w:rsidRDefault="007E5E49">
            <w:pPr>
              <w:jc w:val="right"/>
              <w:textAlignment w:val="bottom"/>
            </w:pPr>
            <w:r>
              <w:rPr>
                <w:rFonts w:ascii="Times New Roman" w:eastAsia="宋体" w:hAnsi="Times New Roman"/>
                <w:color w:val="000000"/>
                <w:sz w:val="20"/>
                <w:szCs w:val="20"/>
              </w:rPr>
              <w:t>19,050 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D0" w14:textId="77777777" w:rsidR="00BA49F5" w:rsidRDefault="00BA49F5">
            <w:pPr>
              <w:jc w:val="right"/>
              <w:rPr>
                <w:rFonts w:ascii="宋体"/>
              </w:rPr>
            </w:pPr>
          </w:p>
        </w:tc>
      </w:tr>
      <w:tr w:rsidR="00BA49F5" w14:paraId="5CD900D9" w14:textId="77777777">
        <w:trPr>
          <w:jc w:val="center"/>
        </w:trPr>
        <w:tc>
          <w:tcPr>
            <w:tcW w:w="0" w:type="auto"/>
            <w:gridSpan w:val="3"/>
            <w:shd w:val="clear" w:color="auto" w:fill="FFFFFF"/>
            <w:tcMar>
              <w:top w:w="40" w:type="dxa"/>
              <w:left w:w="200" w:type="dxa"/>
              <w:bottom w:w="40" w:type="dxa"/>
              <w:right w:w="20" w:type="dxa"/>
            </w:tcMar>
            <w:vAlign w:val="bottom"/>
          </w:tcPr>
          <w:p w14:paraId="5CD900D2" w14:textId="77777777" w:rsidR="00BA49F5" w:rsidRDefault="007E5E49">
            <w:pPr>
              <w:textAlignment w:val="bottom"/>
            </w:pPr>
            <w:r>
              <w:rPr>
                <w:rFonts w:ascii="Times New Roman" w:eastAsia="宋体" w:hAnsi="Times New Roman"/>
                <w:color w:val="000000"/>
                <w:sz w:val="20"/>
                <w:szCs w:val="20"/>
              </w:rPr>
              <w:t>Acquisitions</w:t>
            </w:r>
          </w:p>
        </w:tc>
        <w:tc>
          <w:tcPr>
            <w:tcW w:w="0" w:type="auto"/>
            <w:gridSpan w:val="3"/>
            <w:shd w:val="clear" w:color="auto" w:fill="FFFFFF"/>
            <w:tcMar>
              <w:top w:w="0" w:type="dxa"/>
              <w:left w:w="20" w:type="dxa"/>
              <w:bottom w:w="0" w:type="dxa"/>
              <w:right w:w="20" w:type="dxa"/>
            </w:tcMar>
            <w:vAlign w:val="bottom"/>
          </w:tcPr>
          <w:p w14:paraId="5CD900D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D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D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D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D7" w14:textId="77777777" w:rsidR="00BA49F5" w:rsidRDefault="007E5E49">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5CD900D8" w14:textId="77777777" w:rsidR="00BA49F5" w:rsidRDefault="00BA49F5">
            <w:pPr>
              <w:jc w:val="right"/>
              <w:rPr>
                <w:rFonts w:ascii="宋体"/>
              </w:rPr>
            </w:pPr>
          </w:p>
        </w:tc>
      </w:tr>
      <w:tr w:rsidR="00BA49F5" w14:paraId="5CD900E1" w14:textId="77777777">
        <w:trPr>
          <w:jc w:val="center"/>
        </w:trPr>
        <w:tc>
          <w:tcPr>
            <w:tcW w:w="0" w:type="auto"/>
            <w:gridSpan w:val="3"/>
            <w:shd w:val="clear" w:color="auto" w:fill="CCEEFF"/>
            <w:tcMar>
              <w:top w:w="40" w:type="dxa"/>
              <w:left w:w="200" w:type="dxa"/>
              <w:bottom w:w="40" w:type="dxa"/>
              <w:right w:w="20" w:type="dxa"/>
            </w:tcMar>
            <w:vAlign w:val="bottom"/>
          </w:tcPr>
          <w:p w14:paraId="5CD900DA" w14:textId="77777777" w:rsidR="00BA49F5" w:rsidRDefault="007E5E49">
            <w:pPr>
              <w:textAlignment w:val="bottom"/>
            </w:pPr>
            <w:r>
              <w:rPr>
                <w:rFonts w:ascii="Times New Roman" w:eastAsia="宋体" w:hAnsi="Times New Roman"/>
                <w:color w:val="000000"/>
                <w:sz w:val="20"/>
                <w:szCs w:val="20"/>
              </w:rPr>
              <w:t>Adjustments/transfer</w:t>
            </w:r>
          </w:p>
        </w:tc>
        <w:tc>
          <w:tcPr>
            <w:tcW w:w="0" w:type="auto"/>
            <w:gridSpan w:val="3"/>
            <w:shd w:val="clear" w:color="auto" w:fill="CCEEFF"/>
            <w:tcMar>
              <w:top w:w="0" w:type="dxa"/>
              <w:left w:w="20" w:type="dxa"/>
              <w:bottom w:w="0" w:type="dxa"/>
              <w:right w:w="20" w:type="dxa"/>
            </w:tcMar>
            <w:vAlign w:val="bottom"/>
          </w:tcPr>
          <w:p w14:paraId="5CD900DB"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D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DD"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0D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0DF" w14:textId="77777777" w:rsidR="00BA49F5" w:rsidRDefault="007E5E49">
            <w:pPr>
              <w:jc w:val="right"/>
              <w:textAlignment w:val="bottom"/>
            </w:pPr>
            <w:r>
              <w:rPr>
                <w:rFonts w:ascii="Times New Roman" w:eastAsia="宋体" w:hAnsi="Times New Roman"/>
                <w:color w:val="000000"/>
                <w:sz w:val="20"/>
                <w:szCs w:val="20"/>
              </w:rPr>
              <w:t>(191)</w:t>
            </w:r>
          </w:p>
        </w:tc>
        <w:tc>
          <w:tcPr>
            <w:tcW w:w="0" w:type="auto"/>
            <w:shd w:val="clear" w:color="auto" w:fill="CCEEFF"/>
            <w:tcMar>
              <w:top w:w="40" w:type="dxa"/>
              <w:left w:w="0" w:type="dxa"/>
              <w:bottom w:w="40" w:type="dxa"/>
              <w:right w:w="20" w:type="dxa"/>
            </w:tcMar>
            <w:vAlign w:val="bottom"/>
          </w:tcPr>
          <w:p w14:paraId="5CD900E0" w14:textId="77777777" w:rsidR="00BA49F5" w:rsidRDefault="00BA49F5">
            <w:pPr>
              <w:jc w:val="right"/>
              <w:rPr>
                <w:rFonts w:ascii="宋体"/>
              </w:rPr>
            </w:pPr>
          </w:p>
        </w:tc>
      </w:tr>
      <w:tr w:rsidR="00BA49F5" w14:paraId="5CD900E9" w14:textId="77777777">
        <w:trPr>
          <w:jc w:val="center"/>
        </w:trPr>
        <w:tc>
          <w:tcPr>
            <w:tcW w:w="0" w:type="auto"/>
            <w:gridSpan w:val="3"/>
            <w:shd w:val="clear" w:color="auto" w:fill="FFFFFF"/>
            <w:tcMar>
              <w:top w:w="40" w:type="dxa"/>
              <w:left w:w="200" w:type="dxa"/>
              <w:bottom w:w="40" w:type="dxa"/>
              <w:right w:w="20" w:type="dxa"/>
            </w:tcMar>
            <w:vAlign w:val="bottom"/>
          </w:tcPr>
          <w:p w14:paraId="5CD900E2" w14:textId="77777777" w:rsidR="00BA49F5" w:rsidRDefault="007E5E49">
            <w:pPr>
              <w:textAlignment w:val="bottom"/>
            </w:pPr>
            <w:r>
              <w:rPr>
                <w:rFonts w:ascii="Times New Roman" w:eastAsia="宋体" w:hAnsi="Times New Roman"/>
                <w:color w:val="000000"/>
                <w:sz w:val="20"/>
                <w:szCs w:val="20"/>
              </w:rPr>
              <w:t xml:space="preserve">Effect of currency </w:t>
            </w:r>
            <w:r>
              <w:rPr>
                <w:rFonts w:ascii="Times New Roman" w:eastAsia="宋体" w:hAnsi="Times New Roman"/>
                <w:color w:val="000000"/>
                <w:sz w:val="20"/>
                <w:szCs w:val="20"/>
              </w:rPr>
              <w:t>translation adjustment</w:t>
            </w:r>
          </w:p>
        </w:tc>
        <w:tc>
          <w:tcPr>
            <w:tcW w:w="0" w:type="auto"/>
            <w:gridSpan w:val="3"/>
            <w:shd w:val="clear" w:color="auto" w:fill="FFFFFF"/>
            <w:tcMar>
              <w:top w:w="0" w:type="dxa"/>
              <w:left w:w="20" w:type="dxa"/>
              <w:bottom w:w="0" w:type="dxa"/>
              <w:right w:w="20" w:type="dxa"/>
            </w:tcMar>
            <w:vAlign w:val="bottom"/>
          </w:tcPr>
          <w:p w14:paraId="5CD900E3"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E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E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0E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E7" w14:textId="77777777" w:rsidR="00BA49F5" w:rsidRDefault="007E5E49">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5CD900E8" w14:textId="77777777" w:rsidR="00BA49F5" w:rsidRDefault="00BA49F5">
            <w:pPr>
              <w:jc w:val="right"/>
              <w:rPr>
                <w:rFonts w:ascii="宋体"/>
              </w:rPr>
            </w:pPr>
          </w:p>
        </w:tc>
      </w:tr>
      <w:tr w:rsidR="00BA49F5" w14:paraId="5CD900F5" w14:textId="77777777">
        <w:trPr>
          <w:jc w:val="center"/>
        </w:trPr>
        <w:tc>
          <w:tcPr>
            <w:tcW w:w="0" w:type="auto"/>
            <w:gridSpan w:val="3"/>
            <w:shd w:val="clear" w:color="auto" w:fill="CCEEFF"/>
            <w:tcMar>
              <w:top w:w="40" w:type="dxa"/>
              <w:left w:w="20" w:type="dxa"/>
              <w:bottom w:w="40" w:type="dxa"/>
              <w:right w:w="20" w:type="dxa"/>
            </w:tcMar>
            <w:vAlign w:val="bottom"/>
          </w:tcPr>
          <w:p w14:paraId="5CD900EA" w14:textId="77777777" w:rsidR="00BA49F5" w:rsidRDefault="007E5E49">
            <w:pPr>
              <w:textAlignment w:val="bottom"/>
            </w:pPr>
            <w:r>
              <w:rPr>
                <w:rFonts w:ascii="Times New Roman" w:eastAsia="宋体" w:hAnsi="Times New Roman"/>
                <w:color w:val="000000"/>
                <w:sz w:val="20"/>
                <w:szCs w:val="20"/>
              </w:rPr>
              <w:t xml:space="preserve">Segment allocation in the fourth quarter of 2021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0E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0EC" w14:textId="77777777" w:rsidR="00BA49F5" w:rsidRDefault="007E5E49">
            <w:pPr>
              <w:jc w:val="right"/>
              <w:textAlignment w:val="bottom"/>
            </w:pPr>
            <w:r>
              <w:rPr>
                <w:rFonts w:ascii="Times New Roman" w:eastAsia="宋体" w:hAnsi="Times New Roman"/>
                <w:color w:val="000000"/>
                <w:sz w:val="20"/>
                <w:szCs w:val="20"/>
              </w:rPr>
              <w:t>18,455 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E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EE"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0E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0F0" w14:textId="77777777" w:rsidR="00BA49F5" w:rsidRDefault="007E5E49">
            <w:pPr>
              <w:jc w:val="right"/>
              <w:textAlignment w:val="bottom"/>
            </w:pPr>
            <w:r>
              <w:rPr>
                <w:rFonts w:ascii="Times New Roman" w:eastAsia="宋体" w:hAnsi="Times New Roman"/>
                <w:color w:val="000000"/>
                <w:sz w:val="20"/>
                <w:szCs w:val="20"/>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F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0F2"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0F3" w14:textId="77777777" w:rsidR="00BA49F5" w:rsidRDefault="007E5E49">
            <w:pPr>
              <w:jc w:val="right"/>
              <w:textAlignment w:val="bottom"/>
            </w:pPr>
            <w:r>
              <w:rPr>
                <w:rFonts w:ascii="Times New Roman" w:eastAsia="宋体" w:hAnsi="Times New Roman"/>
                <w:color w:val="000000"/>
                <w:sz w:val="20"/>
                <w:szCs w:val="20"/>
              </w:rPr>
              <w:t>19,065 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0F4" w14:textId="77777777" w:rsidR="00BA49F5" w:rsidRDefault="00BA49F5">
            <w:pPr>
              <w:jc w:val="right"/>
              <w:rPr>
                <w:rFonts w:ascii="宋体"/>
              </w:rPr>
            </w:pPr>
          </w:p>
        </w:tc>
      </w:tr>
      <w:tr w:rsidR="00BA49F5" w14:paraId="5CD900FF" w14:textId="77777777">
        <w:trPr>
          <w:jc w:val="center"/>
        </w:trPr>
        <w:tc>
          <w:tcPr>
            <w:tcW w:w="0" w:type="auto"/>
            <w:gridSpan w:val="3"/>
            <w:shd w:val="clear" w:color="auto" w:fill="FFFFFF"/>
            <w:tcMar>
              <w:top w:w="40" w:type="dxa"/>
              <w:left w:w="200" w:type="dxa"/>
              <w:bottom w:w="40" w:type="dxa"/>
              <w:right w:w="20" w:type="dxa"/>
            </w:tcMar>
            <w:vAlign w:val="bottom"/>
          </w:tcPr>
          <w:p w14:paraId="5CD900F6" w14:textId="77777777" w:rsidR="00BA49F5" w:rsidRDefault="007E5E49">
            <w:pPr>
              <w:textAlignment w:val="bottom"/>
            </w:pPr>
            <w:r>
              <w:rPr>
                <w:rFonts w:ascii="Times New Roman" w:eastAsia="宋体" w:hAnsi="Times New Roman"/>
                <w:color w:val="000000"/>
                <w:sz w:val="20"/>
                <w:szCs w:val="20"/>
              </w:rPr>
              <w:t>Acquisitions in the fourth quarter of 2021</w:t>
            </w:r>
          </w:p>
        </w:tc>
        <w:tc>
          <w:tcPr>
            <w:tcW w:w="0" w:type="auto"/>
            <w:gridSpan w:val="2"/>
            <w:shd w:val="clear" w:color="auto" w:fill="FFFFFF"/>
            <w:tcMar>
              <w:top w:w="40" w:type="dxa"/>
              <w:left w:w="20" w:type="dxa"/>
              <w:bottom w:w="40" w:type="dxa"/>
              <w:right w:w="0" w:type="dxa"/>
            </w:tcMar>
            <w:vAlign w:val="bottom"/>
          </w:tcPr>
          <w:p w14:paraId="5CD900F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900F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F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FA" w14:textId="77777777" w:rsidR="00BA49F5" w:rsidRDefault="007E5E49">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5CD900F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0F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0FD" w14:textId="77777777" w:rsidR="00BA49F5" w:rsidRDefault="007E5E49">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5CD900FE" w14:textId="77777777" w:rsidR="00BA49F5" w:rsidRDefault="00BA49F5">
            <w:pPr>
              <w:jc w:val="right"/>
              <w:rPr>
                <w:rFonts w:ascii="宋体"/>
              </w:rPr>
            </w:pPr>
          </w:p>
        </w:tc>
      </w:tr>
      <w:tr w:rsidR="00BA49F5" w14:paraId="5CD90109" w14:textId="77777777">
        <w:trPr>
          <w:jc w:val="center"/>
        </w:trPr>
        <w:tc>
          <w:tcPr>
            <w:tcW w:w="0" w:type="auto"/>
            <w:gridSpan w:val="3"/>
            <w:shd w:val="clear" w:color="auto" w:fill="CCEEFF"/>
            <w:tcMar>
              <w:top w:w="40" w:type="dxa"/>
              <w:left w:w="200" w:type="dxa"/>
              <w:bottom w:w="40" w:type="dxa"/>
              <w:right w:w="20" w:type="dxa"/>
            </w:tcMar>
            <w:vAlign w:val="bottom"/>
          </w:tcPr>
          <w:p w14:paraId="5CD90100" w14:textId="77777777" w:rsidR="00BA49F5" w:rsidRDefault="007E5E49">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CCEEFF"/>
            <w:tcMar>
              <w:top w:w="40" w:type="dxa"/>
              <w:left w:w="20" w:type="dxa"/>
              <w:bottom w:w="40" w:type="dxa"/>
              <w:right w:w="0" w:type="dxa"/>
            </w:tcMar>
            <w:vAlign w:val="bottom"/>
          </w:tcPr>
          <w:p w14:paraId="5CD90101" w14:textId="77777777" w:rsidR="00BA49F5" w:rsidRDefault="007E5E49">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CD9010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03"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04" w14:textId="77777777" w:rsidR="00BA49F5" w:rsidRDefault="007E5E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CD9010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0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07" w14:textId="77777777" w:rsidR="00BA49F5" w:rsidRDefault="007E5E49">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5CD90108" w14:textId="77777777" w:rsidR="00BA49F5" w:rsidRDefault="00BA49F5">
            <w:pPr>
              <w:jc w:val="right"/>
              <w:rPr>
                <w:rFonts w:ascii="宋体"/>
              </w:rPr>
            </w:pPr>
          </w:p>
        </w:tc>
      </w:tr>
      <w:tr w:rsidR="00BA49F5" w14:paraId="5CD90113" w14:textId="77777777">
        <w:trPr>
          <w:jc w:val="center"/>
        </w:trPr>
        <w:tc>
          <w:tcPr>
            <w:tcW w:w="0" w:type="auto"/>
            <w:gridSpan w:val="3"/>
            <w:shd w:val="clear" w:color="auto" w:fill="FFFFFF"/>
            <w:tcMar>
              <w:top w:w="40" w:type="dxa"/>
              <w:left w:w="20" w:type="dxa"/>
              <w:bottom w:w="40" w:type="dxa"/>
              <w:right w:w="20" w:type="dxa"/>
            </w:tcMar>
            <w:vAlign w:val="bottom"/>
          </w:tcPr>
          <w:p w14:paraId="5CD9010A" w14:textId="77777777" w:rsidR="00BA49F5" w:rsidRDefault="007E5E49">
            <w:pPr>
              <w:textAlignment w:val="bottom"/>
            </w:pPr>
            <w:r>
              <w:rPr>
                <w:rFonts w:ascii="Times New Roman" w:eastAsia="宋体" w:hAnsi="Times New Roman"/>
                <w:color w:val="000000"/>
                <w:sz w:val="20"/>
                <w:szCs w:val="20"/>
              </w:rPr>
              <w:t>Goodwill at December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10B" w14:textId="77777777" w:rsidR="00BA49F5" w:rsidRDefault="007E5E49">
            <w:pPr>
              <w:jc w:val="right"/>
              <w:textAlignment w:val="bottom"/>
            </w:pPr>
            <w:r>
              <w:rPr>
                <w:rFonts w:ascii="Times New Roman" w:eastAsia="宋体" w:hAnsi="Times New Roman"/>
                <w:color w:val="000000"/>
                <w:sz w:val="20"/>
                <w:szCs w:val="20"/>
              </w:rPr>
              <w:t>18,458 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10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0D"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10E" w14:textId="77777777" w:rsidR="00BA49F5" w:rsidRDefault="007E5E49">
            <w:pPr>
              <w:jc w:val="right"/>
              <w:textAlignment w:val="bottom"/>
            </w:pPr>
            <w:r>
              <w:rPr>
                <w:rFonts w:ascii="Times New Roman" w:eastAsia="宋体" w:hAnsi="Times New Roman"/>
                <w:color w:val="000000"/>
                <w:sz w:val="20"/>
                <w:szCs w:val="20"/>
              </w:rPr>
              <w:t>739 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10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10"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111" w14:textId="77777777" w:rsidR="00BA49F5" w:rsidRDefault="007E5E49">
            <w:pPr>
              <w:jc w:val="right"/>
              <w:textAlignment w:val="bottom"/>
            </w:pPr>
            <w:r>
              <w:rPr>
                <w:rFonts w:ascii="Times New Roman" w:eastAsia="宋体" w:hAnsi="Times New Roman"/>
                <w:color w:val="000000"/>
                <w:sz w:val="20"/>
                <w:szCs w:val="20"/>
              </w:rPr>
              <w:t>19,197 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112" w14:textId="77777777" w:rsidR="00BA49F5" w:rsidRDefault="00BA49F5">
            <w:pPr>
              <w:jc w:val="right"/>
              <w:rPr>
                <w:rFonts w:ascii="宋体"/>
              </w:rPr>
            </w:pPr>
          </w:p>
        </w:tc>
      </w:tr>
      <w:tr w:rsidR="00BA49F5" w14:paraId="5CD9011D" w14:textId="77777777">
        <w:trPr>
          <w:jc w:val="center"/>
        </w:trPr>
        <w:tc>
          <w:tcPr>
            <w:tcW w:w="0" w:type="auto"/>
            <w:gridSpan w:val="3"/>
            <w:shd w:val="clear" w:color="auto" w:fill="CCEEFF"/>
            <w:tcMar>
              <w:top w:w="40" w:type="dxa"/>
              <w:left w:w="200" w:type="dxa"/>
              <w:bottom w:w="40" w:type="dxa"/>
              <w:right w:w="20" w:type="dxa"/>
            </w:tcMar>
            <w:vAlign w:val="bottom"/>
          </w:tcPr>
          <w:p w14:paraId="5CD90114" w14:textId="77777777" w:rsidR="00BA49F5" w:rsidRDefault="007E5E49">
            <w:pPr>
              <w:textAlignment w:val="bottom"/>
            </w:pPr>
            <w:r>
              <w:rPr>
                <w:rFonts w:ascii="Times New Roman" w:eastAsia="宋体" w:hAnsi="Times New Roman"/>
                <w:color w:val="000000"/>
                <w:sz w:val="20"/>
                <w:szCs w:val="20"/>
              </w:rPr>
              <w:t>Acquisitions</w:t>
            </w:r>
          </w:p>
        </w:tc>
        <w:tc>
          <w:tcPr>
            <w:tcW w:w="0" w:type="auto"/>
            <w:gridSpan w:val="2"/>
            <w:shd w:val="clear" w:color="auto" w:fill="CCEEFF"/>
            <w:tcMar>
              <w:top w:w="40" w:type="dxa"/>
              <w:left w:w="20" w:type="dxa"/>
              <w:bottom w:w="40" w:type="dxa"/>
              <w:right w:w="0" w:type="dxa"/>
            </w:tcMar>
            <w:vAlign w:val="bottom"/>
          </w:tcPr>
          <w:p w14:paraId="5CD90115" w14:textId="77777777" w:rsidR="00BA49F5" w:rsidRDefault="007E5E49">
            <w:pPr>
              <w:jc w:val="right"/>
              <w:textAlignment w:val="bottom"/>
            </w:pPr>
            <w:r>
              <w:rPr>
                <w:rFonts w:ascii="Times New Roman" w:eastAsia="宋体" w:hAnsi="Times New Roman"/>
                <w:color w:val="000000"/>
                <w:sz w:val="20"/>
                <w:szCs w:val="20"/>
              </w:rPr>
              <w:t>773 </w:t>
            </w:r>
          </w:p>
        </w:tc>
        <w:tc>
          <w:tcPr>
            <w:tcW w:w="0" w:type="auto"/>
            <w:shd w:val="clear" w:color="auto" w:fill="CCEEFF"/>
            <w:tcMar>
              <w:top w:w="40" w:type="dxa"/>
              <w:left w:w="0" w:type="dxa"/>
              <w:bottom w:w="40" w:type="dxa"/>
              <w:right w:w="20" w:type="dxa"/>
            </w:tcMar>
            <w:vAlign w:val="bottom"/>
          </w:tcPr>
          <w:p w14:paraId="5CD9011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1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18" w14:textId="77777777" w:rsidR="00BA49F5" w:rsidRDefault="007E5E49">
            <w:pPr>
              <w:jc w:val="right"/>
              <w:textAlignment w:val="bottom"/>
            </w:pPr>
            <w:r>
              <w:rPr>
                <w:rFonts w:ascii="Times New Roman" w:eastAsia="宋体" w:hAnsi="Times New Roman"/>
                <w:color w:val="000000"/>
                <w:sz w:val="20"/>
                <w:szCs w:val="20"/>
              </w:rPr>
              <w:t>364 </w:t>
            </w:r>
          </w:p>
        </w:tc>
        <w:tc>
          <w:tcPr>
            <w:tcW w:w="0" w:type="auto"/>
            <w:shd w:val="clear" w:color="auto" w:fill="CCEEFF"/>
            <w:tcMar>
              <w:top w:w="40" w:type="dxa"/>
              <w:left w:w="0" w:type="dxa"/>
              <w:bottom w:w="40" w:type="dxa"/>
              <w:right w:w="20" w:type="dxa"/>
            </w:tcMar>
            <w:vAlign w:val="bottom"/>
          </w:tcPr>
          <w:p w14:paraId="5CD9011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1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1B" w14:textId="77777777" w:rsidR="00BA49F5" w:rsidRDefault="007E5E49">
            <w:pPr>
              <w:jc w:val="right"/>
              <w:textAlignment w:val="bottom"/>
            </w:pPr>
            <w:r>
              <w:rPr>
                <w:rFonts w:ascii="Times New Roman" w:eastAsia="宋体" w:hAnsi="Times New Roman"/>
                <w:color w:val="000000"/>
                <w:sz w:val="20"/>
                <w:szCs w:val="20"/>
              </w:rPr>
              <w:t>1,137 </w:t>
            </w:r>
          </w:p>
        </w:tc>
        <w:tc>
          <w:tcPr>
            <w:tcW w:w="0" w:type="auto"/>
            <w:shd w:val="clear" w:color="auto" w:fill="CCEEFF"/>
            <w:tcMar>
              <w:top w:w="40" w:type="dxa"/>
              <w:left w:w="0" w:type="dxa"/>
              <w:bottom w:w="40" w:type="dxa"/>
              <w:right w:w="20" w:type="dxa"/>
            </w:tcMar>
            <w:vAlign w:val="bottom"/>
          </w:tcPr>
          <w:p w14:paraId="5CD9011C" w14:textId="77777777" w:rsidR="00BA49F5" w:rsidRDefault="00BA49F5">
            <w:pPr>
              <w:jc w:val="right"/>
              <w:rPr>
                <w:rFonts w:ascii="宋体"/>
              </w:rPr>
            </w:pPr>
          </w:p>
        </w:tc>
      </w:tr>
      <w:tr w:rsidR="00BA49F5" w14:paraId="5CD90127" w14:textId="77777777">
        <w:trPr>
          <w:jc w:val="center"/>
        </w:trPr>
        <w:tc>
          <w:tcPr>
            <w:tcW w:w="0" w:type="auto"/>
            <w:gridSpan w:val="3"/>
            <w:shd w:val="clear" w:color="auto" w:fill="FFFFFF"/>
            <w:tcMar>
              <w:top w:w="40" w:type="dxa"/>
              <w:left w:w="200" w:type="dxa"/>
              <w:bottom w:w="40" w:type="dxa"/>
              <w:right w:w="20" w:type="dxa"/>
            </w:tcMar>
            <w:vAlign w:val="bottom"/>
          </w:tcPr>
          <w:p w14:paraId="5CD9011E" w14:textId="77777777" w:rsidR="00BA49F5" w:rsidRDefault="007E5E49">
            <w:pPr>
              <w:textAlignment w:val="bottom"/>
            </w:pPr>
            <w:r>
              <w:rPr>
                <w:rFonts w:ascii="Times New Roman" w:eastAsia="宋体" w:hAnsi="Times New Roman"/>
                <w:color w:val="000000"/>
                <w:sz w:val="20"/>
                <w:szCs w:val="20"/>
              </w:rPr>
              <w:t>Adjustments</w:t>
            </w:r>
          </w:p>
        </w:tc>
        <w:tc>
          <w:tcPr>
            <w:tcW w:w="0" w:type="auto"/>
            <w:gridSpan w:val="2"/>
            <w:shd w:val="clear" w:color="auto" w:fill="FFFFFF"/>
            <w:tcMar>
              <w:top w:w="40" w:type="dxa"/>
              <w:left w:w="20" w:type="dxa"/>
              <w:bottom w:w="40" w:type="dxa"/>
              <w:right w:w="0" w:type="dxa"/>
            </w:tcMar>
            <w:vAlign w:val="bottom"/>
          </w:tcPr>
          <w:p w14:paraId="5CD9011F" w14:textId="77777777" w:rsidR="00BA49F5" w:rsidRDefault="007E5E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5CD9012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2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22" w14:textId="77777777" w:rsidR="00BA49F5" w:rsidRDefault="007E5E49">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5CD9012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2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25" w14:textId="77777777" w:rsidR="00BA49F5" w:rsidRDefault="007E5E49">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5CD90126" w14:textId="77777777" w:rsidR="00BA49F5" w:rsidRDefault="00BA49F5">
            <w:pPr>
              <w:jc w:val="right"/>
              <w:rPr>
                <w:rFonts w:ascii="宋体"/>
              </w:rPr>
            </w:pPr>
          </w:p>
        </w:tc>
      </w:tr>
      <w:tr w:rsidR="00BA49F5" w14:paraId="5CD90134" w14:textId="77777777">
        <w:trPr>
          <w:jc w:val="center"/>
        </w:trPr>
        <w:tc>
          <w:tcPr>
            <w:tcW w:w="0" w:type="auto"/>
            <w:gridSpan w:val="3"/>
            <w:shd w:val="clear" w:color="auto" w:fill="CCEEFF"/>
            <w:tcMar>
              <w:top w:w="40" w:type="dxa"/>
              <w:left w:w="20" w:type="dxa"/>
              <w:bottom w:w="40" w:type="dxa"/>
              <w:right w:w="20" w:type="dxa"/>
            </w:tcMar>
            <w:vAlign w:val="bottom"/>
          </w:tcPr>
          <w:p w14:paraId="5CD90128" w14:textId="77777777" w:rsidR="00BA49F5" w:rsidRDefault="007E5E49">
            <w:pPr>
              <w:textAlignment w:val="bottom"/>
            </w:pPr>
            <w:r>
              <w:rPr>
                <w:rFonts w:ascii="Times New Roman" w:eastAsia="宋体" w:hAnsi="Times New Roman"/>
                <w:color w:val="000000"/>
                <w:sz w:val="20"/>
                <w:szCs w:val="20"/>
              </w:rPr>
              <w:t>Goodwill at December 31,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12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12A" w14:textId="77777777" w:rsidR="00BA49F5" w:rsidRDefault="007E5E49">
            <w:pPr>
              <w:jc w:val="right"/>
              <w:textAlignment w:val="bottom"/>
            </w:pPr>
            <w:r>
              <w:rPr>
                <w:rFonts w:ascii="Times New Roman" w:eastAsia="宋体" w:hAnsi="Times New Roman"/>
                <w:color w:val="000000"/>
                <w:sz w:val="20"/>
                <w:szCs w:val="20"/>
              </w:rPr>
              <w:t>19,250 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12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2C"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12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12E" w14:textId="77777777" w:rsidR="00BA49F5" w:rsidRDefault="007E5E49">
            <w:pPr>
              <w:jc w:val="right"/>
              <w:textAlignment w:val="bottom"/>
            </w:pPr>
            <w:r>
              <w:rPr>
                <w:rFonts w:ascii="Times New Roman" w:eastAsia="宋体" w:hAnsi="Times New Roman"/>
                <w:color w:val="000000"/>
                <w:sz w:val="20"/>
                <w:szCs w:val="20"/>
              </w:rPr>
              <w:t>1,056 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12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30"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13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132" w14:textId="77777777" w:rsidR="00BA49F5" w:rsidRDefault="007E5E49">
            <w:pPr>
              <w:jc w:val="right"/>
              <w:textAlignment w:val="bottom"/>
            </w:pPr>
            <w:r>
              <w:rPr>
                <w:rFonts w:ascii="Times New Roman" w:eastAsia="宋体" w:hAnsi="Times New Roman"/>
                <w:color w:val="000000"/>
                <w:sz w:val="20"/>
                <w:szCs w:val="20"/>
              </w:rPr>
              <w:t>20,306 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133" w14:textId="77777777" w:rsidR="00BA49F5" w:rsidRDefault="00BA49F5">
            <w:pPr>
              <w:jc w:val="right"/>
              <w:rPr>
                <w:rFonts w:ascii="宋体"/>
              </w:rPr>
            </w:pPr>
          </w:p>
        </w:tc>
      </w:tr>
    </w:tbl>
    <w:p w14:paraId="5CD90135" w14:textId="77777777" w:rsidR="00BA49F5" w:rsidRDefault="007E5E49">
      <w:r>
        <w:rPr>
          <w:rFonts w:ascii="Times New Roman" w:eastAsia="宋体" w:hAnsi="Times New Roman"/>
          <w:color w:val="000000"/>
          <w:sz w:val="12"/>
          <w:szCs w:val="12"/>
        </w:rPr>
        <w:t>_________________________</w:t>
      </w:r>
    </w:p>
    <w:p w14:paraId="5CD90136" w14:textId="77777777" w:rsidR="00BA49F5" w:rsidRDefault="007E5E49">
      <w:pPr>
        <w:ind w:hanging="360"/>
        <w:jc w:val="both"/>
      </w:pPr>
      <w:r>
        <w:rPr>
          <w:rFonts w:ascii="Times New Roman" w:eastAsia="宋体" w:hAnsi="Times New Roman"/>
          <w:color w:val="000000"/>
          <w:sz w:val="18"/>
          <w:szCs w:val="18"/>
        </w:rPr>
        <w:t>(1)Represents reallocation of goodwill as a result of our change in segments in the fourth quarter of 2021. See Note 17 — Segment and Geographical Information for further det</w:t>
      </w:r>
      <w:r>
        <w:rPr>
          <w:rFonts w:ascii="Times New Roman" w:eastAsia="宋体" w:hAnsi="Times New Roman"/>
          <w:color w:val="000000"/>
          <w:sz w:val="18"/>
          <w:szCs w:val="18"/>
        </w:rPr>
        <w:t>ails.</w:t>
      </w:r>
    </w:p>
    <w:p w14:paraId="5CD90137" w14:textId="77777777" w:rsidR="00BA49F5" w:rsidRDefault="00BA49F5"/>
    <w:p w14:paraId="5CD90138" w14:textId="77777777" w:rsidR="00BA49F5" w:rsidRDefault="007E5E49">
      <w:pPr>
        <w:ind w:firstLine="540"/>
      </w:pPr>
      <w:r>
        <w:rPr>
          <w:rFonts w:ascii="Times New Roman" w:eastAsia="宋体" w:hAnsi="Times New Roman"/>
          <w:color w:val="000000"/>
          <w:sz w:val="20"/>
          <w:szCs w:val="20"/>
        </w:rPr>
        <w:t>The following table sets forth the major categories of the intangible assets and the weighted-average remaining useful lives for those assets that are not already fully amortized (in millions):</w:t>
      </w:r>
    </w:p>
    <w:tbl>
      <w:tblPr>
        <w:tblW w:w="4993" w:type="pct"/>
        <w:tblCellMar>
          <w:top w:w="15" w:type="dxa"/>
          <w:left w:w="15" w:type="dxa"/>
          <w:bottom w:w="15" w:type="dxa"/>
          <w:right w:w="15" w:type="dxa"/>
        </w:tblCellMar>
        <w:tblLook w:val="04A0" w:firstRow="1" w:lastRow="0" w:firstColumn="1" w:lastColumn="0" w:noHBand="0" w:noVBand="1"/>
      </w:tblPr>
      <w:tblGrid>
        <w:gridCol w:w="54"/>
        <w:gridCol w:w="1213"/>
        <w:gridCol w:w="36"/>
        <w:gridCol w:w="139"/>
        <w:gridCol w:w="1166"/>
        <w:gridCol w:w="36"/>
        <w:gridCol w:w="36"/>
        <w:gridCol w:w="36"/>
        <w:gridCol w:w="36"/>
        <w:gridCol w:w="121"/>
        <w:gridCol w:w="593"/>
        <w:gridCol w:w="36"/>
        <w:gridCol w:w="36"/>
        <w:gridCol w:w="36"/>
        <w:gridCol w:w="36"/>
        <w:gridCol w:w="121"/>
        <w:gridCol w:w="865"/>
        <w:gridCol w:w="36"/>
        <w:gridCol w:w="36"/>
        <w:gridCol w:w="36"/>
        <w:gridCol w:w="36"/>
        <w:gridCol w:w="121"/>
        <w:gridCol w:w="593"/>
        <w:gridCol w:w="36"/>
        <w:gridCol w:w="36"/>
        <w:gridCol w:w="36"/>
        <w:gridCol w:w="36"/>
        <w:gridCol w:w="121"/>
        <w:gridCol w:w="593"/>
        <w:gridCol w:w="36"/>
        <w:gridCol w:w="36"/>
        <w:gridCol w:w="36"/>
        <w:gridCol w:w="36"/>
        <w:gridCol w:w="121"/>
        <w:gridCol w:w="865"/>
        <w:gridCol w:w="36"/>
        <w:gridCol w:w="36"/>
        <w:gridCol w:w="36"/>
        <w:gridCol w:w="36"/>
        <w:gridCol w:w="121"/>
        <w:gridCol w:w="593"/>
        <w:gridCol w:w="36"/>
      </w:tblGrid>
      <w:tr w:rsidR="00BA49F5" w14:paraId="5CD90163" w14:textId="77777777">
        <w:tc>
          <w:tcPr>
            <w:tcW w:w="50" w:type="pct"/>
            <w:shd w:val="clear" w:color="auto" w:fill="auto"/>
            <w:vAlign w:val="bottom"/>
          </w:tcPr>
          <w:p w14:paraId="5CD90139" w14:textId="77777777" w:rsidR="00BA49F5" w:rsidRDefault="00BA49F5">
            <w:pPr>
              <w:rPr>
                <w:rFonts w:ascii="宋体"/>
              </w:rPr>
            </w:pPr>
          </w:p>
        </w:tc>
        <w:tc>
          <w:tcPr>
            <w:tcW w:w="1159" w:type="pct"/>
            <w:shd w:val="clear" w:color="auto" w:fill="auto"/>
            <w:vAlign w:val="bottom"/>
          </w:tcPr>
          <w:p w14:paraId="5CD9013A" w14:textId="77777777" w:rsidR="00BA49F5" w:rsidRDefault="00BA49F5">
            <w:pPr>
              <w:rPr>
                <w:rFonts w:ascii="宋体"/>
              </w:rPr>
            </w:pPr>
          </w:p>
        </w:tc>
        <w:tc>
          <w:tcPr>
            <w:tcW w:w="5" w:type="pct"/>
            <w:shd w:val="clear" w:color="auto" w:fill="auto"/>
            <w:vAlign w:val="bottom"/>
          </w:tcPr>
          <w:p w14:paraId="5CD9013B" w14:textId="77777777" w:rsidR="00BA49F5" w:rsidRDefault="00BA49F5">
            <w:pPr>
              <w:rPr>
                <w:rFonts w:ascii="宋体"/>
              </w:rPr>
            </w:pPr>
          </w:p>
        </w:tc>
        <w:tc>
          <w:tcPr>
            <w:tcW w:w="50" w:type="pct"/>
            <w:shd w:val="clear" w:color="auto" w:fill="auto"/>
            <w:vAlign w:val="bottom"/>
          </w:tcPr>
          <w:p w14:paraId="5CD9013C" w14:textId="77777777" w:rsidR="00BA49F5" w:rsidRDefault="00BA49F5">
            <w:pPr>
              <w:rPr>
                <w:rFonts w:ascii="宋体"/>
              </w:rPr>
            </w:pPr>
          </w:p>
        </w:tc>
        <w:tc>
          <w:tcPr>
            <w:tcW w:w="421" w:type="pct"/>
            <w:shd w:val="clear" w:color="auto" w:fill="auto"/>
            <w:vAlign w:val="bottom"/>
          </w:tcPr>
          <w:p w14:paraId="5CD9013D" w14:textId="77777777" w:rsidR="00BA49F5" w:rsidRDefault="00BA49F5">
            <w:pPr>
              <w:rPr>
                <w:rFonts w:ascii="宋体"/>
              </w:rPr>
            </w:pPr>
          </w:p>
        </w:tc>
        <w:tc>
          <w:tcPr>
            <w:tcW w:w="5" w:type="pct"/>
            <w:shd w:val="clear" w:color="auto" w:fill="auto"/>
            <w:vAlign w:val="bottom"/>
          </w:tcPr>
          <w:p w14:paraId="5CD9013E" w14:textId="77777777" w:rsidR="00BA49F5" w:rsidRDefault="00BA49F5">
            <w:pPr>
              <w:rPr>
                <w:rFonts w:ascii="宋体"/>
              </w:rPr>
            </w:pPr>
          </w:p>
        </w:tc>
        <w:tc>
          <w:tcPr>
            <w:tcW w:w="5" w:type="pct"/>
            <w:shd w:val="clear" w:color="auto" w:fill="auto"/>
            <w:vAlign w:val="bottom"/>
          </w:tcPr>
          <w:p w14:paraId="5CD9013F" w14:textId="77777777" w:rsidR="00BA49F5" w:rsidRDefault="00BA49F5">
            <w:pPr>
              <w:rPr>
                <w:rFonts w:ascii="宋体"/>
              </w:rPr>
            </w:pPr>
          </w:p>
        </w:tc>
        <w:tc>
          <w:tcPr>
            <w:tcW w:w="27" w:type="pct"/>
            <w:shd w:val="clear" w:color="auto" w:fill="auto"/>
            <w:vAlign w:val="bottom"/>
          </w:tcPr>
          <w:p w14:paraId="5CD90140" w14:textId="77777777" w:rsidR="00BA49F5" w:rsidRDefault="00BA49F5">
            <w:pPr>
              <w:rPr>
                <w:rFonts w:ascii="宋体"/>
              </w:rPr>
            </w:pPr>
          </w:p>
        </w:tc>
        <w:tc>
          <w:tcPr>
            <w:tcW w:w="5" w:type="pct"/>
            <w:shd w:val="clear" w:color="auto" w:fill="auto"/>
            <w:vAlign w:val="bottom"/>
          </w:tcPr>
          <w:p w14:paraId="5CD90141" w14:textId="77777777" w:rsidR="00BA49F5" w:rsidRDefault="00BA49F5">
            <w:pPr>
              <w:rPr>
                <w:rFonts w:ascii="宋体"/>
              </w:rPr>
            </w:pPr>
          </w:p>
        </w:tc>
        <w:tc>
          <w:tcPr>
            <w:tcW w:w="50" w:type="pct"/>
            <w:shd w:val="clear" w:color="auto" w:fill="auto"/>
            <w:vAlign w:val="bottom"/>
          </w:tcPr>
          <w:p w14:paraId="5CD90142" w14:textId="77777777" w:rsidR="00BA49F5" w:rsidRDefault="00BA49F5">
            <w:pPr>
              <w:rPr>
                <w:rFonts w:ascii="宋体"/>
              </w:rPr>
            </w:pPr>
          </w:p>
        </w:tc>
        <w:tc>
          <w:tcPr>
            <w:tcW w:w="421" w:type="pct"/>
            <w:shd w:val="clear" w:color="auto" w:fill="auto"/>
            <w:vAlign w:val="bottom"/>
          </w:tcPr>
          <w:p w14:paraId="5CD90143" w14:textId="77777777" w:rsidR="00BA49F5" w:rsidRDefault="00BA49F5">
            <w:pPr>
              <w:rPr>
                <w:rFonts w:ascii="宋体"/>
              </w:rPr>
            </w:pPr>
          </w:p>
        </w:tc>
        <w:tc>
          <w:tcPr>
            <w:tcW w:w="5" w:type="pct"/>
            <w:shd w:val="clear" w:color="auto" w:fill="auto"/>
            <w:vAlign w:val="bottom"/>
          </w:tcPr>
          <w:p w14:paraId="5CD90144" w14:textId="77777777" w:rsidR="00BA49F5" w:rsidRDefault="00BA49F5">
            <w:pPr>
              <w:rPr>
                <w:rFonts w:ascii="宋体"/>
              </w:rPr>
            </w:pPr>
          </w:p>
        </w:tc>
        <w:tc>
          <w:tcPr>
            <w:tcW w:w="5" w:type="pct"/>
            <w:shd w:val="clear" w:color="auto" w:fill="auto"/>
            <w:vAlign w:val="bottom"/>
          </w:tcPr>
          <w:p w14:paraId="5CD90145" w14:textId="77777777" w:rsidR="00BA49F5" w:rsidRDefault="00BA49F5">
            <w:pPr>
              <w:rPr>
                <w:rFonts w:ascii="宋体"/>
              </w:rPr>
            </w:pPr>
          </w:p>
        </w:tc>
        <w:tc>
          <w:tcPr>
            <w:tcW w:w="27" w:type="pct"/>
            <w:shd w:val="clear" w:color="auto" w:fill="auto"/>
            <w:vAlign w:val="bottom"/>
          </w:tcPr>
          <w:p w14:paraId="5CD90146" w14:textId="77777777" w:rsidR="00BA49F5" w:rsidRDefault="00BA49F5">
            <w:pPr>
              <w:rPr>
                <w:rFonts w:ascii="宋体"/>
              </w:rPr>
            </w:pPr>
          </w:p>
        </w:tc>
        <w:tc>
          <w:tcPr>
            <w:tcW w:w="5" w:type="pct"/>
            <w:shd w:val="clear" w:color="auto" w:fill="auto"/>
            <w:vAlign w:val="bottom"/>
          </w:tcPr>
          <w:p w14:paraId="5CD90147" w14:textId="77777777" w:rsidR="00BA49F5" w:rsidRDefault="00BA49F5">
            <w:pPr>
              <w:rPr>
                <w:rFonts w:ascii="宋体"/>
              </w:rPr>
            </w:pPr>
          </w:p>
        </w:tc>
        <w:tc>
          <w:tcPr>
            <w:tcW w:w="50" w:type="pct"/>
            <w:shd w:val="clear" w:color="auto" w:fill="auto"/>
            <w:vAlign w:val="bottom"/>
          </w:tcPr>
          <w:p w14:paraId="5CD90148" w14:textId="77777777" w:rsidR="00BA49F5" w:rsidRDefault="00BA49F5">
            <w:pPr>
              <w:rPr>
                <w:rFonts w:ascii="宋体"/>
              </w:rPr>
            </w:pPr>
          </w:p>
        </w:tc>
        <w:tc>
          <w:tcPr>
            <w:tcW w:w="533" w:type="pct"/>
            <w:shd w:val="clear" w:color="auto" w:fill="auto"/>
            <w:vAlign w:val="bottom"/>
          </w:tcPr>
          <w:p w14:paraId="5CD90149" w14:textId="77777777" w:rsidR="00BA49F5" w:rsidRDefault="00BA49F5">
            <w:pPr>
              <w:rPr>
                <w:rFonts w:ascii="宋体"/>
              </w:rPr>
            </w:pPr>
          </w:p>
        </w:tc>
        <w:tc>
          <w:tcPr>
            <w:tcW w:w="5" w:type="pct"/>
            <w:shd w:val="clear" w:color="auto" w:fill="auto"/>
            <w:vAlign w:val="bottom"/>
          </w:tcPr>
          <w:p w14:paraId="5CD9014A" w14:textId="77777777" w:rsidR="00BA49F5" w:rsidRDefault="00BA49F5">
            <w:pPr>
              <w:rPr>
                <w:rFonts w:ascii="宋体"/>
              </w:rPr>
            </w:pPr>
          </w:p>
        </w:tc>
        <w:tc>
          <w:tcPr>
            <w:tcW w:w="5" w:type="pct"/>
            <w:shd w:val="clear" w:color="auto" w:fill="auto"/>
            <w:vAlign w:val="bottom"/>
          </w:tcPr>
          <w:p w14:paraId="5CD9014B" w14:textId="77777777" w:rsidR="00BA49F5" w:rsidRDefault="00BA49F5">
            <w:pPr>
              <w:rPr>
                <w:rFonts w:ascii="宋体"/>
              </w:rPr>
            </w:pPr>
          </w:p>
        </w:tc>
        <w:tc>
          <w:tcPr>
            <w:tcW w:w="27" w:type="pct"/>
            <w:shd w:val="clear" w:color="auto" w:fill="auto"/>
            <w:vAlign w:val="bottom"/>
          </w:tcPr>
          <w:p w14:paraId="5CD9014C" w14:textId="77777777" w:rsidR="00BA49F5" w:rsidRDefault="00BA49F5">
            <w:pPr>
              <w:rPr>
                <w:rFonts w:ascii="宋体"/>
              </w:rPr>
            </w:pPr>
          </w:p>
        </w:tc>
        <w:tc>
          <w:tcPr>
            <w:tcW w:w="5" w:type="pct"/>
            <w:shd w:val="clear" w:color="auto" w:fill="auto"/>
            <w:vAlign w:val="bottom"/>
          </w:tcPr>
          <w:p w14:paraId="5CD9014D" w14:textId="77777777" w:rsidR="00BA49F5" w:rsidRDefault="00BA49F5">
            <w:pPr>
              <w:rPr>
                <w:rFonts w:ascii="宋体"/>
              </w:rPr>
            </w:pPr>
          </w:p>
        </w:tc>
        <w:tc>
          <w:tcPr>
            <w:tcW w:w="50" w:type="pct"/>
            <w:shd w:val="clear" w:color="auto" w:fill="auto"/>
            <w:vAlign w:val="bottom"/>
          </w:tcPr>
          <w:p w14:paraId="5CD9014E" w14:textId="77777777" w:rsidR="00BA49F5" w:rsidRDefault="00BA49F5">
            <w:pPr>
              <w:rPr>
                <w:rFonts w:ascii="宋体"/>
              </w:rPr>
            </w:pPr>
          </w:p>
        </w:tc>
        <w:tc>
          <w:tcPr>
            <w:tcW w:w="421" w:type="pct"/>
            <w:shd w:val="clear" w:color="auto" w:fill="auto"/>
            <w:vAlign w:val="bottom"/>
          </w:tcPr>
          <w:p w14:paraId="5CD9014F" w14:textId="77777777" w:rsidR="00BA49F5" w:rsidRDefault="00BA49F5">
            <w:pPr>
              <w:rPr>
                <w:rFonts w:ascii="宋体"/>
              </w:rPr>
            </w:pPr>
          </w:p>
        </w:tc>
        <w:tc>
          <w:tcPr>
            <w:tcW w:w="5" w:type="pct"/>
            <w:shd w:val="clear" w:color="auto" w:fill="auto"/>
            <w:vAlign w:val="bottom"/>
          </w:tcPr>
          <w:p w14:paraId="5CD90150" w14:textId="77777777" w:rsidR="00BA49F5" w:rsidRDefault="00BA49F5">
            <w:pPr>
              <w:rPr>
                <w:rFonts w:ascii="宋体"/>
              </w:rPr>
            </w:pPr>
          </w:p>
        </w:tc>
        <w:tc>
          <w:tcPr>
            <w:tcW w:w="5" w:type="pct"/>
            <w:shd w:val="clear" w:color="auto" w:fill="auto"/>
            <w:vAlign w:val="bottom"/>
          </w:tcPr>
          <w:p w14:paraId="5CD90151" w14:textId="77777777" w:rsidR="00BA49F5" w:rsidRDefault="00BA49F5">
            <w:pPr>
              <w:rPr>
                <w:rFonts w:ascii="宋体"/>
              </w:rPr>
            </w:pPr>
          </w:p>
        </w:tc>
        <w:tc>
          <w:tcPr>
            <w:tcW w:w="27" w:type="pct"/>
            <w:shd w:val="clear" w:color="auto" w:fill="auto"/>
            <w:vAlign w:val="bottom"/>
          </w:tcPr>
          <w:p w14:paraId="5CD90152" w14:textId="77777777" w:rsidR="00BA49F5" w:rsidRDefault="00BA49F5">
            <w:pPr>
              <w:rPr>
                <w:rFonts w:ascii="宋体"/>
              </w:rPr>
            </w:pPr>
          </w:p>
        </w:tc>
        <w:tc>
          <w:tcPr>
            <w:tcW w:w="5" w:type="pct"/>
            <w:shd w:val="clear" w:color="auto" w:fill="auto"/>
            <w:vAlign w:val="bottom"/>
          </w:tcPr>
          <w:p w14:paraId="5CD90153" w14:textId="77777777" w:rsidR="00BA49F5" w:rsidRDefault="00BA49F5">
            <w:pPr>
              <w:rPr>
                <w:rFonts w:ascii="宋体"/>
              </w:rPr>
            </w:pPr>
          </w:p>
        </w:tc>
        <w:tc>
          <w:tcPr>
            <w:tcW w:w="50" w:type="pct"/>
            <w:shd w:val="clear" w:color="auto" w:fill="auto"/>
            <w:vAlign w:val="bottom"/>
          </w:tcPr>
          <w:p w14:paraId="5CD90154" w14:textId="77777777" w:rsidR="00BA49F5" w:rsidRDefault="00BA49F5">
            <w:pPr>
              <w:rPr>
                <w:rFonts w:ascii="宋体"/>
              </w:rPr>
            </w:pPr>
          </w:p>
        </w:tc>
        <w:tc>
          <w:tcPr>
            <w:tcW w:w="421" w:type="pct"/>
            <w:shd w:val="clear" w:color="auto" w:fill="auto"/>
            <w:vAlign w:val="bottom"/>
          </w:tcPr>
          <w:p w14:paraId="5CD90155" w14:textId="77777777" w:rsidR="00BA49F5" w:rsidRDefault="00BA49F5">
            <w:pPr>
              <w:rPr>
                <w:rFonts w:ascii="宋体"/>
              </w:rPr>
            </w:pPr>
          </w:p>
        </w:tc>
        <w:tc>
          <w:tcPr>
            <w:tcW w:w="5" w:type="pct"/>
            <w:shd w:val="clear" w:color="auto" w:fill="auto"/>
            <w:vAlign w:val="bottom"/>
          </w:tcPr>
          <w:p w14:paraId="5CD90156" w14:textId="77777777" w:rsidR="00BA49F5" w:rsidRDefault="00BA49F5">
            <w:pPr>
              <w:rPr>
                <w:rFonts w:ascii="宋体"/>
              </w:rPr>
            </w:pPr>
          </w:p>
        </w:tc>
        <w:tc>
          <w:tcPr>
            <w:tcW w:w="5" w:type="pct"/>
            <w:shd w:val="clear" w:color="auto" w:fill="auto"/>
            <w:vAlign w:val="bottom"/>
          </w:tcPr>
          <w:p w14:paraId="5CD90157" w14:textId="77777777" w:rsidR="00BA49F5" w:rsidRDefault="00BA49F5">
            <w:pPr>
              <w:rPr>
                <w:rFonts w:ascii="宋体"/>
              </w:rPr>
            </w:pPr>
          </w:p>
        </w:tc>
        <w:tc>
          <w:tcPr>
            <w:tcW w:w="27" w:type="pct"/>
            <w:shd w:val="clear" w:color="auto" w:fill="auto"/>
            <w:vAlign w:val="bottom"/>
          </w:tcPr>
          <w:p w14:paraId="5CD90158" w14:textId="77777777" w:rsidR="00BA49F5" w:rsidRDefault="00BA49F5">
            <w:pPr>
              <w:rPr>
                <w:rFonts w:ascii="宋体"/>
              </w:rPr>
            </w:pPr>
          </w:p>
        </w:tc>
        <w:tc>
          <w:tcPr>
            <w:tcW w:w="5" w:type="pct"/>
            <w:shd w:val="clear" w:color="auto" w:fill="auto"/>
            <w:vAlign w:val="bottom"/>
          </w:tcPr>
          <w:p w14:paraId="5CD90159" w14:textId="77777777" w:rsidR="00BA49F5" w:rsidRDefault="00BA49F5">
            <w:pPr>
              <w:rPr>
                <w:rFonts w:ascii="宋体"/>
              </w:rPr>
            </w:pPr>
          </w:p>
        </w:tc>
        <w:tc>
          <w:tcPr>
            <w:tcW w:w="50" w:type="pct"/>
            <w:shd w:val="clear" w:color="auto" w:fill="auto"/>
            <w:vAlign w:val="bottom"/>
          </w:tcPr>
          <w:p w14:paraId="5CD9015A" w14:textId="77777777" w:rsidR="00BA49F5" w:rsidRDefault="00BA49F5">
            <w:pPr>
              <w:rPr>
                <w:rFonts w:ascii="宋体"/>
              </w:rPr>
            </w:pPr>
          </w:p>
        </w:tc>
        <w:tc>
          <w:tcPr>
            <w:tcW w:w="533" w:type="pct"/>
            <w:shd w:val="clear" w:color="auto" w:fill="auto"/>
            <w:vAlign w:val="bottom"/>
          </w:tcPr>
          <w:p w14:paraId="5CD9015B" w14:textId="77777777" w:rsidR="00BA49F5" w:rsidRDefault="00BA49F5">
            <w:pPr>
              <w:rPr>
                <w:rFonts w:ascii="宋体"/>
              </w:rPr>
            </w:pPr>
          </w:p>
        </w:tc>
        <w:tc>
          <w:tcPr>
            <w:tcW w:w="5" w:type="pct"/>
            <w:shd w:val="clear" w:color="auto" w:fill="auto"/>
            <w:vAlign w:val="bottom"/>
          </w:tcPr>
          <w:p w14:paraId="5CD9015C" w14:textId="77777777" w:rsidR="00BA49F5" w:rsidRDefault="00BA49F5">
            <w:pPr>
              <w:rPr>
                <w:rFonts w:ascii="宋体"/>
              </w:rPr>
            </w:pPr>
          </w:p>
        </w:tc>
        <w:tc>
          <w:tcPr>
            <w:tcW w:w="5" w:type="pct"/>
            <w:shd w:val="clear" w:color="auto" w:fill="auto"/>
            <w:vAlign w:val="bottom"/>
          </w:tcPr>
          <w:p w14:paraId="5CD9015D" w14:textId="77777777" w:rsidR="00BA49F5" w:rsidRDefault="00BA49F5">
            <w:pPr>
              <w:rPr>
                <w:rFonts w:ascii="宋体"/>
              </w:rPr>
            </w:pPr>
          </w:p>
        </w:tc>
        <w:tc>
          <w:tcPr>
            <w:tcW w:w="27" w:type="pct"/>
            <w:shd w:val="clear" w:color="auto" w:fill="auto"/>
            <w:vAlign w:val="bottom"/>
          </w:tcPr>
          <w:p w14:paraId="5CD9015E" w14:textId="77777777" w:rsidR="00BA49F5" w:rsidRDefault="00BA49F5">
            <w:pPr>
              <w:rPr>
                <w:rFonts w:ascii="宋体"/>
              </w:rPr>
            </w:pPr>
          </w:p>
        </w:tc>
        <w:tc>
          <w:tcPr>
            <w:tcW w:w="5" w:type="pct"/>
            <w:shd w:val="clear" w:color="auto" w:fill="auto"/>
            <w:vAlign w:val="bottom"/>
          </w:tcPr>
          <w:p w14:paraId="5CD9015F" w14:textId="77777777" w:rsidR="00BA49F5" w:rsidRDefault="00BA49F5">
            <w:pPr>
              <w:rPr>
                <w:rFonts w:ascii="宋体"/>
              </w:rPr>
            </w:pPr>
          </w:p>
        </w:tc>
        <w:tc>
          <w:tcPr>
            <w:tcW w:w="50" w:type="pct"/>
            <w:shd w:val="clear" w:color="auto" w:fill="auto"/>
            <w:vAlign w:val="bottom"/>
          </w:tcPr>
          <w:p w14:paraId="5CD90160" w14:textId="77777777" w:rsidR="00BA49F5" w:rsidRDefault="00BA49F5">
            <w:pPr>
              <w:rPr>
                <w:rFonts w:ascii="宋体"/>
              </w:rPr>
            </w:pPr>
          </w:p>
        </w:tc>
        <w:tc>
          <w:tcPr>
            <w:tcW w:w="421" w:type="pct"/>
            <w:shd w:val="clear" w:color="auto" w:fill="auto"/>
            <w:vAlign w:val="bottom"/>
          </w:tcPr>
          <w:p w14:paraId="5CD90161" w14:textId="77777777" w:rsidR="00BA49F5" w:rsidRDefault="00BA49F5">
            <w:pPr>
              <w:rPr>
                <w:rFonts w:ascii="宋体"/>
              </w:rPr>
            </w:pPr>
          </w:p>
        </w:tc>
        <w:tc>
          <w:tcPr>
            <w:tcW w:w="5" w:type="pct"/>
            <w:shd w:val="clear" w:color="auto" w:fill="auto"/>
            <w:vAlign w:val="bottom"/>
          </w:tcPr>
          <w:p w14:paraId="5CD90162" w14:textId="77777777" w:rsidR="00BA49F5" w:rsidRDefault="00BA49F5">
            <w:pPr>
              <w:rPr>
                <w:rFonts w:ascii="宋体"/>
              </w:rPr>
            </w:pPr>
          </w:p>
        </w:tc>
      </w:tr>
      <w:tr w:rsidR="00BA49F5" w14:paraId="5CD9016A" w14:textId="77777777">
        <w:tc>
          <w:tcPr>
            <w:tcW w:w="0" w:type="auto"/>
            <w:gridSpan w:val="3"/>
            <w:shd w:val="clear" w:color="auto" w:fill="auto"/>
            <w:tcMar>
              <w:top w:w="0" w:type="dxa"/>
              <w:left w:w="20" w:type="dxa"/>
              <w:bottom w:w="0" w:type="dxa"/>
              <w:right w:w="20" w:type="dxa"/>
            </w:tcMar>
            <w:vAlign w:val="bottom"/>
          </w:tcPr>
          <w:p w14:paraId="5CD9016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16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166"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90167" w14:textId="77777777" w:rsidR="00BA49F5" w:rsidRDefault="007E5E49">
            <w:pPr>
              <w:jc w:val="center"/>
              <w:textAlignment w:val="bottom"/>
            </w:pPr>
            <w:r>
              <w:rPr>
                <w:rFonts w:ascii="Times New Roman" w:eastAsia="宋体" w:hAnsi="Times New Roman"/>
                <w:b/>
                <w:bCs/>
                <w:color w:val="000000"/>
                <w:sz w:val="16"/>
                <w:szCs w:val="16"/>
              </w:rPr>
              <w:t>December 31, 2022</w:t>
            </w:r>
          </w:p>
        </w:tc>
        <w:tc>
          <w:tcPr>
            <w:tcW w:w="0" w:type="auto"/>
            <w:gridSpan w:val="3"/>
            <w:shd w:val="clear" w:color="auto" w:fill="auto"/>
            <w:tcMar>
              <w:top w:w="0" w:type="dxa"/>
              <w:left w:w="20" w:type="dxa"/>
              <w:bottom w:w="0" w:type="dxa"/>
              <w:right w:w="20" w:type="dxa"/>
            </w:tcMar>
            <w:vAlign w:val="bottom"/>
          </w:tcPr>
          <w:p w14:paraId="5CD90168"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90169" w14:textId="77777777" w:rsidR="00BA49F5" w:rsidRDefault="007E5E49">
            <w:pPr>
              <w:jc w:val="center"/>
              <w:textAlignment w:val="bottom"/>
            </w:pPr>
            <w:r>
              <w:rPr>
                <w:rFonts w:ascii="Times New Roman" w:eastAsia="宋体" w:hAnsi="Times New Roman"/>
                <w:b/>
                <w:bCs/>
                <w:color w:val="000000"/>
                <w:sz w:val="16"/>
                <w:szCs w:val="16"/>
              </w:rPr>
              <w:t>December 31, 2021</w:t>
            </w:r>
          </w:p>
        </w:tc>
      </w:tr>
      <w:tr w:rsidR="00BA49F5" w14:paraId="5CD90179" w14:textId="77777777">
        <w:tc>
          <w:tcPr>
            <w:tcW w:w="0" w:type="auto"/>
            <w:gridSpan w:val="3"/>
            <w:shd w:val="clear" w:color="auto" w:fill="auto"/>
            <w:tcMar>
              <w:top w:w="0" w:type="dxa"/>
              <w:left w:w="20" w:type="dxa"/>
              <w:bottom w:w="0" w:type="dxa"/>
              <w:right w:w="20" w:type="dxa"/>
            </w:tcMar>
            <w:vAlign w:val="bottom"/>
          </w:tcPr>
          <w:p w14:paraId="5CD9016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16C" w14:textId="77777777" w:rsidR="00BA49F5" w:rsidRDefault="007E5E49">
            <w:pPr>
              <w:jc w:val="center"/>
              <w:textAlignment w:val="bottom"/>
            </w:pPr>
            <w:r>
              <w:rPr>
                <w:rFonts w:ascii="Times New Roman" w:eastAsia="宋体" w:hAnsi="Times New Roman"/>
                <w:b/>
                <w:bCs/>
                <w:color w:val="000000"/>
                <w:sz w:val="16"/>
                <w:szCs w:val="16"/>
              </w:rPr>
              <w:t>Weighted-Average Remaining Useful Lives</w:t>
            </w:r>
            <w:r>
              <w:rPr>
                <w:rFonts w:ascii="Times New Roman" w:eastAsia="宋体" w:hAnsi="Times New Roman"/>
                <w:b/>
                <w:bCs/>
                <w:color w:val="000000"/>
                <w:sz w:val="16"/>
                <w:szCs w:val="16"/>
              </w:rPr>
              <w:br/>
              <w:t> (in years)</w:t>
            </w:r>
          </w:p>
        </w:tc>
        <w:tc>
          <w:tcPr>
            <w:tcW w:w="0" w:type="auto"/>
            <w:gridSpan w:val="3"/>
            <w:shd w:val="clear" w:color="auto" w:fill="auto"/>
            <w:tcMar>
              <w:top w:w="0" w:type="dxa"/>
              <w:left w:w="20" w:type="dxa"/>
              <w:bottom w:w="0" w:type="dxa"/>
              <w:right w:w="20" w:type="dxa"/>
            </w:tcMar>
            <w:vAlign w:val="bottom"/>
          </w:tcPr>
          <w:p w14:paraId="5CD9016D"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6E" w14:textId="77777777" w:rsidR="00BA49F5" w:rsidRDefault="007E5E49">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16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70" w14:textId="77777777" w:rsidR="00BA49F5" w:rsidRDefault="007E5E49">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17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72" w14:textId="77777777" w:rsidR="00BA49F5" w:rsidRDefault="007E5E49">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5CD9017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74" w14:textId="77777777" w:rsidR="00BA49F5" w:rsidRDefault="007E5E49">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17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76" w14:textId="77777777" w:rsidR="00BA49F5" w:rsidRDefault="007E5E49">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17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178" w14:textId="77777777" w:rsidR="00BA49F5" w:rsidRDefault="007E5E49">
            <w:pPr>
              <w:jc w:val="center"/>
              <w:textAlignment w:val="bottom"/>
            </w:pPr>
            <w:r>
              <w:rPr>
                <w:rFonts w:ascii="Times New Roman" w:eastAsia="宋体" w:hAnsi="Times New Roman"/>
                <w:b/>
                <w:bCs/>
                <w:color w:val="000000"/>
                <w:sz w:val="16"/>
                <w:szCs w:val="16"/>
              </w:rPr>
              <w:t>Net Carrying Amount</w:t>
            </w:r>
          </w:p>
        </w:tc>
      </w:tr>
      <w:tr w:rsidR="00BA49F5" w14:paraId="5CD90188" w14:textId="77777777">
        <w:trPr>
          <w:hidden/>
        </w:trPr>
        <w:tc>
          <w:tcPr>
            <w:tcW w:w="0" w:type="auto"/>
            <w:gridSpan w:val="3"/>
            <w:shd w:val="clear" w:color="auto" w:fill="auto"/>
            <w:vAlign w:val="bottom"/>
          </w:tcPr>
          <w:p w14:paraId="5CD9017A" w14:textId="77777777" w:rsidR="00BA49F5" w:rsidRDefault="00BA49F5">
            <w:pPr>
              <w:rPr>
                <w:rFonts w:ascii="宋体"/>
                <w:vanish/>
              </w:rPr>
            </w:pPr>
          </w:p>
        </w:tc>
        <w:tc>
          <w:tcPr>
            <w:tcW w:w="0" w:type="auto"/>
            <w:gridSpan w:val="3"/>
            <w:shd w:val="clear" w:color="auto" w:fill="auto"/>
            <w:vAlign w:val="bottom"/>
          </w:tcPr>
          <w:p w14:paraId="5CD9017B" w14:textId="77777777" w:rsidR="00BA49F5" w:rsidRDefault="00BA49F5">
            <w:pPr>
              <w:rPr>
                <w:rFonts w:ascii="宋体"/>
                <w:vanish/>
              </w:rPr>
            </w:pPr>
          </w:p>
        </w:tc>
        <w:tc>
          <w:tcPr>
            <w:tcW w:w="0" w:type="auto"/>
            <w:gridSpan w:val="3"/>
            <w:shd w:val="clear" w:color="auto" w:fill="auto"/>
            <w:vAlign w:val="bottom"/>
          </w:tcPr>
          <w:p w14:paraId="5CD9017C" w14:textId="77777777" w:rsidR="00BA49F5" w:rsidRDefault="00BA49F5">
            <w:pPr>
              <w:rPr>
                <w:rFonts w:ascii="宋体"/>
                <w:vanish/>
              </w:rPr>
            </w:pPr>
          </w:p>
        </w:tc>
        <w:tc>
          <w:tcPr>
            <w:tcW w:w="0" w:type="auto"/>
            <w:gridSpan w:val="3"/>
            <w:shd w:val="clear" w:color="auto" w:fill="auto"/>
            <w:vAlign w:val="bottom"/>
          </w:tcPr>
          <w:p w14:paraId="5CD9017D" w14:textId="77777777" w:rsidR="00BA49F5" w:rsidRDefault="00BA49F5">
            <w:pPr>
              <w:rPr>
                <w:rFonts w:ascii="宋体"/>
                <w:vanish/>
              </w:rPr>
            </w:pPr>
          </w:p>
        </w:tc>
        <w:tc>
          <w:tcPr>
            <w:tcW w:w="0" w:type="auto"/>
            <w:gridSpan w:val="3"/>
            <w:shd w:val="clear" w:color="auto" w:fill="auto"/>
            <w:vAlign w:val="bottom"/>
          </w:tcPr>
          <w:p w14:paraId="5CD9017E" w14:textId="77777777" w:rsidR="00BA49F5" w:rsidRDefault="00BA49F5">
            <w:pPr>
              <w:rPr>
                <w:rFonts w:ascii="宋体"/>
                <w:vanish/>
              </w:rPr>
            </w:pPr>
          </w:p>
        </w:tc>
        <w:tc>
          <w:tcPr>
            <w:tcW w:w="0" w:type="auto"/>
            <w:gridSpan w:val="3"/>
            <w:shd w:val="clear" w:color="auto" w:fill="auto"/>
            <w:vAlign w:val="bottom"/>
          </w:tcPr>
          <w:p w14:paraId="5CD9017F" w14:textId="77777777" w:rsidR="00BA49F5" w:rsidRDefault="00BA49F5">
            <w:pPr>
              <w:rPr>
                <w:rFonts w:ascii="宋体"/>
                <w:vanish/>
              </w:rPr>
            </w:pPr>
          </w:p>
        </w:tc>
        <w:tc>
          <w:tcPr>
            <w:tcW w:w="0" w:type="auto"/>
            <w:gridSpan w:val="3"/>
            <w:shd w:val="clear" w:color="auto" w:fill="auto"/>
            <w:vAlign w:val="bottom"/>
          </w:tcPr>
          <w:p w14:paraId="5CD90180" w14:textId="77777777" w:rsidR="00BA49F5" w:rsidRDefault="00BA49F5">
            <w:pPr>
              <w:rPr>
                <w:rFonts w:ascii="宋体"/>
                <w:vanish/>
              </w:rPr>
            </w:pPr>
          </w:p>
        </w:tc>
        <w:tc>
          <w:tcPr>
            <w:tcW w:w="0" w:type="auto"/>
            <w:gridSpan w:val="3"/>
            <w:shd w:val="clear" w:color="auto" w:fill="auto"/>
            <w:vAlign w:val="bottom"/>
          </w:tcPr>
          <w:p w14:paraId="5CD90181" w14:textId="77777777" w:rsidR="00BA49F5" w:rsidRDefault="00BA49F5">
            <w:pPr>
              <w:rPr>
                <w:rFonts w:ascii="宋体"/>
                <w:vanish/>
              </w:rPr>
            </w:pPr>
          </w:p>
        </w:tc>
        <w:tc>
          <w:tcPr>
            <w:tcW w:w="0" w:type="auto"/>
            <w:gridSpan w:val="3"/>
            <w:shd w:val="clear" w:color="auto" w:fill="auto"/>
            <w:vAlign w:val="bottom"/>
          </w:tcPr>
          <w:p w14:paraId="5CD90182" w14:textId="77777777" w:rsidR="00BA49F5" w:rsidRDefault="00BA49F5">
            <w:pPr>
              <w:rPr>
                <w:rFonts w:ascii="宋体"/>
                <w:vanish/>
              </w:rPr>
            </w:pPr>
          </w:p>
        </w:tc>
        <w:tc>
          <w:tcPr>
            <w:tcW w:w="0" w:type="auto"/>
            <w:gridSpan w:val="3"/>
            <w:shd w:val="clear" w:color="auto" w:fill="auto"/>
            <w:vAlign w:val="bottom"/>
          </w:tcPr>
          <w:p w14:paraId="5CD90183" w14:textId="77777777" w:rsidR="00BA49F5" w:rsidRDefault="00BA49F5">
            <w:pPr>
              <w:rPr>
                <w:rFonts w:ascii="宋体"/>
                <w:vanish/>
              </w:rPr>
            </w:pPr>
          </w:p>
        </w:tc>
        <w:tc>
          <w:tcPr>
            <w:tcW w:w="0" w:type="auto"/>
            <w:gridSpan w:val="3"/>
            <w:shd w:val="clear" w:color="auto" w:fill="auto"/>
            <w:vAlign w:val="bottom"/>
          </w:tcPr>
          <w:p w14:paraId="5CD90184" w14:textId="77777777" w:rsidR="00BA49F5" w:rsidRDefault="00BA49F5">
            <w:pPr>
              <w:rPr>
                <w:rFonts w:ascii="宋体"/>
                <w:vanish/>
              </w:rPr>
            </w:pPr>
          </w:p>
        </w:tc>
        <w:tc>
          <w:tcPr>
            <w:tcW w:w="0" w:type="auto"/>
            <w:gridSpan w:val="3"/>
            <w:shd w:val="clear" w:color="auto" w:fill="auto"/>
            <w:vAlign w:val="bottom"/>
          </w:tcPr>
          <w:p w14:paraId="5CD90185" w14:textId="77777777" w:rsidR="00BA49F5" w:rsidRDefault="00BA49F5">
            <w:pPr>
              <w:rPr>
                <w:rFonts w:ascii="宋体"/>
                <w:vanish/>
              </w:rPr>
            </w:pPr>
          </w:p>
        </w:tc>
        <w:tc>
          <w:tcPr>
            <w:tcW w:w="0" w:type="auto"/>
            <w:gridSpan w:val="3"/>
            <w:shd w:val="clear" w:color="auto" w:fill="auto"/>
            <w:vAlign w:val="bottom"/>
          </w:tcPr>
          <w:p w14:paraId="5CD90186" w14:textId="77777777" w:rsidR="00BA49F5" w:rsidRDefault="00BA49F5">
            <w:pPr>
              <w:rPr>
                <w:rFonts w:ascii="宋体"/>
                <w:vanish/>
              </w:rPr>
            </w:pPr>
          </w:p>
        </w:tc>
        <w:tc>
          <w:tcPr>
            <w:tcW w:w="0" w:type="auto"/>
            <w:gridSpan w:val="3"/>
            <w:shd w:val="clear" w:color="auto" w:fill="auto"/>
            <w:vAlign w:val="bottom"/>
          </w:tcPr>
          <w:p w14:paraId="5CD90187" w14:textId="77777777" w:rsidR="00BA49F5" w:rsidRDefault="00BA49F5">
            <w:pPr>
              <w:rPr>
                <w:rFonts w:ascii="宋体"/>
                <w:vanish/>
              </w:rPr>
            </w:pPr>
          </w:p>
        </w:tc>
      </w:tr>
      <w:tr w:rsidR="00BA49F5" w14:paraId="5CD901A3" w14:textId="77777777">
        <w:tc>
          <w:tcPr>
            <w:tcW w:w="0" w:type="auto"/>
            <w:gridSpan w:val="3"/>
            <w:shd w:val="clear" w:color="auto" w:fill="CCEEFF"/>
            <w:tcMar>
              <w:top w:w="40" w:type="dxa"/>
              <w:left w:w="200" w:type="dxa"/>
              <w:bottom w:w="40" w:type="dxa"/>
              <w:right w:w="20" w:type="dxa"/>
            </w:tcMar>
            <w:vAlign w:val="bottom"/>
          </w:tcPr>
          <w:p w14:paraId="5CD90189" w14:textId="77777777" w:rsidR="00BA49F5" w:rsidRDefault="007E5E49">
            <w:pPr>
              <w:textAlignment w:val="bottom"/>
            </w:pPr>
            <w:r>
              <w:rPr>
                <w:rFonts w:ascii="Times New Roman" w:eastAsia="宋体" w:hAnsi="Times New Roman"/>
                <w:color w:val="000000"/>
                <w:sz w:val="20"/>
                <w:szCs w:val="20"/>
              </w:rPr>
              <w:t>Acquired technology</w:t>
            </w:r>
          </w:p>
        </w:tc>
        <w:tc>
          <w:tcPr>
            <w:tcW w:w="0" w:type="auto"/>
            <w:gridSpan w:val="3"/>
            <w:shd w:val="clear" w:color="auto" w:fill="CCEEFF"/>
            <w:tcMar>
              <w:top w:w="40" w:type="dxa"/>
              <w:left w:w="20" w:type="dxa"/>
              <w:bottom w:w="40" w:type="dxa"/>
              <w:right w:w="20" w:type="dxa"/>
            </w:tcMar>
            <w:vAlign w:val="bottom"/>
          </w:tcPr>
          <w:p w14:paraId="5CD9018A" w14:textId="77777777" w:rsidR="00BA49F5" w:rsidRDefault="007E5E49">
            <w:pPr>
              <w:jc w:val="center"/>
              <w:textAlignment w:val="bottom"/>
            </w:pPr>
            <w:r>
              <w:rPr>
                <w:rFonts w:ascii="Times New Roman" w:eastAsia="宋体" w:hAnsi="Times New Roman"/>
                <w:color w:val="000000"/>
                <w:sz w:val="20"/>
                <w:szCs w:val="20"/>
              </w:rPr>
              <w:t>5.2</w:t>
            </w:r>
          </w:p>
        </w:tc>
        <w:tc>
          <w:tcPr>
            <w:tcW w:w="0" w:type="auto"/>
            <w:gridSpan w:val="3"/>
            <w:shd w:val="clear" w:color="auto" w:fill="CCEEFF"/>
            <w:tcMar>
              <w:top w:w="0" w:type="dxa"/>
              <w:left w:w="20" w:type="dxa"/>
              <w:bottom w:w="0" w:type="dxa"/>
              <w:right w:w="20" w:type="dxa"/>
            </w:tcMar>
            <w:vAlign w:val="bottom"/>
          </w:tcPr>
          <w:p w14:paraId="5CD9018B"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8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8D" w14:textId="77777777" w:rsidR="00BA49F5" w:rsidRDefault="007E5E49">
            <w:pPr>
              <w:jc w:val="right"/>
              <w:textAlignment w:val="bottom"/>
            </w:pPr>
            <w:r>
              <w:rPr>
                <w:rFonts w:ascii="Times New Roman" w:eastAsia="宋体" w:hAnsi="Times New Roman"/>
                <w:color w:val="000000"/>
                <w:sz w:val="20"/>
                <w:szCs w:val="20"/>
              </w:rPr>
              <w:t>507 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8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8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9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91" w14:textId="77777777" w:rsidR="00BA49F5" w:rsidRDefault="007E5E49">
            <w:pPr>
              <w:jc w:val="right"/>
              <w:textAlignment w:val="bottom"/>
            </w:pPr>
            <w:r>
              <w:rPr>
                <w:rFonts w:ascii="Times New Roman" w:eastAsia="宋体" w:hAnsi="Times New Roman"/>
                <w:color w:val="000000"/>
                <w:sz w:val="20"/>
                <w:szCs w:val="20"/>
              </w:rPr>
              <w:t>(144)</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9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93"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9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95" w14:textId="77777777" w:rsidR="00BA49F5" w:rsidRDefault="007E5E49">
            <w:pPr>
              <w:jc w:val="right"/>
              <w:textAlignment w:val="bottom"/>
            </w:pPr>
            <w:r>
              <w:rPr>
                <w:rFonts w:ascii="Times New Roman" w:eastAsia="宋体" w:hAnsi="Times New Roman"/>
                <w:color w:val="000000"/>
                <w:sz w:val="20"/>
                <w:szCs w:val="20"/>
              </w:rPr>
              <w:t>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9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97"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9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99" w14:textId="77777777" w:rsidR="00BA49F5" w:rsidRDefault="007E5E49">
            <w:pPr>
              <w:jc w:val="right"/>
              <w:textAlignment w:val="bottom"/>
            </w:pPr>
            <w:r>
              <w:rPr>
                <w:rFonts w:ascii="Times New Roman" w:eastAsia="宋体" w:hAnsi="Times New Roman"/>
                <w:color w:val="000000"/>
                <w:sz w:val="20"/>
                <w:szCs w:val="20"/>
              </w:rPr>
              <w:t>1,412 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9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9B"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9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9D" w14:textId="77777777" w:rsidR="00BA49F5" w:rsidRDefault="007E5E49">
            <w:pPr>
              <w:jc w:val="right"/>
              <w:textAlignment w:val="bottom"/>
            </w:pPr>
            <w:r>
              <w:rPr>
                <w:rFonts w:ascii="Times New Roman" w:eastAsia="宋体" w:hAnsi="Times New Roman"/>
                <w:color w:val="000000"/>
                <w:sz w:val="20"/>
                <w:szCs w:val="20"/>
              </w:rPr>
              <w:t>(1,169)</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9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9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1A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1A1" w14:textId="77777777" w:rsidR="00BA49F5" w:rsidRDefault="007E5E49">
            <w:pPr>
              <w:jc w:val="right"/>
              <w:textAlignment w:val="bottom"/>
            </w:pPr>
            <w:r>
              <w:rPr>
                <w:rFonts w:ascii="Times New Roman" w:eastAsia="宋体" w:hAnsi="Times New Roman"/>
                <w:color w:val="000000"/>
                <w:sz w:val="20"/>
                <w:szCs w:val="20"/>
              </w:rPr>
              <w:t>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A2" w14:textId="77777777" w:rsidR="00BA49F5" w:rsidRDefault="00BA49F5">
            <w:pPr>
              <w:jc w:val="right"/>
              <w:rPr>
                <w:rFonts w:ascii="宋体"/>
              </w:rPr>
            </w:pPr>
          </w:p>
        </w:tc>
      </w:tr>
      <w:tr w:rsidR="00BA49F5" w14:paraId="5CD901B8" w14:textId="77777777">
        <w:tc>
          <w:tcPr>
            <w:tcW w:w="0" w:type="auto"/>
            <w:gridSpan w:val="3"/>
            <w:shd w:val="clear" w:color="auto" w:fill="FFFFFF"/>
            <w:tcMar>
              <w:top w:w="40" w:type="dxa"/>
              <w:left w:w="200" w:type="dxa"/>
              <w:bottom w:w="40" w:type="dxa"/>
              <w:right w:w="20" w:type="dxa"/>
            </w:tcMar>
            <w:vAlign w:val="bottom"/>
          </w:tcPr>
          <w:p w14:paraId="5CD901A4" w14:textId="77777777" w:rsidR="00BA49F5" w:rsidRDefault="007E5E49">
            <w:pPr>
              <w:textAlignment w:val="bottom"/>
            </w:pPr>
            <w:r>
              <w:rPr>
                <w:rFonts w:ascii="Times New Roman" w:eastAsia="宋体" w:hAnsi="Times New Roman"/>
                <w:color w:val="000000"/>
                <w:sz w:val="20"/>
                <w:szCs w:val="20"/>
              </w:rPr>
              <w:t>Acquired patents</w:t>
            </w:r>
          </w:p>
        </w:tc>
        <w:tc>
          <w:tcPr>
            <w:tcW w:w="0" w:type="auto"/>
            <w:gridSpan w:val="3"/>
            <w:shd w:val="clear" w:color="auto" w:fill="FFFFFF"/>
            <w:tcMar>
              <w:top w:w="40" w:type="dxa"/>
              <w:left w:w="20" w:type="dxa"/>
              <w:bottom w:w="40" w:type="dxa"/>
              <w:right w:w="20" w:type="dxa"/>
            </w:tcMar>
            <w:vAlign w:val="bottom"/>
          </w:tcPr>
          <w:p w14:paraId="5CD901A5" w14:textId="77777777" w:rsidR="00BA49F5" w:rsidRDefault="007E5E49">
            <w:pPr>
              <w:jc w:val="center"/>
              <w:textAlignment w:val="bottom"/>
            </w:pPr>
            <w:r>
              <w:rPr>
                <w:rFonts w:ascii="Times New Roman" w:eastAsia="宋体" w:hAnsi="Times New Roman"/>
                <w:color w:val="000000"/>
                <w:sz w:val="20"/>
                <w:szCs w:val="20"/>
              </w:rPr>
              <w:t>3.0</w:t>
            </w:r>
          </w:p>
        </w:tc>
        <w:tc>
          <w:tcPr>
            <w:tcW w:w="0" w:type="auto"/>
            <w:gridSpan w:val="3"/>
            <w:shd w:val="clear" w:color="auto" w:fill="FFFFFF"/>
            <w:tcMar>
              <w:top w:w="0" w:type="dxa"/>
              <w:left w:w="20" w:type="dxa"/>
              <w:bottom w:w="0" w:type="dxa"/>
              <w:right w:w="20" w:type="dxa"/>
            </w:tcMar>
            <w:vAlign w:val="bottom"/>
          </w:tcPr>
          <w:p w14:paraId="5CD901A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A7" w14:textId="77777777" w:rsidR="00BA49F5" w:rsidRDefault="007E5E49">
            <w:pPr>
              <w:jc w:val="right"/>
              <w:textAlignment w:val="bottom"/>
            </w:pPr>
            <w:r>
              <w:rPr>
                <w:rFonts w:ascii="Times New Roman" w:eastAsia="宋体" w:hAnsi="Times New Roman"/>
                <w:color w:val="000000"/>
                <w:sz w:val="20"/>
                <w:szCs w:val="20"/>
              </w:rPr>
              <w:t>380 </w:t>
            </w:r>
          </w:p>
        </w:tc>
        <w:tc>
          <w:tcPr>
            <w:tcW w:w="0" w:type="auto"/>
            <w:shd w:val="clear" w:color="auto" w:fill="FFFFFF"/>
            <w:tcMar>
              <w:top w:w="40" w:type="dxa"/>
              <w:left w:w="0" w:type="dxa"/>
              <w:bottom w:w="40" w:type="dxa"/>
              <w:right w:w="20" w:type="dxa"/>
            </w:tcMar>
            <w:vAlign w:val="bottom"/>
          </w:tcPr>
          <w:p w14:paraId="5CD901A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A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AA" w14:textId="77777777" w:rsidR="00BA49F5" w:rsidRDefault="007E5E49">
            <w:pPr>
              <w:jc w:val="right"/>
              <w:textAlignment w:val="bottom"/>
            </w:pPr>
            <w:r>
              <w:rPr>
                <w:rFonts w:ascii="Times New Roman" w:eastAsia="宋体" w:hAnsi="Times New Roman"/>
                <w:color w:val="000000"/>
                <w:sz w:val="20"/>
                <w:szCs w:val="20"/>
              </w:rPr>
              <w:t>(289)</w:t>
            </w:r>
          </w:p>
        </w:tc>
        <w:tc>
          <w:tcPr>
            <w:tcW w:w="0" w:type="auto"/>
            <w:shd w:val="clear" w:color="auto" w:fill="FFFFFF"/>
            <w:tcMar>
              <w:top w:w="40" w:type="dxa"/>
              <w:left w:w="0" w:type="dxa"/>
              <w:bottom w:w="40" w:type="dxa"/>
              <w:right w:w="20" w:type="dxa"/>
            </w:tcMar>
            <w:vAlign w:val="bottom"/>
          </w:tcPr>
          <w:p w14:paraId="5CD901A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A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AD" w14:textId="77777777" w:rsidR="00BA49F5" w:rsidRDefault="007E5E49">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5CD901A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A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B0" w14:textId="77777777" w:rsidR="00BA49F5" w:rsidRDefault="007E5E49">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5CD901B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B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B3" w14:textId="77777777" w:rsidR="00BA49F5" w:rsidRDefault="007E5E49">
            <w:pPr>
              <w:jc w:val="right"/>
              <w:textAlignment w:val="bottom"/>
            </w:pPr>
            <w:r>
              <w:rPr>
                <w:rFonts w:ascii="Times New Roman" w:eastAsia="宋体" w:hAnsi="Times New Roman"/>
                <w:color w:val="000000"/>
                <w:sz w:val="20"/>
                <w:szCs w:val="20"/>
              </w:rPr>
              <w:t>(722)</w:t>
            </w:r>
          </w:p>
        </w:tc>
        <w:tc>
          <w:tcPr>
            <w:tcW w:w="0" w:type="auto"/>
            <w:shd w:val="clear" w:color="auto" w:fill="FFFFFF"/>
            <w:tcMar>
              <w:top w:w="40" w:type="dxa"/>
              <w:left w:w="0" w:type="dxa"/>
              <w:bottom w:w="40" w:type="dxa"/>
              <w:right w:w="20" w:type="dxa"/>
            </w:tcMar>
            <w:vAlign w:val="bottom"/>
          </w:tcPr>
          <w:p w14:paraId="5CD901B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B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B6" w14:textId="77777777" w:rsidR="00BA49F5" w:rsidRDefault="007E5E49">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5CD901B7" w14:textId="77777777" w:rsidR="00BA49F5" w:rsidRDefault="00BA49F5">
            <w:pPr>
              <w:jc w:val="right"/>
              <w:rPr>
                <w:rFonts w:ascii="宋体"/>
              </w:rPr>
            </w:pPr>
          </w:p>
        </w:tc>
      </w:tr>
      <w:tr w:rsidR="00BA49F5" w14:paraId="5CD901CD" w14:textId="77777777">
        <w:tc>
          <w:tcPr>
            <w:tcW w:w="0" w:type="auto"/>
            <w:gridSpan w:val="3"/>
            <w:shd w:val="clear" w:color="auto" w:fill="CCEEFF"/>
            <w:tcMar>
              <w:top w:w="40" w:type="dxa"/>
              <w:left w:w="200" w:type="dxa"/>
              <w:bottom w:w="40" w:type="dxa"/>
              <w:right w:w="20" w:type="dxa"/>
            </w:tcMar>
            <w:vAlign w:val="bottom"/>
          </w:tcPr>
          <w:p w14:paraId="5CD901B9" w14:textId="77777777" w:rsidR="00BA49F5" w:rsidRDefault="007E5E49">
            <w:pPr>
              <w:textAlignment w:val="bottom"/>
            </w:pPr>
            <w:r>
              <w:rPr>
                <w:rFonts w:ascii="Times New Roman" w:eastAsia="宋体" w:hAnsi="Times New Roman"/>
                <w:color w:val="000000"/>
                <w:sz w:val="20"/>
                <w:szCs w:val="20"/>
              </w:rPr>
              <w:t>Trade names</w:t>
            </w:r>
          </w:p>
        </w:tc>
        <w:tc>
          <w:tcPr>
            <w:tcW w:w="0" w:type="auto"/>
            <w:gridSpan w:val="3"/>
            <w:shd w:val="clear" w:color="auto" w:fill="CCEEFF"/>
            <w:tcMar>
              <w:top w:w="40" w:type="dxa"/>
              <w:left w:w="20" w:type="dxa"/>
              <w:bottom w:w="40" w:type="dxa"/>
              <w:right w:w="20" w:type="dxa"/>
            </w:tcMar>
            <w:vAlign w:val="bottom"/>
          </w:tcPr>
          <w:p w14:paraId="5CD901BA" w14:textId="77777777" w:rsidR="00BA49F5" w:rsidRDefault="007E5E49">
            <w:pPr>
              <w:jc w:val="center"/>
              <w:textAlignment w:val="bottom"/>
            </w:pPr>
            <w:r>
              <w:rPr>
                <w:rFonts w:ascii="Times New Roman" w:eastAsia="宋体" w:hAnsi="Times New Roman"/>
                <w:color w:val="000000"/>
                <w:sz w:val="20"/>
                <w:szCs w:val="20"/>
              </w:rPr>
              <w:t>3.7</w:t>
            </w:r>
          </w:p>
        </w:tc>
        <w:tc>
          <w:tcPr>
            <w:tcW w:w="0" w:type="auto"/>
            <w:gridSpan w:val="3"/>
            <w:shd w:val="clear" w:color="auto" w:fill="CCEEFF"/>
            <w:tcMar>
              <w:top w:w="0" w:type="dxa"/>
              <w:left w:w="20" w:type="dxa"/>
              <w:bottom w:w="0" w:type="dxa"/>
              <w:right w:w="20" w:type="dxa"/>
            </w:tcMar>
            <w:vAlign w:val="bottom"/>
          </w:tcPr>
          <w:p w14:paraId="5CD901B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BC" w14:textId="77777777" w:rsidR="00BA49F5" w:rsidRDefault="007E5E49">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5CD901B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B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BF" w14:textId="77777777" w:rsidR="00BA49F5" w:rsidRDefault="007E5E49">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5CD901C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C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C2" w14:textId="77777777" w:rsidR="00BA49F5" w:rsidRDefault="007E5E49">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5CD901C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C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C5" w14:textId="77777777" w:rsidR="00BA49F5" w:rsidRDefault="007E5E49">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5CD901C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C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C8" w14:textId="77777777" w:rsidR="00BA49F5" w:rsidRDefault="007E5E49">
            <w:pPr>
              <w:jc w:val="right"/>
              <w:textAlignment w:val="bottom"/>
            </w:pPr>
            <w:r>
              <w:rPr>
                <w:rFonts w:ascii="Times New Roman" w:eastAsia="宋体" w:hAnsi="Times New Roman"/>
                <w:color w:val="000000"/>
                <w:sz w:val="20"/>
                <w:szCs w:val="20"/>
              </w:rPr>
              <w:t>(633)</w:t>
            </w:r>
          </w:p>
        </w:tc>
        <w:tc>
          <w:tcPr>
            <w:tcW w:w="0" w:type="auto"/>
            <w:shd w:val="clear" w:color="auto" w:fill="CCEEFF"/>
            <w:tcMar>
              <w:top w:w="40" w:type="dxa"/>
              <w:left w:w="0" w:type="dxa"/>
              <w:bottom w:w="40" w:type="dxa"/>
              <w:right w:w="20" w:type="dxa"/>
            </w:tcMar>
            <w:vAlign w:val="bottom"/>
          </w:tcPr>
          <w:p w14:paraId="5CD901C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C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1CB" w14:textId="77777777" w:rsidR="00BA49F5" w:rsidRDefault="007E5E49">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5CD901CC" w14:textId="77777777" w:rsidR="00BA49F5" w:rsidRDefault="00BA49F5">
            <w:pPr>
              <w:jc w:val="right"/>
              <w:rPr>
                <w:rFonts w:ascii="宋体"/>
              </w:rPr>
            </w:pPr>
          </w:p>
        </w:tc>
      </w:tr>
      <w:tr w:rsidR="00BA49F5" w14:paraId="5CD901E2" w14:textId="77777777">
        <w:tc>
          <w:tcPr>
            <w:tcW w:w="0" w:type="auto"/>
            <w:gridSpan w:val="3"/>
            <w:shd w:val="clear" w:color="auto" w:fill="FFFFFF"/>
            <w:tcMar>
              <w:top w:w="40" w:type="dxa"/>
              <w:left w:w="200" w:type="dxa"/>
              <w:bottom w:w="40" w:type="dxa"/>
              <w:right w:w="20" w:type="dxa"/>
            </w:tcMar>
            <w:vAlign w:val="bottom"/>
          </w:tcPr>
          <w:p w14:paraId="5CD901CE" w14:textId="77777777" w:rsidR="00BA49F5" w:rsidRDefault="007E5E49">
            <w:pPr>
              <w:textAlignment w:val="bottom"/>
            </w:pPr>
            <w:r>
              <w:rPr>
                <w:rFonts w:ascii="Times New Roman" w:eastAsia="宋体" w:hAnsi="Times New Roman"/>
                <w:color w:val="000000"/>
                <w:sz w:val="20"/>
                <w:szCs w:val="20"/>
              </w:rPr>
              <w:t>Other</w:t>
            </w:r>
          </w:p>
        </w:tc>
        <w:tc>
          <w:tcPr>
            <w:tcW w:w="0" w:type="auto"/>
            <w:gridSpan w:val="3"/>
            <w:shd w:val="clear" w:color="auto" w:fill="FFFFFF"/>
            <w:tcMar>
              <w:top w:w="40" w:type="dxa"/>
              <w:left w:w="20" w:type="dxa"/>
              <w:bottom w:w="40" w:type="dxa"/>
              <w:right w:w="20" w:type="dxa"/>
            </w:tcMar>
            <w:vAlign w:val="bottom"/>
          </w:tcPr>
          <w:p w14:paraId="5CD901CF" w14:textId="77777777" w:rsidR="00BA49F5" w:rsidRDefault="007E5E49">
            <w:pPr>
              <w:jc w:val="center"/>
              <w:textAlignment w:val="bottom"/>
            </w:pPr>
            <w:r>
              <w:rPr>
                <w:rFonts w:ascii="Times New Roman" w:eastAsia="宋体" w:hAnsi="Times New Roman"/>
                <w:color w:val="000000"/>
                <w:sz w:val="20"/>
                <w:szCs w:val="20"/>
              </w:rPr>
              <w:t>8.9</w:t>
            </w:r>
          </w:p>
        </w:tc>
        <w:tc>
          <w:tcPr>
            <w:tcW w:w="0" w:type="auto"/>
            <w:gridSpan w:val="3"/>
            <w:shd w:val="clear" w:color="auto" w:fill="FFFFFF"/>
            <w:tcMar>
              <w:top w:w="0" w:type="dxa"/>
              <w:left w:w="20" w:type="dxa"/>
              <w:bottom w:w="0" w:type="dxa"/>
              <w:right w:w="20" w:type="dxa"/>
            </w:tcMar>
            <w:vAlign w:val="bottom"/>
          </w:tcPr>
          <w:p w14:paraId="5CD901D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D1" w14:textId="77777777" w:rsidR="00BA49F5" w:rsidRDefault="007E5E49">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5CD901D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D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D4" w14:textId="77777777" w:rsidR="00BA49F5" w:rsidRDefault="007E5E49">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5CD901D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D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D7" w14:textId="77777777" w:rsidR="00BA49F5" w:rsidRDefault="007E5E49">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5CD901D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D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DA" w14:textId="77777777" w:rsidR="00BA49F5" w:rsidRDefault="007E5E49">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5CD901D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D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DD" w14:textId="77777777" w:rsidR="00BA49F5" w:rsidRDefault="007E5E49">
            <w:pPr>
              <w:jc w:val="right"/>
              <w:textAlignment w:val="bottom"/>
            </w:pPr>
            <w:r>
              <w:rPr>
                <w:rFonts w:ascii="Times New Roman" w:eastAsia="宋体" w:hAnsi="Times New Roman"/>
                <w:color w:val="000000"/>
                <w:sz w:val="20"/>
                <w:szCs w:val="20"/>
              </w:rPr>
              <w:t>(167)</w:t>
            </w:r>
          </w:p>
        </w:tc>
        <w:tc>
          <w:tcPr>
            <w:tcW w:w="0" w:type="auto"/>
            <w:shd w:val="clear" w:color="auto" w:fill="FFFFFF"/>
            <w:tcMar>
              <w:top w:w="40" w:type="dxa"/>
              <w:left w:w="0" w:type="dxa"/>
              <w:bottom w:w="40" w:type="dxa"/>
              <w:right w:w="20" w:type="dxa"/>
            </w:tcMar>
            <w:vAlign w:val="bottom"/>
          </w:tcPr>
          <w:p w14:paraId="5CD901D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D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E0" w14:textId="77777777" w:rsidR="00BA49F5" w:rsidRDefault="007E5E49">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5CD901E1" w14:textId="77777777" w:rsidR="00BA49F5" w:rsidRDefault="00BA49F5">
            <w:pPr>
              <w:jc w:val="right"/>
              <w:rPr>
                <w:rFonts w:ascii="宋体"/>
              </w:rPr>
            </w:pPr>
          </w:p>
        </w:tc>
      </w:tr>
      <w:tr w:rsidR="00BA49F5" w14:paraId="5CD901F7" w14:textId="77777777">
        <w:tc>
          <w:tcPr>
            <w:tcW w:w="0" w:type="auto"/>
            <w:gridSpan w:val="3"/>
            <w:shd w:val="clear" w:color="auto" w:fill="CCEEFF"/>
            <w:tcMar>
              <w:top w:w="40" w:type="dxa"/>
              <w:left w:w="20" w:type="dxa"/>
              <w:bottom w:w="40" w:type="dxa"/>
              <w:right w:w="20" w:type="dxa"/>
            </w:tcMar>
          </w:tcPr>
          <w:p w14:paraId="5CD901E3" w14:textId="77777777" w:rsidR="00BA49F5" w:rsidRDefault="007E5E49">
            <w:pPr>
              <w:textAlignment w:val="top"/>
            </w:pPr>
            <w:r>
              <w:rPr>
                <w:rFonts w:ascii="Times New Roman" w:eastAsia="宋体" w:hAnsi="Times New Roman"/>
                <w:color w:val="000000"/>
                <w:sz w:val="20"/>
                <w:szCs w:val="20"/>
              </w:rPr>
              <w:t>Total finite-lived assets</w:t>
            </w:r>
          </w:p>
        </w:tc>
        <w:tc>
          <w:tcPr>
            <w:tcW w:w="0" w:type="auto"/>
            <w:gridSpan w:val="3"/>
            <w:shd w:val="clear" w:color="auto" w:fill="CCEEFF"/>
            <w:tcMar>
              <w:top w:w="0" w:type="dxa"/>
              <w:left w:w="20" w:type="dxa"/>
              <w:bottom w:w="0" w:type="dxa"/>
              <w:right w:w="20" w:type="dxa"/>
            </w:tcMar>
            <w:vAlign w:val="bottom"/>
          </w:tcPr>
          <w:p w14:paraId="5CD901E4"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1E5"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E6" w14:textId="77777777" w:rsidR="00BA49F5" w:rsidRDefault="007E5E49">
            <w:pPr>
              <w:jc w:val="right"/>
              <w:textAlignment w:val="bottom"/>
            </w:pPr>
            <w:r>
              <w:rPr>
                <w:rFonts w:ascii="Times New Roman" w:eastAsia="宋体" w:hAnsi="Times New Roman"/>
                <w:color w:val="000000"/>
                <w:sz w:val="20"/>
                <w:szCs w:val="20"/>
              </w:rPr>
              <w:t>973 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E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E8"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E9" w14:textId="77777777" w:rsidR="00BA49F5" w:rsidRDefault="007E5E49">
            <w:pPr>
              <w:jc w:val="right"/>
              <w:textAlignment w:val="bottom"/>
            </w:pPr>
            <w:r>
              <w:rPr>
                <w:rFonts w:ascii="Times New Roman" w:eastAsia="宋体" w:hAnsi="Times New Roman"/>
                <w:color w:val="000000"/>
                <w:sz w:val="20"/>
                <w:szCs w:val="20"/>
              </w:rPr>
              <w:t>(458)</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E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EB"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EC" w14:textId="77777777" w:rsidR="00BA49F5" w:rsidRDefault="007E5E49">
            <w:pPr>
              <w:jc w:val="right"/>
              <w:textAlignment w:val="bottom"/>
            </w:pPr>
            <w:r>
              <w:rPr>
                <w:rFonts w:ascii="Times New Roman" w:eastAsia="宋体" w:hAnsi="Times New Roman"/>
                <w:color w:val="000000"/>
                <w:sz w:val="20"/>
                <w:szCs w:val="20"/>
              </w:rPr>
              <w:t>515 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E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EE"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EF" w14:textId="77777777" w:rsidR="00BA49F5" w:rsidRDefault="007E5E49">
            <w:pPr>
              <w:jc w:val="right"/>
              <w:textAlignment w:val="bottom"/>
            </w:pPr>
            <w:r>
              <w:rPr>
                <w:rFonts w:ascii="Times New Roman" w:eastAsia="宋体" w:hAnsi="Times New Roman"/>
                <w:color w:val="000000"/>
                <w:sz w:val="20"/>
                <w:szCs w:val="20"/>
              </w:rPr>
              <w:t>3,059 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F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F1"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F2" w14:textId="77777777" w:rsidR="00BA49F5" w:rsidRDefault="007E5E49">
            <w:pPr>
              <w:jc w:val="right"/>
              <w:textAlignment w:val="bottom"/>
            </w:pPr>
            <w:r>
              <w:rPr>
                <w:rFonts w:ascii="Times New Roman" w:eastAsia="宋体" w:hAnsi="Times New Roman"/>
                <w:color w:val="000000"/>
                <w:sz w:val="20"/>
                <w:szCs w:val="20"/>
              </w:rPr>
              <w:t>(2,691)</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F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1F4"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1F5" w14:textId="77777777" w:rsidR="00BA49F5" w:rsidRDefault="007E5E49">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1F6" w14:textId="77777777" w:rsidR="00BA49F5" w:rsidRDefault="00BA49F5">
            <w:pPr>
              <w:jc w:val="right"/>
              <w:rPr>
                <w:rFonts w:ascii="宋体"/>
              </w:rPr>
            </w:pPr>
          </w:p>
        </w:tc>
      </w:tr>
      <w:tr w:rsidR="00BA49F5" w14:paraId="5CD9020C" w14:textId="77777777">
        <w:tc>
          <w:tcPr>
            <w:tcW w:w="0" w:type="auto"/>
            <w:gridSpan w:val="3"/>
            <w:shd w:val="clear" w:color="auto" w:fill="FFFFFF"/>
            <w:tcMar>
              <w:top w:w="40" w:type="dxa"/>
              <w:left w:w="20" w:type="dxa"/>
              <w:bottom w:w="40" w:type="dxa"/>
              <w:right w:w="20" w:type="dxa"/>
            </w:tcMar>
            <w:vAlign w:val="bottom"/>
          </w:tcPr>
          <w:p w14:paraId="5CD901F8" w14:textId="77777777" w:rsidR="00BA49F5" w:rsidRDefault="007E5E49">
            <w:pPr>
              <w:textAlignment w:val="bottom"/>
            </w:pPr>
            <w:r>
              <w:rPr>
                <w:rFonts w:ascii="Times New Roman" w:eastAsia="宋体" w:hAnsi="Times New Roman"/>
                <w:color w:val="000000"/>
                <w:sz w:val="20"/>
                <w:szCs w:val="20"/>
              </w:rPr>
              <w:t>Total indefinite-lived assets</w:t>
            </w:r>
          </w:p>
        </w:tc>
        <w:tc>
          <w:tcPr>
            <w:tcW w:w="0" w:type="auto"/>
            <w:gridSpan w:val="3"/>
            <w:shd w:val="clear" w:color="auto" w:fill="FFFFFF"/>
            <w:tcMar>
              <w:top w:w="40" w:type="dxa"/>
              <w:left w:w="20" w:type="dxa"/>
              <w:bottom w:w="40" w:type="dxa"/>
              <w:right w:w="20" w:type="dxa"/>
            </w:tcMar>
            <w:vAlign w:val="bottom"/>
          </w:tcPr>
          <w:p w14:paraId="5CD901F9" w14:textId="77777777" w:rsidR="00BA49F5" w:rsidRDefault="007E5E49">
            <w:pPr>
              <w:jc w:val="center"/>
              <w:textAlignment w:val="bottom"/>
            </w:pPr>
            <w:r>
              <w:rPr>
                <w:rFonts w:ascii="Times New Roman" w:eastAsia="宋体" w:hAnsi="Times New Roman"/>
                <w:color w:val="000000"/>
                <w:sz w:val="20"/>
                <w:szCs w:val="20"/>
              </w:rPr>
              <w:t>N/A</w:t>
            </w:r>
          </w:p>
        </w:tc>
        <w:tc>
          <w:tcPr>
            <w:tcW w:w="0" w:type="auto"/>
            <w:gridSpan w:val="3"/>
            <w:shd w:val="clear" w:color="auto" w:fill="FFFFFF"/>
            <w:tcMar>
              <w:top w:w="0" w:type="dxa"/>
              <w:left w:w="20" w:type="dxa"/>
              <w:bottom w:w="0" w:type="dxa"/>
              <w:right w:w="20" w:type="dxa"/>
            </w:tcMar>
            <w:vAlign w:val="bottom"/>
          </w:tcPr>
          <w:p w14:paraId="5CD901F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FB" w14:textId="77777777" w:rsidR="00BA49F5" w:rsidRDefault="007E5E49">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5CD901F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1F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1F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901F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20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201" w14:textId="77777777" w:rsidR="00BA49F5" w:rsidRDefault="007E5E49">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5CD9020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20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204" w14:textId="77777777" w:rsidR="00BA49F5" w:rsidRDefault="007E5E49">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5CD9020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20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207"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9020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20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20A" w14:textId="77777777" w:rsidR="00BA49F5" w:rsidRDefault="007E5E49">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5CD9020B" w14:textId="77777777" w:rsidR="00BA49F5" w:rsidRDefault="00BA49F5">
            <w:pPr>
              <w:jc w:val="right"/>
              <w:rPr>
                <w:rFonts w:ascii="宋体"/>
              </w:rPr>
            </w:pPr>
          </w:p>
        </w:tc>
      </w:tr>
      <w:tr w:rsidR="00BA49F5" w14:paraId="5CD90227" w14:textId="77777777">
        <w:tc>
          <w:tcPr>
            <w:tcW w:w="0" w:type="auto"/>
            <w:gridSpan w:val="3"/>
            <w:shd w:val="clear" w:color="auto" w:fill="CCEEFF"/>
            <w:tcMar>
              <w:top w:w="40" w:type="dxa"/>
              <w:left w:w="380" w:type="dxa"/>
              <w:bottom w:w="40" w:type="dxa"/>
              <w:right w:w="20" w:type="dxa"/>
            </w:tcMar>
            <w:vAlign w:val="bottom"/>
          </w:tcPr>
          <w:p w14:paraId="5CD9020D" w14:textId="77777777" w:rsidR="00BA49F5" w:rsidRDefault="007E5E49">
            <w:pPr>
              <w:textAlignment w:val="bottom"/>
            </w:pPr>
            <w:r>
              <w:rPr>
                <w:rFonts w:ascii="Times New Roman" w:eastAsia="宋体" w:hAnsi="Times New Roman"/>
                <w:color w:val="000000"/>
                <w:sz w:val="20"/>
                <w:szCs w:val="20"/>
              </w:rPr>
              <w:t>Total intangible assets</w:t>
            </w:r>
          </w:p>
        </w:tc>
        <w:tc>
          <w:tcPr>
            <w:tcW w:w="0" w:type="auto"/>
            <w:gridSpan w:val="3"/>
            <w:shd w:val="clear" w:color="auto" w:fill="CCEEFF"/>
            <w:tcMar>
              <w:top w:w="0" w:type="dxa"/>
              <w:left w:w="20" w:type="dxa"/>
              <w:bottom w:w="0" w:type="dxa"/>
              <w:right w:w="20" w:type="dxa"/>
            </w:tcMar>
            <w:vAlign w:val="bottom"/>
          </w:tcPr>
          <w:p w14:paraId="5CD9020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0F"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1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11" w14:textId="77777777" w:rsidR="00BA49F5" w:rsidRDefault="007E5E49">
            <w:pPr>
              <w:jc w:val="right"/>
              <w:textAlignment w:val="bottom"/>
            </w:pPr>
            <w:r>
              <w:rPr>
                <w:rFonts w:ascii="Times New Roman" w:eastAsia="宋体" w:hAnsi="Times New Roman"/>
                <w:color w:val="000000"/>
                <w:sz w:val="20"/>
                <w:szCs w:val="20"/>
              </w:rPr>
              <w:t>1,355 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1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213"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1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15" w14:textId="77777777" w:rsidR="00BA49F5" w:rsidRDefault="007E5E49">
            <w:pPr>
              <w:jc w:val="right"/>
              <w:textAlignment w:val="bottom"/>
            </w:pPr>
            <w:r>
              <w:rPr>
                <w:rFonts w:ascii="Times New Roman" w:eastAsia="宋体" w:hAnsi="Times New Roman"/>
                <w:color w:val="000000"/>
                <w:sz w:val="20"/>
                <w:szCs w:val="20"/>
              </w:rPr>
              <w:t>(458)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1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217"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1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19" w14:textId="77777777" w:rsidR="00BA49F5" w:rsidRDefault="007E5E49">
            <w:pPr>
              <w:jc w:val="right"/>
              <w:textAlignment w:val="bottom"/>
            </w:pPr>
            <w:r>
              <w:rPr>
                <w:rFonts w:ascii="Times New Roman" w:eastAsia="宋体" w:hAnsi="Times New Roman"/>
                <w:color w:val="000000"/>
                <w:sz w:val="20"/>
                <w:szCs w:val="20"/>
              </w:rPr>
              <w:t>897 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1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21B"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1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1D" w14:textId="77777777" w:rsidR="00BA49F5" w:rsidRDefault="007E5E49">
            <w:pPr>
              <w:jc w:val="right"/>
              <w:textAlignment w:val="bottom"/>
            </w:pPr>
            <w:r>
              <w:rPr>
                <w:rFonts w:ascii="Times New Roman" w:eastAsia="宋体" w:hAnsi="Times New Roman"/>
                <w:color w:val="000000"/>
                <w:sz w:val="20"/>
                <w:szCs w:val="20"/>
              </w:rPr>
              <w:t>3,325 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1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21F"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2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21" w14:textId="77777777" w:rsidR="00BA49F5" w:rsidRDefault="007E5E49">
            <w:pPr>
              <w:jc w:val="right"/>
              <w:textAlignment w:val="bottom"/>
            </w:pPr>
            <w:r>
              <w:rPr>
                <w:rFonts w:ascii="Times New Roman" w:eastAsia="宋体" w:hAnsi="Times New Roman"/>
                <w:color w:val="000000"/>
                <w:sz w:val="20"/>
                <w:szCs w:val="20"/>
              </w:rPr>
              <w:t>(2,691)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2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223"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2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25" w14:textId="77777777" w:rsidR="00BA49F5" w:rsidRDefault="007E5E49">
            <w:pPr>
              <w:jc w:val="right"/>
              <w:textAlignment w:val="bottom"/>
            </w:pPr>
            <w:r>
              <w:rPr>
                <w:rFonts w:ascii="Times New Roman" w:eastAsia="宋体" w:hAnsi="Times New Roman"/>
                <w:color w:val="000000"/>
                <w:sz w:val="20"/>
                <w:szCs w:val="20"/>
              </w:rPr>
              <w:t>634 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26" w14:textId="77777777" w:rsidR="00BA49F5" w:rsidRDefault="00BA49F5">
            <w:pPr>
              <w:jc w:val="right"/>
              <w:rPr>
                <w:rFonts w:ascii="宋体"/>
              </w:rPr>
            </w:pPr>
          </w:p>
        </w:tc>
      </w:tr>
    </w:tbl>
    <w:p w14:paraId="5CD90228" w14:textId="77777777" w:rsidR="00BA49F5" w:rsidRDefault="00BA49F5">
      <w:pPr>
        <w:ind w:firstLine="540"/>
        <w:jc w:val="both"/>
      </w:pPr>
    </w:p>
    <w:p w14:paraId="5CD90229" w14:textId="77777777" w:rsidR="00BA49F5" w:rsidRDefault="007E5E49">
      <w:pPr>
        <w:ind w:firstLine="540"/>
        <w:jc w:val="both"/>
      </w:pPr>
      <w:r>
        <w:rPr>
          <w:rFonts w:ascii="Times New Roman" w:eastAsia="宋体" w:hAnsi="Times New Roman"/>
          <w:color w:val="000000"/>
          <w:sz w:val="20"/>
          <w:szCs w:val="20"/>
        </w:rPr>
        <w:t>Amortization expense of intangible assets for the years ended December 31, 2022, 2021, and 2020 was $185 million, $407 million, and $473 million, respect</w:t>
      </w:r>
      <w:r>
        <w:rPr>
          <w:rFonts w:ascii="Times New Roman" w:eastAsia="宋体" w:hAnsi="Times New Roman"/>
          <w:color w:val="000000"/>
          <w:sz w:val="20"/>
          <w:szCs w:val="20"/>
        </w:rPr>
        <w:t>ively.</w:t>
      </w:r>
    </w:p>
    <w:p w14:paraId="5CD9022A" w14:textId="77777777" w:rsidR="00BA49F5" w:rsidRDefault="00BA49F5">
      <w:pPr>
        <w:ind w:firstLine="540"/>
        <w:jc w:val="both"/>
      </w:pPr>
    </w:p>
    <w:p w14:paraId="5CD9022B" w14:textId="77777777" w:rsidR="00BA49F5" w:rsidRDefault="007E5E49">
      <w:pPr>
        <w:ind w:firstLine="540"/>
        <w:jc w:val="both"/>
      </w:pPr>
      <w:r>
        <w:rPr>
          <w:rFonts w:ascii="Times New Roman" w:eastAsia="宋体" w:hAnsi="Times New Roman"/>
          <w:color w:val="000000"/>
          <w:sz w:val="20"/>
          <w:szCs w:val="20"/>
        </w:rPr>
        <w:t>As of December 31, 2022, expected amortization expense for the unamortized finite-lived intangible assets for the next five years and thereafter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73"/>
        <w:gridCol w:w="36"/>
        <w:gridCol w:w="120"/>
        <w:gridCol w:w="1119"/>
        <w:gridCol w:w="36"/>
      </w:tblGrid>
      <w:tr w:rsidR="00BA49F5" w14:paraId="5CD90232" w14:textId="77777777">
        <w:tc>
          <w:tcPr>
            <w:tcW w:w="50" w:type="pct"/>
            <w:shd w:val="clear" w:color="auto" w:fill="auto"/>
            <w:vAlign w:val="bottom"/>
          </w:tcPr>
          <w:p w14:paraId="5CD9022C" w14:textId="77777777" w:rsidR="00BA49F5" w:rsidRDefault="00BA49F5">
            <w:pPr>
              <w:rPr>
                <w:rFonts w:ascii="宋体"/>
              </w:rPr>
            </w:pPr>
          </w:p>
        </w:tc>
        <w:tc>
          <w:tcPr>
            <w:tcW w:w="4200" w:type="pct"/>
            <w:shd w:val="clear" w:color="auto" w:fill="auto"/>
            <w:vAlign w:val="bottom"/>
          </w:tcPr>
          <w:p w14:paraId="5CD9022D" w14:textId="77777777" w:rsidR="00BA49F5" w:rsidRDefault="00BA49F5">
            <w:pPr>
              <w:rPr>
                <w:rFonts w:ascii="宋体"/>
              </w:rPr>
            </w:pPr>
          </w:p>
        </w:tc>
        <w:tc>
          <w:tcPr>
            <w:tcW w:w="5" w:type="pct"/>
            <w:shd w:val="clear" w:color="auto" w:fill="auto"/>
            <w:vAlign w:val="bottom"/>
          </w:tcPr>
          <w:p w14:paraId="5CD9022E" w14:textId="77777777" w:rsidR="00BA49F5" w:rsidRDefault="00BA49F5">
            <w:pPr>
              <w:rPr>
                <w:rFonts w:ascii="宋体"/>
              </w:rPr>
            </w:pPr>
          </w:p>
        </w:tc>
        <w:tc>
          <w:tcPr>
            <w:tcW w:w="50" w:type="pct"/>
            <w:shd w:val="clear" w:color="auto" w:fill="auto"/>
            <w:vAlign w:val="bottom"/>
          </w:tcPr>
          <w:p w14:paraId="5CD9022F" w14:textId="77777777" w:rsidR="00BA49F5" w:rsidRDefault="00BA49F5">
            <w:pPr>
              <w:rPr>
                <w:rFonts w:ascii="宋体"/>
              </w:rPr>
            </w:pPr>
          </w:p>
        </w:tc>
        <w:tc>
          <w:tcPr>
            <w:tcW w:w="689" w:type="pct"/>
            <w:shd w:val="clear" w:color="auto" w:fill="auto"/>
            <w:vAlign w:val="bottom"/>
          </w:tcPr>
          <w:p w14:paraId="5CD90230" w14:textId="77777777" w:rsidR="00BA49F5" w:rsidRDefault="00BA49F5">
            <w:pPr>
              <w:rPr>
                <w:rFonts w:ascii="宋体"/>
              </w:rPr>
            </w:pPr>
          </w:p>
        </w:tc>
        <w:tc>
          <w:tcPr>
            <w:tcW w:w="5" w:type="pct"/>
            <w:shd w:val="clear" w:color="auto" w:fill="auto"/>
            <w:vAlign w:val="bottom"/>
          </w:tcPr>
          <w:p w14:paraId="5CD90231" w14:textId="77777777" w:rsidR="00BA49F5" w:rsidRDefault="00BA49F5">
            <w:pPr>
              <w:rPr>
                <w:rFonts w:ascii="宋体"/>
              </w:rPr>
            </w:pPr>
          </w:p>
        </w:tc>
      </w:tr>
      <w:tr w:rsidR="00BA49F5" w14:paraId="5CD90237" w14:textId="77777777">
        <w:tc>
          <w:tcPr>
            <w:tcW w:w="0" w:type="auto"/>
            <w:gridSpan w:val="3"/>
            <w:shd w:val="clear" w:color="auto" w:fill="CCEEFF"/>
            <w:tcMar>
              <w:top w:w="40" w:type="dxa"/>
              <w:left w:w="20" w:type="dxa"/>
              <w:bottom w:w="40" w:type="dxa"/>
              <w:right w:w="20" w:type="dxa"/>
            </w:tcMar>
            <w:vAlign w:val="bottom"/>
          </w:tcPr>
          <w:p w14:paraId="5CD90233" w14:textId="77777777" w:rsidR="00BA49F5" w:rsidRDefault="007E5E49">
            <w:pPr>
              <w:textAlignment w:val="bottom"/>
            </w:pPr>
            <w:r>
              <w:rPr>
                <w:rFonts w:ascii="Times New Roman" w:eastAsia="宋体" w:hAnsi="Times New Roman"/>
                <w:color w:val="000000"/>
                <w:sz w:val="20"/>
                <w:szCs w:val="20"/>
              </w:rPr>
              <w:t>2023</w:t>
            </w:r>
          </w:p>
        </w:tc>
        <w:tc>
          <w:tcPr>
            <w:tcW w:w="0" w:type="auto"/>
            <w:shd w:val="clear" w:color="auto" w:fill="CCEEFF"/>
            <w:tcMar>
              <w:top w:w="40" w:type="dxa"/>
              <w:left w:w="20" w:type="dxa"/>
              <w:bottom w:w="40" w:type="dxa"/>
              <w:right w:w="0" w:type="dxa"/>
            </w:tcMar>
            <w:vAlign w:val="bottom"/>
          </w:tcPr>
          <w:p w14:paraId="5CD90234"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235" w14:textId="77777777" w:rsidR="00BA49F5" w:rsidRDefault="007E5E49">
            <w:pPr>
              <w:jc w:val="right"/>
              <w:textAlignment w:val="bottom"/>
            </w:pPr>
            <w:r>
              <w:rPr>
                <w:rFonts w:ascii="Times New Roman" w:eastAsia="宋体" w:hAnsi="Times New Roman"/>
                <w:color w:val="000000"/>
                <w:sz w:val="20"/>
                <w:szCs w:val="20"/>
              </w:rPr>
              <w:t>153 </w:t>
            </w:r>
          </w:p>
        </w:tc>
        <w:tc>
          <w:tcPr>
            <w:tcW w:w="0" w:type="auto"/>
            <w:shd w:val="clear" w:color="auto" w:fill="CCEEFF"/>
            <w:tcMar>
              <w:top w:w="40" w:type="dxa"/>
              <w:left w:w="0" w:type="dxa"/>
              <w:bottom w:w="40" w:type="dxa"/>
              <w:right w:w="20" w:type="dxa"/>
            </w:tcMar>
            <w:vAlign w:val="bottom"/>
          </w:tcPr>
          <w:p w14:paraId="5CD90236" w14:textId="77777777" w:rsidR="00BA49F5" w:rsidRDefault="00BA49F5">
            <w:pPr>
              <w:jc w:val="right"/>
              <w:rPr>
                <w:rFonts w:ascii="宋体"/>
              </w:rPr>
            </w:pPr>
          </w:p>
        </w:tc>
      </w:tr>
      <w:tr w:rsidR="00BA49F5" w14:paraId="5CD9023B" w14:textId="77777777">
        <w:tc>
          <w:tcPr>
            <w:tcW w:w="0" w:type="auto"/>
            <w:gridSpan w:val="3"/>
            <w:shd w:val="clear" w:color="auto" w:fill="FFFFFF"/>
            <w:tcMar>
              <w:top w:w="40" w:type="dxa"/>
              <w:left w:w="20" w:type="dxa"/>
              <w:bottom w:w="40" w:type="dxa"/>
              <w:right w:w="20" w:type="dxa"/>
            </w:tcMar>
            <w:vAlign w:val="bottom"/>
          </w:tcPr>
          <w:p w14:paraId="5CD90238" w14:textId="77777777" w:rsidR="00BA49F5" w:rsidRDefault="007E5E49">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CD90239" w14:textId="77777777" w:rsidR="00BA49F5" w:rsidRDefault="007E5E49">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5CD9023A" w14:textId="77777777" w:rsidR="00BA49F5" w:rsidRDefault="00BA49F5">
            <w:pPr>
              <w:jc w:val="right"/>
              <w:rPr>
                <w:rFonts w:ascii="宋体"/>
              </w:rPr>
            </w:pPr>
          </w:p>
        </w:tc>
      </w:tr>
      <w:tr w:rsidR="00BA49F5" w14:paraId="5CD9023F" w14:textId="77777777">
        <w:tc>
          <w:tcPr>
            <w:tcW w:w="0" w:type="auto"/>
            <w:gridSpan w:val="3"/>
            <w:shd w:val="clear" w:color="auto" w:fill="CCEEFF"/>
            <w:tcMar>
              <w:top w:w="40" w:type="dxa"/>
              <w:left w:w="20" w:type="dxa"/>
              <w:bottom w:w="40" w:type="dxa"/>
              <w:right w:w="20" w:type="dxa"/>
            </w:tcMar>
            <w:vAlign w:val="bottom"/>
          </w:tcPr>
          <w:p w14:paraId="5CD9023C" w14:textId="77777777" w:rsidR="00BA49F5" w:rsidRDefault="007E5E49">
            <w:pPr>
              <w:textAlignment w:val="bottom"/>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CD9023D" w14:textId="77777777" w:rsidR="00BA49F5" w:rsidRDefault="007E5E49">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5CD9023E" w14:textId="77777777" w:rsidR="00BA49F5" w:rsidRDefault="00BA49F5">
            <w:pPr>
              <w:jc w:val="right"/>
              <w:rPr>
                <w:rFonts w:ascii="宋体"/>
              </w:rPr>
            </w:pPr>
          </w:p>
        </w:tc>
      </w:tr>
      <w:tr w:rsidR="00BA49F5" w14:paraId="5CD90243" w14:textId="77777777">
        <w:tc>
          <w:tcPr>
            <w:tcW w:w="0" w:type="auto"/>
            <w:gridSpan w:val="3"/>
            <w:shd w:val="clear" w:color="auto" w:fill="FFFFFF"/>
            <w:tcMar>
              <w:top w:w="40" w:type="dxa"/>
              <w:left w:w="20" w:type="dxa"/>
              <w:bottom w:w="40" w:type="dxa"/>
              <w:right w:w="20" w:type="dxa"/>
            </w:tcMar>
            <w:vAlign w:val="bottom"/>
          </w:tcPr>
          <w:p w14:paraId="5CD90240" w14:textId="77777777" w:rsidR="00BA49F5" w:rsidRDefault="007E5E49">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CD90241" w14:textId="77777777" w:rsidR="00BA49F5" w:rsidRDefault="007E5E49">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5CD90242" w14:textId="77777777" w:rsidR="00BA49F5" w:rsidRDefault="00BA49F5">
            <w:pPr>
              <w:jc w:val="right"/>
              <w:rPr>
                <w:rFonts w:ascii="宋体"/>
              </w:rPr>
            </w:pPr>
          </w:p>
        </w:tc>
      </w:tr>
      <w:tr w:rsidR="00BA49F5" w14:paraId="5CD90247" w14:textId="77777777">
        <w:tc>
          <w:tcPr>
            <w:tcW w:w="0" w:type="auto"/>
            <w:gridSpan w:val="3"/>
            <w:shd w:val="clear" w:color="auto" w:fill="CCEEFF"/>
            <w:tcMar>
              <w:top w:w="40" w:type="dxa"/>
              <w:left w:w="20" w:type="dxa"/>
              <w:bottom w:w="40" w:type="dxa"/>
              <w:right w:w="20" w:type="dxa"/>
            </w:tcMar>
            <w:vAlign w:val="bottom"/>
          </w:tcPr>
          <w:p w14:paraId="5CD90244" w14:textId="77777777" w:rsidR="00BA49F5" w:rsidRDefault="007E5E49">
            <w:pPr>
              <w:textAlignment w:val="bottom"/>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CD90245" w14:textId="77777777" w:rsidR="00BA49F5" w:rsidRDefault="007E5E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5CD90246" w14:textId="77777777" w:rsidR="00BA49F5" w:rsidRDefault="00BA49F5">
            <w:pPr>
              <w:jc w:val="right"/>
              <w:rPr>
                <w:rFonts w:ascii="宋体"/>
              </w:rPr>
            </w:pPr>
          </w:p>
        </w:tc>
      </w:tr>
      <w:tr w:rsidR="00BA49F5" w14:paraId="5CD9024B" w14:textId="77777777">
        <w:tc>
          <w:tcPr>
            <w:tcW w:w="0" w:type="auto"/>
            <w:gridSpan w:val="3"/>
            <w:shd w:val="clear" w:color="auto" w:fill="FFFFFF"/>
            <w:tcMar>
              <w:top w:w="40" w:type="dxa"/>
              <w:left w:w="20" w:type="dxa"/>
              <w:bottom w:w="40" w:type="dxa"/>
              <w:right w:w="20" w:type="dxa"/>
            </w:tcMar>
            <w:vAlign w:val="bottom"/>
          </w:tcPr>
          <w:p w14:paraId="5CD90248" w14:textId="77777777" w:rsidR="00BA49F5" w:rsidRDefault="007E5E4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CD90249" w14:textId="77777777" w:rsidR="00BA49F5" w:rsidRDefault="007E5E49">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5CD9024A" w14:textId="77777777" w:rsidR="00BA49F5" w:rsidRDefault="00BA49F5">
            <w:pPr>
              <w:jc w:val="right"/>
              <w:rPr>
                <w:rFonts w:ascii="宋体"/>
              </w:rPr>
            </w:pPr>
          </w:p>
        </w:tc>
      </w:tr>
      <w:tr w:rsidR="00BA49F5" w14:paraId="5CD90250" w14:textId="77777777">
        <w:tc>
          <w:tcPr>
            <w:tcW w:w="0" w:type="auto"/>
            <w:gridSpan w:val="3"/>
            <w:shd w:val="clear" w:color="auto" w:fill="CCEEFF"/>
            <w:tcMar>
              <w:top w:w="40" w:type="dxa"/>
              <w:left w:w="380" w:type="dxa"/>
              <w:bottom w:w="40" w:type="dxa"/>
              <w:right w:w="20" w:type="dxa"/>
            </w:tcMar>
            <w:vAlign w:val="bottom"/>
          </w:tcPr>
          <w:p w14:paraId="5CD9024C"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24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24E" w14:textId="77777777" w:rsidR="00BA49F5" w:rsidRDefault="007E5E49">
            <w:pPr>
              <w:jc w:val="right"/>
              <w:textAlignment w:val="bottom"/>
            </w:pPr>
            <w:r>
              <w:rPr>
                <w:rFonts w:ascii="Times New Roman" w:eastAsia="宋体" w:hAnsi="Times New Roman"/>
                <w:color w:val="000000"/>
                <w:sz w:val="20"/>
                <w:szCs w:val="20"/>
              </w:rPr>
              <w:t>515 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24F" w14:textId="77777777" w:rsidR="00BA49F5" w:rsidRDefault="00BA49F5">
            <w:pPr>
              <w:jc w:val="right"/>
              <w:rPr>
                <w:rFonts w:ascii="宋体"/>
              </w:rPr>
            </w:pPr>
          </w:p>
        </w:tc>
      </w:tr>
    </w:tbl>
    <w:p w14:paraId="5CD90251" w14:textId="77777777" w:rsidR="00BA49F5" w:rsidRDefault="00BA49F5"/>
    <w:p w14:paraId="5CD90252" w14:textId="77777777" w:rsidR="00BA49F5" w:rsidRDefault="007E5E49">
      <w:pPr>
        <w:jc w:val="center"/>
      </w:pPr>
      <w:r>
        <w:rPr>
          <w:rFonts w:ascii="Times New Roman" w:eastAsia="宋体" w:hAnsi="Times New Roman"/>
          <w:color w:val="000000"/>
          <w:sz w:val="20"/>
          <w:szCs w:val="20"/>
        </w:rPr>
        <w:t>108</w:t>
      </w:r>
    </w:p>
    <w:p w14:paraId="5CD90253" w14:textId="77777777" w:rsidR="00BA49F5" w:rsidRDefault="007E5E49">
      <w:r>
        <w:pict w14:anchorId="5CD90D61">
          <v:rect id="_x0000_i1132" style="width:415.3pt;height:1.5pt" o:hralign="center" o:hrstd="t" o:hr="t" fillcolor="#a0a0a0" stroked="f"/>
        </w:pict>
      </w:r>
    </w:p>
    <w:p w14:paraId="5CD90254" w14:textId="77777777" w:rsidR="00BA49F5" w:rsidRDefault="00BA49F5"/>
    <w:p w14:paraId="5CD90255" w14:textId="77777777" w:rsidR="00BA49F5" w:rsidRDefault="00BA49F5"/>
    <w:p w14:paraId="5CD90256" w14:textId="77777777" w:rsidR="00BA49F5" w:rsidRDefault="007E5E49">
      <w:hyperlink r:id="rId311" w:anchor="i6df229dad1864210ab76200083e26819_7" w:history="1">
        <w:r>
          <w:rPr>
            <w:rStyle w:val="a5"/>
            <w:rFonts w:ascii="Times New Roman" w:eastAsia="宋体" w:hAnsi="Times New Roman"/>
            <w:sz w:val="20"/>
            <w:szCs w:val="20"/>
          </w:rPr>
          <w:t>T</w:t>
        </w:r>
      </w:hyperlink>
      <w:hyperlink r:id="rId312" w:anchor="i6df229dad1864210ab76200083e26819_7" w:history="1">
        <w:r>
          <w:rPr>
            <w:rStyle w:val="a5"/>
            <w:rFonts w:ascii="Times New Roman" w:eastAsia="宋体" w:hAnsi="Times New Roman"/>
            <w:sz w:val="20"/>
            <w:szCs w:val="20"/>
          </w:rPr>
          <w:t>able of Contents</w:t>
        </w:r>
      </w:hyperlink>
    </w:p>
    <w:p w14:paraId="5CD90257" w14:textId="77777777" w:rsidR="00BA49F5" w:rsidRDefault="007E5E49">
      <w:pPr>
        <w:spacing w:before="180"/>
        <w:jc w:val="both"/>
      </w:pPr>
      <w:r>
        <w:rPr>
          <w:rFonts w:ascii="Times New Roman" w:eastAsia="宋体" w:hAnsi="Times New Roman"/>
          <w:b/>
          <w:bCs/>
          <w:color w:val="000000"/>
          <w:sz w:val="20"/>
          <w:szCs w:val="20"/>
        </w:rPr>
        <w:t>Note 11.</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Long-term Debt</w:t>
      </w:r>
    </w:p>
    <w:p w14:paraId="5CD90258" w14:textId="77777777" w:rsidR="00BA49F5" w:rsidRDefault="00BA49F5">
      <w:pPr>
        <w:ind w:firstLine="540"/>
        <w:jc w:val="both"/>
      </w:pPr>
    </w:p>
    <w:p w14:paraId="5CD90259" w14:textId="77777777" w:rsidR="00BA49F5" w:rsidRDefault="007E5E49">
      <w:pPr>
        <w:ind w:firstLine="540"/>
        <w:jc w:val="both"/>
      </w:pPr>
      <w:r>
        <w:rPr>
          <w:rFonts w:ascii="Times New Roman" w:eastAsia="宋体" w:hAnsi="Times New Roman"/>
          <w:color w:val="000000"/>
          <w:sz w:val="20"/>
          <w:szCs w:val="20"/>
        </w:rPr>
        <w:t xml:space="preserve">In August 2022, we issued an aggregate of $10.0 billion principal amount of fixed-rate senior unsecured notes in four series (the “Original Notes”) in a </w:t>
      </w:r>
      <w:r>
        <w:rPr>
          <w:rFonts w:ascii="Times New Roman" w:eastAsia="宋体" w:hAnsi="Times New Roman"/>
          <w:color w:val="000000"/>
          <w:sz w:val="20"/>
          <w:szCs w:val="20"/>
        </w:rPr>
        <w:t>private offering to qualified institutional buyers and certain non-U.S. persons. The proceeds from this offering, net of discounts and debt issuance costs, was $9.92 billion. We intend to use the net proceeds from the offering for general corporate purpose</w:t>
      </w:r>
      <w:r>
        <w:rPr>
          <w:rFonts w:ascii="Times New Roman" w:eastAsia="宋体" w:hAnsi="Times New Roman"/>
          <w:color w:val="000000"/>
          <w:sz w:val="20"/>
          <w:szCs w:val="20"/>
        </w:rPr>
        <w:t>s, which may include, but are not limited to, capital expenditures, repurchases of outstanding shares of our common stock, acquisitions, or investments. In connection with the offering, we entered into a registration rights agreement (the "Registration Rig</w:t>
      </w:r>
      <w:r>
        <w:rPr>
          <w:rFonts w:ascii="Times New Roman" w:eastAsia="宋体" w:hAnsi="Times New Roman"/>
          <w:color w:val="000000"/>
          <w:sz w:val="20"/>
          <w:szCs w:val="20"/>
        </w:rPr>
        <w:t>hts Agreement") providing for the filing of a registration statement with the Securities and Exchange Commission in order to exchange the Original Notes for registered notes having substantially the same terms.</w:t>
      </w:r>
    </w:p>
    <w:p w14:paraId="5CD9025A" w14:textId="77777777" w:rsidR="00BA49F5" w:rsidRDefault="00BA49F5">
      <w:pPr>
        <w:ind w:firstLine="540"/>
        <w:jc w:val="both"/>
      </w:pPr>
    </w:p>
    <w:p w14:paraId="5CD9025B" w14:textId="77777777" w:rsidR="00BA49F5" w:rsidRDefault="007E5E49">
      <w:pPr>
        <w:ind w:firstLine="540"/>
        <w:jc w:val="both"/>
      </w:pPr>
      <w:r>
        <w:rPr>
          <w:rFonts w:ascii="Times New Roman" w:eastAsia="宋体" w:hAnsi="Times New Roman"/>
          <w:color w:val="000000"/>
          <w:sz w:val="20"/>
          <w:szCs w:val="20"/>
        </w:rPr>
        <w:t xml:space="preserve">On November 29, 2022, we commenced an </w:t>
      </w:r>
      <w:r>
        <w:rPr>
          <w:rFonts w:ascii="Times New Roman" w:eastAsia="宋体" w:hAnsi="Times New Roman"/>
          <w:color w:val="000000"/>
          <w:sz w:val="20"/>
          <w:szCs w:val="20"/>
        </w:rPr>
        <w:t>offer to exchange (the "Exchange Offer") the Original Notes for new registered notes (the "Exchange Notes" and, together with the Original Notes, the "Notes") in order to fulfill our obligations under the Registration Rights Agreement. The Exchange Offer e</w:t>
      </w:r>
      <w:r>
        <w:rPr>
          <w:rFonts w:ascii="Times New Roman" w:eastAsia="宋体" w:hAnsi="Times New Roman"/>
          <w:color w:val="000000"/>
          <w:sz w:val="20"/>
          <w:szCs w:val="20"/>
        </w:rPr>
        <w:t>xpired on December 28, 2022 and settled on December 29, 2022. We did not receive any proceeds from the Exchange Offer, and the aggregate principal amount of the Exchange Notes that were issued was equal to the aggregate principal amount of the Original Not</w:t>
      </w:r>
      <w:r>
        <w:rPr>
          <w:rFonts w:ascii="Times New Roman" w:eastAsia="宋体" w:hAnsi="Times New Roman"/>
          <w:color w:val="000000"/>
          <w:sz w:val="20"/>
          <w:szCs w:val="20"/>
        </w:rPr>
        <w:t>es that were surrendered pursuant to the Exchange Offer. Each series of the Exchange Notes is part of the same series of the applicable series of the Original Notes and the terms of the Exchange Notes offered in the Exchange Offer are substantially identic</w:t>
      </w:r>
      <w:r>
        <w:rPr>
          <w:rFonts w:ascii="Times New Roman" w:eastAsia="宋体" w:hAnsi="Times New Roman"/>
          <w:color w:val="000000"/>
          <w:sz w:val="20"/>
          <w:szCs w:val="20"/>
        </w:rPr>
        <w:t>al to the terms of the respective series of the Original Notes, except that the Exchange Notes are registered under the Securities Act, and certain transfer restrictions, registration rights, and additional interest provisions relating to the Original Note</w:t>
      </w:r>
      <w:r>
        <w:rPr>
          <w:rFonts w:ascii="Times New Roman" w:eastAsia="宋体" w:hAnsi="Times New Roman"/>
          <w:color w:val="000000"/>
          <w:sz w:val="20"/>
          <w:szCs w:val="20"/>
        </w:rPr>
        <w:t>s do not apply to the Exchange Notes. The Notes of each series rank equally with each other and we are not subject to any financial covenants. We may redeem each series of the Notes at any time in whole or in part, at specified redemption prices.</w:t>
      </w:r>
    </w:p>
    <w:p w14:paraId="5CD9025C" w14:textId="77777777" w:rsidR="00BA49F5" w:rsidRDefault="00BA49F5">
      <w:pPr>
        <w:jc w:val="both"/>
      </w:pPr>
    </w:p>
    <w:p w14:paraId="5CD9025D" w14:textId="77777777" w:rsidR="00BA49F5" w:rsidRDefault="007E5E49">
      <w:pPr>
        <w:ind w:firstLine="540"/>
        <w:jc w:val="both"/>
      </w:pPr>
      <w:r>
        <w:rPr>
          <w:rFonts w:ascii="Times New Roman" w:eastAsia="宋体" w:hAnsi="Times New Roman"/>
          <w:color w:val="000000"/>
          <w:sz w:val="20"/>
          <w:szCs w:val="20"/>
        </w:rPr>
        <w:t>The foll</w:t>
      </w:r>
      <w:r>
        <w:rPr>
          <w:rFonts w:ascii="Times New Roman" w:eastAsia="宋体" w:hAnsi="Times New Roman"/>
          <w:color w:val="000000"/>
          <w:sz w:val="20"/>
          <w:szCs w:val="20"/>
        </w:rPr>
        <w:t>owing table summarizes the Notes and the carrying amount of our debt as of December 31, 2022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99"/>
        <w:gridCol w:w="37"/>
        <w:gridCol w:w="75"/>
        <w:gridCol w:w="581"/>
        <w:gridCol w:w="36"/>
        <w:gridCol w:w="36"/>
        <w:gridCol w:w="36"/>
        <w:gridCol w:w="36"/>
        <w:gridCol w:w="44"/>
        <w:gridCol w:w="880"/>
        <w:gridCol w:w="36"/>
        <w:gridCol w:w="37"/>
        <w:gridCol w:w="121"/>
        <w:gridCol w:w="36"/>
        <w:gridCol w:w="50"/>
        <w:gridCol w:w="934"/>
        <w:gridCol w:w="36"/>
        <w:gridCol w:w="37"/>
        <w:gridCol w:w="121"/>
        <w:gridCol w:w="36"/>
        <w:gridCol w:w="121"/>
        <w:gridCol w:w="1236"/>
        <w:gridCol w:w="36"/>
      </w:tblGrid>
      <w:tr w:rsidR="00BA49F5" w14:paraId="5CD90276" w14:textId="77777777">
        <w:tc>
          <w:tcPr>
            <w:tcW w:w="50" w:type="pct"/>
            <w:shd w:val="clear" w:color="auto" w:fill="auto"/>
            <w:vAlign w:val="bottom"/>
          </w:tcPr>
          <w:p w14:paraId="5CD9025E" w14:textId="77777777" w:rsidR="00BA49F5" w:rsidRDefault="00BA49F5">
            <w:pPr>
              <w:rPr>
                <w:rFonts w:ascii="宋体"/>
              </w:rPr>
            </w:pPr>
          </w:p>
        </w:tc>
        <w:tc>
          <w:tcPr>
            <w:tcW w:w="2251" w:type="pct"/>
            <w:shd w:val="clear" w:color="auto" w:fill="auto"/>
            <w:vAlign w:val="bottom"/>
          </w:tcPr>
          <w:p w14:paraId="5CD9025F" w14:textId="77777777" w:rsidR="00BA49F5" w:rsidRDefault="00BA49F5">
            <w:pPr>
              <w:rPr>
                <w:rFonts w:ascii="宋体"/>
              </w:rPr>
            </w:pPr>
          </w:p>
        </w:tc>
        <w:tc>
          <w:tcPr>
            <w:tcW w:w="5" w:type="pct"/>
            <w:shd w:val="clear" w:color="auto" w:fill="auto"/>
            <w:vAlign w:val="bottom"/>
          </w:tcPr>
          <w:p w14:paraId="5CD90260" w14:textId="77777777" w:rsidR="00BA49F5" w:rsidRDefault="00BA49F5">
            <w:pPr>
              <w:rPr>
                <w:rFonts w:ascii="宋体"/>
              </w:rPr>
            </w:pPr>
          </w:p>
        </w:tc>
        <w:tc>
          <w:tcPr>
            <w:tcW w:w="50" w:type="pct"/>
            <w:shd w:val="clear" w:color="auto" w:fill="auto"/>
            <w:vAlign w:val="bottom"/>
          </w:tcPr>
          <w:p w14:paraId="5CD90261" w14:textId="77777777" w:rsidR="00BA49F5" w:rsidRDefault="00BA49F5">
            <w:pPr>
              <w:rPr>
                <w:rFonts w:ascii="宋体"/>
              </w:rPr>
            </w:pPr>
          </w:p>
        </w:tc>
        <w:tc>
          <w:tcPr>
            <w:tcW w:w="391" w:type="pct"/>
            <w:shd w:val="clear" w:color="auto" w:fill="auto"/>
            <w:vAlign w:val="bottom"/>
          </w:tcPr>
          <w:p w14:paraId="5CD90262" w14:textId="77777777" w:rsidR="00BA49F5" w:rsidRDefault="00BA49F5">
            <w:pPr>
              <w:rPr>
                <w:rFonts w:ascii="宋体"/>
              </w:rPr>
            </w:pPr>
          </w:p>
        </w:tc>
        <w:tc>
          <w:tcPr>
            <w:tcW w:w="5" w:type="pct"/>
            <w:shd w:val="clear" w:color="auto" w:fill="auto"/>
            <w:vAlign w:val="bottom"/>
          </w:tcPr>
          <w:p w14:paraId="5CD90263" w14:textId="77777777" w:rsidR="00BA49F5" w:rsidRDefault="00BA49F5">
            <w:pPr>
              <w:rPr>
                <w:rFonts w:ascii="宋体"/>
              </w:rPr>
            </w:pPr>
          </w:p>
        </w:tc>
        <w:tc>
          <w:tcPr>
            <w:tcW w:w="5" w:type="pct"/>
            <w:shd w:val="clear" w:color="auto" w:fill="auto"/>
            <w:vAlign w:val="bottom"/>
          </w:tcPr>
          <w:p w14:paraId="5CD90264" w14:textId="77777777" w:rsidR="00BA49F5" w:rsidRDefault="00BA49F5">
            <w:pPr>
              <w:rPr>
                <w:rFonts w:ascii="宋体"/>
              </w:rPr>
            </w:pPr>
          </w:p>
        </w:tc>
        <w:tc>
          <w:tcPr>
            <w:tcW w:w="27" w:type="pct"/>
            <w:shd w:val="clear" w:color="auto" w:fill="auto"/>
            <w:vAlign w:val="bottom"/>
          </w:tcPr>
          <w:p w14:paraId="5CD90265" w14:textId="77777777" w:rsidR="00BA49F5" w:rsidRDefault="00BA49F5">
            <w:pPr>
              <w:rPr>
                <w:rFonts w:ascii="宋体"/>
              </w:rPr>
            </w:pPr>
          </w:p>
        </w:tc>
        <w:tc>
          <w:tcPr>
            <w:tcW w:w="5" w:type="pct"/>
            <w:shd w:val="clear" w:color="auto" w:fill="auto"/>
            <w:vAlign w:val="bottom"/>
          </w:tcPr>
          <w:p w14:paraId="5CD90266" w14:textId="77777777" w:rsidR="00BA49F5" w:rsidRDefault="00BA49F5">
            <w:pPr>
              <w:rPr>
                <w:rFonts w:ascii="宋体"/>
              </w:rPr>
            </w:pPr>
          </w:p>
        </w:tc>
        <w:tc>
          <w:tcPr>
            <w:tcW w:w="50" w:type="pct"/>
            <w:shd w:val="clear" w:color="auto" w:fill="auto"/>
            <w:vAlign w:val="bottom"/>
          </w:tcPr>
          <w:p w14:paraId="5CD90267" w14:textId="77777777" w:rsidR="00BA49F5" w:rsidRDefault="00BA49F5">
            <w:pPr>
              <w:rPr>
                <w:rFonts w:ascii="宋体"/>
              </w:rPr>
            </w:pPr>
          </w:p>
        </w:tc>
        <w:tc>
          <w:tcPr>
            <w:tcW w:w="599" w:type="pct"/>
            <w:shd w:val="clear" w:color="auto" w:fill="auto"/>
            <w:vAlign w:val="bottom"/>
          </w:tcPr>
          <w:p w14:paraId="5CD90268" w14:textId="77777777" w:rsidR="00BA49F5" w:rsidRDefault="00BA49F5">
            <w:pPr>
              <w:rPr>
                <w:rFonts w:ascii="宋体"/>
              </w:rPr>
            </w:pPr>
          </w:p>
        </w:tc>
        <w:tc>
          <w:tcPr>
            <w:tcW w:w="5" w:type="pct"/>
            <w:shd w:val="clear" w:color="auto" w:fill="auto"/>
            <w:vAlign w:val="bottom"/>
          </w:tcPr>
          <w:p w14:paraId="5CD90269" w14:textId="77777777" w:rsidR="00BA49F5" w:rsidRDefault="00BA49F5">
            <w:pPr>
              <w:rPr>
                <w:rFonts w:ascii="宋体"/>
              </w:rPr>
            </w:pPr>
          </w:p>
        </w:tc>
        <w:tc>
          <w:tcPr>
            <w:tcW w:w="5" w:type="pct"/>
            <w:shd w:val="clear" w:color="auto" w:fill="auto"/>
            <w:vAlign w:val="bottom"/>
          </w:tcPr>
          <w:p w14:paraId="5CD9026A" w14:textId="77777777" w:rsidR="00BA49F5" w:rsidRDefault="00BA49F5">
            <w:pPr>
              <w:rPr>
                <w:rFonts w:ascii="宋体"/>
              </w:rPr>
            </w:pPr>
          </w:p>
        </w:tc>
        <w:tc>
          <w:tcPr>
            <w:tcW w:w="27" w:type="pct"/>
            <w:shd w:val="clear" w:color="auto" w:fill="auto"/>
            <w:vAlign w:val="bottom"/>
          </w:tcPr>
          <w:p w14:paraId="5CD9026B" w14:textId="77777777" w:rsidR="00BA49F5" w:rsidRDefault="00BA49F5">
            <w:pPr>
              <w:rPr>
                <w:rFonts w:ascii="宋体"/>
              </w:rPr>
            </w:pPr>
          </w:p>
        </w:tc>
        <w:tc>
          <w:tcPr>
            <w:tcW w:w="5" w:type="pct"/>
            <w:shd w:val="clear" w:color="auto" w:fill="auto"/>
            <w:vAlign w:val="bottom"/>
          </w:tcPr>
          <w:p w14:paraId="5CD9026C" w14:textId="77777777" w:rsidR="00BA49F5" w:rsidRDefault="00BA49F5">
            <w:pPr>
              <w:rPr>
                <w:rFonts w:ascii="宋体"/>
              </w:rPr>
            </w:pPr>
          </w:p>
        </w:tc>
        <w:tc>
          <w:tcPr>
            <w:tcW w:w="50" w:type="pct"/>
            <w:shd w:val="clear" w:color="auto" w:fill="auto"/>
            <w:vAlign w:val="bottom"/>
          </w:tcPr>
          <w:p w14:paraId="5CD9026D" w14:textId="77777777" w:rsidR="00BA49F5" w:rsidRDefault="00BA49F5">
            <w:pPr>
              <w:rPr>
                <w:rFonts w:ascii="宋体"/>
              </w:rPr>
            </w:pPr>
          </w:p>
        </w:tc>
        <w:tc>
          <w:tcPr>
            <w:tcW w:w="599" w:type="pct"/>
            <w:shd w:val="clear" w:color="auto" w:fill="auto"/>
            <w:vAlign w:val="bottom"/>
          </w:tcPr>
          <w:p w14:paraId="5CD9026E" w14:textId="77777777" w:rsidR="00BA49F5" w:rsidRDefault="00BA49F5">
            <w:pPr>
              <w:rPr>
                <w:rFonts w:ascii="宋体"/>
              </w:rPr>
            </w:pPr>
          </w:p>
        </w:tc>
        <w:tc>
          <w:tcPr>
            <w:tcW w:w="5" w:type="pct"/>
            <w:shd w:val="clear" w:color="auto" w:fill="auto"/>
            <w:vAlign w:val="bottom"/>
          </w:tcPr>
          <w:p w14:paraId="5CD9026F" w14:textId="77777777" w:rsidR="00BA49F5" w:rsidRDefault="00BA49F5">
            <w:pPr>
              <w:rPr>
                <w:rFonts w:ascii="宋体"/>
              </w:rPr>
            </w:pPr>
          </w:p>
        </w:tc>
        <w:tc>
          <w:tcPr>
            <w:tcW w:w="5" w:type="pct"/>
            <w:shd w:val="clear" w:color="auto" w:fill="auto"/>
            <w:vAlign w:val="bottom"/>
          </w:tcPr>
          <w:p w14:paraId="5CD90270" w14:textId="77777777" w:rsidR="00BA49F5" w:rsidRDefault="00BA49F5">
            <w:pPr>
              <w:rPr>
                <w:rFonts w:ascii="宋体"/>
              </w:rPr>
            </w:pPr>
          </w:p>
        </w:tc>
        <w:tc>
          <w:tcPr>
            <w:tcW w:w="27" w:type="pct"/>
            <w:shd w:val="clear" w:color="auto" w:fill="auto"/>
            <w:vAlign w:val="bottom"/>
          </w:tcPr>
          <w:p w14:paraId="5CD90271" w14:textId="77777777" w:rsidR="00BA49F5" w:rsidRDefault="00BA49F5">
            <w:pPr>
              <w:rPr>
                <w:rFonts w:ascii="宋体"/>
              </w:rPr>
            </w:pPr>
          </w:p>
        </w:tc>
        <w:tc>
          <w:tcPr>
            <w:tcW w:w="5" w:type="pct"/>
            <w:shd w:val="clear" w:color="auto" w:fill="auto"/>
            <w:vAlign w:val="bottom"/>
          </w:tcPr>
          <w:p w14:paraId="5CD90272" w14:textId="77777777" w:rsidR="00BA49F5" w:rsidRDefault="00BA49F5">
            <w:pPr>
              <w:rPr>
                <w:rFonts w:ascii="宋体"/>
              </w:rPr>
            </w:pPr>
          </w:p>
        </w:tc>
        <w:tc>
          <w:tcPr>
            <w:tcW w:w="50" w:type="pct"/>
            <w:shd w:val="clear" w:color="auto" w:fill="auto"/>
            <w:vAlign w:val="bottom"/>
          </w:tcPr>
          <w:p w14:paraId="5CD90273" w14:textId="77777777" w:rsidR="00BA49F5" w:rsidRDefault="00BA49F5">
            <w:pPr>
              <w:rPr>
                <w:rFonts w:ascii="宋体"/>
              </w:rPr>
            </w:pPr>
          </w:p>
        </w:tc>
        <w:tc>
          <w:tcPr>
            <w:tcW w:w="771" w:type="pct"/>
            <w:shd w:val="clear" w:color="auto" w:fill="auto"/>
            <w:vAlign w:val="bottom"/>
          </w:tcPr>
          <w:p w14:paraId="5CD90274" w14:textId="77777777" w:rsidR="00BA49F5" w:rsidRDefault="00BA49F5">
            <w:pPr>
              <w:rPr>
                <w:rFonts w:ascii="宋体"/>
              </w:rPr>
            </w:pPr>
          </w:p>
        </w:tc>
        <w:tc>
          <w:tcPr>
            <w:tcW w:w="5" w:type="pct"/>
            <w:shd w:val="clear" w:color="auto" w:fill="auto"/>
            <w:vAlign w:val="bottom"/>
          </w:tcPr>
          <w:p w14:paraId="5CD90275" w14:textId="77777777" w:rsidR="00BA49F5" w:rsidRDefault="00BA49F5">
            <w:pPr>
              <w:rPr>
                <w:rFonts w:ascii="宋体"/>
              </w:rPr>
            </w:pPr>
          </w:p>
        </w:tc>
      </w:tr>
      <w:tr w:rsidR="00BA49F5" w14:paraId="5CD9027F" w14:textId="77777777">
        <w:tc>
          <w:tcPr>
            <w:tcW w:w="0" w:type="auto"/>
            <w:gridSpan w:val="3"/>
            <w:shd w:val="clear" w:color="auto" w:fill="auto"/>
            <w:tcMar>
              <w:top w:w="0" w:type="dxa"/>
              <w:left w:w="20" w:type="dxa"/>
              <w:bottom w:w="0" w:type="dxa"/>
              <w:right w:w="20" w:type="dxa"/>
            </w:tcMar>
            <w:vAlign w:val="bottom"/>
          </w:tcPr>
          <w:p w14:paraId="5CD9027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278" w14:textId="77777777" w:rsidR="00BA49F5" w:rsidRDefault="007E5E49">
            <w:pPr>
              <w:jc w:val="center"/>
              <w:textAlignment w:val="bottom"/>
            </w:pPr>
            <w:r>
              <w:rPr>
                <w:rFonts w:ascii="Times New Roman" w:eastAsia="宋体" w:hAnsi="Times New Roman"/>
                <w:b/>
                <w:bCs/>
                <w:color w:val="000000"/>
                <w:sz w:val="16"/>
                <w:szCs w:val="16"/>
              </w:rPr>
              <w:t>Maturity</w:t>
            </w:r>
          </w:p>
        </w:tc>
        <w:tc>
          <w:tcPr>
            <w:tcW w:w="0" w:type="auto"/>
            <w:gridSpan w:val="3"/>
            <w:shd w:val="clear" w:color="auto" w:fill="auto"/>
            <w:tcMar>
              <w:top w:w="0" w:type="dxa"/>
              <w:left w:w="20" w:type="dxa"/>
              <w:bottom w:w="0" w:type="dxa"/>
              <w:right w:w="20" w:type="dxa"/>
            </w:tcMar>
            <w:vAlign w:val="bottom"/>
          </w:tcPr>
          <w:p w14:paraId="5CD9027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27A" w14:textId="77777777" w:rsidR="00BA49F5" w:rsidRDefault="007E5E49">
            <w:pPr>
              <w:jc w:val="center"/>
              <w:textAlignment w:val="bottom"/>
            </w:pPr>
            <w:r>
              <w:rPr>
                <w:rFonts w:ascii="Times New Roman" w:eastAsia="宋体" w:hAnsi="Times New Roman"/>
                <w:b/>
                <w:bCs/>
                <w:color w:val="000000"/>
                <w:sz w:val="16"/>
                <w:szCs w:val="16"/>
              </w:rPr>
              <w:t>Stated Interest Rate</w:t>
            </w:r>
          </w:p>
        </w:tc>
        <w:tc>
          <w:tcPr>
            <w:tcW w:w="0" w:type="auto"/>
            <w:gridSpan w:val="3"/>
            <w:shd w:val="clear" w:color="auto" w:fill="auto"/>
            <w:tcMar>
              <w:top w:w="0" w:type="dxa"/>
              <w:left w:w="20" w:type="dxa"/>
              <w:bottom w:w="0" w:type="dxa"/>
              <w:right w:w="20" w:type="dxa"/>
            </w:tcMar>
            <w:vAlign w:val="bottom"/>
          </w:tcPr>
          <w:p w14:paraId="5CD9027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27C" w14:textId="77777777" w:rsidR="00BA49F5" w:rsidRDefault="007E5E49">
            <w:pPr>
              <w:jc w:val="center"/>
              <w:textAlignment w:val="bottom"/>
            </w:pPr>
            <w:r>
              <w:rPr>
                <w:rFonts w:ascii="Times New Roman" w:eastAsia="宋体" w:hAnsi="Times New Roman"/>
                <w:b/>
                <w:bCs/>
                <w:color w:val="000000"/>
                <w:sz w:val="16"/>
                <w:szCs w:val="16"/>
              </w:rPr>
              <w:t>Effective Interest Rate</w:t>
            </w:r>
          </w:p>
        </w:tc>
        <w:tc>
          <w:tcPr>
            <w:tcW w:w="0" w:type="auto"/>
            <w:gridSpan w:val="3"/>
            <w:shd w:val="clear" w:color="auto" w:fill="auto"/>
            <w:tcMar>
              <w:top w:w="0" w:type="dxa"/>
              <w:left w:w="20" w:type="dxa"/>
              <w:bottom w:w="0" w:type="dxa"/>
              <w:right w:w="20" w:type="dxa"/>
            </w:tcMar>
            <w:vAlign w:val="bottom"/>
          </w:tcPr>
          <w:p w14:paraId="5CD9027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27E" w14:textId="77777777" w:rsidR="00BA49F5" w:rsidRDefault="007E5E49">
            <w:pPr>
              <w:jc w:val="center"/>
              <w:textAlignment w:val="bottom"/>
            </w:pPr>
            <w:r>
              <w:rPr>
                <w:rFonts w:ascii="Times New Roman" w:eastAsia="宋体" w:hAnsi="Times New Roman"/>
                <w:b/>
                <w:bCs/>
                <w:color w:val="000000"/>
                <w:sz w:val="16"/>
                <w:szCs w:val="16"/>
              </w:rPr>
              <w:t>December 31, 2022</w:t>
            </w:r>
          </w:p>
        </w:tc>
      </w:tr>
      <w:tr w:rsidR="00BA49F5" w14:paraId="5CD9028A" w14:textId="77777777">
        <w:tc>
          <w:tcPr>
            <w:tcW w:w="0" w:type="auto"/>
            <w:gridSpan w:val="3"/>
            <w:shd w:val="clear" w:color="auto" w:fill="CCEEFF"/>
            <w:tcMar>
              <w:top w:w="40" w:type="dxa"/>
              <w:left w:w="20" w:type="dxa"/>
              <w:bottom w:w="40" w:type="dxa"/>
              <w:right w:w="20" w:type="dxa"/>
            </w:tcMar>
            <w:vAlign w:val="bottom"/>
          </w:tcPr>
          <w:p w14:paraId="5CD90280" w14:textId="77777777" w:rsidR="00BA49F5" w:rsidRDefault="007E5E49">
            <w:pPr>
              <w:textAlignment w:val="bottom"/>
            </w:pPr>
            <w:r>
              <w:rPr>
                <w:rFonts w:ascii="Times New Roman" w:eastAsia="宋体" w:hAnsi="Times New Roman"/>
                <w:color w:val="000000"/>
                <w:sz w:val="20"/>
                <w:szCs w:val="20"/>
              </w:rPr>
              <w:t>2027 Notes</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CD90281" w14:textId="77777777" w:rsidR="00BA49F5" w:rsidRDefault="007E5E49">
            <w:pPr>
              <w:jc w:val="center"/>
              <w:textAlignment w:val="center"/>
            </w:pPr>
            <w:r>
              <w:rPr>
                <w:rFonts w:ascii="Times New Roman" w:eastAsia="宋体" w:hAnsi="Times New Roman"/>
                <w:color w:val="000000"/>
                <w:sz w:val="20"/>
                <w:szCs w:val="20"/>
              </w:rPr>
              <w:t>2027</w:t>
            </w:r>
          </w:p>
        </w:tc>
        <w:tc>
          <w:tcPr>
            <w:tcW w:w="0" w:type="auto"/>
            <w:gridSpan w:val="3"/>
            <w:shd w:val="clear" w:color="auto" w:fill="CCEEFF"/>
            <w:tcMar>
              <w:top w:w="0" w:type="dxa"/>
              <w:left w:w="20" w:type="dxa"/>
              <w:bottom w:w="0" w:type="dxa"/>
              <w:right w:w="20" w:type="dxa"/>
            </w:tcMar>
            <w:vAlign w:val="bottom"/>
          </w:tcPr>
          <w:p w14:paraId="5CD90282"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CD90283" w14:textId="77777777" w:rsidR="00BA49F5" w:rsidRDefault="007E5E49">
            <w:pPr>
              <w:jc w:val="center"/>
              <w:textAlignment w:val="center"/>
            </w:pPr>
            <w:r>
              <w:rPr>
                <w:rFonts w:ascii="Times New Roman" w:eastAsia="宋体" w:hAnsi="Times New Roman"/>
                <w:color w:val="000000"/>
                <w:sz w:val="20"/>
                <w:szCs w:val="20"/>
              </w:rPr>
              <w:t>3.50%</w:t>
            </w:r>
          </w:p>
        </w:tc>
        <w:tc>
          <w:tcPr>
            <w:tcW w:w="0" w:type="auto"/>
            <w:gridSpan w:val="3"/>
            <w:shd w:val="clear" w:color="auto" w:fill="CCEEFF"/>
            <w:tcMar>
              <w:top w:w="0" w:type="dxa"/>
              <w:left w:w="140" w:type="dxa"/>
              <w:bottom w:w="0" w:type="dxa"/>
              <w:right w:w="20" w:type="dxa"/>
            </w:tcMar>
            <w:vAlign w:val="bottom"/>
          </w:tcPr>
          <w:p w14:paraId="5CD90284"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CD90285" w14:textId="77777777" w:rsidR="00BA49F5" w:rsidRDefault="007E5E49">
            <w:pPr>
              <w:jc w:val="center"/>
              <w:textAlignment w:val="center"/>
            </w:pPr>
            <w:r>
              <w:rPr>
                <w:rFonts w:ascii="Times New Roman" w:eastAsia="宋体" w:hAnsi="Times New Roman"/>
                <w:color w:val="000000"/>
                <w:sz w:val="20"/>
                <w:szCs w:val="20"/>
              </w:rPr>
              <w:t>3.63%</w:t>
            </w:r>
          </w:p>
        </w:tc>
        <w:tc>
          <w:tcPr>
            <w:tcW w:w="0" w:type="auto"/>
            <w:gridSpan w:val="3"/>
            <w:shd w:val="clear" w:color="auto" w:fill="CCEEFF"/>
            <w:tcMar>
              <w:top w:w="0" w:type="dxa"/>
              <w:left w:w="20" w:type="dxa"/>
              <w:bottom w:w="0" w:type="dxa"/>
              <w:right w:w="140" w:type="dxa"/>
            </w:tcMar>
            <w:vAlign w:val="bottom"/>
          </w:tcPr>
          <w:p w14:paraId="5CD90286"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CD90287" w14:textId="77777777" w:rsidR="00BA49F5" w:rsidRDefault="007E5E49">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CD90288" w14:textId="77777777" w:rsidR="00BA49F5" w:rsidRDefault="007E5E49">
            <w:pPr>
              <w:jc w:val="right"/>
              <w:textAlignment w:val="center"/>
            </w:pPr>
            <w:r>
              <w:rPr>
                <w:rFonts w:ascii="Times New Roman" w:eastAsia="宋体" w:hAnsi="Times New Roman"/>
                <w:color w:val="000000"/>
                <w:sz w:val="20"/>
                <w:szCs w:val="20"/>
              </w:rPr>
              <w:t>2,750 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CD90289" w14:textId="77777777" w:rsidR="00BA49F5" w:rsidRDefault="00BA49F5">
            <w:pPr>
              <w:jc w:val="right"/>
              <w:rPr>
                <w:rFonts w:ascii="宋体"/>
              </w:rPr>
            </w:pPr>
          </w:p>
        </w:tc>
      </w:tr>
      <w:tr w:rsidR="00BA49F5" w14:paraId="5CD90294" w14:textId="77777777">
        <w:tc>
          <w:tcPr>
            <w:tcW w:w="0" w:type="auto"/>
            <w:gridSpan w:val="3"/>
            <w:shd w:val="clear" w:color="auto" w:fill="FFFFFF"/>
            <w:tcMar>
              <w:top w:w="40" w:type="dxa"/>
              <w:left w:w="20" w:type="dxa"/>
              <w:bottom w:w="40" w:type="dxa"/>
              <w:right w:w="20" w:type="dxa"/>
            </w:tcMar>
            <w:vAlign w:val="bottom"/>
          </w:tcPr>
          <w:p w14:paraId="5CD9028B" w14:textId="77777777" w:rsidR="00BA49F5" w:rsidRDefault="007E5E49">
            <w:pPr>
              <w:textAlignment w:val="bottom"/>
            </w:pPr>
            <w:r>
              <w:rPr>
                <w:rFonts w:ascii="Times New Roman" w:eastAsia="宋体" w:hAnsi="Times New Roman"/>
                <w:color w:val="000000"/>
                <w:sz w:val="20"/>
                <w:szCs w:val="20"/>
              </w:rPr>
              <w:t>2032 Notes</w:t>
            </w:r>
          </w:p>
        </w:tc>
        <w:tc>
          <w:tcPr>
            <w:tcW w:w="0" w:type="auto"/>
            <w:gridSpan w:val="3"/>
            <w:shd w:val="clear" w:color="auto" w:fill="FFFFFF"/>
            <w:tcMar>
              <w:top w:w="40" w:type="dxa"/>
              <w:left w:w="20" w:type="dxa"/>
              <w:bottom w:w="40" w:type="dxa"/>
              <w:right w:w="20" w:type="dxa"/>
            </w:tcMar>
            <w:vAlign w:val="center"/>
          </w:tcPr>
          <w:p w14:paraId="5CD9028C" w14:textId="77777777" w:rsidR="00BA49F5" w:rsidRDefault="007E5E49">
            <w:pPr>
              <w:jc w:val="center"/>
              <w:textAlignment w:val="center"/>
            </w:pPr>
            <w:r>
              <w:rPr>
                <w:rFonts w:ascii="Times New Roman" w:eastAsia="宋体" w:hAnsi="Times New Roman"/>
                <w:color w:val="000000"/>
                <w:sz w:val="20"/>
                <w:szCs w:val="20"/>
              </w:rPr>
              <w:t>2032</w:t>
            </w:r>
          </w:p>
        </w:tc>
        <w:tc>
          <w:tcPr>
            <w:tcW w:w="0" w:type="auto"/>
            <w:gridSpan w:val="3"/>
            <w:shd w:val="clear" w:color="auto" w:fill="FFFFFF"/>
            <w:tcMar>
              <w:top w:w="0" w:type="dxa"/>
              <w:left w:w="20" w:type="dxa"/>
              <w:bottom w:w="0" w:type="dxa"/>
              <w:right w:w="20" w:type="dxa"/>
            </w:tcMar>
            <w:vAlign w:val="bottom"/>
          </w:tcPr>
          <w:p w14:paraId="5CD9028D"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28E" w14:textId="77777777" w:rsidR="00BA49F5" w:rsidRDefault="007E5E49">
            <w:pPr>
              <w:jc w:val="center"/>
              <w:textAlignment w:val="center"/>
            </w:pPr>
            <w:r>
              <w:rPr>
                <w:rFonts w:ascii="Times New Roman" w:eastAsia="宋体" w:hAnsi="Times New Roman"/>
                <w:color w:val="000000"/>
                <w:sz w:val="20"/>
                <w:szCs w:val="20"/>
              </w:rPr>
              <w:t>3.85%</w:t>
            </w:r>
          </w:p>
        </w:tc>
        <w:tc>
          <w:tcPr>
            <w:tcW w:w="0" w:type="auto"/>
            <w:gridSpan w:val="3"/>
            <w:shd w:val="clear" w:color="auto" w:fill="FFFFFF"/>
            <w:tcMar>
              <w:top w:w="0" w:type="dxa"/>
              <w:left w:w="140" w:type="dxa"/>
              <w:bottom w:w="0" w:type="dxa"/>
              <w:right w:w="20" w:type="dxa"/>
            </w:tcMar>
            <w:vAlign w:val="bottom"/>
          </w:tcPr>
          <w:p w14:paraId="5CD9028F"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290" w14:textId="77777777" w:rsidR="00BA49F5" w:rsidRDefault="007E5E49">
            <w:pPr>
              <w:jc w:val="center"/>
              <w:textAlignment w:val="center"/>
            </w:pPr>
            <w:r>
              <w:rPr>
                <w:rFonts w:ascii="Times New Roman" w:eastAsia="宋体" w:hAnsi="Times New Roman"/>
                <w:color w:val="000000"/>
                <w:sz w:val="20"/>
                <w:szCs w:val="20"/>
              </w:rPr>
              <w:t>3.92%</w:t>
            </w:r>
          </w:p>
        </w:tc>
        <w:tc>
          <w:tcPr>
            <w:tcW w:w="0" w:type="auto"/>
            <w:gridSpan w:val="3"/>
            <w:shd w:val="clear" w:color="auto" w:fill="FFFFFF"/>
            <w:tcMar>
              <w:top w:w="0" w:type="dxa"/>
              <w:left w:w="20" w:type="dxa"/>
              <w:bottom w:w="0" w:type="dxa"/>
              <w:right w:w="140" w:type="dxa"/>
            </w:tcMar>
            <w:vAlign w:val="bottom"/>
          </w:tcPr>
          <w:p w14:paraId="5CD9029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center"/>
          </w:tcPr>
          <w:p w14:paraId="5CD90292" w14:textId="77777777" w:rsidR="00BA49F5" w:rsidRDefault="007E5E49">
            <w:pPr>
              <w:jc w:val="right"/>
              <w:textAlignment w:val="center"/>
            </w:pPr>
            <w:r>
              <w:rPr>
                <w:rFonts w:ascii="Times New Roman" w:eastAsia="宋体" w:hAnsi="Times New Roman"/>
                <w:color w:val="000000"/>
                <w:sz w:val="20"/>
                <w:szCs w:val="20"/>
              </w:rPr>
              <w:t>3,000 </w:t>
            </w:r>
          </w:p>
        </w:tc>
        <w:tc>
          <w:tcPr>
            <w:tcW w:w="0" w:type="auto"/>
            <w:shd w:val="clear" w:color="auto" w:fill="FFFFFF"/>
            <w:tcMar>
              <w:top w:w="40" w:type="dxa"/>
              <w:left w:w="0" w:type="dxa"/>
              <w:bottom w:w="40" w:type="dxa"/>
              <w:right w:w="20" w:type="dxa"/>
            </w:tcMar>
            <w:vAlign w:val="center"/>
          </w:tcPr>
          <w:p w14:paraId="5CD90293" w14:textId="77777777" w:rsidR="00BA49F5" w:rsidRDefault="00BA49F5">
            <w:pPr>
              <w:jc w:val="right"/>
              <w:rPr>
                <w:rFonts w:ascii="宋体"/>
              </w:rPr>
            </w:pPr>
          </w:p>
        </w:tc>
      </w:tr>
      <w:tr w:rsidR="00BA49F5" w14:paraId="5CD9029E" w14:textId="77777777">
        <w:tc>
          <w:tcPr>
            <w:tcW w:w="0" w:type="auto"/>
            <w:gridSpan w:val="3"/>
            <w:shd w:val="clear" w:color="auto" w:fill="CCEEFF"/>
            <w:tcMar>
              <w:top w:w="40" w:type="dxa"/>
              <w:left w:w="20" w:type="dxa"/>
              <w:bottom w:w="40" w:type="dxa"/>
              <w:right w:w="20" w:type="dxa"/>
            </w:tcMar>
            <w:vAlign w:val="bottom"/>
          </w:tcPr>
          <w:p w14:paraId="5CD90295" w14:textId="77777777" w:rsidR="00BA49F5" w:rsidRDefault="007E5E49">
            <w:pPr>
              <w:textAlignment w:val="bottom"/>
            </w:pPr>
            <w:r>
              <w:rPr>
                <w:rFonts w:ascii="Times New Roman" w:eastAsia="宋体" w:hAnsi="Times New Roman"/>
                <w:color w:val="000000"/>
                <w:sz w:val="20"/>
                <w:szCs w:val="20"/>
              </w:rPr>
              <w:t>2052 Notes</w:t>
            </w:r>
          </w:p>
        </w:tc>
        <w:tc>
          <w:tcPr>
            <w:tcW w:w="0" w:type="auto"/>
            <w:gridSpan w:val="3"/>
            <w:shd w:val="clear" w:color="auto" w:fill="CCEEFF"/>
            <w:tcMar>
              <w:top w:w="40" w:type="dxa"/>
              <w:left w:w="20" w:type="dxa"/>
              <w:bottom w:w="40" w:type="dxa"/>
              <w:right w:w="20" w:type="dxa"/>
            </w:tcMar>
            <w:vAlign w:val="center"/>
          </w:tcPr>
          <w:p w14:paraId="5CD90296" w14:textId="77777777" w:rsidR="00BA49F5" w:rsidRDefault="007E5E49">
            <w:pPr>
              <w:jc w:val="center"/>
              <w:textAlignment w:val="center"/>
            </w:pPr>
            <w:r>
              <w:rPr>
                <w:rFonts w:ascii="Times New Roman" w:eastAsia="宋体" w:hAnsi="Times New Roman"/>
                <w:color w:val="000000"/>
                <w:sz w:val="20"/>
                <w:szCs w:val="20"/>
              </w:rPr>
              <w:t>2052</w:t>
            </w:r>
          </w:p>
        </w:tc>
        <w:tc>
          <w:tcPr>
            <w:tcW w:w="0" w:type="auto"/>
            <w:gridSpan w:val="3"/>
            <w:shd w:val="clear" w:color="auto" w:fill="CCEEFF"/>
            <w:tcMar>
              <w:top w:w="0" w:type="dxa"/>
              <w:left w:w="20" w:type="dxa"/>
              <w:bottom w:w="0" w:type="dxa"/>
              <w:right w:w="20" w:type="dxa"/>
            </w:tcMar>
            <w:vAlign w:val="bottom"/>
          </w:tcPr>
          <w:p w14:paraId="5CD90297"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center"/>
          </w:tcPr>
          <w:p w14:paraId="5CD90298" w14:textId="77777777" w:rsidR="00BA49F5" w:rsidRDefault="007E5E49">
            <w:pPr>
              <w:jc w:val="center"/>
              <w:textAlignment w:val="center"/>
            </w:pPr>
            <w:r>
              <w:rPr>
                <w:rFonts w:ascii="Times New Roman" w:eastAsia="宋体" w:hAnsi="Times New Roman"/>
                <w:color w:val="000000"/>
                <w:sz w:val="20"/>
                <w:szCs w:val="20"/>
              </w:rPr>
              <w:t>4.45%</w:t>
            </w:r>
          </w:p>
        </w:tc>
        <w:tc>
          <w:tcPr>
            <w:tcW w:w="0" w:type="auto"/>
            <w:gridSpan w:val="3"/>
            <w:shd w:val="clear" w:color="auto" w:fill="CCEEFF"/>
            <w:tcMar>
              <w:top w:w="0" w:type="dxa"/>
              <w:left w:w="140" w:type="dxa"/>
              <w:bottom w:w="0" w:type="dxa"/>
              <w:right w:w="20" w:type="dxa"/>
            </w:tcMar>
            <w:vAlign w:val="bottom"/>
          </w:tcPr>
          <w:p w14:paraId="5CD90299"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center"/>
          </w:tcPr>
          <w:p w14:paraId="5CD9029A" w14:textId="77777777" w:rsidR="00BA49F5" w:rsidRDefault="007E5E49">
            <w:pPr>
              <w:jc w:val="center"/>
              <w:textAlignment w:val="center"/>
            </w:pPr>
            <w:r>
              <w:rPr>
                <w:rFonts w:ascii="Times New Roman" w:eastAsia="宋体" w:hAnsi="Times New Roman"/>
                <w:color w:val="000000"/>
                <w:sz w:val="20"/>
                <w:szCs w:val="20"/>
              </w:rPr>
              <w:t>4.51%</w:t>
            </w:r>
          </w:p>
        </w:tc>
        <w:tc>
          <w:tcPr>
            <w:tcW w:w="0" w:type="auto"/>
            <w:gridSpan w:val="3"/>
            <w:shd w:val="clear" w:color="auto" w:fill="CCEEFF"/>
            <w:tcMar>
              <w:top w:w="0" w:type="dxa"/>
              <w:left w:w="20" w:type="dxa"/>
              <w:bottom w:w="0" w:type="dxa"/>
              <w:right w:w="140" w:type="dxa"/>
            </w:tcMar>
            <w:vAlign w:val="bottom"/>
          </w:tcPr>
          <w:p w14:paraId="5CD9029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center"/>
          </w:tcPr>
          <w:p w14:paraId="5CD9029C" w14:textId="77777777" w:rsidR="00BA49F5" w:rsidRDefault="007E5E49">
            <w:pPr>
              <w:jc w:val="right"/>
              <w:textAlignment w:val="center"/>
            </w:pPr>
            <w:r>
              <w:rPr>
                <w:rFonts w:ascii="Times New Roman" w:eastAsia="宋体" w:hAnsi="Times New Roman"/>
                <w:color w:val="000000"/>
                <w:sz w:val="20"/>
                <w:szCs w:val="20"/>
              </w:rPr>
              <w:t>2,750 </w:t>
            </w:r>
          </w:p>
        </w:tc>
        <w:tc>
          <w:tcPr>
            <w:tcW w:w="0" w:type="auto"/>
            <w:shd w:val="clear" w:color="auto" w:fill="CCEEFF"/>
            <w:tcMar>
              <w:top w:w="40" w:type="dxa"/>
              <w:left w:w="0" w:type="dxa"/>
              <w:bottom w:w="40" w:type="dxa"/>
              <w:right w:w="20" w:type="dxa"/>
            </w:tcMar>
            <w:vAlign w:val="center"/>
          </w:tcPr>
          <w:p w14:paraId="5CD9029D" w14:textId="77777777" w:rsidR="00BA49F5" w:rsidRDefault="00BA49F5">
            <w:pPr>
              <w:jc w:val="right"/>
              <w:rPr>
                <w:rFonts w:ascii="宋体"/>
              </w:rPr>
            </w:pPr>
          </w:p>
        </w:tc>
      </w:tr>
      <w:tr w:rsidR="00BA49F5" w14:paraId="5CD902A8" w14:textId="77777777">
        <w:tc>
          <w:tcPr>
            <w:tcW w:w="0" w:type="auto"/>
            <w:gridSpan w:val="3"/>
            <w:shd w:val="clear" w:color="auto" w:fill="FFFFFF"/>
            <w:tcMar>
              <w:top w:w="40" w:type="dxa"/>
              <w:left w:w="20" w:type="dxa"/>
              <w:bottom w:w="40" w:type="dxa"/>
              <w:right w:w="20" w:type="dxa"/>
            </w:tcMar>
            <w:vAlign w:val="bottom"/>
          </w:tcPr>
          <w:p w14:paraId="5CD9029F" w14:textId="77777777" w:rsidR="00BA49F5" w:rsidRDefault="007E5E49">
            <w:pPr>
              <w:textAlignment w:val="bottom"/>
            </w:pPr>
            <w:r>
              <w:rPr>
                <w:rFonts w:ascii="Times New Roman" w:eastAsia="宋体" w:hAnsi="Times New Roman"/>
                <w:color w:val="000000"/>
                <w:sz w:val="20"/>
                <w:szCs w:val="20"/>
              </w:rPr>
              <w:t>2062 Notes</w:t>
            </w:r>
          </w:p>
        </w:tc>
        <w:tc>
          <w:tcPr>
            <w:tcW w:w="0" w:type="auto"/>
            <w:gridSpan w:val="3"/>
            <w:shd w:val="clear" w:color="auto" w:fill="FFFFFF"/>
            <w:tcMar>
              <w:top w:w="40" w:type="dxa"/>
              <w:left w:w="20" w:type="dxa"/>
              <w:bottom w:w="40" w:type="dxa"/>
              <w:right w:w="20" w:type="dxa"/>
            </w:tcMar>
            <w:vAlign w:val="center"/>
          </w:tcPr>
          <w:p w14:paraId="5CD902A0" w14:textId="77777777" w:rsidR="00BA49F5" w:rsidRDefault="007E5E49">
            <w:pPr>
              <w:jc w:val="center"/>
              <w:textAlignment w:val="center"/>
            </w:pPr>
            <w:r>
              <w:rPr>
                <w:rFonts w:ascii="Times New Roman" w:eastAsia="宋体" w:hAnsi="Times New Roman"/>
                <w:color w:val="000000"/>
                <w:sz w:val="20"/>
                <w:szCs w:val="20"/>
              </w:rPr>
              <w:t>2062</w:t>
            </w:r>
          </w:p>
        </w:tc>
        <w:tc>
          <w:tcPr>
            <w:tcW w:w="0" w:type="auto"/>
            <w:gridSpan w:val="3"/>
            <w:shd w:val="clear" w:color="auto" w:fill="FFFFFF"/>
            <w:tcMar>
              <w:top w:w="0" w:type="dxa"/>
              <w:left w:w="20" w:type="dxa"/>
              <w:bottom w:w="0" w:type="dxa"/>
              <w:right w:w="20" w:type="dxa"/>
            </w:tcMar>
            <w:vAlign w:val="bottom"/>
          </w:tcPr>
          <w:p w14:paraId="5CD902A1"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2A2" w14:textId="77777777" w:rsidR="00BA49F5" w:rsidRDefault="007E5E49">
            <w:pPr>
              <w:jc w:val="center"/>
              <w:textAlignment w:val="center"/>
            </w:pPr>
            <w:r>
              <w:rPr>
                <w:rFonts w:ascii="Times New Roman" w:eastAsia="宋体" w:hAnsi="Times New Roman"/>
                <w:color w:val="000000"/>
                <w:sz w:val="20"/>
                <w:szCs w:val="20"/>
              </w:rPr>
              <w:t>4.65%</w:t>
            </w:r>
          </w:p>
        </w:tc>
        <w:tc>
          <w:tcPr>
            <w:tcW w:w="0" w:type="auto"/>
            <w:gridSpan w:val="3"/>
            <w:shd w:val="clear" w:color="auto" w:fill="FFFFFF"/>
            <w:tcMar>
              <w:top w:w="0" w:type="dxa"/>
              <w:left w:w="140" w:type="dxa"/>
              <w:bottom w:w="0" w:type="dxa"/>
              <w:right w:w="20" w:type="dxa"/>
            </w:tcMar>
            <w:vAlign w:val="bottom"/>
          </w:tcPr>
          <w:p w14:paraId="5CD902A3"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2A4" w14:textId="77777777" w:rsidR="00BA49F5" w:rsidRDefault="007E5E49">
            <w:pPr>
              <w:jc w:val="center"/>
              <w:textAlignment w:val="center"/>
            </w:pPr>
            <w:r>
              <w:rPr>
                <w:rFonts w:ascii="Times New Roman" w:eastAsia="宋体" w:hAnsi="Times New Roman"/>
                <w:color w:val="000000"/>
                <w:sz w:val="20"/>
                <w:szCs w:val="20"/>
              </w:rPr>
              <w:t>4.71%</w:t>
            </w:r>
          </w:p>
        </w:tc>
        <w:tc>
          <w:tcPr>
            <w:tcW w:w="0" w:type="auto"/>
            <w:gridSpan w:val="3"/>
            <w:shd w:val="clear" w:color="auto" w:fill="FFFFFF"/>
            <w:tcMar>
              <w:top w:w="0" w:type="dxa"/>
              <w:left w:w="20" w:type="dxa"/>
              <w:bottom w:w="0" w:type="dxa"/>
              <w:right w:w="140" w:type="dxa"/>
            </w:tcMar>
            <w:vAlign w:val="bottom"/>
          </w:tcPr>
          <w:p w14:paraId="5CD902A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center"/>
          </w:tcPr>
          <w:p w14:paraId="5CD902A6" w14:textId="77777777" w:rsidR="00BA49F5" w:rsidRDefault="007E5E49">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center"/>
          </w:tcPr>
          <w:p w14:paraId="5CD902A7" w14:textId="77777777" w:rsidR="00BA49F5" w:rsidRDefault="00BA49F5">
            <w:pPr>
              <w:jc w:val="right"/>
              <w:rPr>
                <w:rFonts w:ascii="宋体"/>
              </w:rPr>
            </w:pPr>
          </w:p>
        </w:tc>
      </w:tr>
      <w:tr w:rsidR="00BA49F5" w14:paraId="5CD902B2" w14:textId="77777777">
        <w:tc>
          <w:tcPr>
            <w:tcW w:w="0" w:type="auto"/>
            <w:gridSpan w:val="3"/>
            <w:shd w:val="clear" w:color="auto" w:fill="CCEEFF"/>
            <w:tcMar>
              <w:top w:w="40" w:type="dxa"/>
              <w:left w:w="380" w:type="dxa"/>
              <w:bottom w:w="40" w:type="dxa"/>
              <w:right w:w="20" w:type="dxa"/>
            </w:tcMar>
            <w:vAlign w:val="bottom"/>
          </w:tcPr>
          <w:p w14:paraId="5CD902A9" w14:textId="77777777" w:rsidR="00BA49F5" w:rsidRDefault="007E5E49">
            <w:pPr>
              <w:textAlignment w:val="bottom"/>
            </w:pPr>
            <w:r>
              <w:rPr>
                <w:rFonts w:ascii="Times New Roman" w:eastAsia="宋体" w:hAnsi="Times New Roman"/>
                <w:color w:val="000000"/>
                <w:sz w:val="20"/>
                <w:szCs w:val="20"/>
              </w:rPr>
              <w:t>Total face amount of long-term debt</w:t>
            </w:r>
          </w:p>
        </w:tc>
        <w:tc>
          <w:tcPr>
            <w:tcW w:w="0" w:type="auto"/>
            <w:gridSpan w:val="3"/>
            <w:shd w:val="clear" w:color="auto" w:fill="CCEEFF"/>
            <w:tcMar>
              <w:top w:w="0" w:type="dxa"/>
              <w:left w:w="20" w:type="dxa"/>
              <w:bottom w:w="0" w:type="dxa"/>
              <w:right w:w="20" w:type="dxa"/>
            </w:tcMar>
            <w:vAlign w:val="bottom"/>
          </w:tcPr>
          <w:p w14:paraId="5CD902AA"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AB"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A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AD" w14:textId="77777777" w:rsidR="00BA49F5" w:rsidRDefault="00BA49F5">
            <w:pPr>
              <w:rPr>
                <w:rFonts w:ascii="宋体"/>
              </w:rPr>
            </w:pPr>
          </w:p>
        </w:tc>
        <w:tc>
          <w:tcPr>
            <w:tcW w:w="0" w:type="auto"/>
            <w:gridSpan w:val="3"/>
            <w:shd w:val="clear" w:color="auto" w:fill="CCEEFF"/>
            <w:tcMar>
              <w:top w:w="0" w:type="dxa"/>
              <w:left w:w="140" w:type="dxa"/>
              <w:bottom w:w="0" w:type="dxa"/>
              <w:right w:w="20" w:type="dxa"/>
            </w:tcMar>
            <w:vAlign w:val="bottom"/>
          </w:tcPr>
          <w:p w14:paraId="5CD902A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AF"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CD902B0" w14:textId="77777777" w:rsidR="00BA49F5" w:rsidRDefault="007E5E49">
            <w:pPr>
              <w:jc w:val="right"/>
              <w:textAlignment w:val="center"/>
            </w:pPr>
            <w:r>
              <w:rPr>
                <w:rFonts w:ascii="Times New Roman" w:eastAsia="宋体" w:hAnsi="Times New Roman"/>
                <w:color w:val="000000"/>
                <w:sz w:val="20"/>
                <w:szCs w:val="20"/>
              </w:rPr>
              <w:t>10,000 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CD902B1" w14:textId="77777777" w:rsidR="00BA49F5" w:rsidRDefault="00BA49F5">
            <w:pPr>
              <w:jc w:val="right"/>
              <w:rPr>
                <w:rFonts w:ascii="宋体"/>
              </w:rPr>
            </w:pPr>
          </w:p>
        </w:tc>
      </w:tr>
      <w:tr w:rsidR="00BA49F5" w14:paraId="5CD902BB" w14:textId="77777777">
        <w:tc>
          <w:tcPr>
            <w:tcW w:w="0" w:type="auto"/>
            <w:gridSpan w:val="3"/>
            <w:shd w:val="clear" w:color="auto" w:fill="FFFFFF"/>
            <w:tcMar>
              <w:top w:w="40" w:type="dxa"/>
              <w:left w:w="20" w:type="dxa"/>
              <w:bottom w:w="40" w:type="dxa"/>
              <w:right w:w="20" w:type="dxa"/>
            </w:tcMar>
            <w:vAlign w:val="bottom"/>
          </w:tcPr>
          <w:p w14:paraId="5CD902B3" w14:textId="77777777" w:rsidR="00BA49F5" w:rsidRDefault="007E5E49">
            <w:pPr>
              <w:textAlignment w:val="bottom"/>
            </w:pPr>
            <w:r>
              <w:rPr>
                <w:rFonts w:ascii="Times New Roman" w:eastAsia="宋体" w:hAnsi="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bottom"/>
          </w:tcPr>
          <w:p w14:paraId="5CD902B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2B5"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2B6"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2B7" w14:textId="77777777" w:rsidR="00BA49F5" w:rsidRDefault="00BA49F5">
            <w:pPr>
              <w:rPr>
                <w:rFonts w:ascii="宋体"/>
              </w:rPr>
            </w:pPr>
          </w:p>
        </w:tc>
        <w:tc>
          <w:tcPr>
            <w:tcW w:w="0" w:type="auto"/>
            <w:gridSpan w:val="3"/>
            <w:shd w:val="clear" w:color="auto" w:fill="FFFFFF"/>
            <w:tcMar>
              <w:top w:w="0" w:type="dxa"/>
              <w:left w:w="140" w:type="dxa"/>
              <w:bottom w:w="0" w:type="dxa"/>
              <w:right w:w="20" w:type="dxa"/>
            </w:tcMar>
            <w:vAlign w:val="bottom"/>
          </w:tcPr>
          <w:p w14:paraId="5CD902B8"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2B9"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center"/>
          </w:tcPr>
          <w:p w14:paraId="5CD902BA" w14:textId="77777777" w:rsidR="00BA49F5" w:rsidRDefault="007E5E49">
            <w:pPr>
              <w:jc w:val="right"/>
              <w:textAlignment w:val="center"/>
            </w:pPr>
            <w:r>
              <w:rPr>
                <w:rFonts w:ascii="Times New Roman" w:eastAsia="宋体" w:hAnsi="Times New Roman"/>
                <w:color w:val="000000"/>
                <w:sz w:val="20"/>
                <w:szCs w:val="20"/>
              </w:rPr>
              <w:t>(77)</w:t>
            </w:r>
          </w:p>
        </w:tc>
      </w:tr>
      <w:tr w:rsidR="00BA49F5" w14:paraId="5CD902C6" w14:textId="77777777">
        <w:tc>
          <w:tcPr>
            <w:tcW w:w="0" w:type="auto"/>
            <w:gridSpan w:val="3"/>
            <w:shd w:val="clear" w:color="auto" w:fill="CCEEFF"/>
            <w:tcMar>
              <w:top w:w="40" w:type="dxa"/>
              <w:left w:w="380" w:type="dxa"/>
              <w:bottom w:w="40" w:type="dxa"/>
              <w:right w:w="20" w:type="dxa"/>
            </w:tcMar>
            <w:vAlign w:val="bottom"/>
          </w:tcPr>
          <w:p w14:paraId="5CD902BC" w14:textId="77777777" w:rsidR="00BA49F5" w:rsidRDefault="007E5E49">
            <w:pPr>
              <w:textAlignment w:val="bottom"/>
            </w:pPr>
            <w:r>
              <w:rPr>
                <w:rFonts w:ascii="Times New Roman" w:eastAsia="宋体" w:hAnsi="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14:paraId="5CD902BD"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B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BF"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C0" w14:textId="77777777" w:rsidR="00BA49F5" w:rsidRDefault="00BA49F5">
            <w:pPr>
              <w:rPr>
                <w:rFonts w:ascii="宋体"/>
              </w:rPr>
            </w:pPr>
          </w:p>
        </w:tc>
        <w:tc>
          <w:tcPr>
            <w:tcW w:w="0" w:type="auto"/>
            <w:gridSpan w:val="3"/>
            <w:shd w:val="clear" w:color="auto" w:fill="CCEEFF"/>
            <w:tcMar>
              <w:top w:w="0" w:type="dxa"/>
              <w:left w:w="140" w:type="dxa"/>
              <w:bottom w:w="0" w:type="dxa"/>
              <w:right w:w="20" w:type="dxa"/>
            </w:tcMar>
            <w:vAlign w:val="bottom"/>
          </w:tcPr>
          <w:p w14:paraId="5CD902C1"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2C2"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CD902C3" w14:textId="77777777" w:rsidR="00BA49F5" w:rsidRDefault="007E5E4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CD902C4" w14:textId="77777777" w:rsidR="00BA49F5" w:rsidRDefault="007E5E49">
            <w:pPr>
              <w:jc w:val="right"/>
              <w:textAlignment w:val="center"/>
            </w:pPr>
            <w:r>
              <w:rPr>
                <w:rFonts w:ascii="Times New Roman" w:eastAsia="宋体" w:hAnsi="Times New Roman"/>
                <w:color w:val="000000"/>
                <w:sz w:val="20"/>
                <w:szCs w:val="20"/>
              </w:rPr>
              <w:t>9,923 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CD902C5" w14:textId="77777777" w:rsidR="00BA49F5" w:rsidRDefault="00BA49F5">
            <w:pPr>
              <w:jc w:val="right"/>
              <w:rPr>
                <w:rFonts w:ascii="宋体"/>
              </w:rPr>
            </w:pPr>
          </w:p>
        </w:tc>
      </w:tr>
    </w:tbl>
    <w:p w14:paraId="5CD902C7" w14:textId="77777777" w:rsidR="00BA49F5" w:rsidRDefault="00BA49F5">
      <w:pPr>
        <w:ind w:firstLine="540"/>
        <w:jc w:val="both"/>
      </w:pPr>
    </w:p>
    <w:p w14:paraId="5CD902C8" w14:textId="77777777" w:rsidR="00BA49F5" w:rsidRDefault="007E5E49">
      <w:pPr>
        <w:ind w:firstLine="540"/>
        <w:jc w:val="both"/>
      </w:pPr>
      <w:r>
        <w:rPr>
          <w:rFonts w:ascii="Times New Roman" w:eastAsia="宋体" w:hAnsi="Times New Roman"/>
          <w:color w:val="000000"/>
          <w:sz w:val="20"/>
          <w:szCs w:val="20"/>
        </w:rPr>
        <w:t xml:space="preserve">Interest on each of the Notes is payable semi-annually in arrears in February and August of each year, commencing in February 2023. The effective interest rates include the interest rates stated on the Notes and amortization of the </w:t>
      </w:r>
      <w:r>
        <w:rPr>
          <w:rFonts w:ascii="Times New Roman" w:eastAsia="宋体" w:hAnsi="Times New Roman"/>
          <w:color w:val="000000"/>
          <w:sz w:val="20"/>
          <w:szCs w:val="20"/>
        </w:rPr>
        <w:t>discounts and issuance costs. For the year ended December 31, 2022, interest expense recognized on the debt was $160 million.</w:t>
      </w:r>
    </w:p>
    <w:p w14:paraId="5CD902C9" w14:textId="77777777" w:rsidR="00BA49F5" w:rsidRDefault="00BA49F5"/>
    <w:p w14:paraId="5CD902CA" w14:textId="77777777" w:rsidR="00BA49F5" w:rsidRDefault="007E5E49">
      <w:pPr>
        <w:ind w:firstLine="540"/>
        <w:jc w:val="both"/>
      </w:pPr>
      <w:r>
        <w:rPr>
          <w:rFonts w:ascii="Times New Roman" w:eastAsia="宋体" w:hAnsi="Times New Roman"/>
          <w:color w:val="000000"/>
          <w:sz w:val="20"/>
          <w:szCs w:val="20"/>
        </w:rPr>
        <w:t xml:space="preserve">The total estimated fair value of our outstanding debt was $8.63 billion as of December 31, 2022. The fair value was </w:t>
      </w:r>
      <w:r>
        <w:rPr>
          <w:rFonts w:ascii="Times New Roman" w:eastAsia="宋体" w:hAnsi="Times New Roman"/>
          <w:color w:val="000000"/>
          <w:sz w:val="20"/>
          <w:szCs w:val="20"/>
        </w:rPr>
        <w:t>determined based on the closing trading price per $100 of the Notes as of December 31, 2022 and is categorized accordingly as Level 2 in the fair value hierarchy.</w:t>
      </w:r>
    </w:p>
    <w:p w14:paraId="5CD902CB" w14:textId="77777777" w:rsidR="00BA49F5" w:rsidRDefault="00BA49F5">
      <w:pPr>
        <w:ind w:firstLine="540"/>
        <w:jc w:val="both"/>
      </w:pPr>
    </w:p>
    <w:p w14:paraId="5CD902CC" w14:textId="77777777" w:rsidR="00BA49F5" w:rsidRDefault="007E5E49">
      <w:pPr>
        <w:ind w:firstLine="540"/>
        <w:jc w:val="both"/>
      </w:pPr>
      <w:r>
        <w:rPr>
          <w:rFonts w:ascii="Times New Roman" w:eastAsia="宋体" w:hAnsi="Times New Roman"/>
          <w:color w:val="000000"/>
          <w:sz w:val="20"/>
          <w:szCs w:val="20"/>
        </w:rPr>
        <w:t>As of December 31, 2022, future principal payments for the Notes, by year, are as follows (i</w:t>
      </w:r>
      <w:r>
        <w:rPr>
          <w:rFonts w:ascii="Times New Roman" w:eastAsia="宋体" w:hAnsi="Times New Roman"/>
          <w:color w:val="000000"/>
          <w:sz w:val="20"/>
          <w:szCs w:val="20"/>
        </w:rPr>
        <w:t>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8"/>
        <w:gridCol w:w="120"/>
        <w:gridCol w:w="1204"/>
        <w:gridCol w:w="36"/>
      </w:tblGrid>
      <w:tr w:rsidR="00BA49F5" w14:paraId="5CD902D3" w14:textId="77777777">
        <w:tc>
          <w:tcPr>
            <w:tcW w:w="50" w:type="pct"/>
            <w:shd w:val="clear" w:color="auto" w:fill="auto"/>
            <w:vAlign w:val="bottom"/>
          </w:tcPr>
          <w:p w14:paraId="5CD902CD" w14:textId="77777777" w:rsidR="00BA49F5" w:rsidRDefault="00BA49F5">
            <w:pPr>
              <w:rPr>
                <w:rFonts w:ascii="宋体"/>
              </w:rPr>
            </w:pPr>
          </w:p>
        </w:tc>
        <w:tc>
          <w:tcPr>
            <w:tcW w:w="4148" w:type="pct"/>
            <w:shd w:val="clear" w:color="auto" w:fill="auto"/>
            <w:vAlign w:val="bottom"/>
          </w:tcPr>
          <w:p w14:paraId="5CD902CE" w14:textId="77777777" w:rsidR="00BA49F5" w:rsidRDefault="00BA49F5">
            <w:pPr>
              <w:rPr>
                <w:rFonts w:ascii="宋体"/>
              </w:rPr>
            </w:pPr>
          </w:p>
        </w:tc>
        <w:tc>
          <w:tcPr>
            <w:tcW w:w="5" w:type="pct"/>
            <w:shd w:val="clear" w:color="auto" w:fill="auto"/>
            <w:vAlign w:val="bottom"/>
          </w:tcPr>
          <w:p w14:paraId="5CD902CF" w14:textId="77777777" w:rsidR="00BA49F5" w:rsidRDefault="00BA49F5">
            <w:pPr>
              <w:rPr>
                <w:rFonts w:ascii="宋体"/>
              </w:rPr>
            </w:pPr>
          </w:p>
        </w:tc>
        <w:tc>
          <w:tcPr>
            <w:tcW w:w="50" w:type="pct"/>
            <w:shd w:val="clear" w:color="auto" w:fill="auto"/>
            <w:vAlign w:val="bottom"/>
          </w:tcPr>
          <w:p w14:paraId="5CD902D0" w14:textId="77777777" w:rsidR="00BA49F5" w:rsidRDefault="00BA49F5">
            <w:pPr>
              <w:rPr>
                <w:rFonts w:ascii="宋体"/>
              </w:rPr>
            </w:pPr>
          </w:p>
        </w:tc>
        <w:tc>
          <w:tcPr>
            <w:tcW w:w="741" w:type="pct"/>
            <w:shd w:val="clear" w:color="auto" w:fill="auto"/>
            <w:vAlign w:val="bottom"/>
          </w:tcPr>
          <w:p w14:paraId="5CD902D1" w14:textId="77777777" w:rsidR="00BA49F5" w:rsidRDefault="00BA49F5">
            <w:pPr>
              <w:rPr>
                <w:rFonts w:ascii="宋体"/>
              </w:rPr>
            </w:pPr>
          </w:p>
        </w:tc>
        <w:tc>
          <w:tcPr>
            <w:tcW w:w="5" w:type="pct"/>
            <w:shd w:val="clear" w:color="auto" w:fill="auto"/>
            <w:vAlign w:val="bottom"/>
          </w:tcPr>
          <w:p w14:paraId="5CD902D2" w14:textId="77777777" w:rsidR="00BA49F5" w:rsidRDefault="00BA49F5">
            <w:pPr>
              <w:rPr>
                <w:rFonts w:ascii="宋体"/>
              </w:rPr>
            </w:pPr>
          </w:p>
        </w:tc>
      </w:tr>
      <w:tr w:rsidR="00BA49F5" w14:paraId="5CD902D8" w14:textId="77777777">
        <w:tc>
          <w:tcPr>
            <w:tcW w:w="0" w:type="auto"/>
            <w:gridSpan w:val="3"/>
            <w:shd w:val="clear" w:color="auto" w:fill="CCEEFF"/>
            <w:tcMar>
              <w:top w:w="40" w:type="dxa"/>
              <w:left w:w="20" w:type="dxa"/>
              <w:bottom w:w="40" w:type="dxa"/>
              <w:right w:w="20" w:type="dxa"/>
            </w:tcMar>
            <w:vAlign w:val="bottom"/>
          </w:tcPr>
          <w:p w14:paraId="5CD902D4" w14:textId="77777777" w:rsidR="00BA49F5" w:rsidRDefault="007E5E49">
            <w:pPr>
              <w:textAlignment w:val="bottom"/>
            </w:pPr>
            <w:r>
              <w:rPr>
                <w:rFonts w:ascii="Times New Roman" w:eastAsia="宋体" w:hAnsi="Times New Roman"/>
                <w:color w:val="000000"/>
                <w:sz w:val="20"/>
                <w:szCs w:val="20"/>
              </w:rPr>
              <w:t>2023 through 2026</w:t>
            </w:r>
          </w:p>
        </w:tc>
        <w:tc>
          <w:tcPr>
            <w:tcW w:w="0" w:type="auto"/>
            <w:shd w:val="clear" w:color="auto" w:fill="CCEEFF"/>
            <w:tcMar>
              <w:top w:w="40" w:type="dxa"/>
              <w:left w:w="20" w:type="dxa"/>
              <w:bottom w:w="40" w:type="dxa"/>
              <w:right w:w="0" w:type="dxa"/>
            </w:tcMar>
            <w:vAlign w:val="bottom"/>
          </w:tcPr>
          <w:p w14:paraId="5CD902D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2D6"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902D7" w14:textId="77777777" w:rsidR="00BA49F5" w:rsidRDefault="00BA49F5">
            <w:pPr>
              <w:jc w:val="right"/>
              <w:rPr>
                <w:rFonts w:ascii="宋体"/>
              </w:rPr>
            </w:pPr>
          </w:p>
        </w:tc>
      </w:tr>
      <w:tr w:rsidR="00BA49F5" w14:paraId="5CD902DC" w14:textId="77777777">
        <w:tc>
          <w:tcPr>
            <w:tcW w:w="0" w:type="auto"/>
            <w:gridSpan w:val="3"/>
            <w:shd w:val="clear" w:color="auto" w:fill="FFFFFF"/>
            <w:tcMar>
              <w:top w:w="40" w:type="dxa"/>
              <w:left w:w="20" w:type="dxa"/>
              <w:bottom w:w="40" w:type="dxa"/>
              <w:right w:w="20" w:type="dxa"/>
            </w:tcMar>
            <w:vAlign w:val="bottom"/>
          </w:tcPr>
          <w:p w14:paraId="5CD902D9" w14:textId="77777777" w:rsidR="00BA49F5" w:rsidRDefault="007E5E49">
            <w:pPr>
              <w:textAlignment w:val="bottom"/>
            </w:pPr>
            <w:r>
              <w:rPr>
                <w:rFonts w:ascii="Times New Roman" w:eastAsia="宋体" w:hAnsi="Times New Roman"/>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5CD902DA" w14:textId="77777777" w:rsidR="00BA49F5" w:rsidRDefault="007E5E49">
            <w:pPr>
              <w:jc w:val="right"/>
              <w:textAlignment w:val="bottom"/>
            </w:pPr>
            <w:r>
              <w:rPr>
                <w:rFonts w:ascii="Times New Roman" w:eastAsia="宋体" w:hAnsi="Times New Roman"/>
                <w:color w:val="000000"/>
                <w:sz w:val="20"/>
                <w:szCs w:val="20"/>
              </w:rPr>
              <w:t>2,750 </w:t>
            </w:r>
          </w:p>
        </w:tc>
        <w:tc>
          <w:tcPr>
            <w:tcW w:w="0" w:type="auto"/>
            <w:shd w:val="clear" w:color="auto" w:fill="FFFFFF"/>
            <w:tcMar>
              <w:top w:w="40" w:type="dxa"/>
              <w:left w:w="0" w:type="dxa"/>
              <w:bottom w:w="40" w:type="dxa"/>
              <w:right w:w="20" w:type="dxa"/>
            </w:tcMar>
            <w:vAlign w:val="bottom"/>
          </w:tcPr>
          <w:p w14:paraId="5CD902DB" w14:textId="77777777" w:rsidR="00BA49F5" w:rsidRDefault="00BA49F5">
            <w:pPr>
              <w:jc w:val="right"/>
              <w:rPr>
                <w:rFonts w:ascii="宋体"/>
              </w:rPr>
            </w:pPr>
          </w:p>
        </w:tc>
      </w:tr>
      <w:tr w:rsidR="00BA49F5" w14:paraId="5CD902E0" w14:textId="77777777">
        <w:tc>
          <w:tcPr>
            <w:tcW w:w="0" w:type="auto"/>
            <w:gridSpan w:val="3"/>
            <w:shd w:val="clear" w:color="auto" w:fill="CCEEFF"/>
            <w:tcMar>
              <w:top w:w="40" w:type="dxa"/>
              <w:left w:w="20" w:type="dxa"/>
              <w:bottom w:w="40" w:type="dxa"/>
              <w:right w:w="20" w:type="dxa"/>
            </w:tcMar>
            <w:vAlign w:val="bottom"/>
          </w:tcPr>
          <w:p w14:paraId="5CD902DD" w14:textId="77777777" w:rsidR="00BA49F5" w:rsidRDefault="007E5E49">
            <w:pPr>
              <w:textAlignment w:val="bottom"/>
            </w:pPr>
            <w:r>
              <w:rPr>
                <w:rFonts w:ascii="Times New Roman" w:eastAsia="宋体" w:hAnsi="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14:paraId="5CD902DE" w14:textId="77777777" w:rsidR="00BA49F5" w:rsidRDefault="007E5E49">
            <w:pPr>
              <w:jc w:val="right"/>
              <w:textAlignment w:val="bottom"/>
            </w:pPr>
            <w:r>
              <w:rPr>
                <w:rFonts w:ascii="Times New Roman" w:eastAsia="宋体" w:hAnsi="Times New Roman"/>
                <w:color w:val="000000"/>
                <w:sz w:val="20"/>
                <w:szCs w:val="20"/>
              </w:rPr>
              <w:t>7,250 </w:t>
            </w:r>
          </w:p>
        </w:tc>
        <w:tc>
          <w:tcPr>
            <w:tcW w:w="0" w:type="auto"/>
            <w:shd w:val="clear" w:color="auto" w:fill="CCEEFF"/>
            <w:tcMar>
              <w:top w:w="40" w:type="dxa"/>
              <w:left w:w="0" w:type="dxa"/>
              <w:bottom w:w="40" w:type="dxa"/>
              <w:right w:w="20" w:type="dxa"/>
            </w:tcMar>
            <w:vAlign w:val="bottom"/>
          </w:tcPr>
          <w:p w14:paraId="5CD902DF" w14:textId="77777777" w:rsidR="00BA49F5" w:rsidRDefault="00BA49F5">
            <w:pPr>
              <w:jc w:val="right"/>
              <w:rPr>
                <w:rFonts w:ascii="宋体"/>
              </w:rPr>
            </w:pPr>
          </w:p>
        </w:tc>
      </w:tr>
      <w:tr w:rsidR="00BA49F5" w14:paraId="5CD902E5" w14:textId="77777777">
        <w:tc>
          <w:tcPr>
            <w:tcW w:w="0" w:type="auto"/>
            <w:gridSpan w:val="3"/>
            <w:shd w:val="clear" w:color="auto" w:fill="FFFFFF"/>
            <w:tcMar>
              <w:top w:w="40" w:type="dxa"/>
              <w:left w:w="380" w:type="dxa"/>
              <w:bottom w:w="40" w:type="dxa"/>
              <w:right w:w="20" w:type="dxa"/>
            </w:tcMar>
            <w:vAlign w:val="bottom"/>
          </w:tcPr>
          <w:p w14:paraId="5CD902E1" w14:textId="77777777" w:rsidR="00BA49F5" w:rsidRDefault="007E5E49">
            <w:pPr>
              <w:textAlignment w:val="bottom"/>
            </w:pPr>
            <w:r>
              <w:rPr>
                <w:rFonts w:ascii="Times New Roman" w:eastAsia="宋体" w:hAnsi="Times New Roman"/>
                <w:color w:val="000000"/>
                <w:sz w:val="20"/>
                <w:szCs w:val="20"/>
              </w:rPr>
              <w:t>Total outstanding debt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CD902E2" w14:textId="77777777" w:rsidR="00BA49F5" w:rsidRDefault="007E5E4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CD902E3" w14:textId="77777777" w:rsidR="00BA49F5" w:rsidRDefault="007E5E49">
            <w:pPr>
              <w:jc w:val="right"/>
              <w:textAlignment w:val="center"/>
            </w:pPr>
            <w:r>
              <w:rPr>
                <w:rFonts w:ascii="Times New Roman" w:eastAsia="宋体" w:hAnsi="Times New Roman"/>
                <w:color w:val="000000"/>
                <w:sz w:val="20"/>
                <w:szCs w:val="20"/>
              </w:rPr>
              <w:t>10,000 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CD902E4" w14:textId="77777777" w:rsidR="00BA49F5" w:rsidRDefault="00BA49F5">
            <w:pPr>
              <w:jc w:val="right"/>
              <w:rPr>
                <w:rFonts w:ascii="宋体"/>
              </w:rPr>
            </w:pPr>
          </w:p>
        </w:tc>
      </w:tr>
    </w:tbl>
    <w:p w14:paraId="5CD902E6" w14:textId="77777777" w:rsidR="00BA49F5" w:rsidRDefault="00BA49F5">
      <w:pPr>
        <w:jc w:val="both"/>
      </w:pPr>
    </w:p>
    <w:p w14:paraId="5CD902E7" w14:textId="77777777" w:rsidR="00BA49F5" w:rsidRDefault="007E5E49">
      <w:pPr>
        <w:jc w:val="center"/>
      </w:pPr>
      <w:r>
        <w:rPr>
          <w:rFonts w:ascii="Times New Roman" w:eastAsia="宋体" w:hAnsi="Times New Roman"/>
          <w:color w:val="000000"/>
          <w:sz w:val="20"/>
          <w:szCs w:val="20"/>
        </w:rPr>
        <w:t>109</w:t>
      </w:r>
    </w:p>
    <w:p w14:paraId="5CD902E8" w14:textId="77777777" w:rsidR="00BA49F5" w:rsidRDefault="007E5E49">
      <w:r>
        <w:pict w14:anchorId="5CD90D62">
          <v:rect id="_x0000_i1133" style="width:415.3pt;height:1.5pt" o:hralign="center" o:hrstd="t" o:hr="t" fillcolor="#a0a0a0" stroked="f"/>
        </w:pict>
      </w:r>
    </w:p>
    <w:p w14:paraId="5CD902E9" w14:textId="77777777" w:rsidR="00BA49F5" w:rsidRDefault="00BA49F5"/>
    <w:p w14:paraId="5CD902EA" w14:textId="77777777" w:rsidR="00BA49F5" w:rsidRDefault="00BA49F5"/>
    <w:p w14:paraId="5CD902EB" w14:textId="77777777" w:rsidR="00BA49F5" w:rsidRDefault="007E5E49">
      <w:hyperlink r:id="rId313" w:anchor="i6df229dad1864210ab76200083e26819_7" w:history="1">
        <w:r>
          <w:rPr>
            <w:rStyle w:val="a5"/>
            <w:rFonts w:ascii="Times New Roman" w:eastAsia="宋体" w:hAnsi="Times New Roman"/>
            <w:sz w:val="20"/>
            <w:szCs w:val="20"/>
          </w:rPr>
          <w:t>T</w:t>
        </w:r>
      </w:hyperlink>
      <w:hyperlink r:id="rId314" w:anchor="i6df229dad1864210ab76200083e26819_7" w:history="1">
        <w:r>
          <w:rPr>
            <w:rStyle w:val="a5"/>
            <w:rFonts w:ascii="Times New Roman" w:eastAsia="宋体" w:hAnsi="Times New Roman"/>
            <w:sz w:val="20"/>
            <w:szCs w:val="20"/>
          </w:rPr>
          <w:t>able of Contents</w:t>
        </w:r>
      </w:hyperlink>
    </w:p>
    <w:p w14:paraId="5CD902EC" w14:textId="77777777" w:rsidR="00BA49F5" w:rsidRDefault="007E5E49">
      <w:pPr>
        <w:spacing w:before="180"/>
        <w:jc w:val="both"/>
      </w:pPr>
      <w:r>
        <w:rPr>
          <w:rFonts w:ascii="Times New Roman" w:eastAsia="宋体" w:hAnsi="Times New Roman"/>
          <w:b/>
          <w:bCs/>
          <w:color w:val="000000"/>
          <w:sz w:val="20"/>
          <w:szCs w:val="20"/>
        </w:rPr>
        <w:t>Note 12.</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Liabilities</w:t>
      </w:r>
    </w:p>
    <w:p w14:paraId="5CD902ED" w14:textId="77777777" w:rsidR="00BA49F5" w:rsidRDefault="00BA49F5">
      <w:pPr>
        <w:ind w:firstLine="540"/>
      </w:pPr>
    </w:p>
    <w:p w14:paraId="5CD902EE" w14:textId="77777777" w:rsidR="00BA49F5" w:rsidRDefault="007E5E49">
      <w:pPr>
        <w:ind w:firstLine="540"/>
      </w:pPr>
      <w:r>
        <w:rPr>
          <w:rFonts w:ascii="Times New Roman" w:eastAsia="宋体" w:hAnsi="Times New Roman"/>
          <w:color w:val="000000"/>
          <w:sz w:val="20"/>
          <w:szCs w:val="20"/>
        </w:rPr>
        <w:t>The components of accrued expenses and other current liabilities</w:t>
      </w:r>
      <w:r>
        <w:rPr>
          <w:rFonts w:ascii="Times New Roman" w:eastAsia="宋体" w:hAnsi="Times New Roman"/>
          <w:color w:val="000000"/>
          <w:sz w:val="20"/>
          <w:szCs w:val="20"/>
        </w:rPr>
        <w:t xml:space="preserve">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7"/>
        <w:gridCol w:w="36"/>
        <w:gridCol w:w="36"/>
        <w:gridCol w:w="36"/>
        <w:gridCol w:w="36"/>
        <w:gridCol w:w="120"/>
        <w:gridCol w:w="1074"/>
        <w:gridCol w:w="36"/>
      </w:tblGrid>
      <w:tr w:rsidR="00BA49F5" w14:paraId="5CD902FB" w14:textId="77777777">
        <w:tc>
          <w:tcPr>
            <w:tcW w:w="50" w:type="pct"/>
            <w:shd w:val="clear" w:color="auto" w:fill="auto"/>
            <w:vAlign w:val="bottom"/>
          </w:tcPr>
          <w:p w14:paraId="5CD902EF" w14:textId="77777777" w:rsidR="00BA49F5" w:rsidRDefault="00BA49F5">
            <w:pPr>
              <w:rPr>
                <w:rFonts w:ascii="宋体"/>
              </w:rPr>
            </w:pPr>
          </w:p>
        </w:tc>
        <w:tc>
          <w:tcPr>
            <w:tcW w:w="3419" w:type="pct"/>
            <w:shd w:val="clear" w:color="auto" w:fill="auto"/>
            <w:vAlign w:val="bottom"/>
          </w:tcPr>
          <w:p w14:paraId="5CD902F0" w14:textId="77777777" w:rsidR="00BA49F5" w:rsidRDefault="00BA49F5">
            <w:pPr>
              <w:rPr>
                <w:rFonts w:ascii="宋体"/>
              </w:rPr>
            </w:pPr>
          </w:p>
        </w:tc>
        <w:tc>
          <w:tcPr>
            <w:tcW w:w="5" w:type="pct"/>
            <w:shd w:val="clear" w:color="auto" w:fill="auto"/>
            <w:vAlign w:val="bottom"/>
          </w:tcPr>
          <w:p w14:paraId="5CD902F1" w14:textId="77777777" w:rsidR="00BA49F5" w:rsidRDefault="00BA49F5">
            <w:pPr>
              <w:rPr>
                <w:rFonts w:ascii="宋体"/>
              </w:rPr>
            </w:pPr>
          </w:p>
        </w:tc>
        <w:tc>
          <w:tcPr>
            <w:tcW w:w="50" w:type="pct"/>
            <w:shd w:val="clear" w:color="auto" w:fill="auto"/>
            <w:vAlign w:val="bottom"/>
          </w:tcPr>
          <w:p w14:paraId="5CD902F2" w14:textId="77777777" w:rsidR="00BA49F5" w:rsidRDefault="00BA49F5">
            <w:pPr>
              <w:rPr>
                <w:rFonts w:ascii="宋体"/>
              </w:rPr>
            </w:pPr>
          </w:p>
        </w:tc>
        <w:tc>
          <w:tcPr>
            <w:tcW w:w="689" w:type="pct"/>
            <w:shd w:val="clear" w:color="auto" w:fill="auto"/>
            <w:vAlign w:val="bottom"/>
          </w:tcPr>
          <w:p w14:paraId="5CD902F3" w14:textId="77777777" w:rsidR="00BA49F5" w:rsidRDefault="00BA49F5">
            <w:pPr>
              <w:rPr>
                <w:rFonts w:ascii="宋体"/>
              </w:rPr>
            </w:pPr>
          </w:p>
        </w:tc>
        <w:tc>
          <w:tcPr>
            <w:tcW w:w="5" w:type="pct"/>
            <w:shd w:val="clear" w:color="auto" w:fill="auto"/>
            <w:vAlign w:val="bottom"/>
          </w:tcPr>
          <w:p w14:paraId="5CD902F4" w14:textId="77777777" w:rsidR="00BA49F5" w:rsidRDefault="00BA49F5">
            <w:pPr>
              <w:rPr>
                <w:rFonts w:ascii="宋体"/>
              </w:rPr>
            </w:pPr>
          </w:p>
        </w:tc>
        <w:tc>
          <w:tcPr>
            <w:tcW w:w="5" w:type="pct"/>
            <w:shd w:val="clear" w:color="auto" w:fill="auto"/>
            <w:vAlign w:val="bottom"/>
          </w:tcPr>
          <w:p w14:paraId="5CD902F5" w14:textId="77777777" w:rsidR="00BA49F5" w:rsidRDefault="00BA49F5">
            <w:pPr>
              <w:rPr>
                <w:rFonts w:ascii="宋体"/>
              </w:rPr>
            </w:pPr>
          </w:p>
        </w:tc>
        <w:tc>
          <w:tcPr>
            <w:tcW w:w="27" w:type="pct"/>
            <w:shd w:val="clear" w:color="auto" w:fill="auto"/>
            <w:vAlign w:val="bottom"/>
          </w:tcPr>
          <w:p w14:paraId="5CD902F6" w14:textId="77777777" w:rsidR="00BA49F5" w:rsidRDefault="00BA49F5">
            <w:pPr>
              <w:rPr>
                <w:rFonts w:ascii="宋体"/>
              </w:rPr>
            </w:pPr>
          </w:p>
        </w:tc>
        <w:tc>
          <w:tcPr>
            <w:tcW w:w="5" w:type="pct"/>
            <w:shd w:val="clear" w:color="auto" w:fill="auto"/>
            <w:vAlign w:val="bottom"/>
          </w:tcPr>
          <w:p w14:paraId="5CD902F7" w14:textId="77777777" w:rsidR="00BA49F5" w:rsidRDefault="00BA49F5">
            <w:pPr>
              <w:rPr>
                <w:rFonts w:ascii="宋体"/>
              </w:rPr>
            </w:pPr>
          </w:p>
        </w:tc>
        <w:tc>
          <w:tcPr>
            <w:tcW w:w="50" w:type="pct"/>
            <w:shd w:val="clear" w:color="auto" w:fill="auto"/>
            <w:vAlign w:val="bottom"/>
          </w:tcPr>
          <w:p w14:paraId="5CD902F8" w14:textId="77777777" w:rsidR="00BA49F5" w:rsidRDefault="00BA49F5">
            <w:pPr>
              <w:rPr>
                <w:rFonts w:ascii="宋体"/>
              </w:rPr>
            </w:pPr>
          </w:p>
        </w:tc>
        <w:tc>
          <w:tcPr>
            <w:tcW w:w="689" w:type="pct"/>
            <w:shd w:val="clear" w:color="auto" w:fill="auto"/>
            <w:vAlign w:val="bottom"/>
          </w:tcPr>
          <w:p w14:paraId="5CD902F9" w14:textId="77777777" w:rsidR="00BA49F5" w:rsidRDefault="00BA49F5">
            <w:pPr>
              <w:rPr>
                <w:rFonts w:ascii="宋体"/>
              </w:rPr>
            </w:pPr>
          </w:p>
        </w:tc>
        <w:tc>
          <w:tcPr>
            <w:tcW w:w="5" w:type="pct"/>
            <w:shd w:val="clear" w:color="auto" w:fill="auto"/>
            <w:vAlign w:val="bottom"/>
          </w:tcPr>
          <w:p w14:paraId="5CD902FA" w14:textId="77777777" w:rsidR="00BA49F5" w:rsidRDefault="00BA49F5">
            <w:pPr>
              <w:rPr>
                <w:rFonts w:ascii="宋体"/>
              </w:rPr>
            </w:pPr>
          </w:p>
        </w:tc>
      </w:tr>
      <w:tr w:rsidR="00BA49F5" w14:paraId="5CD902FE" w14:textId="77777777">
        <w:tc>
          <w:tcPr>
            <w:tcW w:w="0" w:type="auto"/>
            <w:gridSpan w:val="3"/>
            <w:shd w:val="clear" w:color="auto" w:fill="auto"/>
            <w:tcMar>
              <w:top w:w="0" w:type="dxa"/>
              <w:left w:w="20" w:type="dxa"/>
              <w:bottom w:w="0" w:type="dxa"/>
              <w:right w:w="20" w:type="dxa"/>
            </w:tcMar>
            <w:vAlign w:val="bottom"/>
          </w:tcPr>
          <w:p w14:paraId="5CD902FC"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902FD"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90303" w14:textId="77777777">
        <w:tc>
          <w:tcPr>
            <w:tcW w:w="0" w:type="auto"/>
            <w:gridSpan w:val="3"/>
            <w:shd w:val="clear" w:color="auto" w:fill="auto"/>
            <w:tcMar>
              <w:top w:w="0" w:type="dxa"/>
              <w:left w:w="20" w:type="dxa"/>
              <w:bottom w:w="0" w:type="dxa"/>
              <w:right w:w="20" w:type="dxa"/>
            </w:tcMar>
            <w:vAlign w:val="bottom"/>
          </w:tcPr>
          <w:p w14:paraId="5CD902FF"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300"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30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302"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9030C" w14:textId="77777777">
        <w:tc>
          <w:tcPr>
            <w:tcW w:w="0" w:type="auto"/>
            <w:gridSpan w:val="3"/>
            <w:shd w:val="clear" w:color="auto" w:fill="CCEEFF"/>
            <w:tcMar>
              <w:top w:w="40" w:type="dxa"/>
              <w:left w:w="20" w:type="dxa"/>
              <w:bottom w:w="40" w:type="dxa"/>
              <w:right w:w="20" w:type="dxa"/>
            </w:tcMar>
            <w:vAlign w:val="bottom"/>
          </w:tcPr>
          <w:p w14:paraId="5CD90304" w14:textId="77777777" w:rsidR="00BA49F5" w:rsidRDefault="007E5E49">
            <w:pPr>
              <w:textAlignment w:val="bottom"/>
            </w:pPr>
            <w:r>
              <w:rPr>
                <w:rFonts w:ascii="Times New Roman" w:eastAsia="宋体" w:hAnsi="Times New Roman"/>
                <w:color w:val="000000"/>
                <w:sz w:val="20"/>
                <w:szCs w:val="20"/>
              </w:rPr>
              <w:t xml:space="preserve">Legal-related accruals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30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306" w14:textId="77777777" w:rsidR="00BA49F5" w:rsidRDefault="007E5E49">
            <w:pPr>
              <w:jc w:val="right"/>
              <w:textAlignment w:val="bottom"/>
            </w:pPr>
            <w:r>
              <w:rPr>
                <w:rFonts w:ascii="Times New Roman" w:eastAsia="宋体" w:hAnsi="Times New Roman"/>
                <w:color w:val="000000"/>
                <w:sz w:val="20"/>
                <w:szCs w:val="20"/>
              </w:rPr>
              <w:t>4,795 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30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308"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30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30A" w14:textId="77777777" w:rsidR="00BA49F5" w:rsidRDefault="007E5E49">
            <w:pPr>
              <w:jc w:val="right"/>
              <w:textAlignment w:val="bottom"/>
            </w:pPr>
            <w:r>
              <w:rPr>
                <w:rFonts w:ascii="Times New Roman" w:eastAsia="宋体" w:hAnsi="Times New Roman"/>
                <w:color w:val="000000"/>
                <w:sz w:val="20"/>
                <w:szCs w:val="20"/>
              </w:rPr>
              <w:t>3,254 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30B" w14:textId="77777777" w:rsidR="00BA49F5" w:rsidRDefault="00BA49F5">
            <w:pPr>
              <w:jc w:val="right"/>
              <w:rPr>
                <w:rFonts w:ascii="宋体"/>
              </w:rPr>
            </w:pPr>
          </w:p>
        </w:tc>
      </w:tr>
      <w:tr w:rsidR="00BA49F5" w14:paraId="5CD90313" w14:textId="77777777">
        <w:tc>
          <w:tcPr>
            <w:tcW w:w="0" w:type="auto"/>
            <w:gridSpan w:val="3"/>
            <w:shd w:val="clear" w:color="auto" w:fill="FFFFFF"/>
            <w:tcMar>
              <w:top w:w="40" w:type="dxa"/>
              <w:left w:w="20" w:type="dxa"/>
              <w:bottom w:w="40" w:type="dxa"/>
              <w:right w:w="20" w:type="dxa"/>
            </w:tcMar>
            <w:vAlign w:val="bottom"/>
          </w:tcPr>
          <w:p w14:paraId="5CD9030D" w14:textId="77777777" w:rsidR="00BA49F5" w:rsidRDefault="007E5E49">
            <w:pPr>
              <w:textAlignment w:val="bottom"/>
            </w:pPr>
            <w:r>
              <w:rPr>
                <w:rFonts w:ascii="Times New Roman" w:eastAsia="宋体" w:hAnsi="Times New Roman"/>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5CD9030E" w14:textId="77777777" w:rsidR="00BA49F5" w:rsidRDefault="007E5E49">
            <w:pPr>
              <w:jc w:val="right"/>
              <w:textAlignment w:val="bottom"/>
            </w:pPr>
            <w:r>
              <w:rPr>
                <w:rFonts w:ascii="Times New Roman" w:eastAsia="宋体" w:hAnsi="Times New Roman"/>
                <w:color w:val="000000"/>
                <w:sz w:val="20"/>
                <w:szCs w:val="20"/>
              </w:rPr>
              <w:t>4,591 </w:t>
            </w:r>
          </w:p>
        </w:tc>
        <w:tc>
          <w:tcPr>
            <w:tcW w:w="0" w:type="auto"/>
            <w:shd w:val="clear" w:color="auto" w:fill="FFFFFF"/>
            <w:tcMar>
              <w:top w:w="40" w:type="dxa"/>
              <w:left w:w="0" w:type="dxa"/>
              <w:bottom w:w="40" w:type="dxa"/>
              <w:right w:w="20" w:type="dxa"/>
            </w:tcMar>
            <w:vAlign w:val="bottom"/>
          </w:tcPr>
          <w:p w14:paraId="5CD9030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31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311" w14:textId="77777777" w:rsidR="00BA49F5" w:rsidRDefault="007E5E49">
            <w:pPr>
              <w:jc w:val="right"/>
              <w:textAlignment w:val="bottom"/>
            </w:pPr>
            <w:r>
              <w:rPr>
                <w:rFonts w:ascii="Times New Roman" w:eastAsia="宋体" w:hAnsi="Times New Roman"/>
                <w:color w:val="000000"/>
                <w:sz w:val="20"/>
                <w:szCs w:val="20"/>
              </w:rPr>
              <w:t>3,152 </w:t>
            </w:r>
          </w:p>
        </w:tc>
        <w:tc>
          <w:tcPr>
            <w:tcW w:w="0" w:type="auto"/>
            <w:shd w:val="clear" w:color="auto" w:fill="FFFFFF"/>
            <w:tcMar>
              <w:top w:w="40" w:type="dxa"/>
              <w:left w:w="0" w:type="dxa"/>
              <w:bottom w:w="40" w:type="dxa"/>
              <w:right w:w="20" w:type="dxa"/>
            </w:tcMar>
            <w:vAlign w:val="bottom"/>
          </w:tcPr>
          <w:p w14:paraId="5CD90312" w14:textId="77777777" w:rsidR="00BA49F5" w:rsidRDefault="00BA49F5">
            <w:pPr>
              <w:jc w:val="right"/>
              <w:rPr>
                <w:rFonts w:ascii="宋体"/>
              </w:rPr>
            </w:pPr>
          </w:p>
        </w:tc>
      </w:tr>
      <w:tr w:rsidR="00BA49F5" w14:paraId="5CD9031A" w14:textId="77777777">
        <w:tc>
          <w:tcPr>
            <w:tcW w:w="0" w:type="auto"/>
            <w:gridSpan w:val="3"/>
            <w:shd w:val="clear" w:color="auto" w:fill="CCEEFF"/>
            <w:tcMar>
              <w:top w:w="40" w:type="dxa"/>
              <w:left w:w="20" w:type="dxa"/>
              <w:bottom w:w="40" w:type="dxa"/>
              <w:right w:w="20" w:type="dxa"/>
            </w:tcMar>
            <w:vAlign w:val="bottom"/>
          </w:tcPr>
          <w:p w14:paraId="5CD90314" w14:textId="77777777" w:rsidR="00BA49F5" w:rsidRDefault="007E5E49">
            <w:pPr>
              <w:textAlignment w:val="bottom"/>
            </w:pPr>
            <w:r>
              <w:rPr>
                <w:rFonts w:ascii="Times New Roman" w:eastAsia="宋体" w:hAnsi="Times New Roman"/>
                <w:color w:val="000000"/>
                <w:sz w:val="20"/>
                <w:szCs w:val="20"/>
              </w:rPr>
              <w:t>Accrued property and equipment</w:t>
            </w:r>
          </w:p>
        </w:tc>
        <w:tc>
          <w:tcPr>
            <w:tcW w:w="0" w:type="auto"/>
            <w:gridSpan w:val="2"/>
            <w:shd w:val="clear" w:color="auto" w:fill="CCEEFF"/>
            <w:tcMar>
              <w:top w:w="40" w:type="dxa"/>
              <w:left w:w="20" w:type="dxa"/>
              <w:bottom w:w="40" w:type="dxa"/>
              <w:right w:w="0" w:type="dxa"/>
            </w:tcMar>
            <w:vAlign w:val="bottom"/>
          </w:tcPr>
          <w:p w14:paraId="5CD90315" w14:textId="77777777" w:rsidR="00BA49F5" w:rsidRDefault="007E5E49">
            <w:pPr>
              <w:jc w:val="right"/>
              <w:textAlignment w:val="bottom"/>
            </w:pPr>
            <w:r>
              <w:rPr>
                <w:rFonts w:ascii="Times New Roman" w:eastAsia="宋体" w:hAnsi="Times New Roman"/>
                <w:color w:val="000000"/>
                <w:sz w:val="20"/>
                <w:szCs w:val="20"/>
              </w:rPr>
              <w:t>2,921 </w:t>
            </w:r>
          </w:p>
        </w:tc>
        <w:tc>
          <w:tcPr>
            <w:tcW w:w="0" w:type="auto"/>
            <w:shd w:val="clear" w:color="auto" w:fill="CCEEFF"/>
            <w:tcMar>
              <w:top w:w="40" w:type="dxa"/>
              <w:left w:w="0" w:type="dxa"/>
              <w:bottom w:w="40" w:type="dxa"/>
              <w:right w:w="20" w:type="dxa"/>
            </w:tcMar>
            <w:vAlign w:val="bottom"/>
          </w:tcPr>
          <w:p w14:paraId="5CD9031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31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318" w14:textId="77777777" w:rsidR="00BA49F5" w:rsidRDefault="007E5E49">
            <w:pPr>
              <w:jc w:val="right"/>
              <w:textAlignment w:val="bottom"/>
            </w:pPr>
            <w:r>
              <w:rPr>
                <w:rFonts w:ascii="Times New Roman" w:eastAsia="宋体" w:hAnsi="Times New Roman"/>
                <w:color w:val="000000"/>
                <w:sz w:val="20"/>
                <w:szCs w:val="20"/>
              </w:rPr>
              <w:t>1,392 </w:t>
            </w:r>
          </w:p>
        </w:tc>
        <w:tc>
          <w:tcPr>
            <w:tcW w:w="0" w:type="auto"/>
            <w:shd w:val="clear" w:color="auto" w:fill="CCEEFF"/>
            <w:tcMar>
              <w:top w:w="40" w:type="dxa"/>
              <w:left w:w="0" w:type="dxa"/>
              <w:bottom w:w="40" w:type="dxa"/>
              <w:right w:w="20" w:type="dxa"/>
            </w:tcMar>
            <w:vAlign w:val="bottom"/>
          </w:tcPr>
          <w:p w14:paraId="5CD90319" w14:textId="77777777" w:rsidR="00BA49F5" w:rsidRDefault="00BA49F5">
            <w:pPr>
              <w:jc w:val="right"/>
              <w:rPr>
                <w:rFonts w:ascii="宋体"/>
              </w:rPr>
            </w:pPr>
          </w:p>
        </w:tc>
      </w:tr>
      <w:tr w:rsidR="00BA49F5" w14:paraId="5CD90321" w14:textId="77777777">
        <w:tc>
          <w:tcPr>
            <w:tcW w:w="0" w:type="auto"/>
            <w:gridSpan w:val="3"/>
            <w:shd w:val="clear" w:color="auto" w:fill="FFFFFF"/>
            <w:tcMar>
              <w:top w:w="40" w:type="dxa"/>
              <w:left w:w="20" w:type="dxa"/>
              <w:bottom w:w="40" w:type="dxa"/>
              <w:right w:w="20" w:type="dxa"/>
            </w:tcMar>
            <w:vAlign w:val="bottom"/>
          </w:tcPr>
          <w:p w14:paraId="5CD9031B" w14:textId="77777777" w:rsidR="00BA49F5" w:rsidRDefault="007E5E49">
            <w:pPr>
              <w:textAlignment w:val="bottom"/>
            </w:pPr>
            <w:r>
              <w:rPr>
                <w:rFonts w:ascii="Times New Roman" w:eastAsia="宋体" w:hAnsi="Times New Roman"/>
                <w:color w:val="000000"/>
                <w:sz w:val="20"/>
                <w:szCs w:val="20"/>
              </w:rPr>
              <w:t>Accrued taxes</w:t>
            </w:r>
          </w:p>
        </w:tc>
        <w:tc>
          <w:tcPr>
            <w:tcW w:w="0" w:type="auto"/>
            <w:gridSpan w:val="2"/>
            <w:shd w:val="clear" w:color="auto" w:fill="FFFFFF"/>
            <w:tcMar>
              <w:top w:w="40" w:type="dxa"/>
              <w:left w:w="20" w:type="dxa"/>
              <w:bottom w:w="40" w:type="dxa"/>
              <w:right w:w="0" w:type="dxa"/>
            </w:tcMar>
            <w:vAlign w:val="bottom"/>
          </w:tcPr>
          <w:p w14:paraId="5CD9031C" w14:textId="77777777" w:rsidR="00BA49F5" w:rsidRDefault="007E5E49">
            <w:pPr>
              <w:jc w:val="right"/>
              <w:textAlignment w:val="bottom"/>
            </w:pPr>
            <w:r>
              <w:rPr>
                <w:rFonts w:ascii="Times New Roman" w:eastAsia="宋体" w:hAnsi="Times New Roman"/>
                <w:color w:val="000000"/>
                <w:sz w:val="20"/>
                <w:szCs w:val="20"/>
              </w:rPr>
              <w:t>2,339 </w:t>
            </w:r>
          </w:p>
        </w:tc>
        <w:tc>
          <w:tcPr>
            <w:tcW w:w="0" w:type="auto"/>
            <w:shd w:val="clear" w:color="auto" w:fill="FFFFFF"/>
            <w:tcMar>
              <w:top w:w="40" w:type="dxa"/>
              <w:left w:w="0" w:type="dxa"/>
              <w:bottom w:w="40" w:type="dxa"/>
              <w:right w:w="20" w:type="dxa"/>
            </w:tcMar>
            <w:vAlign w:val="bottom"/>
          </w:tcPr>
          <w:p w14:paraId="5CD9031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31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31F" w14:textId="77777777" w:rsidR="00BA49F5" w:rsidRDefault="007E5E49">
            <w:pPr>
              <w:jc w:val="right"/>
              <w:textAlignment w:val="bottom"/>
            </w:pPr>
            <w:r>
              <w:rPr>
                <w:rFonts w:ascii="Times New Roman" w:eastAsia="宋体" w:hAnsi="Times New Roman"/>
                <w:color w:val="000000"/>
                <w:sz w:val="20"/>
                <w:szCs w:val="20"/>
              </w:rPr>
              <w:t>1,256 </w:t>
            </w:r>
          </w:p>
        </w:tc>
        <w:tc>
          <w:tcPr>
            <w:tcW w:w="0" w:type="auto"/>
            <w:shd w:val="clear" w:color="auto" w:fill="FFFFFF"/>
            <w:tcMar>
              <w:top w:w="40" w:type="dxa"/>
              <w:left w:w="0" w:type="dxa"/>
              <w:bottom w:w="40" w:type="dxa"/>
              <w:right w:w="20" w:type="dxa"/>
            </w:tcMar>
            <w:vAlign w:val="bottom"/>
          </w:tcPr>
          <w:p w14:paraId="5CD90320" w14:textId="77777777" w:rsidR="00BA49F5" w:rsidRDefault="00BA49F5">
            <w:pPr>
              <w:jc w:val="right"/>
              <w:rPr>
                <w:rFonts w:ascii="宋体"/>
              </w:rPr>
            </w:pPr>
          </w:p>
        </w:tc>
      </w:tr>
      <w:tr w:rsidR="00BA49F5" w14:paraId="5CD90328" w14:textId="77777777">
        <w:tc>
          <w:tcPr>
            <w:tcW w:w="0" w:type="auto"/>
            <w:gridSpan w:val="3"/>
            <w:shd w:val="clear" w:color="auto" w:fill="CCEEFF"/>
            <w:tcMar>
              <w:top w:w="40" w:type="dxa"/>
              <w:left w:w="20" w:type="dxa"/>
              <w:bottom w:w="40" w:type="dxa"/>
              <w:right w:w="20" w:type="dxa"/>
            </w:tcMar>
            <w:vAlign w:val="bottom"/>
          </w:tcPr>
          <w:p w14:paraId="5CD90322" w14:textId="77777777" w:rsidR="00BA49F5" w:rsidRDefault="007E5E49">
            <w:pPr>
              <w:textAlignment w:val="bottom"/>
            </w:pPr>
            <w:r>
              <w:rPr>
                <w:rFonts w:ascii="Times New Roman" w:eastAsia="宋体" w:hAnsi="Times New Roman"/>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5CD90323" w14:textId="77777777" w:rsidR="00BA49F5" w:rsidRDefault="007E5E49">
            <w:pPr>
              <w:jc w:val="right"/>
              <w:textAlignment w:val="bottom"/>
            </w:pPr>
            <w:r>
              <w:rPr>
                <w:rFonts w:ascii="Times New Roman" w:eastAsia="宋体" w:hAnsi="Times New Roman"/>
                <w:color w:val="000000"/>
                <w:sz w:val="20"/>
                <w:szCs w:val="20"/>
              </w:rPr>
              <w:t>4,906 </w:t>
            </w:r>
          </w:p>
        </w:tc>
        <w:tc>
          <w:tcPr>
            <w:tcW w:w="0" w:type="auto"/>
            <w:shd w:val="clear" w:color="auto" w:fill="CCEEFF"/>
            <w:tcMar>
              <w:top w:w="40" w:type="dxa"/>
              <w:left w:w="0" w:type="dxa"/>
              <w:bottom w:w="40" w:type="dxa"/>
              <w:right w:w="20" w:type="dxa"/>
            </w:tcMar>
            <w:vAlign w:val="bottom"/>
          </w:tcPr>
          <w:p w14:paraId="5CD9032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32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326" w14:textId="77777777" w:rsidR="00BA49F5" w:rsidRDefault="007E5E49">
            <w:pPr>
              <w:jc w:val="right"/>
              <w:textAlignment w:val="bottom"/>
            </w:pPr>
            <w:r>
              <w:rPr>
                <w:rFonts w:ascii="Times New Roman" w:eastAsia="宋体" w:hAnsi="Times New Roman"/>
                <w:color w:val="000000"/>
                <w:sz w:val="20"/>
                <w:szCs w:val="20"/>
              </w:rPr>
              <w:t>5,819 </w:t>
            </w:r>
          </w:p>
        </w:tc>
        <w:tc>
          <w:tcPr>
            <w:tcW w:w="0" w:type="auto"/>
            <w:shd w:val="clear" w:color="auto" w:fill="CCEEFF"/>
            <w:tcMar>
              <w:top w:w="40" w:type="dxa"/>
              <w:left w:w="0" w:type="dxa"/>
              <w:bottom w:w="40" w:type="dxa"/>
              <w:right w:w="20" w:type="dxa"/>
            </w:tcMar>
            <w:vAlign w:val="bottom"/>
          </w:tcPr>
          <w:p w14:paraId="5CD90327" w14:textId="77777777" w:rsidR="00BA49F5" w:rsidRDefault="00BA49F5">
            <w:pPr>
              <w:jc w:val="right"/>
              <w:rPr>
                <w:rFonts w:ascii="宋体"/>
              </w:rPr>
            </w:pPr>
          </w:p>
        </w:tc>
      </w:tr>
      <w:tr w:rsidR="00BA49F5" w14:paraId="5CD90331" w14:textId="77777777">
        <w:tc>
          <w:tcPr>
            <w:tcW w:w="0" w:type="auto"/>
            <w:gridSpan w:val="3"/>
            <w:shd w:val="clear" w:color="auto" w:fill="FFFFFF"/>
            <w:tcMar>
              <w:top w:w="40" w:type="dxa"/>
              <w:left w:w="380" w:type="dxa"/>
              <w:bottom w:w="40" w:type="dxa"/>
              <w:right w:w="20" w:type="dxa"/>
            </w:tcMar>
            <w:vAlign w:val="bottom"/>
          </w:tcPr>
          <w:p w14:paraId="5CD90329" w14:textId="77777777" w:rsidR="00BA49F5" w:rsidRDefault="007E5E49">
            <w:pPr>
              <w:textAlignment w:val="bottom"/>
            </w:pPr>
            <w:r>
              <w:rPr>
                <w:rFonts w:ascii="Times New Roman" w:eastAsia="宋体" w:hAnsi="Times New Roman"/>
                <w:color w:val="000000"/>
                <w:sz w:val="20"/>
                <w:szCs w:val="20"/>
              </w:rPr>
              <w:t>Accrued expenses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32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32B" w14:textId="77777777" w:rsidR="00BA49F5" w:rsidRDefault="007E5E49">
            <w:pPr>
              <w:jc w:val="right"/>
              <w:textAlignment w:val="bottom"/>
            </w:pPr>
            <w:r>
              <w:rPr>
                <w:rFonts w:ascii="Times New Roman" w:eastAsia="宋体" w:hAnsi="Times New Roman"/>
                <w:color w:val="000000"/>
                <w:sz w:val="20"/>
                <w:szCs w:val="20"/>
              </w:rPr>
              <w:t>19,552 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32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32D"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32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32F" w14:textId="77777777" w:rsidR="00BA49F5" w:rsidRDefault="007E5E49">
            <w:pPr>
              <w:jc w:val="right"/>
              <w:textAlignment w:val="bottom"/>
            </w:pPr>
            <w:r>
              <w:rPr>
                <w:rFonts w:ascii="Times New Roman" w:eastAsia="宋体" w:hAnsi="Times New Roman"/>
                <w:color w:val="000000"/>
                <w:sz w:val="20"/>
                <w:szCs w:val="20"/>
              </w:rPr>
              <w:t>14,873 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330" w14:textId="77777777" w:rsidR="00BA49F5" w:rsidRDefault="00BA49F5">
            <w:pPr>
              <w:jc w:val="right"/>
              <w:rPr>
                <w:rFonts w:ascii="宋体"/>
              </w:rPr>
            </w:pPr>
          </w:p>
        </w:tc>
      </w:tr>
    </w:tbl>
    <w:p w14:paraId="5CD90332" w14:textId="77777777" w:rsidR="00BA49F5" w:rsidRDefault="007E5E49">
      <w:r>
        <w:rPr>
          <w:rFonts w:ascii="Times New Roman" w:eastAsia="宋体" w:hAnsi="Times New Roman"/>
          <w:color w:val="000000"/>
          <w:sz w:val="12"/>
          <w:szCs w:val="12"/>
        </w:rPr>
        <w:t>_________________________</w:t>
      </w:r>
    </w:p>
    <w:p w14:paraId="5CD90333" w14:textId="77777777" w:rsidR="00BA49F5" w:rsidRDefault="007E5E49">
      <w:pPr>
        <w:ind w:hanging="360"/>
        <w:jc w:val="both"/>
      </w:pPr>
      <w:r>
        <w:rPr>
          <w:rFonts w:ascii="Times New Roman" w:eastAsia="宋体" w:hAnsi="Times New Roman"/>
          <w:color w:val="000000"/>
          <w:sz w:val="18"/>
          <w:szCs w:val="18"/>
        </w:rPr>
        <w:t xml:space="preserve">(1)Includes accruals for estimated fines, settlements, or other losses in connection with legal and related matters, as well as other legal fees. For further information, see </w:t>
      </w:r>
      <w:r>
        <w:rPr>
          <w:rFonts w:ascii="Times New Roman" w:eastAsia="宋体" w:hAnsi="Times New Roman"/>
          <w:i/>
          <w:iCs/>
          <w:color w:val="000000"/>
          <w:sz w:val="18"/>
          <w:szCs w:val="18"/>
        </w:rPr>
        <w:t>Legal and Related Matters</w:t>
      </w:r>
      <w:r>
        <w:rPr>
          <w:rFonts w:ascii="Times New Roman" w:eastAsia="宋体" w:hAnsi="Times New Roman"/>
          <w:color w:val="000000"/>
          <w:sz w:val="18"/>
          <w:szCs w:val="18"/>
        </w:rPr>
        <w:t xml:space="preserve"> in Note 13 — Commitments and Contingencies.</w:t>
      </w:r>
    </w:p>
    <w:p w14:paraId="5CD90334" w14:textId="77777777" w:rsidR="00BA49F5" w:rsidRDefault="00BA49F5">
      <w:pPr>
        <w:ind w:firstLine="540"/>
      </w:pPr>
    </w:p>
    <w:p w14:paraId="5CD90335" w14:textId="77777777" w:rsidR="00BA49F5" w:rsidRDefault="007E5E49">
      <w:pPr>
        <w:ind w:firstLine="540"/>
      </w:pPr>
      <w:r>
        <w:rPr>
          <w:rFonts w:ascii="Times New Roman" w:eastAsia="宋体" w:hAnsi="Times New Roman"/>
          <w:color w:val="000000"/>
          <w:sz w:val="20"/>
          <w:szCs w:val="20"/>
        </w:rPr>
        <w:t>The compon</w:t>
      </w:r>
      <w:r>
        <w:rPr>
          <w:rFonts w:ascii="Times New Roman" w:eastAsia="宋体" w:hAnsi="Times New Roman"/>
          <w:color w:val="000000"/>
          <w:sz w:val="20"/>
          <w:szCs w:val="20"/>
        </w:rPr>
        <w:t>ents of other liabilities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8"/>
        <w:gridCol w:w="120"/>
        <w:gridCol w:w="1106"/>
        <w:gridCol w:w="36"/>
        <w:gridCol w:w="36"/>
        <w:gridCol w:w="36"/>
        <w:gridCol w:w="36"/>
        <w:gridCol w:w="120"/>
        <w:gridCol w:w="1073"/>
        <w:gridCol w:w="36"/>
      </w:tblGrid>
      <w:tr w:rsidR="00BA49F5" w14:paraId="5CD90342" w14:textId="77777777">
        <w:tc>
          <w:tcPr>
            <w:tcW w:w="50" w:type="pct"/>
            <w:shd w:val="clear" w:color="auto" w:fill="auto"/>
            <w:vAlign w:val="bottom"/>
          </w:tcPr>
          <w:p w14:paraId="5CD90336" w14:textId="77777777" w:rsidR="00BA49F5" w:rsidRDefault="00BA49F5">
            <w:pPr>
              <w:rPr>
                <w:rFonts w:ascii="宋体"/>
              </w:rPr>
            </w:pPr>
          </w:p>
        </w:tc>
        <w:tc>
          <w:tcPr>
            <w:tcW w:w="3419" w:type="pct"/>
            <w:shd w:val="clear" w:color="auto" w:fill="auto"/>
            <w:vAlign w:val="bottom"/>
          </w:tcPr>
          <w:p w14:paraId="5CD90337" w14:textId="77777777" w:rsidR="00BA49F5" w:rsidRDefault="00BA49F5">
            <w:pPr>
              <w:rPr>
                <w:rFonts w:ascii="宋体"/>
              </w:rPr>
            </w:pPr>
          </w:p>
        </w:tc>
        <w:tc>
          <w:tcPr>
            <w:tcW w:w="5" w:type="pct"/>
            <w:shd w:val="clear" w:color="auto" w:fill="auto"/>
            <w:vAlign w:val="bottom"/>
          </w:tcPr>
          <w:p w14:paraId="5CD90338" w14:textId="77777777" w:rsidR="00BA49F5" w:rsidRDefault="00BA49F5">
            <w:pPr>
              <w:rPr>
                <w:rFonts w:ascii="宋体"/>
              </w:rPr>
            </w:pPr>
          </w:p>
        </w:tc>
        <w:tc>
          <w:tcPr>
            <w:tcW w:w="50" w:type="pct"/>
            <w:shd w:val="clear" w:color="auto" w:fill="auto"/>
            <w:vAlign w:val="bottom"/>
          </w:tcPr>
          <w:p w14:paraId="5CD90339" w14:textId="77777777" w:rsidR="00BA49F5" w:rsidRDefault="00BA49F5">
            <w:pPr>
              <w:rPr>
                <w:rFonts w:ascii="宋体"/>
              </w:rPr>
            </w:pPr>
          </w:p>
        </w:tc>
        <w:tc>
          <w:tcPr>
            <w:tcW w:w="689" w:type="pct"/>
            <w:shd w:val="clear" w:color="auto" w:fill="auto"/>
            <w:vAlign w:val="bottom"/>
          </w:tcPr>
          <w:p w14:paraId="5CD9033A" w14:textId="77777777" w:rsidR="00BA49F5" w:rsidRDefault="00BA49F5">
            <w:pPr>
              <w:rPr>
                <w:rFonts w:ascii="宋体"/>
              </w:rPr>
            </w:pPr>
          </w:p>
        </w:tc>
        <w:tc>
          <w:tcPr>
            <w:tcW w:w="5" w:type="pct"/>
            <w:shd w:val="clear" w:color="auto" w:fill="auto"/>
            <w:vAlign w:val="bottom"/>
          </w:tcPr>
          <w:p w14:paraId="5CD9033B" w14:textId="77777777" w:rsidR="00BA49F5" w:rsidRDefault="00BA49F5">
            <w:pPr>
              <w:rPr>
                <w:rFonts w:ascii="宋体"/>
              </w:rPr>
            </w:pPr>
          </w:p>
        </w:tc>
        <w:tc>
          <w:tcPr>
            <w:tcW w:w="5" w:type="pct"/>
            <w:shd w:val="clear" w:color="auto" w:fill="auto"/>
            <w:vAlign w:val="bottom"/>
          </w:tcPr>
          <w:p w14:paraId="5CD9033C" w14:textId="77777777" w:rsidR="00BA49F5" w:rsidRDefault="00BA49F5">
            <w:pPr>
              <w:rPr>
                <w:rFonts w:ascii="宋体"/>
              </w:rPr>
            </w:pPr>
          </w:p>
        </w:tc>
        <w:tc>
          <w:tcPr>
            <w:tcW w:w="27" w:type="pct"/>
            <w:shd w:val="clear" w:color="auto" w:fill="auto"/>
            <w:vAlign w:val="bottom"/>
          </w:tcPr>
          <w:p w14:paraId="5CD9033D" w14:textId="77777777" w:rsidR="00BA49F5" w:rsidRDefault="00BA49F5">
            <w:pPr>
              <w:rPr>
                <w:rFonts w:ascii="宋体"/>
              </w:rPr>
            </w:pPr>
          </w:p>
        </w:tc>
        <w:tc>
          <w:tcPr>
            <w:tcW w:w="5" w:type="pct"/>
            <w:shd w:val="clear" w:color="auto" w:fill="auto"/>
            <w:vAlign w:val="bottom"/>
          </w:tcPr>
          <w:p w14:paraId="5CD9033E" w14:textId="77777777" w:rsidR="00BA49F5" w:rsidRDefault="00BA49F5">
            <w:pPr>
              <w:rPr>
                <w:rFonts w:ascii="宋体"/>
              </w:rPr>
            </w:pPr>
          </w:p>
        </w:tc>
        <w:tc>
          <w:tcPr>
            <w:tcW w:w="50" w:type="pct"/>
            <w:shd w:val="clear" w:color="auto" w:fill="auto"/>
            <w:vAlign w:val="bottom"/>
          </w:tcPr>
          <w:p w14:paraId="5CD9033F" w14:textId="77777777" w:rsidR="00BA49F5" w:rsidRDefault="00BA49F5">
            <w:pPr>
              <w:rPr>
                <w:rFonts w:ascii="宋体"/>
              </w:rPr>
            </w:pPr>
          </w:p>
        </w:tc>
        <w:tc>
          <w:tcPr>
            <w:tcW w:w="689" w:type="pct"/>
            <w:shd w:val="clear" w:color="auto" w:fill="auto"/>
            <w:vAlign w:val="bottom"/>
          </w:tcPr>
          <w:p w14:paraId="5CD90340" w14:textId="77777777" w:rsidR="00BA49F5" w:rsidRDefault="00BA49F5">
            <w:pPr>
              <w:rPr>
                <w:rFonts w:ascii="宋体"/>
              </w:rPr>
            </w:pPr>
          </w:p>
        </w:tc>
        <w:tc>
          <w:tcPr>
            <w:tcW w:w="5" w:type="pct"/>
            <w:shd w:val="clear" w:color="auto" w:fill="auto"/>
            <w:vAlign w:val="bottom"/>
          </w:tcPr>
          <w:p w14:paraId="5CD90341" w14:textId="77777777" w:rsidR="00BA49F5" w:rsidRDefault="00BA49F5">
            <w:pPr>
              <w:rPr>
                <w:rFonts w:ascii="宋体"/>
              </w:rPr>
            </w:pPr>
          </w:p>
        </w:tc>
      </w:tr>
      <w:tr w:rsidR="00BA49F5" w14:paraId="5CD90345" w14:textId="77777777">
        <w:tc>
          <w:tcPr>
            <w:tcW w:w="0" w:type="auto"/>
            <w:gridSpan w:val="3"/>
            <w:shd w:val="clear" w:color="auto" w:fill="auto"/>
            <w:tcMar>
              <w:top w:w="0" w:type="dxa"/>
              <w:left w:w="20" w:type="dxa"/>
              <w:bottom w:w="0" w:type="dxa"/>
              <w:right w:w="20" w:type="dxa"/>
            </w:tcMar>
            <w:vAlign w:val="bottom"/>
          </w:tcPr>
          <w:p w14:paraId="5CD90343" w14:textId="77777777" w:rsidR="00BA49F5" w:rsidRDefault="00BA49F5">
            <w:pPr>
              <w:rPr>
                <w:rFonts w:ascii="宋体"/>
              </w:rPr>
            </w:pPr>
          </w:p>
        </w:tc>
        <w:tc>
          <w:tcPr>
            <w:tcW w:w="0" w:type="auto"/>
            <w:gridSpan w:val="9"/>
            <w:shd w:val="clear" w:color="auto" w:fill="auto"/>
            <w:tcMar>
              <w:top w:w="40" w:type="dxa"/>
              <w:left w:w="20" w:type="dxa"/>
              <w:bottom w:w="40" w:type="dxa"/>
              <w:right w:w="20" w:type="dxa"/>
            </w:tcMar>
            <w:vAlign w:val="bottom"/>
          </w:tcPr>
          <w:p w14:paraId="5CD90344"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9034A" w14:textId="77777777">
        <w:tc>
          <w:tcPr>
            <w:tcW w:w="0" w:type="auto"/>
            <w:gridSpan w:val="3"/>
            <w:shd w:val="clear" w:color="auto" w:fill="auto"/>
            <w:tcMar>
              <w:top w:w="0" w:type="dxa"/>
              <w:left w:w="20" w:type="dxa"/>
              <w:bottom w:w="0" w:type="dxa"/>
              <w:right w:w="20" w:type="dxa"/>
            </w:tcMar>
            <w:vAlign w:val="bottom"/>
          </w:tcPr>
          <w:p w14:paraId="5CD90346"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347"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348"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349"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90353" w14:textId="77777777">
        <w:tc>
          <w:tcPr>
            <w:tcW w:w="0" w:type="auto"/>
            <w:gridSpan w:val="3"/>
            <w:shd w:val="clear" w:color="auto" w:fill="CCEEFF"/>
            <w:tcMar>
              <w:top w:w="40" w:type="dxa"/>
              <w:left w:w="20" w:type="dxa"/>
              <w:bottom w:w="40" w:type="dxa"/>
              <w:right w:w="20" w:type="dxa"/>
            </w:tcMar>
            <w:vAlign w:val="bottom"/>
          </w:tcPr>
          <w:p w14:paraId="5CD9034B" w14:textId="77777777" w:rsidR="00BA49F5" w:rsidRDefault="007E5E49">
            <w:pPr>
              <w:textAlignment w:val="bottom"/>
            </w:pPr>
            <w:r>
              <w:rPr>
                <w:rFonts w:ascii="Times New Roman" w:eastAsia="宋体" w:hAnsi="Times New Roman"/>
                <w:color w:val="000000"/>
                <w:sz w:val="20"/>
                <w:szCs w:val="20"/>
              </w:rPr>
              <w:t>Income tax payable</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34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34D" w14:textId="77777777" w:rsidR="00BA49F5" w:rsidRDefault="007E5E49">
            <w:pPr>
              <w:jc w:val="right"/>
              <w:textAlignment w:val="bottom"/>
            </w:pPr>
            <w:r>
              <w:rPr>
                <w:rFonts w:ascii="Times New Roman" w:eastAsia="宋体" w:hAnsi="Times New Roman"/>
                <w:color w:val="000000"/>
                <w:sz w:val="20"/>
                <w:szCs w:val="20"/>
              </w:rPr>
              <w:t>6,645 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34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34F"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35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351" w14:textId="77777777" w:rsidR="00BA49F5" w:rsidRDefault="007E5E49">
            <w:pPr>
              <w:jc w:val="right"/>
              <w:textAlignment w:val="bottom"/>
            </w:pPr>
            <w:r>
              <w:rPr>
                <w:rFonts w:ascii="Times New Roman" w:eastAsia="宋体" w:hAnsi="Times New Roman"/>
                <w:color w:val="000000"/>
                <w:sz w:val="20"/>
                <w:szCs w:val="20"/>
              </w:rPr>
              <w:t>5,938 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352" w14:textId="77777777" w:rsidR="00BA49F5" w:rsidRDefault="00BA49F5">
            <w:pPr>
              <w:jc w:val="right"/>
              <w:rPr>
                <w:rFonts w:ascii="宋体"/>
              </w:rPr>
            </w:pPr>
          </w:p>
        </w:tc>
      </w:tr>
      <w:tr w:rsidR="00BA49F5" w14:paraId="5CD90358" w14:textId="77777777">
        <w:trPr>
          <w:hidden/>
        </w:trPr>
        <w:tc>
          <w:tcPr>
            <w:tcW w:w="0" w:type="auto"/>
            <w:gridSpan w:val="3"/>
            <w:shd w:val="clear" w:color="auto" w:fill="auto"/>
            <w:vAlign w:val="bottom"/>
          </w:tcPr>
          <w:p w14:paraId="5CD90354" w14:textId="77777777" w:rsidR="00BA49F5" w:rsidRDefault="00BA49F5">
            <w:pPr>
              <w:rPr>
                <w:rFonts w:ascii="宋体"/>
                <w:vanish/>
              </w:rPr>
            </w:pPr>
          </w:p>
        </w:tc>
        <w:tc>
          <w:tcPr>
            <w:tcW w:w="0" w:type="auto"/>
            <w:gridSpan w:val="3"/>
            <w:shd w:val="clear" w:color="auto" w:fill="auto"/>
            <w:vAlign w:val="bottom"/>
          </w:tcPr>
          <w:p w14:paraId="5CD90355" w14:textId="77777777" w:rsidR="00BA49F5" w:rsidRDefault="00BA49F5">
            <w:pPr>
              <w:rPr>
                <w:rFonts w:ascii="宋体"/>
                <w:vanish/>
              </w:rPr>
            </w:pPr>
          </w:p>
        </w:tc>
        <w:tc>
          <w:tcPr>
            <w:tcW w:w="0" w:type="auto"/>
            <w:gridSpan w:val="3"/>
            <w:shd w:val="clear" w:color="auto" w:fill="auto"/>
            <w:vAlign w:val="bottom"/>
          </w:tcPr>
          <w:p w14:paraId="5CD90356" w14:textId="77777777" w:rsidR="00BA49F5" w:rsidRDefault="00BA49F5">
            <w:pPr>
              <w:rPr>
                <w:rFonts w:ascii="宋体"/>
                <w:vanish/>
              </w:rPr>
            </w:pPr>
          </w:p>
        </w:tc>
        <w:tc>
          <w:tcPr>
            <w:tcW w:w="0" w:type="auto"/>
            <w:gridSpan w:val="3"/>
            <w:shd w:val="clear" w:color="auto" w:fill="auto"/>
            <w:vAlign w:val="bottom"/>
          </w:tcPr>
          <w:p w14:paraId="5CD90357" w14:textId="77777777" w:rsidR="00BA49F5" w:rsidRDefault="00BA49F5">
            <w:pPr>
              <w:rPr>
                <w:rFonts w:ascii="宋体"/>
                <w:vanish/>
              </w:rPr>
            </w:pPr>
          </w:p>
        </w:tc>
      </w:tr>
      <w:tr w:rsidR="00BA49F5" w14:paraId="5CD9035F" w14:textId="77777777">
        <w:tc>
          <w:tcPr>
            <w:tcW w:w="0" w:type="auto"/>
            <w:gridSpan w:val="3"/>
            <w:shd w:val="clear" w:color="auto" w:fill="FFFFFF"/>
            <w:tcMar>
              <w:top w:w="40" w:type="dxa"/>
              <w:left w:w="20" w:type="dxa"/>
              <w:bottom w:w="40" w:type="dxa"/>
              <w:right w:w="20" w:type="dxa"/>
            </w:tcMar>
            <w:vAlign w:val="bottom"/>
          </w:tcPr>
          <w:p w14:paraId="5CD90359" w14:textId="77777777" w:rsidR="00BA49F5" w:rsidRDefault="007E5E49">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5CD9035A" w14:textId="77777777" w:rsidR="00BA49F5" w:rsidRDefault="007E5E49">
            <w:pPr>
              <w:jc w:val="right"/>
              <w:textAlignment w:val="bottom"/>
            </w:pPr>
            <w:r>
              <w:rPr>
                <w:rFonts w:ascii="Times New Roman" w:eastAsia="宋体" w:hAnsi="Times New Roman"/>
                <w:color w:val="000000"/>
                <w:sz w:val="20"/>
                <w:szCs w:val="20"/>
              </w:rPr>
              <w:t>1,119 </w:t>
            </w:r>
          </w:p>
        </w:tc>
        <w:tc>
          <w:tcPr>
            <w:tcW w:w="0" w:type="auto"/>
            <w:shd w:val="clear" w:color="auto" w:fill="FFFFFF"/>
            <w:tcMar>
              <w:top w:w="40" w:type="dxa"/>
              <w:left w:w="0" w:type="dxa"/>
              <w:bottom w:w="40" w:type="dxa"/>
              <w:right w:w="20" w:type="dxa"/>
            </w:tcMar>
            <w:vAlign w:val="bottom"/>
          </w:tcPr>
          <w:p w14:paraId="5CD9035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35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35D" w14:textId="77777777" w:rsidR="00BA49F5" w:rsidRDefault="007E5E49">
            <w:pPr>
              <w:jc w:val="right"/>
              <w:textAlignment w:val="bottom"/>
            </w:pPr>
            <w:r>
              <w:rPr>
                <w:rFonts w:ascii="Times New Roman" w:eastAsia="宋体" w:hAnsi="Times New Roman"/>
                <w:color w:val="000000"/>
                <w:sz w:val="20"/>
                <w:szCs w:val="20"/>
              </w:rPr>
              <w:t>1,289 </w:t>
            </w:r>
          </w:p>
        </w:tc>
        <w:tc>
          <w:tcPr>
            <w:tcW w:w="0" w:type="auto"/>
            <w:shd w:val="clear" w:color="auto" w:fill="FFFFFF"/>
            <w:tcMar>
              <w:top w:w="40" w:type="dxa"/>
              <w:left w:w="0" w:type="dxa"/>
              <w:bottom w:w="40" w:type="dxa"/>
              <w:right w:w="20" w:type="dxa"/>
            </w:tcMar>
            <w:vAlign w:val="bottom"/>
          </w:tcPr>
          <w:p w14:paraId="5CD9035E" w14:textId="77777777" w:rsidR="00BA49F5" w:rsidRDefault="00BA49F5">
            <w:pPr>
              <w:jc w:val="right"/>
              <w:rPr>
                <w:rFonts w:ascii="宋体"/>
              </w:rPr>
            </w:pPr>
          </w:p>
        </w:tc>
      </w:tr>
      <w:tr w:rsidR="00BA49F5" w14:paraId="5CD90368" w14:textId="77777777">
        <w:tc>
          <w:tcPr>
            <w:tcW w:w="0" w:type="auto"/>
            <w:gridSpan w:val="3"/>
            <w:shd w:val="clear" w:color="auto" w:fill="CCEEFF"/>
            <w:tcMar>
              <w:top w:w="40" w:type="dxa"/>
              <w:left w:w="380" w:type="dxa"/>
              <w:bottom w:w="40" w:type="dxa"/>
              <w:right w:w="20" w:type="dxa"/>
            </w:tcMar>
            <w:vAlign w:val="bottom"/>
          </w:tcPr>
          <w:p w14:paraId="5CD90360" w14:textId="77777777" w:rsidR="00BA49F5" w:rsidRDefault="007E5E49">
            <w:pPr>
              <w:textAlignment w:val="bottom"/>
            </w:pPr>
            <w:r>
              <w:rPr>
                <w:rFonts w:ascii="Times New Roman" w:eastAsia="宋体" w:hAnsi="Times New Roman"/>
                <w:color w:val="000000"/>
                <w:sz w:val="20"/>
                <w:szCs w:val="20"/>
              </w:rPr>
              <w:t>Other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36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362" w14:textId="77777777" w:rsidR="00BA49F5" w:rsidRDefault="007E5E49">
            <w:pPr>
              <w:jc w:val="right"/>
              <w:textAlignment w:val="bottom"/>
            </w:pPr>
            <w:r>
              <w:rPr>
                <w:rFonts w:ascii="Times New Roman" w:eastAsia="宋体" w:hAnsi="Times New Roman"/>
                <w:color w:val="000000"/>
                <w:sz w:val="20"/>
                <w:szCs w:val="20"/>
              </w:rPr>
              <w:t>7,764 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36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364"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36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366" w14:textId="77777777" w:rsidR="00BA49F5" w:rsidRDefault="007E5E49">
            <w:pPr>
              <w:jc w:val="right"/>
              <w:textAlignment w:val="bottom"/>
            </w:pPr>
            <w:r>
              <w:rPr>
                <w:rFonts w:ascii="Times New Roman" w:eastAsia="宋体" w:hAnsi="Times New Roman"/>
                <w:color w:val="000000"/>
                <w:sz w:val="20"/>
                <w:szCs w:val="20"/>
              </w:rPr>
              <w:t>7,227 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367" w14:textId="77777777" w:rsidR="00BA49F5" w:rsidRDefault="00BA49F5">
            <w:pPr>
              <w:jc w:val="right"/>
              <w:rPr>
                <w:rFonts w:ascii="宋体"/>
              </w:rPr>
            </w:pPr>
          </w:p>
        </w:tc>
      </w:tr>
    </w:tbl>
    <w:p w14:paraId="5CD90369" w14:textId="77777777" w:rsidR="00BA49F5" w:rsidRDefault="00BA49F5">
      <w:pPr>
        <w:ind w:firstLine="540"/>
      </w:pPr>
    </w:p>
    <w:p w14:paraId="5CD9036A" w14:textId="77777777" w:rsidR="00BA49F5" w:rsidRDefault="007E5E49">
      <w:pPr>
        <w:spacing w:before="180"/>
        <w:jc w:val="both"/>
      </w:pPr>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Commitments and Contingencies</w:t>
      </w:r>
    </w:p>
    <w:p w14:paraId="5CD9036B" w14:textId="77777777" w:rsidR="00BA49F5" w:rsidRDefault="00BA49F5">
      <w:pPr>
        <w:ind w:firstLine="540"/>
        <w:jc w:val="both"/>
      </w:pPr>
    </w:p>
    <w:p w14:paraId="5CD9036C" w14:textId="77777777" w:rsidR="00BA49F5" w:rsidRDefault="007E5E49">
      <w:pPr>
        <w:jc w:val="both"/>
      </w:pPr>
      <w:r>
        <w:rPr>
          <w:rFonts w:ascii="Times New Roman" w:eastAsia="宋体" w:hAnsi="Times New Roman"/>
          <w:b/>
          <w:bCs/>
          <w:i/>
          <w:iCs/>
          <w:color w:val="000000"/>
          <w:sz w:val="20"/>
          <w:szCs w:val="20"/>
        </w:rPr>
        <w:t>Guarantee</w:t>
      </w:r>
    </w:p>
    <w:p w14:paraId="5CD9036D" w14:textId="77777777" w:rsidR="00BA49F5" w:rsidRDefault="00BA49F5">
      <w:pPr>
        <w:ind w:firstLine="540"/>
        <w:jc w:val="both"/>
      </w:pPr>
    </w:p>
    <w:p w14:paraId="5CD9036E" w14:textId="77777777" w:rsidR="00BA49F5" w:rsidRDefault="007E5E49">
      <w:pPr>
        <w:ind w:firstLine="540"/>
        <w:jc w:val="both"/>
      </w:pPr>
      <w:r>
        <w:rPr>
          <w:rFonts w:ascii="Times New Roman" w:eastAsia="宋体" w:hAnsi="Times New Roman"/>
          <w:color w:val="000000"/>
          <w:sz w:val="20"/>
          <w:szCs w:val="20"/>
        </w:rPr>
        <w:t>In 2018, we established a multi-currency notional cash pool for certain of our entities with a third-party bank provider, which was terminated on December 2, 2022. As a result, the parental guarantee by Meta Platfo</w:t>
      </w:r>
      <w:r>
        <w:rPr>
          <w:rFonts w:ascii="Times New Roman" w:eastAsia="宋体" w:hAnsi="Times New Roman"/>
          <w:color w:val="000000"/>
          <w:sz w:val="20"/>
          <w:szCs w:val="20"/>
        </w:rPr>
        <w:t xml:space="preserve">rms, Inc. was no longer required. </w:t>
      </w:r>
    </w:p>
    <w:p w14:paraId="5CD9036F" w14:textId="77777777" w:rsidR="00BA49F5" w:rsidRDefault="00BA49F5">
      <w:pPr>
        <w:ind w:firstLine="540"/>
        <w:jc w:val="both"/>
      </w:pPr>
    </w:p>
    <w:p w14:paraId="5CD90370" w14:textId="77777777" w:rsidR="00BA49F5" w:rsidRDefault="007E5E49">
      <w:pPr>
        <w:jc w:val="both"/>
      </w:pPr>
      <w:r>
        <w:rPr>
          <w:rFonts w:ascii="Times New Roman" w:eastAsia="宋体" w:hAnsi="Times New Roman"/>
          <w:b/>
          <w:bCs/>
          <w:i/>
          <w:iCs/>
          <w:color w:val="000000"/>
          <w:sz w:val="20"/>
          <w:szCs w:val="20"/>
        </w:rPr>
        <w:t>Contractual Commitments</w:t>
      </w:r>
    </w:p>
    <w:p w14:paraId="5CD90371" w14:textId="77777777" w:rsidR="00BA49F5" w:rsidRDefault="00BA49F5">
      <w:pPr>
        <w:ind w:firstLine="540"/>
        <w:jc w:val="both"/>
      </w:pPr>
    </w:p>
    <w:p w14:paraId="5CD90372" w14:textId="77777777" w:rsidR="00BA49F5" w:rsidRDefault="007E5E49">
      <w:pPr>
        <w:ind w:firstLine="540"/>
        <w:jc w:val="both"/>
      </w:pPr>
      <w:r>
        <w:rPr>
          <w:rFonts w:ascii="Times New Roman" w:eastAsia="宋体" w:hAnsi="Times New Roman"/>
          <w:color w:val="000000"/>
          <w:sz w:val="20"/>
          <w:szCs w:val="20"/>
        </w:rPr>
        <w:t xml:space="preserve">We have $19.91 billion of non-cancelable contractual commitments as of December 31, 2022, which are primarily related to our investments in network infrastructure, servers, and consumer hardware </w:t>
      </w:r>
      <w:r>
        <w:rPr>
          <w:rFonts w:ascii="Times New Roman" w:eastAsia="宋体" w:hAnsi="Times New Roman"/>
          <w:color w:val="000000"/>
          <w:sz w:val="20"/>
          <w:szCs w:val="20"/>
        </w:rPr>
        <w:t>products in Reality Labs. The following is a schedule, by years, of non-cancelable contractual commitments as of December 31, 2022 (in millions):</w:t>
      </w:r>
    </w:p>
    <w:p w14:paraId="5CD90373" w14:textId="77777777" w:rsidR="00BA49F5" w:rsidRDefault="00BA49F5">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BA49F5" w14:paraId="5CD9037A" w14:textId="77777777">
        <w:tc>
          <w:tcPr>
            <w:tcW w:w="50" w:type="pct"/>
            <w:shd w:val="clear" w:color="auto" w:fill="auto"/>
            <w:vAlign w:val="bottom"/>
          </w:tcPr>
          <w:p w14:paraId="5CD90374" w14:textId="77777777" w:rsidR="00BA49F5" w:rsidRDefault="00BA49F5">
            <w:pPr>
              <w:rPr>
                <w:rFonts w:ascii="宋体"/>
              </w:rPr>
            </w:pPr>
          </w:p>
        </w:tc>
        <w:tc>
          <w:tcPr>
            <w:tcW w:w="4148" w:type="pct"/>
            <w:shd w:val="clear" w:color="auto" w:fill="auto"/>
            <w:vAlign w:val="bottom"/>
          </w:tcPr>
          <w:p w14:paraId="5CD90375" w14:textId="77777777" w:rsidR="00BA49F5" w:rsidRDefault="00BA49F5">
            <w:pPr>
              <w:rPr>
                <w:rFonts w:ascii="宋体"/>
              </w:rPr>
            </w:pPr>
          </w:p>
        </w:tc>
        <w:tc>
          <w:tcPr>
            <w:tcW w:w="5" w:type="pct"/>
            <w:shd w:val="clear" w:color="auto" w:fill="auto"/>
            <w:vAlign w:val="bottom"/>
          </w:tcPr>
          <w:p w14:paraId="5CD90376" w14:textId="77777777" w:rsidR="00BA49F5" w:rsidRDefault="00BA49F5">
            <w:pPr>
              <w:rPr>
                <w:rFonts w:ascii="宋体"/>
              </w:rPr>
            </w:pPr>
          </w:p>
        </w:tc>
        <w:tc>
          <w:tcPr>
            <w:tcW w:w="50" w:type="pct"/>
            <w:shd w:val="clear" w:color="auto" w:fill="auto"/>
            <w:vAlign w:val="bottom"/>
          </w:tcPr>
          <w:p w14:paraId="5CD90377" w14:textId="77777777" w:rsidR="00BA49F5" w:rsidRDefault="00BA49F5">
            <w:pPr>
              <w:rPr>
                <w:rFonts w:ascii="宋体"/>
              </w:rPr>
            </w:pPr>
          </w:p>
        </w:tc>
        <w:tc>
          <w:tcPr>
            <w:tcW w:w="741" w:type="pct"/>
            <w:shd w:val="clear" w:color="auto" w:fill="auto"/>
            <w:vAlign w:val="bottom"/>
          </w:tcPr>
          <w:p w14:paraId="5CD90378" w14:textId="77777777" w:rsidR="00BA49F5" w:rsidRDefault="00BA49F5">
            <w:pPr>
              <w:rPr>
                <w:rFonts w:ascii="宋体"/>
              </w:rPr>
            </w:pPr>
          </w:p>
        </w:tc>
        <w:tc>
          <w:tcPr>
            <w:tcW w:w="5" w:type="pct"/>
            <w:shd w:val="clear" w:color="auto" w:fill="auto"/>
            <w:vAlign w:val="bottom"/>
          </w:tcPr>
          <w:p w14:paraId="5CD90379" w14:textId="77777777" w:rsidR="00BA49F5" w:rsidRDefault="00BA49F5">
            <w:pPr>
              <w:rPr>
                <w:rFonts w:ascii="宋体"/>
              </w:rPr>
            </w:pPr>
          </w:p>
        </w:tc>
      </w:tr>
      <w:tr w:rsidR="00BA49F5" w14:paraId="5CD9037F" w14:textId="77777777">
        <w:tc>
          <w:tcPr>
            <w:tcW w:w="0" w:type="auto"/>
            <w:gridSpan w:val="3"/>
            <w:shd w:val="clear" w:color="auto" w:fill="CCEEFF"/>
            <w:tcMar>
              <w:top w:w="40" w:type="dxa"/>
              <w:left w:w="20" w:type="dxa"/>
              <w:bottom w:w="40" w:type="dxa"/>
              <w:right w:w="20" w:type="dxa"/>
            </w:tcMar>
            <w:vAlign w:val="bottom"/>
          </w:tcPr>
          <w:p w14:paraId="5CD9037B" w14:textId="77777777" w:rsidR="00BA49F5" w:rsidRDefault="007E5E49">
            <w:pPr>
              <w:textAlignment w:val="bottom"/>
            </w:pPr>
            <w:r>
              <w:rPr>
                <w:rFonts w:ascii="Times New Roman" w:eastAsia="宋体" w:hAnsi="Times New Roman"/>
                <w:color w:val="000000"/>
                <w:sz w:val="20"/>
                <w:szCs w:val="20"/>
              </w:rPr>
              <w:t>2023</w:t>
            </w:r>
          </w:p>
        </w:tc>
        <w:tc>
          <w:tcPr>
            <w:tcW w:w="0" w:type="auto"/>
            <w:shd w:val="clear" w:color="auto" w:fill="CCEEFF"/>
            <w:tcMar>
              <w:top w:w="40" w:type="dxa"/>
              <w:left w:w="20" w:type="dxa"/>
              <w:bottom w:w="40" w:type="dxa"/>
              <w:right w:w="0" w:type="dxa"/>
            </w:tcMar>
            <w:vAlign w:val="bottom"/>
          </w:tcPr>
          <w:p w14:paraId="5CD9037C"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37D" w14:textId="77777777" w:rsidR="00BA49F5" w:rsidRDefault="007E5E49">
            <w:pPr>
              <w:jc w:val="right"/>
              <w:textAlignment w:val="bottom"/>
            </w:pPr>
            <w:r>
              <w:rPr>
                <w:rFonts w:ascii="Times New Roman" w:eastAsia="宋体" w:hAnsi="Times New Roman"/>
                <w:color w:val="000000"/>
                <w:sz w:val="20"/>
                <w:szCs w:val="20"/>
              </w:rPr>
              <w:t>13,203 </w:t>
            </w:r>
          </w:p>
        </w:tc>
        <w:tc>
          <w:tcPr>
            <w:tcW w:w="0" w:type="auto"/>
            <w:shd w:val="clear" w:color="auto" w:fill="CCEEFF"/>
            <w:tcMar>
              <w:top w:w="40" w:type="dxa"/>
              <w:left w:w="0" w:type="dxa"/>
              <w:bottom w:w="40" w:type="dxa"/>
              <w:right w:w="20" w:type="dxa"/>
            </w:tcMar>
            <w:vAlign w:val="bottom"/>
          </w:tcPr>
          <w:p w14:paraId="5CD9037E" w14:textId="77777777" w:rsidR="00BA49F5" w:rsidRDefault="00BA49F5">
            <w:pPr>
              <w:jc w:val="right"/>
              <w:rPr>
                <w:rFonts w:ascii="宋体"/>
              </w:rPr>
            </w:pPr>
          </w:p>
        </w:tc>
      </w:tr>
      <w:tr w:rsidR="00BA49F5" w14:paraId="5CD90383" w14:textId="77777777">
        <w:tc>
          <w:tcPr>
            <w:tcW w:w="0" w:type="auto"/>
            <w:gridSpan w:val="3"/>
            <w:shd w:val="clear" w:color="auto" w:fill="FFFFFF"/>
            <w:tcMar>
              <w:top w:w="40" w:type="dxa"/>
              <w:left w:w="20" w:type="dxa"/>
              <w:bottom w:w="40" w:type="dxa"/>
              <w:right w:w="20" w:type="dxa"/>
            </w:tcMar>
            <w:vAlign w:val="bottom"/>
          </w:tcPr>
          <w:p w14:paraId="5CD90380" w14:textId="77777777" w:rsidR="00BA49F5" w:rsidRDefault="007E5E49">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CD90381" w14:textId="77777777" w:rsidR="00BA49F5" w:rsidRDefault="007E5E49">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5CD90382" w14:textId="77777777" w:rsidR="00BA49F5" w:rsidRDefault="00BA49F5">
            <w:pPr>
              <w:jc w:val="right"/>
              <w:rPr>
                <w:rFonts w:ascii="宋体"/>
              </w:rPr>
            </w:pPr>
          </w:p>
        </w:tc>
      </w:tr>
      <w:tr w:rsidR="00BA49F5" w14:paraId="5CD90387" w14:textId="77777777">
        <w:tc>
          <w:tcPr>
            <w:tcW w:w="0" w:type="auto"/>
            <w:gridSpan w:val="3"/>
            <w:shd w:val="clear" w:color="auto" w:fill="CCEEFF"/>
            <w:tcMar>
              <w:top w:w="40" w:type="dxa"/>
              <w:left w:w="20" w:type="dxa"/>
              <w:bottom w:w="40" w:type="dxa"/>
              <w:right w:w="20" w:type="dxa"/>
            </w:tcMar>
            <w:vAlign w:val="bottom"/>
          </w:tcPr>
          <w:p w14:paraId="5CD90384" w14:textId="77777777" w:rsidR="00BA49F5" w:rsidRDefault="007E5E49">
            <w:pPr>
              <w:textAlignment w:val="bottom"/>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CD90385" w14:textId="77777777" w:rsidR="00BA49F5" w:rsidRDefault="007E5E49">
            <w:pPr>
              <w:jc w:val="right"/>
              <w:textAlignment w:val="bottom"/>
            </w:pPr>
            <w:r>
              <w:rPr>
                <w:rFonts w:ascii="Times New Roman" w:eastAsia="宋体" w:hAnsi="Times New Roman"/>
                <w:color w:val="000000"/>
                <w:sz w:val="20"/>
                <w:szCs w:val="20"/>
              </w:rPr>
              <w:t>1,434 </w:t>
            </w:r>
          </w:p>
        </w:tc>
        <w:tc>
          <w:tcPr>
            <w:tcW w:w="0" w:type="auto"/>
            <w:shd w:val="clear" w:color="auto" w:fill="CCEEFF"/>
            <w:tcMar>
              <w:top w:w="40" w:type="dxa"/>
              <w:left w:w="0" w:type="dxa"/>
              <w:bottom w:w="40" w:type="dxa"/>
              <w:right w:w="20" w:type="dxa"/>
            </w:tcMar>
            <w:vAlign w:val="bottom"/>
          </w:tcPr>
          <w:p w14:paraId="5CD90386" w14:textId="77777777" w:rsidR="00BA49F5" w:rsidRDefault="00BA49F5">
            <w:pPr>
              <w:jc w:val="right"/>
              <w:rPr>
                <w:rFonts w:ascii="宋体"/>
              </w:rPr>
            </w:pPr>
          </w:p>
        </w:tc>
      </w:tr>
      <w:tr w:rsidR="00BA49F5" w14:paraId="5CD9038B" w14:textId="77777777">
        <w:tc>
          <w:tcPr>
            <w:tcW w:w="0" w:type="auto"/>
            <w:gridSpan w:val="3"/>
            <w:shd w:val="clear" w:color="auto" w:fill="FFFFFF"/>
            <w:tcMar>
              <w:top w:w="40" w:type="dxa"/>
              <w:left w:w="20" w:type="dxa"/>
              <w:bottom w:w="40" w:type="dxa"/>
              <w:right w:w="20" w:type="dxa"/>
            </w:tcMar>
            <w:vAlign w:val="bottom"/>
          </w:tcPr>
          <w:p w14:paraId="5CD90388" w14:textId="77777777" w:rsidR="00BA49F5" w:rsidRDefault="007E5E49">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CD90389" w14:textId="77777777" w:rsidR="00BA49F5" w:rsidRDefault="007E5E49">
            <w:pPr>
              <w:jc w:val="right"/>
              <w:textAlignment w:val="bottom"/>
            </w:pPr>
            <w:r>
              <w:rPr>
                <w:rFonts w:ascii="Times New Roman" w:eastAsia="宋体" w:hAnsi="Times New Roman"/>
                <w:color w:val="000000"/>
                <w:sz w:val="20"/>
                <w:szCs w:val="20"/>
              </w:rPr>
              <w:t>265 </w:t>
            </w:r>
          </w:p>
        </w:tc>
        <w:tc>
          <w:tcPr>
            <w:tcW w:w="0" w:type="auto"/>
            <w:shd w:val="clear" w:color="auto" w:fill="FFFFFF"/>
            <w:tcMar>
              <w:top w:w="40" w:type="dxa"/>
              <w:left w:w="0" w:type="dxa"/>
              <w:bottom w:w="40" w:type="dxa"/>
              <w:right w:w="20" w:type="dxa"/>
            </w:tcMar>
            <w:vAlign w:val="bottom"/>
          </w:tcPr>
          <w:p w14:paraId="5CD9038A" w14:textId="77777777" w:rsidR="00BA49F5" w:rsidRDefault="00BA49F5">
            <w:pPr>
              <w:jc w:val="right"/>
              <w:rPr>
                <w:rFonts w:ascii="宋体"/>
              </w:rPr>
            </w:pPr>
          </w:p>
        </w:tc>
      </w:tr>
      <w:tr w:rsidR="00BA49F5" w14:paraId="5CD9038F" w14:textId="77777777">
        <w:tc>
          <w:tcPr>
            <w:tcW w:w="0" w:type="auto"/>
            <w:gridSpan w:val="3"/>
            <w:shd w:val="clear" w:color="auto" w:fill="CCEEFF"/>
            <w:tcMar>
              <w:top w:w="40" w:type="dxa"/>
              <w:left w:w="20" w:type="dxa"/>
              <w:bottom w:w="40" w:type="dxa"/>
              <w:right w:w="20" w:type="dxa"/>
            </w:tcMar>
            <w:vAlign w:val="bottom"/>
          </w:tcPr>
          <w:p w14:paraId="5CD9038C" w14:textId="77777777" w:rsidR="00BA49F5" w:rsidRDefault="007E5E49">
            <w:pPr>
              <w:textAlignment w:val="bottom"/>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CD9038D" w14:textId="77777777" w:rsidR="00BA49F5" w:rsidRDefault="007E5E49">
            <w:pPr>
              <w:jc w:val="right"/>
              <w:textAlignment w:val="bottom"/>
            </w:pPr>
            <w:r>
              <w:rPr>
                <w:rFonts w:ascii="Times New Roman" w:eastAsia="宋体" w:hAnsi="Times New Roman"/>
                <w:color w:val="000000"/>
                <w:sz w:val="20"/>
                <w:szCs w:val="20"/>
              </w:rPr>
              <w:t>209 </w:t>
            </w:r>
          </w:p>
        </w:tc>
        <w:tc>
          <w:tcPr>
            <w:tcW w:w="0" w:type="auto"/>
            <w:shd w:val="clear" w:color="auto" w:fill="CCEEFF"/>
            <w:tcMar>
              <w:top w:w="40" w:type="dxa"/>
              <w:left w:w="0" w:type="dxa"/>
              <w:bottom w:w="40" w:type="dxa"/>
              <w:right w:w="20" w:type="dxa"/>
            </w:tcMar>
            <w:vAlign w:val="bottom"/>
          </w:tcPr>
          <w:p w14:paraId="5CD9038E" w14:textId="77777777" w:rsidR="00BA49F5" w:rsidRDefault="00BA49F5">
            <w:pPr>
              <w:jc w:val="right"/>
              <w:rPr>
                <w:rFonts w:ascii="宋体"/>
              </w:rPr>
            </w:pPr>
          </w:p>
        </w:tc>
      </w:tr>
      <w:tr w:rsidR="00BA49F5" w14:paraId="5CD90393" w14:textId="77777777">
        <w:tc>
          <w:tcPr>
            <w:tcW w:w="0" w:type="auto"/>
            <w:gridSpan w:val="3"/>
            <w:shd w:val="clear" w:color="auto" w:fill="FFFFFF"/>
            <w:tcMar>
              <w:top w:w="40" w:type="dxa"/>
              <w:left w:w="20" w:type="dxa"/>
              <w:bottom w:w="40" w:type="dxa"/>
              <w:right w:w="20" w:type="dxa"/>
            </w:tcMar>
            <w:vAlign w:val="bottom"/>
          </w:tcPr>
          <w:p w14:paraId="5CD90390" w14:textId="77777777" w:rsidR="00BA49F5" w:rsidRDefault="007E5E4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CD90391" w14:textId="77777777" w:rsidR="00BA49F5" w:rsidRDefault="007E5E49">
            <w:pPr>
              <w:jc w:val="right"/>
              <w:textAlignment w:val="bottom"/>
            </w:pPr>
            <w:r>
              <w:rPr>
                <w:rFonts w:ascii="Times New Roman" w:eastAsia="宋体" w:hAnsi="Times New Roman"/>
                <w:color w:val="000000"/>
                <w:sz w:val="20"/>
                <w:szCs w:val="20"/>
              </w:rPr>
              <w:t>2,504 </w:t>
            </w:r>
          </w:p>
        </w:tc>
        <w:tc>
          <w:tcPr>
            <w:tcW w:w="0" w:type="auto"/>
            <w:shd w:val="clear" w:color="auto" w:fill="FFFFFF"/>
            <w:tcMar>
              <w:top w:w="40" w:type="dxa"/>
              <w:left w:w="0" w:type="dxa"/>
              <w:bottom w:w="40" w:type="dxa"/>
              <w:right w:w="20" w:type="dxa"/>
            </w:tcMar>
            <w:vAlign w:val="bottom"/>
          </w:tcPr>
          <w:p w14:paraId="5CD90392" w14:textId="77777777" w:rsidR="00BA49F5" w:rsidRDefault="00BA49F5">
            <w:pPr>
              <w:jc w:val="right"/>
              <w:rPr>
                <w:rFonts w:ascii="宋体"/>
              </w:rPr>
            </w:pPr>
          </w:p>
        </w:tc>
      </w:tr>
      <w:tr w:rsidR="00BA49F5" w14:paraId="5CD90398" w14:textId="77777777">
        <w:tc>
          <w:tcPr>
            <w:tcW w:w="0" w:type="auto"/>
            <w:gridSpan w:val="3"/>
            <w:shd w:val="clear" w:color="auto" w:fill="CCEEFF"/>
            <w:tcMar>
              <w:top w:w="40" w:type="dxa"/>
              <w:left w:w="380" w:type="dxa"/>
              <w:bottom w:w="40" w:type="dxa"/>
              <w:right w:w="20" w:type="dxa"/>
            </w:tcMar>
            <w:vAlign w:val="bottom"/>
          </w:tcPr>
          <w:p w14:paraId="5CD90394" w14:textId="77777777" w:rsidR="00BA49F5" w:rsidRDefault="007E5E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39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396" w14:textId="77777777" w:rsidR="00BA49F5" w:rsidRDefault="007E5E49">
            <w:pPr>
              <w:jc w:val="right"/>
              <w:textAlignment w:val="bottom"/>
            </w:pPr>
            <w:r>
              <w:rPr>
                <w:rFonts w:ascii="Times New Roman" w:eastAsia="宋体" w:hAnsi="Times New Roman"/>
                <w:color w:val="000000"/>
                <w:sz w:val="20"/>
                <w:szCs w:val="20"/>
              </w:rPr>
              <w:t>19,910 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397" w14:textId="77777777" w:rsidR="00BA49F5" w:rsidRDefault="00BA49F5">
            <w:pPr>
              <w:jc w:val="right"/>
              <w:rPr>
                <w:rFonts w:ascii="宋体"/>
              </w:rPr>
            </w:pPr>
          </w:p>
        </w:tc>
      </w:tr>
    </w:tbl>
    <w:p w14:paraId="5CD90399" w14:textId="77777777" w:rsidR="00BA49F5" w:rsidRDefault="00BA49F5">
      <w:pPr>
        <w:ind w:firstLine="540"/>
        <w:jc w:val="both"/>
      </w:pPr>
    </w:p>
    <w:p w14:paraId="5CD9039A" w14:textId="77777777" w:rsidR="00BA49F5" w:rsidRDefault="007E5E49">
      <w:pPr>
        <w:ind w:firstLine="540"/>
        <w:jc w:val="both"/>
      </w:pPr>
      <w:r>
        <w:rPr>
          <w:rFonts w:ascii="Times New Roman" w:eastAsia="宋体" w:hAnsi="Times New Roman"/>
          <w:color w:val="000000"/>
          <w:sz w:val="20"/>
          <w:szCs w:val="20"/>
        </w:rPr>
        <w:t>Additionally, as part of the normal course of business, we have entered into multi-year agreements to purchase renewable energy that do not specify a fixed or minimum volume commitment or to purchase certain server components that do not specify a fixed or</w:t>
      </w:r>
      <w:r>
        <w:rPr>
          <w:rFonts w:ascii="Times New Roman" w:eastAsia="宋体" w:hAnsi="Times New Roman"/>
          <w:color w:val="000000"/>
          <w:sz w:val="20"/>
          <w:szCs w:val="20"/>
        </w:rPr>
        <w:t xml:space="preserve"> minimum price commitment. We enter into these agreements in order to secure either volume or price. Using the projected market prices or expected volume consumption, the total estimated spend as of December 31, 2022 </w:t>
      </w:r>
    </w:p>
    <w:p w14:paraId="5CD9039B" w14:textId="77777777" w:rsidR="00BA49F5" w:rsidRDefault="007E5E49">
      <w:pPr>
        <w:jc w:val="center"/>
      </w:pPr>
      <w:r>
        <w:rPr>
          <w:rFonts w:ascii="Times New Roman" w:eastAsia="宋体" w:hAnsi="Times New Roman"/>
          <w:color w:val="000000"/>
          <w:sz w:val="20"/>
          <w:szCs w:val="20"/>
        </w:rPr>
        <w:t>110</w:t>
      </w:r>
    </w:p>
    <w:p w14:paraId="5CD9039C" w14:textId="77777777" w:rsidR="00BA49F5" w:rsidRDefault="007E5E49">
      <w:r>
        <w:pict w14:anchorId="5CD90D63">
          <v:rect id="_x0000_i1134" style="width:415.3pt;height:1.5pt" o:hralign="center" o:hrstd="t" o:hr="t" fillcolor="#a0a0a0" stroked="f"/>
        </w:pict>
      </w:r>
    </w:p>
    <w:p w14:paraId="5CD9039D" w14:textId="77777777" w:rsidR="00BA49F5" w:rsidRDefault="00BA49F5"/>
    <w:p w14:paraId="5CD9039E" w14:textId="77777777" w:rsidR="00BA49F5" w:rsidRDefault="00BA49F5"/>
    <w:p w14:paraId="5CD9039F" w14:textId="77777777" w:rsidR="00BA49F5" w:rsidRDefault="007E5E49">
      <w:hyperlink r:id="rId315" w:anchor="i6df229dad1864210ab76200083e26819_7" w:history="1">
        <w:r>
          <w:rPr>
            <w:rStyle w:val="a5"/>
            <w:rFonts w:ascii="Times New Roman" w:eastAsia="宋体" w:hAnsi="Times New Roman"/>
            <w:sz w:val="20"/>
            <w:szCs w:val="20"/>
          </w:rPr>
          <w:t>T</w:t>
        </w:r>
      </w:hyperlink>
      <w:hyperlink r:id="rId316" w:anchor="i6df229dad1864210ab76200083e26819_7" w:history="1">
        <w:r>
          <w:rPr>
            <w:rStyle w:val="a5"/>
            <w:rFonts w:ascii="Times New Roman" w:eastAsia="宋体" w:hAnsi="Times New Roman"/>
            <w:sz w:val="20"/>
            <w:szCs w:val="20"/>
          </w:rPr>
          <w:t>able of Contents</w:t>
        </w:r>
      </w:hyperlink>
    </w:p>
    <w:p w14:paraId="5CD903A0" w14:textId="77777777" w:rsidR="00BA49F5" w:rsidRDefault="007E5E49">
      <w:pPr>
        <w:jc w:val="both"/>
      </w:pPr>
      <w:r>
        <w:rPr>
          <w:rFonts w:ascii="Times New Roman" w:eastAsia="宋体" w:hAnsi="Times New Roman"/>
          <w:color w:val="000000"/>
          <w:sz w:val="20"/>
          <w:szCs w:val="20"/>
        </w:rPr>
        <w:t>is approximately $10.34 billion, a majority of which is due beyond five years. The ultimate spend under these agreements may vary and will be based on prevailing market prices or actual volume purchased.</w:t>
      </w:r>
    </w:p>
    <w:p w14:paraId="5CD903A1" w14:textId="77777777" w:rsidR="00BA49F5" w:rsidRDefault="00BA49F5">
      <w:pPr>
        <w:ind w:firstLine="540"/>
        <w:jc w:val="both"/>
      </w:pPr>
    </w:p>
    <w:p w14:paraId="5CD903A2" w14:textId="77777777" w:rsidR="00BA49F5" w:rsidRDefault="007E5E49">
      <w:pPr>
        <w:ind w:firstLine="540"/>
        <w:jc w:val="both"/>
      </w:pPr>
      <w:r>
        <w:rPr>
          <w:rFonts w:ascii="Times New Roman" w:eastAsia="宋体" w:hAnsi="Times New Roman"/>
          <w:color w:val="000000"/>
          <w:sz w:val="20"/>
          <w:szCs w:val="20"/>
        </w:rPr>
        <w:t>In January 20</w:t>
      </w:r>
      <w:r>
        <w:rPr>
          <w:rFonts w:ascii="Times New Roman" w:eastAsia="宋体" w:hAnsi="Times New Roman"/>
          <w:color w:val="000000"/>
          <w:sz w:val="20"/>
          <w:szCs w:val="20"/>
        </w:rPr>
        <w:t>23, we entered into multi-year agreements to purchase renewable energy in the amount of approximately $1.6 billion.</w:t>
      </w:r>
    </w:p>
    <w:p w14:paraId="5CD903A3" w14:textId="77777777" w:rsidR="00BA49F5" w:rsidRDefault="00BA49F5">
      <w:pPr>
        <w:ind w:firstLine="540"/>
        <w:jc w:val="both"/>
      </w:pPr>
    </w:p>
    <w:p w14:paraId="5CD903A4" w14:textId="77777777" w:rsidR="00BA49F5" w:rsidRDefault="007E5E49">
      <w:pPr>
        <w:jc w:val="both"/>
      </w:pPr>
      <w:r>
        <w:rPr>
          <w:rFonts w:ascii="Times New Roman" w:eastAsia="宋体" w:hAnsi="Times New Roman"/>
          <w:b/>
          <w:bCs/>
          <w:i/>
          <w:iCs/>
          <w:color w:val="000000"/>
          <w:sz w:val="20"/>
          <w:szCs w:val="20"/>
        </w:rPr>
        <w:t>Legal and Related Matters</w:t>
      </w:r>
    </w:p>
    <w:p w14:paraId="5CD903A5" w14:textId="77777777" w:rsidR="00BA49F5" w:rsidRDefault="00BA49F5">
      <w:pPr>
        <w:ind w:firstLine="540"/>
        <w:jc w:val="both"/>
      </w:pPr>
    </w:p>
    <w:p w14:paraId="5CD903A6" w14:textId="77777777" w:rsidR="00BA49F5" w:rsidRDefault="007E5E49">
      <w:pPr>
        <w:ind w:firstLine="540"/>
        <w:jc w:val="both"/>
      </w:pPr>
      <w:r>
        <w:rPr>
          <w:rFonts w:ascii="Times New Roman" w:eastAsia="宋体" w:hAnsi="Times New Roman"/>
          <w:color w:val="000000"/>
          <w:sz w:val="20"/>
          <w:szCs w:val="20"/>
        </w:rPr>
        <w:t xml:space="preserve">Beginning on March 20, 2018, multiple putative class actions and derivative actions were filed in state and </w:t>
      </w:r>
      <w:r>
        <w:rPr>
          <w:rFonts w:ascii="Times New Roman" w:eastAsia="宋体" w:hAnsi="Times New Roman"/>
          <w:color w:val="000000"/>
          <w:sz w:val="20"/>
          <w:szCs w:val="20"/>
        </w:rPr>
        <w:t>federal courts in the United States and elsewhere against us and certain of our directors and officers alleging violations of securities laws, breach of fiduciary duties, and other causes of action in connection with our platform and user data practices as</w:t>
      </w:r>
      <w:r>
        <w:rPr>
          <w:rFonts w:ascii="Times New Roman" w:eastAsia="宋体" w:hAnsi="Times New Roman"/>
          <w:color w:val="000000"/>
          <w:sz w:val="20"/>
          <w:szCs w:val="20"/>
        </w:rPr>
        <w:t xml:space="preserve"> well as the misuse of certain data by a developer that shared such data with third parties in violation of our terms and policies, and seeking unspecified damages and injunctive relief. Beginning on July 27, 2018, two putative class actions were filed in </w:t>
      </w:r>
      <w:r>
        <w:rPr>
          <w:rFonts w:ascii="Times New Roman" w:eastAsia="宋体" w:hAnsi="Times New Roman"/>
          <w:color w:val="000000"/>
          <w:sz w:val="20"/>
          <w:szCs w:val="20"/>
        </w:rPr>
        <w:t>federal court in the United States against us and certain of our directors and officers alleging violations of securities laws in connection with the disclosure of our earnings results for the second quarter of 2018 and seeking unspecified damages. These t</w:t>
      </w:r>
      <w:r>
        <w:rPr>
          <w:rFonts w:ascii="Times New Roman" w:eastAsia="宋体" w:hAnsi="Times New Roman"/>
          <w:color w:val="000000"/>
          <w:sz w:val="20"/>
          <w:szCs w:val="20"/>
        </w:rPr>
        <w:t xml:space="preserve">wo actions subsequently were transferred and consolidated in the U.S. District Court for the Northern District of California with the putative securities class action described above relating to our platform and user data practices. On September 25, 2019, </w:t>
      </w:r>
      <w:r>
        <w:rPr>
          <w:rFonts w:ascii="Times New Roman" w:eastAsia="宋体" w:hAnsi="Times New Roman"/>
          <w:color w:val="000000"/>
          <w:sz w:val="20"/>
          <w:szCs w:val="20"/>
        </w:rPr>
        <w:t>the district court granted our motion to dismiss the consolidated putative securities class action, with leave to amend. On November 15, 2019, a second amended complaint was filed in the consolidated putative securities class action. On August 7, 2020, the</w:t>
      </w:r>
      <w:r>
        <w:rPr>
          <w:rFonts w:ascii="Times New Roman" w:eastAsia="宋体" w:hAnsi="Times New Roman"/>
          <w:color w:val="000000"/>
          <w:sz w:val="20"/>
          <w:szCs w:val="20"/>
        </w:rPr>
        <w:t xml:space="preserve"> district court granted our motion to dismiss the second amended complaint, with leave to amend. On October 16, 2020, a third amended complaint was filed in the consolidated putative securities class action. On December 20, 2021, the district court granted</w:t>
      </w:r>
      <w:r>
        <w:rPr>
          <w:rFonts w:ascii="Times New Roman" w:eastAsia="宋体" w:hAnsi="Times New Roman"/>
          <w:color w:val="000000"/>
          <w:sz w:val="20"/>
          <w:szCs w:val="20"/>
        </w:rPr>
        <w:t xml:space="preserve"> our motion to dismiss the third amended complaint, with prejudice. On January 17, 2022, the plaintiffs filed a notice of appeal of the order dismissing their case, and the appeal is now pending before the U.S. Court of Appeals for the Ninth Circuit. With </w:t>
      </w:r>
      <w:r>
        <w:rPr>
          <w:rFonts w:ascii="Times New Roman" w:eastAsia="宋体" w:hAnsi="Times New Roman"/>
          <w:color w:val="000000"/>
          <w:sz w:val="20"/>
          <w:szCs w:val="20"/>
        </w:rPr>
        <w:t>respect to the multiple putative class actions filed against us beginning on March 20, 2018 alleging fraud and violations of consumer protection, privacy, and other laws in connection with the same matters, several of the cases brought on behalf of consume</w:t>
      </w:r>
      <w:r>
        <w:rPr>
          <w:rFonts w:ascii="Times New Roman" w:eastAsia="宋体" w:hAnsi="Times New Roman"/>
          <w:color w:val="000000"/>
          <w:sz w:val="20"/>
          <w:szCs w:val="20"/>
        </w:rPr>
        <w:t>rs in the United States were consolidated in the U.S. District Court for the Northern District of California. On September 9, 2019, the court granted, in part, and denied, in part, our motion to dismiss the consolidated putative consumer class action. On D</w:t>
      </w:r>
      <w:r>
        <w:rPr>
          <w:rFonts w:ascii="Times New Roman" w:eastAsia="宋体" w:hAnsi="Times New Roman"/>
          <w:color w:val="000000"/>
          <w:sz w:val="20"/>
          <w:szCs w:val="20"/>
        </w:rPr>
        <w:t>ecember 22, 2022, the parties entered into a settlement agreement to resolve the lawsuit, which provides for a payment of $725 million by us and is subject to court approval. In addition, our platform and user data practices, as well as the events surround</w:t>
      </w:r>
      <w:r>
        <w:rPr>
          <w:rFonts w:ascii="Times New Roman" w:eastAsia="宋体" w:hAnsi="Times New Roman"/>
          <w:color w:val="000000"/>
          <w:sz w:val="20"/>
          <w:szCs w:val="20"/>
        </w:rPr>
        <w:t>ing the misuse of certain data by a developer, became the subject of U.S. Federal Trade Commission (FTC), state attorneys general, and other government inquiries in the United States, Europe, and other jurisdictions. We entered into a settlement and modifi</w:t>
      </w:r>
      <w:r>
        <w:rPr>
          <w:rFonts w:ascii="Times New Roman" w:eastAsia="宋体" w:hAnsi="Times New Roman"/>
          <w:color w:val="000000"/>
          <w:sz w:val="20"/>
          <w:szCs w:val="20"/>
        </w:rPr>
        <w:t>ed consent order to resolve the FTC inquiry, which took effect in April 2020. Among other matters, our settlement with the FTC required us to pay a penalty of $5.0 billion which was paid in April 2020 upon the effectiveness of the modified consent order. T</w:t>
      </w:r>
      <w:r>
        <w:rPr>
          <w:rFonts w:ascii="Times New Roman" w:eastAsia="宋体" w:hAnsi="Times New Roman"/>
          <w:color w:val="000000"/>
          <w:sz w:val="20"/>
          <w:szCs w:val="20"/>
        </w:rPr>
        <w:t>he state attorneys general inquiry and certain government inquiries in other jurisdictions remain ongoing. On July 16, 2021, a stockholder derivative action was filed in Delaware Chancery Court against certain of our directors and officers asserting breach</w:t>
      </w:r>
      <w:r>
        <w:rPr>
          <w:rFonts w:ascii="Times New Roman" w:eastAsia="宋体" w:hAnsi="Times New Roman"/>
          <w:color w:val="000000"/>
          <w:sz w:val="20"/>
          <w:szCs w:val="20"/>
        </w:rPr>
        <w:t xml:space="preserve"> of fiduciary duty and related claims relating to our historical platform and user data practices, as well as our settlement with the FTC. On July 20, 2021, other stockholders filed an amended derivative complaint in a related Delaware Chancery Court actio</w:t>
      </w:r>
      <w:r>
        <w:rPr>
          <w:rFonts w:ascii="Times New Roman" w:eastAsia="宋体" w:hAnsi="Times New Roman"/>
          <w:color w:val="000000"/>
          <w:sz w:val="20"/>
          <w:szCs w:val="20"/>
        </w:rPr>
        <w:t>n, asserting breach of fiduciary duty and related claims against certain of our current and former directors and officers in connection with our historical platform and user data practices. On November 4, 2021, the lead plaintiffs filed a second amended an</w:t>
      </w:r>
      <w:r>
        <w:rPr>
          <w:rFonts w:ascii="Times New Roman" w:eastAsia="宋体" w:hAnsi="Times New Roman"/>
          <w:color w:val="000000"/>
          <w:sz w:val="20"/>
          <w:szCs w:val="20"/>
        </w:rPr>
        <w:t>d consolidated complaint in the stockholder derivative action. We believe the lawsuits described above are without merit, and we are vigorously defending them.</w:t>
      </w:r>
    </w:p>
    <w:p w14:paraId="5CD903A7" w14:textId="77777777" w:rsidR="00BA49F5" w:rsidRDefault="00BA49F5">
      <w:pPr>
        <w:ind w:firstLine="540"/>
        <w:jc w:val="both"/>
      </w:pPr>
    </w:p>
    <w:p w14:paraId="5CD903A8" w14:textId="77777777" w:rsidR="00BA49F5" w:rsidRDefault="007E5E49">
      <w:pPr>
        <w:ind w:firstLine="540"/>
        <w:jc w:val="both"/>
      </w:pPr>
      <w:r>
        <w:rPr>
          <w:rFonts w:ascii="Times New Roman" w:eastAsia="宋体" w:hAnsi="Times New Roman"/>
          <w:color w:val="000000"/>
          <w:sz w:val="20"/>
          <w:szCs w:val="20"/>
        </w:rPr>
        <w:t>We also notify the Irish Data Protection Commission (IDPC), our lead European Union privacy reg</w:t>
      </w:r>
      <w:r>
        <w:rPr>
          <w:rFonts w:ascii="Times New Roman" w:eastAsia="宋体" w:hAnsi="Times New Roman"/>
          <w:color w:val="000000"/>
          <w:sz w:val="20"/>
          <w:szCs w:val="20"/>
        </w:rPr>
        <w:t>ulator under the General Data Protection Regulation (GDPR), of certain other personal data breaches and privacy issues, and are subject to inquiries and investigations by the IDPC and other European regulators regarding various aspects of our regulatory co</w:t>
      </w:r>
      <w:r>
        <w:rPr>
          <w:rFonts w:ascii="Times New Roman" w:eastAsia="宋体" w:hAnsi="Times New Roman"/>
          <w:color w:val="000000"/>
          <w:sz w:val="20"/>
          <w:szCs w:val="20"/>
        </w:rPr>
        <w:t>mpliance. For example, we are currently subject to an IDPC inquiry regarding Meta Platforms Ireland's ability to transfer European Union/European Economic Area Facebook user data to the United States, which is described further in "Legal Proceedings" conta</w:t>
      </w:r>
      <w:r>
        <w:rPr>
          <w:rFonts w:ascii="Times New Roman" w:eastAsia="宋体" w:hAnsi="Times New Roman"/>
          <w:color w:val="000000"/>
          <w:sz w:val="20"/>
          <w:szCs w:val="20"/>
        </w:rPr>
        <w:t>ined in Part I, Item 3 of this Annual Report on Form 10-K. The interpretation of the GDPR is still evolving and draft decisions in investigations by the IDPC are subject to review by other European privacy regulators as part of the GDPR's consistency mecha</w:t>
      </w:r>
      <w:r>
        <w:rPr>
          <w:rFonts w:ascii="Times New Roman" w:eastAsia="宋体" w:hAnsi="Times New Roman"/>
          <w:color w:val="000000"/>
          <w:sz w:val="20"/>
          <w:szCs w:val="20"/>
        </w:rPr>
        <w:t>nism, which may lead to significant changes in the final outcome of such investigations. As a result, the interpretation and enforcement of the GDPR, as well as the imposition and amount of penalties for non-compliance, are subject to significant uncertain</w:t>
      </w:r>
      <w:r>
        <w:rPr>
          <w:rFonts w:ascii="Times New Roman" w:eastAsia="宋体" w:hAnsi="Times New Roman"/>
          <w:color w:val="000000"/>
          <w:sz w:val="20"/>
          <w:szCs w:val="20"/>
        </w:rPr>
        <w:t>ty. Although we are vigorously defending our regulatory compliance, we have accrued significant amounts for loss contingencies related to these inquiries and investigations in Europe, and we believe there is a reasonable possibility that additional accrual</w:t>
      </w:r>
      <w:r>
        <w:rPr>
          <w:rFonts w:ascii="Times New Roman" w:eastAsia="宋体" w:hAnsi="Times New Roman"/>
          <w:color w:val="000000"/>
          <w:sz w:val="20"/>
          <w:szCs w:val="20"/>
        </w:rPr>
        <w:t>s for losses related to these matters could be material in the aggregate.</w:t>
      </w:r>
    </w:p>
    <w:p w14:paraId="5CD903A9" w14:textId="77777777" w:rsidR="00BA49F5" w:rsidRDefault="00BA49F5">
      <w:pPr>
        <w:ind w:firstLine="540"/>
        <w:jc w:val="both"/>
      </w:pPr>
    </w:p>
    <w:p w14:paraId="5CD903AA" w14:textId="77777777" w:rsidR="00BA49F5" w:rsidRDefault="007E5E49">
      <w:pPr>
        <w:jc w:val="center"/>
      </w:pPr>
      <w:r>
        <w:rPr>
          <w:rFonts w:ascii="Times New Roman" w:eastAsia="宋体" w:hAnsi="Times New Roman"/>
          <w:color w:val="000000"/>
          <w:sz w:val="20"/>
          <w:szCs w:val="20"/>
        </w:rPr>
        <w:t>111</w:t>
      </w:r>
    </w:p>
    <w:p w14:paraId="5CD903AB" w14:textId="77777777" w:rsidR="00BA49F5" w:rsidRDefault="007E5E49">
      <w:r>
        <w:pict w14:anchorId="5CD90D64">
          <v:rect id="_x0000_i1135" style="width:415.3pt;height:1.5pt" o:hralign="center" o:hrstd="t" o:hr="t" fillcolor="#a0a0a0" stroked="f"/>
        </w:pict>
      </w:r>
    </w:p>
    <w:p w14:paraId="5CD903AC" w14:textId="77777777" w:rsidR="00BA49F5" w:rsidRDefault="00BA49F5"/>
    <w:p w14:paraId="5CD903AD" w14:textId="77777777" w:rsidR="00BA49F5" w:rsidRDefault="00BA49F5"/>
    <w:p w14:paraId="5CD903AE" w14:textId="77777777" w:rsidR="00BA49F5" w:rsidRDefault="007E5E49">
      <w:hyperlink r:id="rId317" w:anchor="i6df229dad1864210ab76200083e26819_7" w:history="1">
        <w:r>
          <w:rPr>
            <w:rStyle w:val="a5"/>
            <w:rFonts w:ascii="Times New Roman" w:eastAsia="宋体" w:hAnsi="Times New Roman"/>
            <w:sz w:val="20"/>
            <w:szCs w:val="20"/>
          </w:rPr>
          <w:t>T</w:t>
        </w:r>
      </w:hyperlink>
      <w:hyperlink r:id="rId318" w:anchor="i6df229dad1864210ab76200083e26819_7" w:history="1">
        <w:r>
          <w:rPr>
            <w:rStyle w:val="a5"/>
            <w:rFonts w:ascii="Times New Roman" w:eastAsia="宋体" w:hAnsi="Times New Roman"/>
            <w:sz w:val="20"/>
            <w:szCs w:val="20"/>
          </w:rPr>
          <w:t>able of Contents</w:t>
        </w:r>
      </w:hyperlink>
    </w:p>
    <w:p w14:paraId="5CD903AF" w14:textId="77777777" w:rsidR="00BA49F5" w:rsidRDefault="007E5E49">
      <w:pPr>
        <w:ind w:firstLine="540"/>
        <w:jc w:val="both"/>
      </w:pPr>
      <w:r>
        <w:rPr>
          <w:rFonts w:ascii="Times New Roman" w:eastAsia="宋体" w:hAnsi="Times New Roman"/>
          <w:color w:val="000000"/>
          <w:sz w:val="20"/>
          <w:szCs w:val="20"/>
        </w:rPr>
        <w:t>Beginning in January 2022, we became subject to litigation and other proceedings that were filed in vario</w:t>
      </w:r>
      <w:r>
        <w:rPr>
          <w:rFonts w:ascii="Times New Roman" w:eastAsia="宋体" w:hAnsi="Times New Roman"/>
          <w:color w:val="000000"/>
          <w:sz w:val="20"/>
          <w:szCs w:val="20"/>
        </w:rPr>
        <w:t>us federal and California state courts alleging that Facebook and Instagram cause "social media addiction" in teenage users, resulting in various mental health and other harms. A putative class action alleging similar harms was also filed in California sta</w:t>
      </w:r>
      <w:r>
        <w:rPr>
          <w:rFonts w:ascii="Times New Roman" w:eastAsia="宋体" w:hAnsi="Times New Roman"/>
          <w:color w:val="000000"/>
          <w:sz w:val="20"/>
          <w:szCs w:val="20"/>
        </w:rPr>
        <w:t>te court on behalf of users under the age of 13 and three school districts recently filed public nuisance claims based on similar allegations. On October 6, 2022, the federal cases were consolidated in the U.S. District Court for the Northern District of C</w:t>
      </w:r>
      <w:r>
        <w:rPr>
          <w:rFonts w:ascii="Times New Roman" w:eastAsia="宋体" w:hAnsi="Times New Roman"/>
          <w:color w:val="000000"/>
          <w:sz w:val="20"/>
          <w:szCs w:val="20"/>
        </w:rPr>
        <w:t>alifornia. The state court proceedings are now pending before a trial judge from Los Angeles County Superior Court. We believe these lawsuits are without merit, and we are vigorously defending them. We are also subject to government investigations and requ</w:t>
      </w:r>
      <w:r>
        <w:rPr>
          <w:rFonts w:ascii="Times New Roman" w:eastAsia="宋体" w:hAnsi="Times New Roman"/>
          <w:color w:val="000000"/>
          <w:sz w:val="20"/>
          <w:szCs w:val="20"/>
        </w:rPr>
        <w:t>ests from multiple regulators concerning the use of our products, and the related mental and physical health and safety impacts on teenage users.</w:t>
      </w:r>
    </w:p>
    <w:p w14:paraId="5CD903B0" w14:textId="77777777" w:rsidR="00BA49F5" w:rsidRDefault="00BA49F5">
      <w:pPr>
        <w:ind w:firstLine="540"/>
        <w:jc w:val="both"/>
      </w:pPr>
    </w:p>
    <w:p w14:paraId="5CD903B1" w14:textId="77777777" w:rsidR="00BA49F5" w:rsidRDefault="007E5E49">
      <w:pPr>
        <w:ind w:firstLine="540"/>
        <w:jc w:val="both"/>
      </w:pPr>
      <w:r>
        <w:rPr>
          <w:rFonts w:ascii="Times New Roman" w:eastAsia="宋体" w:hAnsi="Times New Roman"/>
          <w:color w:val="000000"/>
          <w:sz w:val="20"/>
          <w:szCs w:val="20"/>
        </w:rPr>
        <w:t xml:space="preserve">We are also subject to other government inquiries and investigations relating to our business activities and </w:t>
      </w:r>
      <w:r>
        <w:rPr>
          <w:rFonts w:ascii="Times New Roman" w:eastAsia="宋体" w:hAnsi="Times New Roman"/>
          <w:color w:val="000000"/>
          <w:sz w:val="20"/>
          <w:szCs w:val="20"/>
        </w:rPr>
        <w:t>disclosure practices. For example, beginning in September 2021, we became subject to government investigations and requests relating to a former employee's allegations and release of internal company documents concerning, among other things, our algorithms</w:t>
      </w:r>
      <w:r>
        <w:rPr>
          <w:rFonts w:ascii="Times New Roman" w:eastAsia="宋体" w:hAnsi="Times New Roman"/>
          <w:color w:val="000000"/>
          <w:sz w:val="20"/>
          <w:szCs w:val="20"/>
        </w:rPr>
        <w:t>, advertising and user metrics, and content enforcement practices, as well as misinformation and other undesirable activity on our platform, and user well-being. We have since received additional requests relating to these and other topics. Beginning on Oc</w:t>
      </w:r>
      <w:r>
        <w:rPr>
          <w:rFonts w:ascii="Times New Roman" w:eastAsia="宋体" w:hAnsi="Times New Roman"/>
          <w:color w:val="000000"/>
          <w:sz w:val="20"/>
          <w:szCs w:val="20"/>
        </w:rPr>
        <w:t>tober 27, 2021, multiple putative class actions and derivative actions were filed in the U.S. District Court for the Northern District of California against us and certain of our directors and officers alleging violations of securities laws, breach of fidu</w:t>
      </w:r>
      <w:r>
        <w:rPr>
          <w:rFonts w:ascii="Times New Roman" w:eastAsia="宋体" w:hAnsi="Times New Roman"/>
          <w:color w:val="000000"/>
          <w:sz w:val="20"/>
          <w:szCs w:val="20"/>
        </w:rPr>
        <w:t>ciary duties, and other causes of action in connection with the same matters, and seeking unspecified damages. We believe these lawsuits are without merit, and we are vigorously defending them.</w:t>
      </w:r>
    </w:p>
    <w:p w14:paraId="5CD903B2" w14:textId="77777777" w:rsidR="00BA49F5" w:rsidRDefault="00BA49F5">
      <w:pPr>
        <w:ind w:firstLine="540"/>
        <w:jc w:val="both"/>
      </w:pPr>
    </w:p>
    <w:p w14:paraId="5CD903B3" w14:textId="77777777" w:rsidR="00BA49F5" w:rsidRDefault="007E5E49">
      <w:pPr>
        <w:ind w:firstLine="540"/>
        <w:jc w:val="both"/>
      </w:pPr>
      <w:r>
        <w:rPr>
          <w:rFonts w:ascii="Times New Roman" w:eastAsia="宋体" w:hAnsi="Times New Roman"/>
          <w:color w:val="000000"/>
          <w:sz w:val="20"/>
          <w:szCs w:val="20"/>
        </w:rPr>
        <w:t>On March 8, 2022, a putative class action was filed in the U.</w:t>
      </w:r>
      <w:r>
        <w:rPr>
          <w:rFonts w:ascii="Times New Roman" w:eastAsia="宋体" w:hAnsi="Times New Roman"/>
          <w:color w:val="000000"/>
          <w:sz w:val="20"/>
          <w:szCs w:val="20"/>
        </w:rPr>
        <w:t>S. District Court for the Northern District of California against us and certain of our directors and officers alleging violations of securities laws in connection with the disclosure of our earnings results for the fourth quarter of 2021 and seeking unspe</w:t>
      </w:r>
      <w:r>
        <w:rPr>
          <w:rFonts w:ascii="Times New Roman" w:eastAsia="宋体" w:hAnsi="Times New Roman"/>
          <w:color w:val="000000"/>
          <w:sz w:val="20"/>
          <w:szCs w:val="20"/>
        </w:rPr>
        <w:t>cified damages. We believe this lawsuit is without merit, and we are vigorously defending it.</w:t>
      </w:r>
    </w:p>
    <w:p w14:paraId="5CD903B4" w14:textId="77777777" w:rsidR="00BA49F5" w:rsidRDefault="00BA49F5">
      <w:pPr>
        <w:ind w:firstLine="540"/>
        <w:jc w:val="both"/>
      </w:pPr>
    </w:p>
    <w:p w14:paraId="5CD903B5" w14:textId="77777777" w:rsidR="00BA49F5" w:rsidRDefault="007E5E49">
      <w:pPr>
        <w:ind w:firstLine="540"/>
        <w:jc w:val="both"/>
      </w:pPr>
      <w:r>
        <w:rPr>
          <w:rFonts w:ascii="Times New Roman" w:eastAsia="宋体" w:hAnsi="Times New Roman"/>
          <w:color w:val="000000"/>
          <w:sz w:val="20"/>
          <w:szCs w:val="20"/>
        </w:rPr>
        <w:t>Beginning on August 15, 2018, multiple putative class actions were filed against us alleging that we inflated our estimates of the potential audience size for ad</w:t>
      </w:r>
      <w:r>
        <w:rPr>
          <w:rFonts w:ascii="Times New Roman" w:eastAsia="宋体" w:hAnsi="Times New Roman"/>
          <w:color w:val="000000"/>
          <w:sz w:val="20"/>
          <w:szCs w:val="20"/>
        </w:rPr>
        <w:t>vertisements, resulting in artificially increased demand and higher prices. The cases were consolidated in the U.S. District Court for the Northern District of California and seek unspecified damages and injunctive relief. In a series of rulings in 2019, 2</w:t>
      </w:r>
      <w:r>
        <w:rPr>
          <w:rFonts w:ascii="Times New Roman" w:eastAsia="宋体" w:hAnsi="Times New Roman"/>
          <w:color w:val="000000"/>
          <w:sz w:val="20"/>
          <w:szCs w:val="20"/>
        </w:rPr>
        <w:t>021, and 2022, the court dismissed certain of the plaintiffs' claims, but permitted its fraud and unfair competition claims to proceed. On March 29, 2022, the court granted the plaintiffs' motion for class certification. On June 21, 2022, the U.S. Court of</w:t>
      </w:r>
      <w:r>
        <w:rPr>
          <w:rFonts w:ascii="Times New Roman" w:eastAsia="宋体" w:hAnsi="Times New Roman"/>
          <w:color w:val="000000"/>
          <w:sz w:val="20"/>
          <w:szCs w:val="20"/>
        </w:rPr>
        <w:t xml:space="preserve"> Appeals for the Ninth Circuit granted our petition for permission to appeal the district court's class certification order, and the district court subsequently stayed the case. We believe this lawsuit is without merit, and we are vigorously defending it. </w:t>
      </w:r>
    </w:p>
    <w:p w14:paraId="5CD903B6" w14:textId="77777777" w:rsidR="00BA49F5" w:rsidRDefault="00BA49F5">
      <w:pPr>
        <w:ind w:firstLine="540"/>
        <w:jc w:val="both"/>
      </w:pPr>
    </w:p>
    <w:p w14:paraId="5CD903B7" w14:textId="77777777" w:rsidR="00BA49F5" w:rsidRDefault="007E5E49">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and other countries in Europe, in order to ascertain the precise scope of our legal obliga</w:t>
      </w:r>
      <w:r>
        <w:rPr>
          <w:rFonts w:ascii="Times New Roman" w:eastAsia="宋体" w:hAnsi="Times New Roman"/>
          <w:color w:val="000000"/>
          <w:sz w:val="20"/>
          <w:szCs w:val="20"/>
        </w:rPr>
        <w:t>tions to comply with the requests of those agencies, including our obligation to disclose user information in particular circumstances. A number of such instances have resulted in the assessment of fines and penalties against us. We believe we have multipl</w:t>
      </w:r>
      <w:r>
        <w:rPr>
          <w:rFonts w:ascii="Times New Roman" w:eastAsia="宋体" w:hAnsi="Times New Roman"/>
          <w:color w:val="000000"/>
          <w:sz w:val="20"/>
          <w:szCs w:val="20"/>
        </w:rPr>
        <w:t xml:space="preserve">e legal grounds to satisfy these requests or prevail against associated fines and penalties, and we intend to vigorously defend such fines and penalties. </w:t>
      </w:r>
    </w:p>
    <w:p w14:paraId="5CD903B8" w14:textId="77777777" w:rsidR="00BA49F5" w:rsidRDefault="00BA49F5">
      <w:pPr>
        <w:ind w:firstLine="540"/>
        <w:jc w:val="both"/>
      </w:pPr>
    </w:p>
    <w:p w14:paraId="5CD903B9" w14:textId="77777777" w:rsidR="00BA49F5" w:rsidRDefault="007E5E49">
      <w:pPr>
        <w:ind w:firstLine="540"/>
        <w:jc w:val="both"/>
      </w:pPr>
      <w:r>
        <w:rPr>
          <w:rFonts w:ascii="Times New Roman" w:eastAsia="宋体" w:hAnsi="Times New Roman"/>
          <w:color w:val="000000"/>
          <w:sz w:val="20"/>
          <w:szCs w:val="20"/>
        </w:rPr>
        <w:t>With respect to the cases, actions, and inquiries described above, we evaluate the associated develo</w:t>
      </w:r>
      <w:r>
        <w:rPr>
          <w:rFonts w:ascii="Times New Roman" w:eastAsia="宋体" w:hAnsi="Times New Roman"/>
          <w:color w:val="000000"/>
          <w:sz w:val="20"/>
          <w:szCs w:val="20"/>
        </w:rPr>
        <w:t>pments on a regular basis and accrue a liability when we believe a loss is probable and the amount can be reasonably estimated. In addition, we believe there is a reasonable possibility that we may incur a loss in some of these matters. With respect to the</w:t>
      </w:r>
      <w:r>
        <w:rPr>
          <w:rFonts w:ascii="Times New Roman" w:eastAsia="宋体" w:hAnsi="Times New Roman"/>
          <w:color w:val="000000"/>
          <w:sz w:val="20"/>
          <w:szCs w:val="20"/>
        </w:rPr>
        <w:t xml:space="preserve"> matters described above that do not include an estimate of the amount of loss or range of possible loss, such losses or range of possible losses either cannot be estimated or are not individually material, but we believe there is a reasonable possibility </w:t>
      </w:r>
      <w:r>
        <w:rPr>
          <w:rFonts w:ascii="Times New Roman" w:eastAsia="宋体" w:hAnsi="Times New Roman"/>
          <w:color w:val="000000"/>
          <w:sz w:val="20"/>
          <w:szCs w:val="20"/>
        </w:rPr>
        <w:t>that they may be material in the aggregate.</w:t>
      </w:r>
    </w:p>
    <w:p w14:paraId="5CD903BA" w14:textId="77777777" w:rsidR="00BA49F5" w:rsidRDefault="00BA49F5">
      <w:pPr>
        <w:ind w:firstLine="540"/>
        <w:jc w:val="both"/>
      </w:pPr>
    </w:p>
    <w:p w14:paraId="5CD903BB" w14:textId="77777777" w:rsidR="00BA49F5" w:rsidRDefault="007E5E49">
      <w:pPr>
        <w:ind w:firstLine="540"/>
        <w:jc w:val="both"/>
      </w:pPr>
      <w:r>
        <w:rPr>
          <w:rFonts w:ascii="Times New Roman" w:eastAsia="宋体" w:hAnsi="Times New Roman"/>
          <w:color w:val="000000"/>
          <w:sz w:val="20"/>
          <w:szCs w:val="20"/>
        </w:rPr>
        <w:t xml:space="preserve">We are also party to various other legal proceedings, claims, and regulatory, tax or government inquiries and investigations that arise in the ordinary course of business. For example, we are subject to various </w:t>
      </w:r>
      <w:r>
        <w:rPr>
          <w:rFonts w:ascii="Times New Roman" w:eastAsia="宋体" w:hAnsi="Times New Roman"/>
          <w:color w:val="000000"/>
          <w:sz w:val="20"/>
          <w:szCs w:val="20"/>
        </w:rPr>
        <w:t>litigation and government inquiries and investigations, formal or informal, by competition authorities in the United States, Europe, and other jurisdictions. Such investigations, inquiries, and lawsuits concern, among other things, our business practices i</w:t>
      </w:r>
      <w:r>
        <w:rPr>
          <w:rFonts w:ascii="Times New Roman" w:eastAsia="宋体" w:hAnsi="Times New Roman"/>
          <w:color w:val="000000"/>
          <w:sz w:val="20"/>
          <w:szCs w:val="20"/>
        </w:rPr>
        <w:t>n the areas of social networking or social media services, digital advertising, and/or mobile or online applications, as well as our acquisitions. For example, in June 2019 we were informed by the FTC that it had opened an antitrust investigation of our co</w:t>
      </w:r>
      <w:r>
        <w:rPr>
          <w:rFonts w:ascii="Times New Roman" w:eastAsia="宋体" w:hAnsi="Times New Roman"/>
          <w:color w:val="000000"/>
          <w:sz w:val="20"/>
          <w:szCs w:val="20"/>
        </w:rPr>
        <w:t>mpany. On December 9, 2020, the FTC filed a complaint against us in the U.S. District Court for the District of Columbia alleging that we engaged in anticompetitive conduct and unfair methods of competition in violation of Section 5 of the Federal Trade Co</w:t>
      </w:r>
      <w:r>
        <w:rPr>
          <w:rFonts w:ascii="Times New Roman" w:eastAsia="宋体" w:hAnsi="Times New Roman"/>
          <w:color w:val="000000"/>
          <w:sz w:val="20"/>
          <w:szCs w:val="20"/>
        </w:rPr>
        <w:t xml:space="preserve">mmission Act and Section 2 of the Sherman Act, including by acquiring Instagram in 2012 and WhatsApp </w:t>
      </w:r>
    </w:p>
    <w:p w14:paraId="5CD903BC" w14:textId="77777777" w:rsidR="00BA49F5" w:rsidRDefault="007E5E49">
      <w:pPr>
        <w:jc w:val="center"/>
      </w:pPr>
      <w:r>
        <w:rPr>
          <w:rFonts w:ascii="Times New Roman" w:eastAsia="宋体" w:hAnsi="Times New Roman"/>
          <w:color w:val="000000"/>
          <w:sz w:val="20"/>
          <w:szCs w:val="20"/>
        </w:rPr>
        <w:t>112</w:t>
      </w:r>
    </w:p>
    <w:p w14:paraId="5CD903BD" w14:textId="77777777" w:rsidR="00BA49F5" w:rsidRDefault="007E5E49">
      <w:r>
        <w:pict w14:anchorId="5CD90D65">
          <v:rect id="_x0000_i1136" style="width:415.3pt;height:1.5pt" o:hralign="center" o:hrstd="t" o:hr="t" fillcolor="#a0a0a0" stroked="f"/>
        </w:pict>
      </w:r>
    </w:p>
    <w:p w14:paraId="5CD903BE" w14:textId="77777777" w:rsidR="00BA49F5" w:rsidRDefault="00BA49F5"/>
    <w:p w14:paraId="5CD903BF" w14:textId="77777777" w:rsidR="00BA49F5" w:rsidRDefault="00BA49F5"/>
    <w:p w14:paraId="5CD903C0" w14:textId="77777777" w:rsidR="00BA49F5" w:rsidRDefault="007E5E49">
      <w:hyperlink r:id="rId319" w:anchor="i6df229dad1864210ab76200083e26819_7" w:history="1">
        <w:r>
          <w:rPr>
            <w:rStyle w:val="a5"/>
            <w:rFonts w:ascii="Times New Roman" w:eastAsia="宋体" w:hAnsi="Times New Roman"/>
            <w:sz w:val="20"/>
            <w:szCs w:val="20"/>
          </w:rPr>
          <w:t>T</w:t>
        </w:r>
      </w:hyperlink>
      <w:hyperlink r:id="rId320" w:anchor="i6df229dad1864210ab76200083e26819_7" w:history="1">
        <w:r>
          <w:rPr>
            <w:rStyle w:val="a5"/>
            <w:rFonts w:ascii="Times New Roman" w:eastAsia="宋体" w:hAnsi="Times New Roman"/>
            <w:sz w:val="20"/>
            <w:szCs w:val="20"/>
          </w:rPr>
          <w:t>able of Contents</w:t>
        </w:r>
      </w:hyperlink>
    </w:p>
    <w:p w14:paraId="5CD903C1" w14:textId="77777777" w:rsidR="00BA49F5" w:rsidRDefault="007E5E49">
      <w:pPr>
        <w:jc w:val="both"/>
      </w:pPr>
      <w:r>
        <w:rPr>
          <w:rFonts w:ascii="Times New Roman" w:eastAsia="宋体" w:hAnsi="Times New Roman"/>
          <w:color w:val="000000"/>
          <w:sz w:val="20"/>
          <w:szCs w:val="20"/>
        </w:rPr>
        <w:t>in 2014 and by maintaining conditions on access to our platform. In addition, beginning in the third quarter of 2019, we became the subject of antitrust investigations by the U.S. Departme</w:t>
      </w:r>
      <w:r>
        <w:rPr>
          <w:rFonts w:ascii="Times New Roman" w:eastAsia="宋体" w:hAnsi="Times New Roman"/>
          <w:color w:val="000000"/>
          <w:sz w:val="20"/>
          <w:szCs w:val="20"/>
        </w:rPr>
        <w:t xml:space="preserve">nt of Justice and state attorneys general. On December 9, 2020, the attorneys general from 46 states, the territory of Guam, and the District of Columbia filed a complaint against us in the U.S. District Court for the District of Columbia alleging that we </w:t>
      </w:r>
      <w:r>
        <w:rPr>
          <w:rFonts w:ascii="Times New Roman" w:eastAsia="宋体" w:hAnsi="Times New Roman"/>
          <w:color w:val="000000"/>
          <w:sz w:val="20"/>
          <w:szCs w:val="20"/>
        </w:rPr>
        <w:t>engaged in anticompetitive conduct in violation of Section 2 of the Sherman Act, including by acquiring Instagram in 2012 and WhatsApp in 2014 and by maintaining conditions on access to our platform. The complaint also alleged that we violated Section 7 of</w:t>
      </w:r>
      <w:r>
        <w:rPr>
          <w:rFonts w:ascii="Times New Roman" w:eastAsia="宋体" w:hAnsi="Times New Roman"/>
          <w:color w:val="000000"/>
          <w:sz w:val="20"/>
          <w:szCs w:val="20"/>
        </w:rPr>
        <w:t xml:space="preserve"> the Clayton Act by acquiring Instagram and WhatsApp. The complaints of the FTC and attorneys general both sought a permanent injunction against our company's alleged violations of the antitrust laws, and other equitable relief, including divestiture or re</w:t>
      </w:r>
      <w:r>
        <w:rPr>
          <w:rFonts w:ascii="Times New Roman" w:eastAsia="宋体" w:hAnsi="Times New Roman"/>
          <w:color w:val="000000"/>
          <w:sz w:val="20"/>
          <w:szCs w:val="20"/>
        </w:rPr>
        <w:t>construction of Instagram and WhatsApp. On June 28, 2021, the court granted our motions to dismiss the complaints filed by the FTC and attorneys general, dismissing the FTC's complaint with leave to amend and dismissing the attorneys general's case without</w:t>
      </w:r>
      <w:r>
        <w:rPr>
          <w:rFonts w:ascii="Times New Roman" w:eastAsia="宋体" w:hAnsi="Times New Roman"/>
          <w:color w:val="000000"/>
          <w:sz w:val="20"/>
          <w:szCs w:val="20"/>
        </w:rPr>
        <w:t xml:space="preserve"> prejudice. On July 28, 2021, the attorneys general filed a notice of appeal of the order dismissing their case and that appeal is now pending before the U.S. Court of Appeals for the District of Columbia Circuit. On August 19, 2021, the FTC filed an amend</w:t>
      </w:r>
      <w:r>
        <w:rPr>
          <w:rFonts w:ascii="Times New Roman" w:eastAsia="宋体" w:hAnsi="Times New Roman"/>
          <w:color w:val="000000"/>
          <w:sz w:val="20"/>
          <w:szCs w:val="20"/>
        </w:rPr>
        <w:t>ed complaint, and on October 4, 2021, we filed a motion to dismiss this amended complaint. On January 11, 2022, the court denied our motion to dismiss the FTC's amended complaint. Multiple putative class actions have also been filed in state and federal co</w:t>
      </w:r>
      <w:r>
        <w:rPr>
          <w:rFonts w:ascii="Times New Roman" w:eastAsia="宋体" w:hAnsi="Times New Roman"/>
          <w:color w:val="000000"/>
          <w:sz w:val="20"/>
          <w:szCs w:val="20"/>
        </w:rPr>
        <w:t>urts in the United States and in the United Kingdom against us alleging violations of antitrust laws and other causes of action in connection with these acquisitions and/or other alleged anticompetitive conduct, and seeking damages and injunctive relief. S</w:t>
      </w:r>
      <w:r>
        <w:rPr>
          <w:rFonts w:ascii="Times New Roman" w:eastAsia="宋体" w:hAnsi="Times New Roman"/>
          <w:color w:val="000000"/>
          <w:sz w:val="20"/>
          <w:szCs w:val="20"/>
        </w:rPr>
        <w:t>everal of the cases brought on behalf of certain advertisers and users in the United States were consolidated in the U.S. District Court for the Northern District of California. On January 14, 2022, the court granted, in part, and denied, in part, our moti</w:t>
      </w:r>
      <w:r>
        <w:rPr>
          <w:rFonts w:ascii="Times New Roman" w:eastAsia="宋体" w:hAnsi="Times New Roman"/>
          <w:color w:val="000000"/>
          <w:sz w:val="20"/>
          <w:szCs w:val="20"/>
        </w:rPr>
        <w:t xml:space="preserve">on to dismiss the consolidated actions. On March 1, 2022, a first amended consolidated complaint was filed in the putative class action brought on behalf of certain advertisers. On December 6, 2022, the court denied our motion to dismiss the first amended </w:t>
      </w:r>
      <w:r>
        <w:rPr>
          <w:rFonts w:ascii="Times New Roman" w:eastAsia="宋体" w:hAnsi="Times New Roman"/>
          <w:color w:val="000000"/>
          <w:sz w:val="20"/>
          <w:szCs w:val="20"/>
        </w:rPr>
        <w:t>consolidated complaint filed in the putative class action brought on behalf of certain advertisers. In addition, on July 27, 2022, the FTC filed a complaint against us in the U.S. District Court for the Northern District of California seeking to preliminar</w:t>
      </w:r>
      <w:r>
        <w:rPr>
          <w:rFonts w:ascii="Times New Roman" w:eastAsia="宋体" w:hAnsi="Times New Roman"/>
          <w:color w:val="000000"/>
          <w:sz w:val="20"/>
          <w:szCs w:val="20"/>
        </w:rPr>
        <w:t xml:space="preserve">ily enjoin our proposed acquisition of Within Unlimited as an alleged violation of antitrust law. The FTC subsequently filed a related complaint in their administrative court seeking to permanently enjoin the transaction as a violation of Section 7 of the </w:t>
      </w:r>
      <w:r>
        <w:rPr>
          <w:rFonts w:ascii="Times New Roman" w:eastAsia="宋体" w:hAnsi="Times New Roman"/>
          <w:color w:val="000000"/>
          <w:sz w:val="20"/>
          <w:szCs w:val="20"/>
        </w:rPr>
        <w:t>Clayton Act, and seeking other relief as well. We believe these lawsuits are without merit, and we are vigorously defending them. In December 2022, the European Commission issued a Statement of Objections alleging that we tie Facebook Marketplace to Facebo</w:t>
      </w:r>
      <w:r>
        <w:rPr>
          <w:rFonts w:ascii="Times New Roman" w:eastAsia="宋体" w:hAnsi="Times New Roman"/>
          <w:color w:val="000000"/>
          <w:sz w:val="20"/>
          <w:szCs w:val="20"/>
        </w:rPr>
        <w:t>ok and use data in a manner that infringes European Union competition rules.</w:t>
      </w:r>
    </w:p>
    <w:p w14:paraId="5CD903C2" w14:textId="77777777" w:rsidR="00BA49F5" w:rsidRDefault="00BA49F5">
      <w:pPr>
        <w:ind w:firstLine="540"/>
        <w:jc w:val="both"/>
      </w:pPr>
    </w:p>
    <w:p w14:paraId="5CD903C3" w14:textId="77777777" w:rsidR="00BA49F5" w:rsidRDefault="007E5E49">
      <w:pPr>
        <w:ind w:firstLine="540"/>
        <w:jc w:val="both"/>
      </w:pPr>
      <w:r>
        <w:rPr>
          <w:rFonts w:ascii="Times New Roman" w:eastAsia="宋体" w:hAnsi="Times New Roman"/>
          <w:color w:val="000000"/>
          <w:sz w:val="20"/>
          <w:szCs w:val="20"/>
        </w:rPr>
        <w:t>On February 14, 2022, the State of Texas filed a lawsuit against us in Texas state court alleging that “tag suggestions" and other facial recognition features on our products vio</w:t>
      </w:r>
      <w:r>
        <w:rPr>
          <w:rFonts w:ascii="Times New Roman" w:eastAsia="宋体" w:hAnsi="Times New Roman"/>
          <w:color w:val="000000"/>
          <w:sz w:val="20"/>
          <w:szCs w:val="20"/>
        </w:rPr>
        <w:t>lated the Texas Capture or Use of Biometric Identifiers Act and the Texas Deceptive Trade Practices-Consumer Protection Act, and seeking statutory damages and injunctive relief. The case is currently scheduled for trial in October 2023. We believe this law</w:t>
      </w:r>
      <w:r>
        <w:rPr>
          <w:rFonts w:ascii="Times New Roman" w:eastAsia="宋体" w:hAnsi="Times New Roman"/>
          <w:color w:val="000000"/>
          <w:sz w:val="20"/>
          <w:szCs w:val="20"/>
        </w:rPr>
        <w:t>suit is without merit, and we are vigorously defending it.</w:t>
      </w:r>
    </w:p>
    <w:p w14:paraId="5CD903C4" w14:textId="77777777" w:rsidR="00BA49F5" w:rsidRDefault="00BA49F5">
      <w:pPr>
        <w:ind w:firstLine="540"/>
        <w:jc w:val="both"/>
      </w:pPr>
    </w:p>
    <w:p w14:paraId="5CD903C5" w14:textId="77777777" w:rsidR="00BA49F5" w:rsidRDefault="007E5E49">
      <w:pPr>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complying with these obligations may be uncertain and subject to interp</w:t>
      </w:r>
      <w:r>
        <w:rPr>
          <w:rFonts w:ascii="Times New Roman" w:eastAsia="宋体" w:hAnsi="Times New Roman"/>
          <w:color w:val="000000"/>
          <w:sz w:val="20"/>
          <w:szCs w:val="20"/>
        </w:rPr>
        <w:t>retation and enforcement by regulatory and other authorities, and any failure to comply with such obligations could eventually lead to asserted legal or regulatory action. With respect to these other legal proceedings, claims, regulatory, tax, or governmen</w:t>
      </w:r>
      <w:r>
        <w:rPr>
          <w:rFonts w:ascii="Times New Roman" w:eastAsia="宋体" w:hAnsi="Times New Roman"/>
          <w:color w:val="000000"/>
          <w:sz w:val="20"/>
          <w:szCs w:val="20"/>
        </w:rPr>
        <w:t>t inquiries and investigations, and other matters, asserted and unasserted, we evaluate the associated developments on a regular basis and accrue a liability when we believe a loss is probable and the amount can be reasonably estimated. In addition, we bel</w:t>
      </w:r>
      <w:r>
        <w:rPr>
          <w:rFonts w:ascii="Times New Roman" w:eastAsia="宋体" w:hAnsi="Times New Roman"/>
          <w:color w:val="000000"/>
          <w:sz w:val="20"/>
          <w:szCs w:val="20"/>
        </w:rPr>
        <w:t>ieve there is a reasonable possibility that we may incur a loss in some of these other matters. We believe that the amount of losses or any estimable range of possible losses with respect to these other matters will not, either individually or in the aggre</w:t>
      </w:r>
      <w:r>
        <w:rPr>
          <w:rFonts w:ascii="Times New Roman" w:eastAsia="宋体" w:hAnsi="Times New Roman"/>
          <w:color w:val="000000"/>
          <w:sz w:val="20"/>
          <w:szCs w:val="20"/>
        </w:rPr>
        <w:t xml:space="preserve">gate, have a material adverse effect on our business and consolidated financial statements. </w:t>
      </w:r>
    </w:p>
    <w:p w14:paraId="5CD903C6" w14:textId="77777777" w:rsidR="00BA49F5" w:rsidRDefault="00BA49F5">
      <w:pPr>
        <w:ind w:firstLine="540"/>
        <w:jc w:val="both"/>
      </w:pPr>
    </w:p>
    <w:p w14:paraId="5CD903C7" w14:textId="77777777" w:rsidR="00BA49F5" w:rsidRDefault="007E5E49">
      <w:pPr>
        <w:ind w:firstLine="540"/>
        <w:jc w:val="both"/>
      </w:pPr>
      <w:r>
        <w:rPr>
          <w:rFonts w:ascii="Times New Roman" w:eastAsia="宋体" w:hAnsi="Times New Roman"/>
          <w:color w:val="000000"/>
          <w:sz w:val="20"/>
          <w:szCs w:val="20"/>
        </w:rPr>
        <w:t>The ultimate outcome of the legal and related matters described in this section, such as whether the likelihood of loss is remote, reasonably possible, or probabl</w:t>
      </w:r>
      <w:r>
        <w:rPr>
          <w:rFonts w:ascii="Times New Roman" w:eastAsia="宋体" w:hAnsi="Times New Roman"/>
          <w:color w:val="000000"/>
          <w:sz w:val="20"/>
          <w:szCs w:val="20"/>
        </w:rPr>
        <w:t>e, or if and when the reasonably possible range of loss is estimable, is inherently uncertain. Therefore, if one or more of these matters were resolved against us for amounts in excess of management's estimates of loss, our results of operations and financ</w:t>
      </w:r>
      <w:r>
        <w:rPr>
          <w:rFonts w:ascii="Times New Roman" w:eastAsia="宋体" w:hAnsi="Times New Roman"/>
          <w:color w:val="000000"/>
          <w:sz w:val="20"/>
          <w:szCs w:val="20"/>
        </w:rPr>
        <w:t>ial condition, including in a particular reporting period in which any such outcome becomes probable and estimable, could be materially adversely affected.</w:t>
      </w:r>
    </w:p>
    <w:p w14:paraId="5CD903C8" w14:textId="77777777" w:rsidR="00BA49F5" w:rsidRDefault="00BA49F5">
      <w:pPr>
        <w:ind w:firstLine="540"/>
        <w:jc w:val="both"/>
      </w:pPr>
    </w:p>
    <w:p w14:paraId="5CD903C9" w14:textId="77777777" w:rsidR="00BA49F5" w:rsidRDefault="007E5E49">
      <w:pPr>
        <w:ind w:firstLine="540"/>
        <w:jc w:val="both"/>
      </w:pPr>
      <w:r>
        <w:rPr>
          <w:rFonts w:ascii="Times New Roman" w:eastAsia="宋体" w:hAnsi="Times New Roman"/>
          <w:color w:val="000000"/>
          <w:sz w:val="20"/>
          <w:szCs w:val="20"/>
        </w:rPr>
        <w:t>For information regarding income tax contingencies, see Note 16 — Income Taxes.</w:t>
      </w:r>
    </w:p>
    <w:p w14:paraId="5CD903CA" w14:textId="77777777" w:rsidR="00BA49F5" w:rsidRDefault="00BA49F5">
      <w:pPr>
        <w:ind w:firstLine="540"/>
        <w:jc w:val="both"/>
      </w:pPr>
    </w:p>
    <w:p w14:paraId="5CD903CB" w14:textId="77777777" w:rsidR="00BA49F5" w:rsidRDefault="007E5E49">
      <w:pPr>
        <w:jc w:val="both"/>
      </w:pPr>
      <w:r>
        <w:rPr>
          <w:rFonts w:ascii="Times New Roman" w:eastAsia="宋体" w:hAnsi="Times New Roman"/>
          <w:b/>
          <w:bCs/>
          <w:i/>
          <w:iCs/>
          <w:color w:val="000000"/>
          <w:sz w:val="20"/>
          <w:szCs w:val="20"/>
        </w:rPr>
        <w:t>Indemnifications</w:t>
      </w:r>
    </w:p>
    <w:p w14:paraId="5CD903CC" w14:textId="77777777" w:rsidR="00BA49F5" w:rsidRDefault="00BA49F5">
      <w:pPr>
        <w:ind w:firstLine="540"/>
        <w:jc w:val="both"/>
      </w:pPr>
    </w:p>
    <w:p w14:paraId="5CD903CD" w14:textId="77777777" w:rsidR="00BA49F5" w:rsidRDefault="007E5E49">
      <w:pPr>
        <w:ind w:firstLine="540"/>
        <w:jc w:val="both"/>
      </w:pPr>
      <w:r>
        <w:rPr>
          <w:rFonts w:ascii="Times New Roman" w:eastAsia="宋体" w:hAnsi="Times New Roman"/>
          <w:color w:val="000000"/>
          <w:sz w:val="20"/>
          <w:szCs w:val="20"/>
        </w:rPr>
        <w:t>In the normal course of business, to facilitate transactions of services and products, we have agreed to indemnify certain parties with respect to certain matters. We have agreed to hold certain parties harmless against losses arising from a breach of rep</w:t>
      </w:r>
      <w:r>
        <w:rPr>
          <w:rFonts w:ascii="Times New Roman" w:eastAsia="宋体" w:hAnsi="Times New Roman"/>
          <w:color w:val="000000"/>
          <w:sz w:val="20"/>
          <w:szCs w:val="20"/>
        </w:rPr>
        <w:t xml:space="preserve">resentations or covenants, or out of intellectual property infringement or other claims made by third parties. </w:t>
      </w:r>
    </w:p>
    <w:p w14:paraId="5CD903CE" w14:textId="77777777" w:rsidR="00BA49F5" w:rsidRDefault="007E5E49">
      <w:pPr>
        <w:jc w:val="center"/>
      </w:pPr>
      <w:r>
        <w:rPr>
          <w:rFonts w:ascii="Times New Roman" w:eastAsia="宋体" w:hAnsi="Times New Roman"/>
          <w:color w:val="000000"/>
          <w:sz w:val="20"/>
          <w:szCs w:val="20"/>
        </w:rPr>
        <w:t>113</w:t>
      </w:r>
    </w:p>
    <w:p w14:paraId="5CD903CF" w14:textId="77777777" w:rsidR="00BA49F5" w:rsidRDefault="007E5E49">
      <w:r>
        <w:pict w14:anchorId="5CD90D66">
          <v:rect id="_x0000_i1137" style="width:415.3pt;height:1.5pt" o:hralign="center" o:hrstd="t" o:hr="t" fillcolor="#a0a0a0" stroked="f"/>
        </w:pict>
      </w:r>
    </w:p>
    <w:p w14:paraId="5CD903D0" w14:textId="77777777" w:rsidR="00BA49F5" w:rsidRDefault="00BA49F5"/>
    <w:p w14:paraId="5CD903D1" w14:textId="77777777" w:rsidR="00BA49F5" w:rsidRDefault="00BA49F5"/>
    <w:p w14:paraId="5CD903D2" w14:textId="77777777" w:rsidR="00BA49F5" w:rsidRDefault="007E5E49">
      <w:hyperlink r:id="rId321" w:anchor="i6df229dad1864210ab76200083e26819_7" w:history="1">
        <w:r>
          <w:rPr>
            <w:rStyle w:val="a5"/>
            <w:rFonts w:ascii="Times New Roman" w:eastAsia="宋体" w:hAnsi="Times New Roman"/>
            <w:sz w:val="20"/>
            <w:szCs w:val="20"/>
          </w:rPr>
          <w:t>T</w:t>
        </w:r>
      </w:hyperlink>
      <w:hyperlink r:id="rId322" w:anchor="i6df229dad1864210ab76200083e26819_7" w:history="1">
        <w:r>
          <w:rPr>
            <w:rStyle w:val="a5"/>
            <w:rFonts w:ascii="Times New Roman" w:eastAsia="宋体" w:hAnsi="Times New Roman"/>
            <w:sz w:val="20"/>
            <w:szCs w:val="20"/>
          </w:rPr>
          <w:t>able of Contents</w:t>
        </w:r>
      </w:hyperlink>
    </w:p>
    <w:p w14:paraId="5CD903D3" w14:textId="77777777" w:rsidR="00BA49F5" w:rsidRDefault="007E5E49">
      <w:pPr>
        <w:jc w:val="both"/>
      </w:pPr>
      <w:r>
        <w:rPr>
          <w:rFonts w:ascii="Times New Roman" w:eastAsia="宋体" w:hAnsi="Times New Roman"/>
          <w:color w:val="000000"/>
          <w:sz w:val="20"/>
          <w:szCs w:val="20"/>
        </w:rPr>
        <w:t xml:space="preserve">These agreements may limit the time within which an indemnification </w:t>
      </w:r>
      <w:r>
        <w:rPr>
          <w:rFonts w:ascii="Times New Roman" w:eastAsia="宋体" w:hAnsi="Times New Roman"/>
          <w:color w:val="000000"/>
          <w:sz w:val="20"/>
          <w:szCs w:val="20"/>
        </w:rPr>
        <w:t xml:space="preserve">claim can be made and the amount of the claim. In addition, we have entered into indemnification agreements with our officers, directors, and certain employees, and our certificate of incorporation and bylaws contain similar indemnification obligations. </w:t>
      </w:r>
    </w:p>
    <w:p w14:paraId="5CD903D4" w14:textId="77777777" w:rsidR="00BA49F5" w:rsidRDefault="00BA49F5">
      <w:pPr>
        <w:ind w:firstLine="540"/>
        <w:jc w:val="both"/>
      </w:pPr>
    </w:p>
    <w:p w14:paraId="5CD903D5" w14:textId="77777777" w:rsidR="00BA49F5" w:rsidRDefault="007E5E49">
      <w:pPr>
        <w:ind w:firstLine="540"/>
        <w:jc w:val="both"/>
      </w:pPr>
      <w:r>
        <w:rPr>
          <w:rFonts w:ascii="Times New Roman" w:eastAsia="宋体" w:hAnsi="Times New Roman"/>
          <w:color w:val="000000"/>
          <w:sz w:val="20"/>
          <w:szCs w:val="20"/>
        </w:rPr>
        <w:t>It is not possible to determine the maximum potential amount under these indemnification agreements due to the limited history of prior indemnification claims and the unique facts and circumstances involved in each particular agreement. Historically, payme</w:t>
      </w:r>
      <w:r>
        <w:rPr>
          <w:rFonts w:ascii="Times New Roman" w:eastAsia="宋体" w:hAnsi="Times New Roman"/>
          <w:color w:val="000000"/>
          <w:sz w:val="20"/>
          <w:szCs w:val="20"/>
        </w:rPr>
        <w:t>nts made by us under these agreements have not had a material impact on our consolidated financial statements. In our opinion, as of December 31, 2022, there was not a reasonable possibility we had incurred a material loss with respect to indemnification o</w:t>
      </w:r>
      <w:r>
        <w:rPr>
          <w:rFonts w:ascii="Times New Roman" w:eastAsia="宋体" w:hAnsi="Times New Roman"/>
          <w:color w:val="000000"/>
          <w:sz w:val="20"/>
          <w:szCs w:val="20"/>
        </w:rPr>
        <w:t>f such parties. We have not recorded any liability for costs related to indemnification through December 31, 2022.</w:t>
      </w:r>
    </w:p>
    <w:p w14:paraId="5CD903D6" w14:textId="77777777" w:rsidR="00BA49F5" w:rsidRDefault="00BA49F5">
      <w:pPr>
        <w:ind w:firstLine="540"/>
        <w:jc w:val="both"/>
      </w:pPr>
    </w:p>
    <w:p w14:paraId="5CD903D7" w14:textId="77777777" w:rsidR="00BA49F5" w:rsidRDefault="007E5E49">
      <w:pPr>
        <w:spacing w:before="180"/>
        <w:jc w:val="both"/>
      </w:pPr>
      <w:r>
        <w:rPr>
          <w:rFonts w:ascii="Times New Roman" w:eastAsia="宋体" w:hAnsi="Times New Roman"/>
          <w:b/>
          <w:bCs/>
          <w:color w:val="000000"/>
          <w:sz w:val="20"/>
          <w:szCs w:val="20"/>
        </w:rPr>
        <w:t>Note 14.</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Stockholders' Equity</w:t>
      </w:r>
    </w:p>
    <w:p w14:paraId="5CD903D8" w14:textId="77777777" w:rsidR="00BA49F5" w:rsidRDefault="00BA49F5">
      <w:pPr>
        <w:jc w:val="both"/>
      </w:pPr>
    </w:p>
    <w:p w14:paraId="5CD903D9" w14:textId="77777777" w:rsidR="00BA49F5" w:rsidRDefault="007E5E49">
      <w:r>
        <w:rPr>
          <w:rFonts w:ascii="Times New Roman" w:eastAsia="宋体" w:hAnsi="Times New Roman"/>
          <w:b/>
          <w:bCs/>
          <w:i/>
          <w:iCs/>
          <w:color w:val="000000"/>
          <w:sz w:val="20"/>
          <w:szCs w:val="20"/>
        </w:rPr>
        <w:t>Common Stock</w:t>
      </w:r>
    </w:p>
    <w:p w14:paraId="5CD903DA" w14:textId="77777777" w:rsidR="00BA49F5" w:rsidRDefault="00BA49F5">
      <w:pPr>
        <w:ind w:firstLine="540"/>
        <w:jc w:val="both"/>
      </w:pPr>
    </w:p>
    <w:p w14:paraId="5CD903DB" w14:textId="77777777" w:rsidR="00BA49F5" w:rsidRDefault="007E5E49">
      <w:pPr>
        <w:ind w:firstLine="540"/>
        <w:jc w:val="both"/>
      </w:pPr>
      <w:r>
        <w:rPr>
          <w:rFonts w:ascii="Times New Roman" w:eastAsia="宋体" w:hAnsi="Times New Roman"/>
          <w:color w:val="000000"/>
          <w:sz w:val="20"/>
          <w:szCs w:val="20"/>
        </w:rPr>
        <w:t xml:space="preserve">Our certificate of incorporation authorizes the issuance of Class A common stock and </w:t>
      </w:r>
      <w:r>
        <w:rPr>
          <w:rFonts w:ascii="Times New Roman" w:eastAsia="宋体" w:hAnsi="Times New Roman"/>
          <w:color w:val="000000"/>
          <w:sz w:val="20"/>
          <w:szCs w:val="20"/>
        </w:rPr>
        <w:t>Class B common stock. As of December 31, 2022, we are authorized to issue 5,000 million shares of Class A common stock and 4,141 million shares of Class B common stock, each with a par value of $0.000006 per share. Holders of our Class A common stock and C</w:t>
      </w:r>
      <w:r>
        <w:rPr>
          <w:rFonts w:ascii="Times New Roman" w:eastAsia="宋体" w:hAnsi="Times New Roman"/>
          <w:color w:val="000000"/>
          <w:sz w:val="20"/>
          <w:szCs w:val="20"/>
        </w:rPr>
        <w:t>lass B common stock are entitled to dividends when, as, and if declared by our board of directors, subject to the rights of the holders of all classes of stock outstanding having priority rights to dividends. As of December 31, 2022, we have not declared a</w:t>
      </w:r>
      <w:r>
        <w:rPr>
          <w:rFonts w:ascii="Times New Roman" w:eastAsia="宋体" w:hAnsi="Times New Roman"/>
          <w:color w:val="000000"/>
          <w:sz w:val="20"/>
          <w:szCs w:val="20"/>
        </w:rPr>
        <w:t xml:space="preserve">ny dividends. The holder of each share of Class A common stock is entitled to one vote, while the holder of each share of Class B common stock is entitled to ten votes. Shares of our Class B common stock are convertible into an equivalent number of shares </w:t>
      </w:r>
      <w:r>
        <w:rPr>
          <w:rFonts w:ascii="Times New Roman" w:eastAsia="宋体" w:hAnsi="Times New Roman"/>
          <w:color w:val="000000"/>
          <w:sz w:val="20"/>
          <w:szCs w:val="20"/>
        </w:rPr>
        <w:t>of our Class A common stock and generally convert into shares of our Class A common stock upon transfer. Class A common stock and Class B common stock are collectively referred to as common stock throughout the notes to these financial statements, unless o</w:t>
      </w:r>
      <w:r>
        <w:rPr>
          <w:rFonts w:ascii="Times New Roman" w:eastAsia="宋体" w:hAnsi="Times New Roman"/>
          <w:color w:val="000000"/>
          <w:sz w:val="20"/>
          <w:szCs w:val="20"/>
        </w:rPr>
        <w:t>therwise noted.</w:t>
      </w:r>
    </w:p>
    <w:p w14:paraId="5CD903DC" w14:textId="77777777" w:rsidR="00BA49F5" w:rsidRDefault="00BA49F5">
      <w:pPr>
        <w:ind w:firstLine="540"/>
        <w:jc w:val="both"/>
      </w:pPr>
    </w:p>
    <w:p w14:paraId="5CD903DD" w14:textId="77777777" w:rsidR="00BA49F5" w:rsidRDefault="007E5E49">
      <w:pPr>
        <w:ind w:firstLine="540"/>
        <w:jc w:val="both"/>
      </w:pPr>
      <w:r>
        <w:rPr>
          <w:rFonts w:ascii="Times New Roman" w:eastAsia="宋体" w:hAnsi="Times New Roman"/>
          <w:color w:val="000000"/>
          <w:sz w:val="20"/>
          <w:szCs w:val="20"/>
        </w:rPr>
        <w:t>As of December 31, 2022, there were 2,247 million shares of Class A common stock and 367 million shares of Class B common stock issued and outstanding.</w:t>
      </w:r>
    </w:p>
    <w:p w14:paraId="5CD903DE" w14:textId="77777777" w:rsidR="00BA49F5" w:rsidRDefault="00BA49F5">
      <w:pPr>
        <w:ind w:firstLine="540"/>
      </w:pPr>
    </w:p>
    <w:p w14:paraId="5CD903DF" w14:textId="77777777" w:rsidR="00BA49F5" w:rsidRDefault="007E5E49">
      <w:r>
        <w:rPr>
          <w:rFonts w:ascii="Times New Roman" w:eastAsia="宋体" w:hAnsi="Times New Roman"/>
          <w:b/>
          <w:bCs/>
          <w:i/>
          <w:iCs/>
          <w:color w:val="000000"/>
          <w:sz w:val="20"/>
          <w:szCs w:val="20"/>
        </w:rPr>
        <w:t>Share Repurchase Program</w:t>
      </w:r>
    </w:p>
    <w:p w14:paraId="5CD903E0" w14:textId="77777777" w:rsidR="00BA49F5" w:rsidRDefault="00BA49F5">
      <w:pPr>
        <w:ind w:firstLine="540"/>
      </w:pPr>
    </w:p>
    <w:p w14:paraId="5CD903E1" w14:textId="77777777" w:rsidR="00BA49F5" w:rsidRDefault="007E5E49">
      <w:pPr>
        <w:ind w:firstLine="540"/>
        <w:jc w:val="both"/>
      </w:pPr>
      <w:r>
        <w:rPr>
          <w:rFonts w:ascii="Times New Roman" w:eastAsia="宋体" w:hAnsi="Times New Roman"/>
          <w:color w:val="000000"/>
          <w:sz w:val="20"/>
          <w:szCs w:val="20"/>
        </w:rPr>
        <w:t>Our board of directors has authorized a share repurchase pro</w:t>
      </w:r>
      <w:r>
        <w:rPr>
          <w:rFonts w:ascii="Times New Roman" w:eastAsia="宋体" w:hAnsi="Times New Roman"/>
          <w:color w:val="000000"/>
          <w:sz w:val="20"/>
          <w:szCs w:val="20"/>
        </w:rPr>
        <w:t>gram of our Class A common stock, which commenced in January 2017 and does not have an expiration date. As of December 31, 2021, $38.79 billion remained available and authorized for repurchases under this program. In 2022, we repurchased and subsequently r</w:t>
      </w:r>
      <w:r>
        <w:rPr>
          <w:rFonts w:ascii="Times New Roman" w:eastAsia="宋体" w:hAnsi="Times New Roman"/>
          <w:color w:val="000000"/>
          <w:sz w:val="20"/>
          <w:szCs w:val="20"/>
        </w:rPr>
        <w:t>etired 161 million shares of our Class A common stock for an aggregate amount of $27.93 billion. As of December 31, 2022, $10.87 billion remained available and authorized for repurchases. In January 2023, an additional $40 billion of repurchases was author</w:t>
      </w:r>
      <w:r>
        <w:rPr>
          <w:rFonts w:ascii="Times New Roman" w:eastAsia="宋体" w:hAnsi="Times New Roman"/>
          <w:color w:val="000000"/>
          <w:sz w:val="20"/>
          <w:szCs w:val="20"/>
        </w:rPr>
        <w:t>ized under this program.</w:t>
      </w:r>
    </w:p>
    <w:p w14:paraId="5CD903E2" w14:textId="77777777" w:rsidR="00BA49F5" w:rsidRDefault="00BA49F5">
      <w:pPr>
        <w:ind w:firstLine="540"/>
        <w:jc w:val="both"/>
      </w:pPr>
    </w:p>
    <w:p w14:paraId="5CD903E3" w14:textId="77777777" w:rsidR="00BA49F5" w:rsidRDefault="007E5E49">
      <w:pPr>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 price, general business and market conditions, and other investment opportunities, and shares may be repurch</w:t>
      </w:r>
      <w:r>
        <w:rPr>
          <w:rFonts w:ascii="Times New Roman" w:eastAsia="宋体" w:hAnsi="Times New Roman"/>
          <w:color w:val="000000"/>
          <w:sz w:val="20"/>
          <w:szCs w:val="20"/>
        </w:rPr>
        <w:t xml:space="preserve">ased through open market purchases or privately negotiated transactions, including through the use of trading plans intended to qualify under Rule 10b5-1 under the Securities Exchange Act of 1934, as amended. </w:t>
      </w:r>
    </w:p>
    <w:p w14:paraId="5CD903E4" w14:textId="77777777" w:rsidR="00BA49F5" w:rsidRDefault="00BA49F5">
      <w:pPr>
        <w:ind w:firstLine="540"/>
        <w:jc w:val="both"/>
      </w:pPr>
    </w:p>
    <w:p w14:paraId="5CD903E5" w14:textId="77777777" w:rsidR="00BA49F5" w:rsidRDefault="007E5E49">
      <w:pPr>
        <w:jc w:val="both"/>
      </w:pPr>
      <w:r>
        <w:rPr>
          <w:rFonts w:ascii="Times New Roman" w:eastAsia="宋体" w:hAnsi="Times New Roman"/>
          <w:b/>
          <w:bCs/>
          <w:i/>
          <w:iCs/>
          <w:color w:val="000000"/>
          <w:sz w:val="20"/>
          <w:szCs w:val="20"/>
        </w:rPr>
        <w:t>Share-based Compensation Plan</w:t>
      </w:r>
    </w:p>
    <w:p w14:paraId="5CD903E6" w14:textId="77777777" w:rsidR="00BA49F5" w:rsidRDefault="00BA49F5">
      <w:pPr>
        <w:ind w:firstLine="540"/>
        <w:jc w:val="both"/>
      </w:pPr>
    </w:p>
    <w:p w14:paraId="5CD903E7" w14:textId="77777777" w:rsidR="00BA49F5" w:rsidRDefault="007E5E49">
      <w:pPr>
        <w:ind w:firstLine="540"/>
        <w:jc w:val="both"/>
      </w:pPr>
      <w:r>
        <w:rPr>
          <w:rFonts w:ascii="Times New Roman" w:eastAsia="宋体" w:hAnsi="Times New Roman"/>
          <w:color w:val="000000"/>
          <w:sz w:val="20"/>
          <w:szCs w:val="20"/>
        </w:rPr>
        <w:t>We have one ac</w:t>
      </w:r>
      <w:r>
        <w:rPr>
          <w:rFonts w:ascii="Times New Roman" w:eastAsia="宋体" w:hAnsi="Times New Roman"/>
          <w:color w:val="000000"/>
          <w:sz w:val="20"/>
          <w:szCs w:val="20"/>
        </w:rPr>
        <w:t>tive share-based employee compensation plan, the 2012 Equity Incentive Plan (Amended 2012 Plan), which was amended in each of June 2016, February 2018, and December 2022. Our Amended 2012 Plan provides for the issuance of incentive and nonqualified stock o</w:t>
      </w:r>
      <w:r>
        <w:rPr>
          <w:rFonts w:ascii="Times New Roman" w:eastAsia="宋体" w:hAnsi="Times New Roman"/>
          <w:color w:val="000000"/>
          <w:sz w:val="20"/>
          <w:szCs w:val="20"/>
        </w:rPr>
        <w:t>ptions, restricted stock awards, stock appreciation rights, RSUs, performance shares, and stock bonuses to qualified employees, directors, and consultants. Shares that are withheld in connection with the net settlement of RSUs or forfeited are added to the</w:t>
      </w:r>
      <w:r>
        <w:rPr>
          <w:rFonts w:ascii="Times New Roman" w:eastAsia="宋体" w:hAnsi="Times New Roman"/>
          <w:color w:val="000000"/>
          <w:sz w:val="20"/>
          <w:szCs w:val="20"/>
        </w:rPr>
        <w:t xml:space="preserve"> reserves of the Amended 2012 Plan.</w:t>
      </w:r>
    </w:p>
    <w:p w14:paraId="5CD903E8" w14:textId="77777777" w:rsidR="00BA49F5" w:rsidRDefault="00BA49F5">
      <w:pPr>
        <w:jc w:val="both"/>
      </w:pPr>
    </w:p>
    <w:p w14:paraId="5CD903E9" w14:textId="77777777" w:rsidR="00BA49F5" w:rsidRDefault="007E5E49">
      <w:pPr>
        <w:ind w:firstLine="540"/>
        <w:jc w:val="both"/>
      </w:pPr>
      <w:r>
        <w:rPr>
          <w:rFonts w:ascii="Times New Roman" w:eastAsia="宋体" w:hAnsi="Times New Roman"/>
          <w:color w:val="000000"/>
          <w:sz w:val="20"/>
          <w:szCs w:val="20"/>
        </w:rPr>
        <w:t>As of December 31, 2022, there were 66 million shares of our Class A common stock reserved for future issuance under our Amended 2012 Plan. Pursuant to the automatic increase provision under our Amended 2012 Plan, the n</w:t>
      </w:r>
      <w:r>
        <w:rPr>
          <w:rFonts w:ascii="Times New Roman" w:eastAsia="宋体" w:hAnsi="Times New Roman"/>
          <w:color w:val="000000"/>
          <w:sz w:val="20"/>
          <w:szCs w:val="20"/>
        </w:rPr>
        <w:t xml:space="preserve">umber of shares reserved for issuance increases automatically on January 1 of each of the calendar years during the term of the Amended 2012 Plan, which will continue through April 2026, by a number of shares of Class A common stock equal to the lesser of </w:t>
      </w:r>
      <w:r>
        <w:rPr>
          <w:rFonts w:ascii="Times New Roman" w:eastAsia="宋体" w:hAnsi="Times New Roman"/>
          <w:color w:val="000000"/>
          <w:sz w:val="20"/>
          <w:szCs w:val="20"/>
        </w:rPr>
        <w:t xml:space="preserve">(i) 2.5% of the total issued and outstanding shares of our Class A common stock as of the immediately preceding </w:t>
      </w:r>
    </w:p>
    <w:p w14:paraId="5CD903EA" w14:textId="77777777" w:rsidR="00BA49F5" w:rsidRDefault="007E5E49">
      <w:pPr>
        <w:jc w:val="center"/>
      </w:pPr>
      <w:r>
        <w:rPr>
          <w:rFonts w:ascii="Times New Roman" w:eastAsia="宋体" w:hAnsi="Times New Roman"/>
          <w:color w:val="000000"/>
          <w:sz w:val="20"/>
          <w:szCs w:val="20"/>
        </w:rPr>
        <w:t>114</w:t>
      </w:r>
    </w:p>
    <w:p w14:paraId="5CD903EB" w14:textId="77777777" w:rsidR="00BA49F5" w:rsidRDefault="007E5E49">
      <w:r>
        <w:pict w14:anchorId="5CD90D67">
          <v:rect id="_x0000_i1138" style="width:415.3pt;height:1.5pt" o:hralign="center" o:hrstd="t" o:hr="t" fillcolor="#a0a0a0" stroked="f"/>
        </w:pict>
      </w:r>
    </w:p>
    <w:p w14:paraId="5CD903EC" w14:textId="77777777" w:rsidR="00BA49F5" w:rsidRDefault="00BA49F5"/>
    <w:p w14:paraId="5CD903ED" w14:textId="77777777" w:rsidR="00BA49F5" w:rsidRDefault="00BA49F5"/>
    <w:p w14:paraId="5CD903EE" w14:textId="77777777" w:rsidR="00BA49F5" w:rsidRDefault="007E5E49">
      <w:hyperlink r:id="rId323" w:anchor="i6df229dad1864210ab76200083e26819_7" w:history="1">
        <w:r>
          <w:rPr>
            <w:rStyle w:val="a5"/>
            <w:rFonts w:ascii="Times New Roman" w:eastAsia="宋体" w:hAnsi="Times New Roman"/>
            <w:sz w:val="20"/>
            <w:szCs w:val="20"/>
          </w:rPr>
          <w:t>T</w:t>
        </w:r>
      </w:hyperlink>
      <w:hyperlink r:id="rId324" w:anchor="i6df229dad1864210ab76200083e26819_7" w:history="1">
        <w:r>
          <w:rPr>
            <w:rStyle w:val="a5"/>
            <w:rFonts w:ascii="Times New Roman" w:eastAsia="宋体" w:hAnsi="Times New Roman"/>
            <w:sz w:val="20"/>
            <w:szCs w:val="20"/>
          </w:rPr>
          <w:t>able of Contents</w:t>
        </w:r>
      </w:hyperlink>
    </w:p>
    <w:p w14:paraId="5CD903EF" w14:textId="77777777" w:rsidR="00BA49F5" w:rsidRDefault="007E5E49">
      <w:pPr>
        <w:jc w:val="both"/>
      </w:pPr>
      <w:r>
        <w:rPr>
          <w:rFonts w:ascii="Times New Roman" w:eastAsia="宋体" w:hAnsi="Times New Roman"/>
          <w:color w:val="000000"/>
          <w:sz w:val="20"/>
          <w:szCs w:val="20"/>
        </w:rPr>
        <w:t>December 31st or (ii) a number of shares determined by our board of directors. Pursuant to this automatic increase provision, our board of directors approved an increase of 56 million shar</w:t>
      </w:r>
      <w:r>
        <w:rPr>
          <w:rFonts w:ascii="Times New Roman" w:eastAsia="宋体" w:hAnsi="Times New Roman"/>
          <w:color w:val="000000"/>
          <w:sz w:val="20"/>
          <w:szCs w:val="20"/>
        </w:rPr>
        <w:t xml:space="preserve">es of Class A common stock reserved for issuance, effective January 1, 2023. </w:t>
      </w:r>
    </w:p>
    <w:p w14:paraId="5CD903F0" w14:textId="77777777" w:rsidR="00BA49F5" w:rsidRDefault="00BA49F5">
      <w:pPr>
        <w:ind w:firstLine="540"/>
        <w:jc w:val="both"/>
      </w:pPr>
    </w:p>
    <w:p w14:paraId="5CD903F1" w14:textId="77777777" w:rsidR="00BA49F5" w:rsidRDefault="007E5E49">
      <w:pPr>
        <w:ind w:firstLine="540"/>
        <w:jc w:val="both"/>
      </w:pPr>
      <w:r>
        <w:rPr>
          <w:rFonts w:ascii="Times New Roman" w:eastAsia="宋体" w:hAnsi="Times New Roman"/>
          <w:color w:val="000000"/>
          <w:sz w:val="20"/>
          <w:szCs w:val="20"/>
        </w:rPr>
        <w:t>In December 2022, our board of directors approved an amendment to our Amended 2012 Plan to increase the number of shares reserved for issuance under the Amended 2012 Plan by 425</w:t>
      </w:r>
      <w:r>
        <w:rPr>
          <w:rFonts w:ascii="Times New Roman" w:eastAsia="宋体" w:hAnsi="Times New Roman"/>
          <w:color w:val="000000"/>
          <w:sz w:val="20"/>
          <w:szCs w:val="20"/>
        </w:rPr>
        <w:t> million shares, effective March 1, 2023 (Plan Amendment). The Plan Amendment was also approved by holders of a majority of the voting power of our outstanding capital stock in December 2022.</w:t>
      </w:r>
    </w:p>
    <w:p w14:paraId="5CD903F2" w14:textId="77777777" w:rsidR="00BA49F5" w:rsidRDefault="00BA49F5">
      <w:pPr>
        <w:jc w:val="both"/>
      </w:pPr>
    </w:p>
    <w:p w14:paraId="5CD903F3" w14:textId="77777777" w:rsidR="00BA49F5" w:rsidRDefault="007E5E49">
      <w:pPr>
        <w:ind w:firstLine="540"/>
      </w:pPr>
      <w:r>
        <w:rPr>
          <w:rFonts w:ascii="Times New Roman" w:eastAsia="宋体" w:hAnsi="Times New Roman"/>
          <w:color w:val="000000"/>
          <w:sz w:val="20"/>
          <w:szCs w:val="20"/>
        </w:rPr>
        <w:t xml:space="preserve">The following table summarizes the activities for our unvested RSUs for the year ended December 31, 2022: </w:t>
      </w:r>
    </w:p>
    <w:tbl>
      <w:tblPr>
        <w:tblW w:w="4993" w:type="pct"/>
        <w:tblCellMar>
          <w:top w:w="15" w:type="dxa"/>
          <w:left w:w="15" w:type="dxa"/>
          <w:bottom w:w="15" w:type="dxa"/>
          <w:right w:w="15" w:type="dxa"/>
        </w:tblCellMar>
        <w:tblLook w:val="04A0" w:firstRow="1" w:lastRow="0" w:firstColumn="1" w:lastColumn="0" w:noHBand="0" w:noVBand="1"/>
      </w:tblPr>
      <w:tblGrid>
        <w:gridCol w:w="38"/>
        <w:gridCol w:w="5748"/>
        <w:gridCol w:w="37"/>
        <w:gridCol w:w="57"/>
        <w:gridCol w:w="927"/>
        <w:gridCol w:w="37"/>
        <w:gridCol w:w="36"/>
        <w:gridCol w:w="36"/>
        <w:gridCol w:w="36"/>
        <w:gridCol w:w="121"/>
        <w:gridCol w:w="1215"/>
        <w:gridCol w:w="36"/>
      </w:tblGrid>
      <w:tr w:rsidR="00BA49F5" w14:paraId="5CD90400" w14:textId="77777777">
        <w:tc>
          <w:tcPr>
            <w:tcW w:w="50" w:type="pct"/>
            <w:shd w:val="clear" w:color="auto" w:fill="auto"/>
            <w:vAlign w:val="bottom"/>
          </w:tcPr>
          <w:p w14:paraId="5CD903F4" w14:textId="77777777" w:rsidR="00BA49F5" w:rsidRDefault="00BA49F5">
            <w:pPr>
              <w:rPr>
                <w:rFonts w:ascii="宋体"/>
              </w:rPr>
            </w:pPr>
          </w:p>
        </w:tc>
        <w:tc>
          <w:tcPr>
            <w:tcW w:w="3521" w:type="pct"/>
            <w:shd w:val="clear" w:color="auto" w:fill="auto"/>
            <w:vAlign w:val="bottom"/>
          </w:tcPr>
          <w:p w14:paraId="5CD903F5" w14:textId="77777777" w:rsidR="00BA49F5" w:rsidRDefault="00BA49F5">
            <w:pPr>
              <w:rPr>
                <w:rFonts w:ascii="宋体"/>
              </w:rPr>
            </w:pPr>
          </w:p>
        </w:tc>
        <w:tc>
          <w:tcPr>
            <w:tcW w:w="5" w:type="pct"/>
            <w:shd w:val="clear" w:color="auto" w:fill="auto"/>
            <w:vAlign w:val="bottom"/>
          </w:tcPr>
          <w:p w14:paraId="5CD903F6" w14:textId="77777777" w:rsidR="00BA49F5" w:rsidRDefault="00BA49F5">
            <w:pPr>
              <w:rPr>
                <w:rFonts w:ascii="宋体"/>
              </w:rPr>
            </w:pPr>
          </w:p>
        </w:tc>
        <w:tc>
          <w:tcPr>
            <w:tcW w:w="50" w:type="pct"/>
            <w:shd w:val="clear" w:color="auto" w:fill="auto"/>
            <w:vAlign w:val="bottom"/>
          </w:tcPr>
          <w:p w14:paraId="5CD903F7" w14:textId="77777777" w:rsidR="00BA49F5" w:rsidRDefault="00BA49F5">
            <w:pPr>
              <w:rPr>
                <w:rFonts w:ascii="宋体"/>
              </w:rPr>
            </w:pPr>
          </w:p>
        </w:tc>
        <w:tc>
          <w:tcPr>
            <w:tcW w:w="637" w:type="pct"/>
            <w:shd w:val="clear" w:color="auto" w:fill="auto"/>
            <w:vAlign w:val="bottom"/>
          </w:tcPr>
          <w:p w14:paraId="5CD903F8" w14:textId="77777777" w:rsidR="00BA49F5" w:rsidRDefault="00BA49F5">
            <w:pPr>
              <w:rPr>
                <w:rFonts w:ascii="宋体"/>
              </w:rPr>
            </w:pPr>
          </w:p>
        </w:tc>
        <w:tc>
          <w:tcPr>
            <w:tcW w:w="5" w:type="pct"/>
            <w:shd w:val="clear" w:color="auto" w:fill="auto"/>
            <w:vAlign w:val="bottom"/>
          </w:tcPr>
          <w:p w14:paraId="5CD903F9" w14:textId="77777777" w:rsidR="00BA49F5" w:rsidRDefault="00BA49F5">
            <w:pPr>
              <w:rPr>
                <w:rFonts w:ascii="宋体"/>
              </w:rPr>
            </w:pPr>
          </w:p>
        </w:tc>
        <w:tc>
          <w:tcPr>
            <w:tcW w:w="5" w:type="pct"/>
            <w:shd w:val="clear" w:color="auto" w:fill="auto"/>
            <w:vAlign w:val="bottom"/>
          </w:tcPr>
          <w:p w14:paraId="5CD903FA" w14:textId="77777777" w:rsidR="00BA49F5" w:rsidRDefault="00BA49F5">
            <w:pPr>
              <w:rPr>
                <w:rFonts w:ascii="宋体"/>
              </w:rPr>
            </w:pPr>
          </w:p>
        </w:tc>
        <w:tc>
          <w:tcPr>
            <w:tcW w:w="27" w:type="pct"/>
            <w:shd w:val="clear" w:color="auto" w:fill="auto"/>
            <w:vAlign w:val="bottom"/>
          </w:tcPr>
          <w:p w14:paraId="5CD903FB" w14:textId="77777777" w:rsidR="00BA49F5" w:rsidRDefault="00BA49F5">
            <w:pPr>
              <w:rPr>
                <w:rFonts w:ascii="宋体"/>
              </w:rPr>
            </w:pPr>
          </w:p>
        </w:tc>
        <w:tc>
          <w:tcPr>
            <w:tcW w:w="5" w:type="pct"/>
            <w:shd w:val="clear" w:color="auto" w:fill="auto"/>
            <w:vAlign w:val="bottom"/>
          </w:tcPr>
          <w:p w14:paraId="5CD903FC" w14:textId="77777777" w:rsidR="00BA49F5" w:rsidRDefault="00BA49F5">
            <w:pPr>
              <w:rPr>
                <w:rFonts w:ascii="宋体"/>
              </w:rPr>
            </w:pPr>
          </w:p>
        </w:tc>
        <w:tc>
          <w:tcPr>
            <w:tcW w:w="50" w:type="pct"/>
            <w:shd w:val="clear" w:color="auto" w:fill="auto"/>
            <w:vAlign w:val="bottom"/>
          </w:tcPr>
          <w:p w14:paraId="5CD903FD" w14:textId="77777777" w:rsidR="00BA49F5" w:rsidRDefault="00BA49F5">
            <w:pPr>
              <w:rPr>
                <w:rFonts w:ascii="宋体"/>
              </w:rPr>
            </w:pPr>
          </w:p>
        </w:tc>
        <w:tc>
          <w:tcPr>
            <w:tcW w:w="638" w:type="pct"/>
            <w:shd w:val="clear" w:color="auto" w:fill="auto"/>
            <w:vAlign w:val="bottom"/>
          </w:tcPr>
          <w:p w14:paraId="5CD903FE" w14:textId="77777777" w:rsidR="00BA49F5" w:rsidRDefault="00BA49F5">
            <w:pPr>
              <w:rPr>
                <w:rFonts w:ascii="宋体"/>
              </w:rPr>
            </w:pPr>
          </w:p>
        </w:tc>
        <w:tc>
          <w:tcPr>
            <w:tcW w:w="5" w:type="pct"/>
            <w:shd w:val="clear" w:color="auto" w:fill="auto"/>
            <w:vAlign w:val="bottom"/>
          </w:tcPr>
          <w:p w14:paraId="5CD903FF" w14:textId="77777777" w:rsidR="00BA49F5" w:rsidRDefault="00BA49F5">
            <w:pPr>
              <w:rPr>
                <w:rFonts w:ascii="宋体"/>
              </w:rPr>
            </w:pPr>
          </w:p>
        </w:tc>
      </w:tr>
      <w:tr w:rsidR="00BA49F5" w14:paraId="5CD90405" w14:textId="77777777">
        <w:tc>
          <w:tcPr>
            <w:tcW w:w="0" w:type="auto"/>
            <w:gridSpan w:val="3"/>
            <w:shd w:val="clear" w:color="auto" w:fill="auto"/>
            <w:tcMar>
              <w:top w:w="0" w:type="dxa"/>
              <w:left w:w="20" w:type="dxa"/>
              <w:bottom w:w="0" w:type="dxa"/>
              <w:right w:w="20" w:type="dxa"/>
            </w:tcMar>
            <w:vAlign w:val="bottom"/>
          </w:tcPr>
          <w:p w14:paraId="5CD9040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402" w14:textId="77777777" w:rsidR="00BA49F5" w:rsidRDefault="007E5E49">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5CD9040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404" w14:textId="77777777" w:rsidR="00BA49F5" w:rsidRDefault="007E5E49">
            <w:pPr>
              <w:jc w:val="center"/>
              <w:textAlignment w:val="bottom"/>
            </w:pPr>
            <w:r>
              <w:rPr>
                <w:rFonts w:ascii="Times New Roman" w:eastAsia="宋体" w:hAnsi="Times New Roman"/>
                <w:b/>
                <w:bCs/>
                <w:color w:val="000000"/>
                <w:sz w:val="16"/>
                <w:szCs w:val="16"/>
              </w:rPr>
              <w:t>Weighted-Average Grant Date Fair Value Per Share</w:t>
            </w:r>
          </w:p>
        </w:tc>
      </w:tr>
      <w:tr w:rsidR="00BA49F5" w14:paraId="5CD9040A" w14:textId="77777777">
        <w:tc>
          <w:tcPr>
            <w:tcW w:w="0" w:type="auto"/>
            <w:gridSpan w:val="3"/>
            <w:shd w:val="clear" w:color="auto" w:fill="auto"/>
            <w:tcMar>
              <w:top w:w="0" w:type="dxa"/>
              <w:left w:w="20" w:type="dxa"/>
              <w:bottom w:w="0" w:type="dxa"/>
              <w:right w:w="20" w:type="dxa"/>
            </w:tcMar>
            <w:vAlign w:val="bottom"/>
          </w:tcPr>
          <w:p w14:paraId="5CD90406"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07" w14:textId="77777777" w:rsidR="00BA49F5" w:rsidRDefault="007E5E49">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5CD90408"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09" w14:textId="77777777" w:rsidR="00BA49F5" w:rsidRDefault="00BA49F5">
            <w:pPr>
              <w:rPr>
                <w:rFonts w:ascii="宋体"/>
              </w:rPr>
            </w:pPr>
          </w:p>
        </w:tc>
      </w:tr>
      <w:tr w:rsidR="00BA49F5" w14:paraId="5CD90412" w14:textId="77777777">
        <w:tc>
          <w:tcPr>
            <w:tcW w:w="0" w:type="auto"/>
            <w:gridSpan w:val="3"/>
            <w:shd w:val="clear" w:color="auto" w:fill="CCEEFF"/>
            <w:tcMar>
              <w:top w:w="40" w:type="dxa"/>
              <w:left w:w="20" w:type="dxa"/>
              <w:bottom w:w="40" w:type="dxa"/>
              <w:right w:w="20" w:type="dxa"/>
            </w:tcMar>
            <w:vAlign w:val="bottom"/>
          </w:tcPr>
          <w:p w14:paraId="5CD9040B" w14:textId="77777777" w:rsidR="00BA49F5" w:rsidRDefault="007E5E49">
            <w:pPr>
              <w:textAlignment w:val="bottom"/>
            </w:pPr>
            <w:r>
              <w:rPr>
                <w:rFonts w:ascii="Times New Roman" w:eastAsia="宋体" w:hAnsi="Times New Roman"/>
                <w:color w:val="000000"/>
                <w:sz w:val="20"/>
                <w:szCs w:val="20"/>
              </w:rPr>
              <w:t>Unvested at December 31, 2021</w:t>
            </w:r>
          </w:p>
        </w:tc>
        <w:tc>
          <w:tcPr>
            <w:tcW w:w="0" w:type="auto"/>
            <w:gridSpan w:val="2"/>
            <w:shd w:val="clear" w:color="auto" w:fill="CCEEFF"/>
            <w:tcMar>
              <w:top w:w="40" w:type="dxa"/>
              <w:left w:w="20" w:type="dxa"/>
              <w:bottom w:w="40" w:type="dxa"/>
              <w:right w:w="0" w:type="dxa"/>
            </w:tcMar>
            <w:vAlign w:val="bottom"/>
          </w:tcPr>
          <w:p w14:paraId="5CD9040C" w14:textId="77777777" w:rsidR="00BA49F5" w:rsidRDefault="007E5E49">
            <w:pPr>
              <w:jc w:val="right"/>
              <w:textAlignment w:val="bottom"/>
            </w:pPr>
            <w:r>
              <w:rPr>
                <w:rFonts w:ascii="Times New Roman" w:eastAsia="宋体" w:hAnsi="Times New Roman"/>
                <w:color w:val="000000"/>
                <w:sz w:val="20"/>
                <w:szCs w:val="20"/>
              </w:rPr>
              <w:t>98,848 </w:t>
            </w:r>
          </w:p>
        </w:tc>
        <w:tc>
          <w:tcPr>
            <w:tcW w:w="0" w:type="auto"/>
            <w:shd w:val="clear" w:color="auto" w:fill="CCEEFF"/>
            <w:tcMar>
              <w:top w:w="40" w:type="dxa"/>
              <w:left w:w="0" w:type="dxa"/>
              <w:bottom w:w="40" w:type="dxa"/>
              <w:right w:w="20" w:type="dxa"/>
            </w:tcMar>
            <w:vAlign w:val="bottom"/>
          </w:tcPr>
          <w:p w14:paraId="5CD9040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0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40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410" w14:textId="77777777" w:rsidR="00BA49F5" w:rsidRDefault="007E5E49">
            <w:pPr>
              <w:jc w:val="right"/>
              <w:textAlignment w:val="bottom"/>
            </w:pPr>
            <w:r>
              <w:rPr>
                <w:rFonts w:ascii="Times New Roman" w:eastAsia="宋体" w:hAnsi="Times New Roman"/>
                <w:color w:val="000000"/>
                <w:sz w:val="20"/>
                <w:szCs w:val="20"/>
              </w:rPr>
              <w:t>244.32 </w:t>
            </w:r>
          </w:p>
        </w:tc>
        <w:tc>
          <w:tcPr>
            <w:tcW w:w="0" w:type="auto"/>
            <w:shd w:val="clear" w:color="auto" w:fill="CCEEFF"/>
            <w:tcMar>
              <w:top w:w="40" w:type="dxa"/>
              <w:left w:w="0" w:type="dxa"/>
              <w:bottom w:w="40" w:type="dxa"/>
              <w:right w:w="20" w:type="dxa"/>
            </w:tcMar>
            <w:vAlign w:val="bottom"/>
          </w:tcPr>
          <w:p w14:paraId="5CD90411" w14:textId="77777777" w:rsidR="00BA49F5" w:rsidRDefault="00BA49F5">
            <w:pPr>
              <w:jc w:val="right"/>
              <w:rPr>
                <w:rFonts w:ascii="宋体"/>
              </w:rPr>
            </w:pPr>
          </w:p>
        </w:tc>
      </w:tr>
      <w:tr w:rsidR="00BA49F5" w14:paraId="5CD9041A" w14:textId="77777777">
        <w:tc>
          <w:tcPr>
            <w:tcW w:w="0" w:type="auto"/>
            <w:gridSpan w:val="3"/>
            <w:shd w:val="clear" w:color="auto" w:fill="FFFFFF"/>
            <w:tcMar>
              <w:top w:w="40" w:type="dxa"/>
              <w:left w:w="200" w:type="dxa"/>
              <w:bottom w:w="40" w:type="dxa"/>
              <w:right w:w="20" w:type="dxa"/>
            </w:tcMar>
            <w:vAlign w:val="bottom"/>
          </w:tcPr>
          <w:p w14:paraId="5CD90413" w14:textId="77777777" w:rsidR="00BA49F5" w:rsidRDefault="007E5E49">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CD90414" w14:textId="77777777" w:rsidR="00BA49F5" w:rsidRDefault="007E5E49">
            <w:pPr>
              <w:jc w:val="right"/>
              <w:textAlignment w:val="bottom"/>
            </w:pPr>
            <w:r>
              <w:rPr>
                <w:rFonts w:ascii="Times New Roman" w:eastAsia="宋体" w:hAnsi="Times New Roman"/>
                <w:color w:val="000000"/>
                <w:sz w:val="20"/>
                <w:szCs w:val="20"/>
              </w:rPr>
              <w:t>106,693 </w:t>
            </w:r>
          </w:p>
        </w:tc>
        <w:tc>
          <w:tcPr>
            <w:tcW w:w="0" w:type="auto"/>
            <w:shd w:val="clear" w:color="auto" w:fill="FFFFFF"/>
            <w:tcMar>
              <w:top w:w="40" w:type="dxa"/>
              <w:left w:w="0" w:type="dxa"/>
              <w:bottom w:w="40" w:type="dxa"/>
              <w:right w:w="20" w:type="dxa"/>
            </w:tcMar>
            <w:vAlign w:val="bottom"/>
          </w:tcPr>
          <w:p w14:paraId="5CD9041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16"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41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418" w14:textId="77777777" w:rsidR="00BA49F5" w:rsidRDefault="007E5E49">
            <w:pPr>
              <w:jc w:val="right"/>
              <w:textAlignment w:val="bottom"/>
            </w:pPr>
            <w:r>
              <w:rPr>
                <w:rFonts w:ascii="Times New Roman" w:eastAsia="宋体" w:hAnsi="Times New Roman"/>
                <w:color w:val="000000"/>
                <w:sz w:val="20"/>
                <w:szCs w:val="20"/>
              </w:rPr>
              <w:t>195.66 </w:t>
            </w:r>
          </w:p>
        </w:tc>
        <w:tc>
          <w:tcPr>
            <w:tcW w:w="0" w:type="auto"/>
            <w:shd w:val="clear" w:color="auto" w:fill="FFFFFF"/>
            <w:tcMar>
              <w:top w:w="40" w:type="dxa"/>
              <w:left w:w="0" w:type="dxa"/>
              <w:bottom w:w="40" w:type="dxa"/>
              <w:right w:w="20" w:type="dxa"/>
            </w:tcMar>
            <w:vAlign w:val="bottom"/>
          </w:tcPr>
          <w:p w14:paraId="5CD90419" w14:textId="77777777" w:rsidR="00BA49F5" w:rsidRDefault="00BA49F5">
            <w:pPr>
              <w:jc w:val="right"/>
              <w:rPr>
                <w:rFonts w:ascii="宋体"/>
              </w:rPr>
            </w:pPr>
          </w:p>
        </w:tc>
      </w:tr>
      <w:tr w:rsidR="00BA49F5" w14:paraId="5CD90422" w14:textId="77777777">
        <w:tc>
          <w:tcPr>
            <w:tcW w:w="0" w:type="auto"/>
            <w:gridSpan w:val="3"/>
            <w:shd w:val="clear" w:color="auto" w:fill="CCEEFF"/>
            <w:tcMar>
              <w:top w:w="40" w:type="dxa"/>
              <w:left w:w="200" w:type="dxa"/>
              <w:bottom w:w="40" w:type="dxa"/>
              <w:right w:w="20" w:type="dxa"/>
            </w:tcMar>
            <w:vAlign w:val="bottom"/>
          </w:tcPr>
          <w:p w14:paraId="5CD9041B" w14:textId="77777777" w:rsidR="00BA49F5" w:rsidRDefault="007E5E49">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5CD9041C" w14:textId="77777777" w:rsidR="00BA49F5" w:rsidRDefault="007E5E49">
            <w:pPr>
              <w:jc w:val="right"/>
              <w:textAlignment w:val="bottom"/>
            </w:pPr>
            <w:r>
              <w:rPr>
                <w:rFonts w:ascii="Times New Roman" w:eastAsia="宋体" w:hAnsi="Times New Roman"/>
                <w:color w:val="000000"/>
                <w:sz w:val="20"/>
                <w:szCs w:val="20"/>
              </w:rPr>
              <w:t>(54,013)</w:t>
            </w:r>
          </w:p>
        </w:tc>
        <w:tc>
          <w:tcPr>
            <w:tcW w:w="0" w:type="auto"/>
            <w:shd w:val="clear" w:color="auto" w:fill="CCEEFF"/>
            <w:tcMar>
              <w:top w:w="40" w:type="dxa"/>
              <w:left w:w="0" w:type="dxa"/>
              <w:bottom w:w="40" w:type="dxa"/>
              <w:right w:w="20" w:type="dxa"/>
            </w:tcMar>
            <w:vAlign w:val="bottom"/>
          </w:tcPr>
          <w:p w14:paraId="5CD9041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1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41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420" w14:textId="77777777" w:rsidR="00BA49F5" w:rsidRDefault="007E5E49">
            <w:pPr>
              <w:jc w:val="right"/>
              <w:textAlignment w:val="bottom"/>
            </w:pPr>
            <w:r>
              <w:rPr>
                <w:rFonts w:ascii="Times New Roman" w:eastAsia="宋体" w:hAnsi="Times New Roman"/>
                <w:color w:val="000000"/>
                <w:sz w:val="20"/>
                <w:szCs w:val="20"/>
              </w:rPr>
              <w:t>218.24 </w:t>
            </w:r>
          </w:p>
        </w:tc>
        <w:tc>
          <w:tcPr>
            <w:tcW w:w="0" w:type="auto"/>
            <w:shd w:val="clear" w:color="auto" w:fill="CCEEFF"/>
            <w:tcMar>
              <w:top w:w="40" w:type="dxa"/>
              <w:left w:w="0" w:type="dxa"/>
              <w:bottom w:w="40" w:type="dxa"/>
              <w:right w:w="20" w:type="dxa"/>
            </w:tcMar>
            <w:vAlign w:val="bottom"/>
          </w:tcPr>
          <w:p w14:paraId="5CD90421" w14:textId="77777777" w:rsidR="00BA49F5" w:rsidRDefault="00BA49F5">
            <w:pPr>
              <w:jc w:val="right"/>
              <w:rPr>
                <w:rFonts w:ascii="宋体"/>
              </w:rPr>
            </w:pPr>
          </w:p>
        </w:tc>
      </w:tr>
      <w:tr w:rsidR="00BA49F5" w14:paraId="5CD9042A" w14:textId="77777777">
        <w:tc>
          <w:tcPr>
            <w:tcW w:w="0" w:type="auto"/>
            <w:gridSpan w:val="3"/>
            <w:shd w:val="clear" w:color="auto" w:fill="FFFFFF"/>
            <w:tcMar>
              <w:top w:w="40" w:type="dxa"/>
              <w:left w:w="200" w:type="dxa"/>
              <w:bottom w:w="40" w:type="dxa"/>
              <w:right w:w="20" w:type="dxa"/>
            </w:tcMar>
            <w:vAlign w:val="bottom"/>
          </w:tcPr>
          <w:p w14:paraId="5CD90423" w14:textId="77777777" w:rsidR="00BA49F5" w:rsidRDefault="007E5E49">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5CD90424" w14:textId="77777777" w:rsidR="00BA49F5" w:rsidRDefault="007E5E49">
            <w:pPr>
              <w:jc w:val="right"/>
              <w:textAlignment w:val="bottom"/>
            </w:pPr>
            <w:r>
              <w:rPr>
                <w:rFonts w:ascii="Times New Roman" w:eastAsia="宋体" w:hAnsi="Times New Roman"/>
                <w:color w:val="000000"/>
                <w:sz w:val="20"/>
                <w:szCs w:val="20"/>
              </w:rPr>
              <w:t>(24,418)</w:t>
            </w:r>
          </w:p>
        </w:tc>
        <w:tc>
          <w:tcPr>
            <w:tcW w:w="0" w:type="auto"/>
            <w:shd w:val="clear" w:color="auto" w:fill="FFFFFF"/>
            <w:tcMar>
              <w:top w:w="40" w:type="dxa"/>
              <w:left w:w="0" w:type="dxa"/>
              <w:bottom w:w="40" w:type="dxa"/>
              <w:right w:w="20" w:type="dxa"/>
            </w:tcMar>
            <w:vAlign w:val="bottom"/>
          </w:tcPr>
          <w:p w14:paraId="5CD9042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26"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42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428" w14:textId="77777777" w:rsidR="00BA49F5" w:rsidRDefault="007E5E49">
            <w:pPr>
              <w:jc w:val="right"/>
              <w:textAlignment w:val="bottom"/>
            </w:pPr>
            <w:r>
              <w:rPr>
                <w:rFonts w:ascii="Times New Roman" w:eastAsia="宋体" w:hAnsi="Times New Roman"/>
                <w:color w:val="000000"/>
                <w:sz w:val="20"/>
                <w:szCs w:val="20"/>
              </w:rPr>
              <w:t>231.98 </w:t>
            </w:r>
          </w:p>
        </w:tc>
        <w:tc>
          <w:tcPr>
            <w:tcW w:w="0" w:type="auto"/>
            <w:shd w:val="clear" w:color="auto" w:fill="FFFFFF"/>
            <w:tcMar>
              <w:top w:w="40" w:type="dxa"/>
              <w:left w:w="0" w:type="dxa"/>
              <w:bottom w:w="40" w:type="dxa"/>
              <w:right w:w="20" w:type="dxa"/>
            </w:tcMar>
            <w:vAlign w:val="bottom"/>
          </w:tcPr>
          <w:p w14:paraId="5CD90429" w14:textId="77777777" w:rsidR="00BA49F5" w:rsidRDefault="00BA49F5">
            <w:pPr>
              <w:jc w:val="right"/>
              <w:rPr>
                <w:rFonts w:ascii="宋体"/>
              </w:rPr>
            </w:pPr>
          </w:p>
        </w:tc>
      </w:tr>
      <w:tr w:rsidR="00BA49F5" w14:paraId="5CD90432" w14:textId="77777777">
        <w:tc>
          <w:tcPr>
            <w:tcW w:w="0" w:type="auto"/>
            <w:gridSpan w:val="3"/>
            <w:shd w:val="clear" w:color="auto" w:fill="CCEEFF"/>
            <w:tcMar>
              <w:top w:w="40" w:type="dxa"/>
              <w:left w:w="20" w:type="dxa"/>
              <w:bottom w:w="40" w:type="dxa"/>
              <w:right w:w="20" w:type="dxa"/>
            </w:tcMar>
            <w:vAlign w:val="bottom"/>
          </w:tcPr>
          <w:p w14:paraId="5CD9042B" w14:textId="77777777" w:rsidR="00BA49F5" w:rsidRDefault="007E5E49">
            <w:pPr>
              <w:textAlignment w:val="bottom"/>
            </w:pPr>
            <w:r>
              <w:rPr>
                <w:rFonts w:ascii="Times New Roman" w:eastAsia="宋体" w:hAnsi="Times New Roman"/>
                <w:color w:val="000000"/>
                <w:sz w:val="20"/>
                <w:szCs w:val="20"/>
              </w:rPr>
              <w:t>Unvested at December 31,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42C" w14:textId="77777777" w:rsidR="00BA49F5" w:rsidRDefault="007E5E49">
            <w:pPr>
              <w:jc w:val="right"/>
              <w:textAlignment w:val="bottom"/>
            </w:pPr>
            <w:r>
              <w:rPr>
                <w:rFonts w:ascii="Times New Roman" w:eastAsia="宋体" w:hAnsi="Times New Roman"/>
                <w:color w:val="000000"/>
                <w:sz w:val="20"/>
                <w:szCs w:val="20"/>
              </w:rPr>
              <w:t>127,110 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42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2E"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42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430" w14:textId="77777777" w:rsidR="00BA49F5" w:rsidRDefault="007E5E49">
            <w:pPr>
              <w:jc w:val="right"/>
              <w:textAlignment w:val="bottom"/>
            </w:pPr>
            <w:r>
              <w:rPr>
                <w:rFonts w:ascii="Times New Roman" w:eastAsia="宋体" w:hAnsi="Times New Roman"/>
                <w:color w:val="000000"/>
                <w:sz w:val="20"/>
                <w:szCs w:val="20"/>
              </w:rPr>
              <w:t>216.93 </w:t>
            </w:r>
          </w:p>
        </w:tc>
        <w:tc>
          <w:tcPr>
            <w:tcW w:w="0" w:type="auto"/>
            <w:shd w:val="clear" w:color="auto" w:fill="CCEEFF"/>
            <w:tcMar>
              <w:top w:w="40" w:type="dxa"/>
              <w:left w:w="0" w:type="dxa"/>
              <w:bottom w:w="40" w:type="dxa"/>
              <w:right w:w="20" w:type="dxa"/>
            </w:tcMar>
            <w:vAlign w:val="bottom"/>
          </w:tcPr>
          <w:p w14:paraId="5CD90431" w14:textId="77777777" w:rsidR="00BA49F5" w:rsidRDefault="00BA49F5">
            <w:pPr>
              <w:jc w:val="right"/>
              <w:rPr>
                <w:rFonts w:ascii="宋体"/>
              </w:rPr>
            </w:pPr>
          </w:p>
        </w:tc>
      </w:tr>
    </w:tbl>
    <w:p w14:paraId="5CD90433" w14:textId="77777777" w:rsidR="00BA49F5" w:rsidRDefault="00BA49F5">
      <w:pPr>
        <w:ind w:firstLine="540"/>
        <w:jc w:val="both"/>
      </w:pPr>
    </w:p>
    <w:p w14:paraId="5CD90434" w14:textId="77777777" w:rsidR="00BA49F5" w:rsidRDefault="007E5E49">
      <w:pPr>
        <w:ind w:firstLine="540"/>
        <w:jc w:val="both"/>
      </w:pPr>
      <w:r>
        <w:rPr>
          <w:rFonts w:ascii="Times New Roman" w:eastAsia="宋体" w:hAnsi="Times New Roman"/>
          <w:color w:val="000000"/>
          <w:sz w:val="20"/>
          <w:szCs w:val="20"/>
        </w:rPr>
        <w:t xml:space="preserve">The weighted-average grant date fair value of RSUs granted in the years ended </w:t>
      </w:r>
      <w:r>
        <w:rPr>
          <w:rFonts w:ascii="Times New Roman" w:eastAsia="宋体" w:hAnsi="Times New Roman"/>
          <w:color w:val="000000"/>
          <w:sz w:val="20"/>
          <w:szCs w:val="20"/>
        </w:rPr>
        <w:t>December 31, 2021 and 2020 was $305.40 and $188.73, respectively. The fair value as of the respective vesting dates of RSUs that vested during the years ended December 31, 2022, 2021, and 2020 was $9.44 billion, $14.42 billion, and $9.38 billion, respectiv</w:t>
      </w:r>
      <w:r>
        <w:rPr>
          <w:rFonts w:ascii="Times New Roman" w:eastAsia="宋体" w:hAnsi="Times New Roman"/>
          <w:color w:val="000000"/>
          <w:sz w:val="20"/>
          <w:szCs w:val="20"/>
        </w:rPr>
        <w:t>ely. The income tax benefit recognized related to awards vested during the years ended December 31, 2022, 2021, and 2020 was $2.0 billion, $3.08 billion, and $1.81 billion, respectively.</w:t>
      </w:r>
    </w:p>
    <w:p w14:paraId="5CD90435" w14:textId="77777777" w:rsidR="00BA49F5" w:rsidRDefault="00BA49F5">
      <w:pPr>
        <w:ind w:firstLine="540"/>
        <w:jc w:val="both"/>
      </w:pPr>
    </w:p>
    <w:p w14:paraId="5CD90436" w14:textId="77777777" w:rsidR="00BA49F5" w:rsidRDefault="007E5E49">
      <w:pPr>
        <w:ind w:firstLine="540"/>
        <w:jc w:val="both"/>
      </w:pPr>
      <w:r>
        <w:rPr>
          <w:rFonts w:ascii="Times New Roman" w:eastAsia="宋体" w:hAnsi="Times New Roman"/>
          <w:color w:val="000000"/>
          <w:sz w:val="20"/>
          <w:szCs w:val="20"/>
        </w:rPr>
        <w:t>As of December 31, 2022, there was $26.01 billion of unrecognized sh</w:t>
      </w:r>
      <w:r>
        <w:rPr>
          <w:rFonts w:ascii="Times New Roman" w:eastAsia="宋体" w:hAnsi="Times New Roman"/>
          <w:color w:val="000000"/>
          <w:sz w:val="20"/>
          <w:szCs w:val="20"/>
        </w:rPr>
        <w:t>are-based compensation expense related to RSU awards. This unrecognized compensation expense is expected to be recognized over a weighted-average period of approximately three years based on vesting under the award service conditions.</w:t>
      </w:r>
    </w:p>
    <w:p w14:paraId="5CD90437" w14:textId="77777777" w:rsidR="00BA49F5" w:rsidRDefault="00BA49F5">
      <w:pPr>
        <w:ind w:firstLine="540"/>
        <w:jc w:val="both"/>
      </w:pPr>
    </w:p>
    <w:p w14:paraId="5CD90438" w14:textId="77777777" w:rsidR="00BA49F5" w:rsidRDefault="007E5E49">
      <w:pPr>
        <w:spacing w:before="180"/>
        <w:jc w:val="both"/>
      </w:pPr>
      <w:r>
        <w:rPr>
          <w:rFonts w:ascii="Times New Roman" w:eastAsia="宋体" w:hAnsi="Times New Roman"/>
          <w:b/>
          <w:bCs/>
          <w:color w:val="000000"/>
          <w:sz w:val="20"/>
          <w:szCs w:val="20"/>
        </w:rPr>
        <w:t>Note 15.</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Interest and Other Income (Expense), Net</w:t>
      </w:r>
    </w:p>
    <w:p w14:paraId="5CD90439" w14:textId="77777777" w:rsidR="00BA49F5" w:rsidRDefault="00BA49F5">
      <w:pPr>
        <w:ind w:firstLine="540"/>
        <w:jc w:val="both"/>
      </w:pPr>
    </w:p>
    <w:p w14:paraId="5CD9043A" w14:textId="77777777" w:rsidR="00BA49F5" w:rsidRDefault="007E5E49">
      <w:pPr>
        <w:ind w:firstLine="540"/>
        <w:jc w:val="both"/>
      </w:pPr>
      <w:r>
        <w:rPr>
          <w:rFonts w:ascii="Times New Roman" w:eastAsia="宋体" w:hAnsi="Times New Roman"/>
          <w:color w:val="000000"/>
          <w:sz w:val="20"/>
          <w:szCs w:val="20"/>
        </w:rPr>
        <w:t xml:space="preserve">The following table presents the detail of interest and other income (expense), net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4830"/>
        <w:gridCol w:w="39"/>
        <w:gridCol w:w="120"/>
        <w:gridCol w:w="939"/>
        <w:gridCol w:w="36"/>
        <w:gridCol w:w="36"/>
        <w:gridCol w:w="36"/>
        <w:gridCol w:w="36"/>
        <w:gridCol w:w="120"/>
        <w:gridCol w:w="902"/>
        <w:gridCol w:w="36"/>
        <w:gridCol w:w="36"/>
        <w:gridCol w:w="36"/>
        <w:gridCol w:w="36"/>
        <w:gridCol w:w="120"/>
        <w:gridCol w:w="902"/>
        <w:gridCol w:w="36"/>
      </w:tblGrid>
      <w:tr w:rsidR="00BA49F5" w14:paraId="5CD9044D" w14:textId="77777777">
        <w:tc>
          <w:tcPr>
            <w:tcW w:w="50" w:type="pct"/>
            <w:shd w:val="clear" w:color="auto" w:fill="auto"/>
            <w:vAlign w:val="bottom"/>
          </w:tcPr>
          <w:p w14:paraId="5CD9043B" w14:textId="77777777" w:rsidR="00BA49F5" w:rsidRDefault="00BA49F5">
            <w:pPr>
              <w:rPr>
                <w:rFonts w:ascii="宋体"/>
              </w:rPr>
            </w:pPr>
          </w:p>
        </w:tc>
        <w:tc>
          <w:tcPr>
            <w:tcW w:w="2928" w:type="pct"/>
            <w:shd w:val="clear" w:color="auto" w:fill="auto"/>
            <w:vAlign w:val="bottom"/>
          </w:tcPr>
          <w:p w14:paraId="5CD9043C" w14:textId="77777777" w:rsidR="00BA49F5" w:rsidRDefault="00BA49F5">
            <w:pPr>
              <w:rPr>
                <w:rFonts w:ascii="宋体"/>
              </w:rPr>
            </w:pPr>
          </w:p>
        </w:tc>
        <w:tc>
          <w:tcPr>
            <w:tcW w:w="5" w:type="pct"/>
            <w:shd w:val="clear" w:color="auto" w:fill="auto"/>
            <w:vAlign w:val="bottom"/>
          </w:tcPr>
          <w:p w14:paraId="5CD9043D" w14:textId="77777777" w:rsidR="00BA49F5" w:rsidRDefault="00BA49F5">
            <w:pPr>
              <w:rPr>
                <w:rFonts w:ascii="宋体"/>
              </w:rPr>
            </w:pPr>
          </w:p>
        </w:tc>
        <w:tc>
          <w:tcPr>
            <w:tcW w:w="50" w:type="pct"/>
            <w:shd w:val="clear" w:color="auto" w:fill="auto"/>
            <w:vAlign w:val="bottom"/>
          </w:tcPr>
          <w:p w14:paraId="5CD9043E" w14:textId="77777777" w:rsidR="00BA49F5" w:rsidRDefault="00BA49F5">
            <w:pPr>
              <w:rPr>
                <w:rFonts w:ascii="宋体"/>
              </w:rPr>
            </w:pPr>
          </w:p>
        </w:tc>
        <w:tc>
          <w:tcPr>
            <w:tcW w:w="592" w:type="pct"/>
            <w:shd w:val="clear" w:color="auto" w:fill="auto"/>
            <w:vAlign w:val="bottom"/>
          </w:tcPr>
          <w:p w14:paraId="5CD9043F" w14:textId="77777777" w:rsidR="00BA49F5" w:rsidRDefault="00BA49F5">
            <w:pPr>
              <w:rPr>
                <w:rFonts w:ascii="宋体"/>
              </w:rPr>
            </w:pPr>
          </w:p>
        </w:tc>
        <w:tc>
          <w:tcPr>
            <w:tcW w:w="5" w:type="pct"/>
            <w:shd w:val="clear" w:color="auto" w:fill="auto"/>
            <w:vAlign w:val="bottom"/>
          </w:tcPr>
          <w:p w14:paraId="5CD90440" w14:textId="77777777" w:rsidR="00BA49F5" w:rsidRDefault="00BA49F5">
            <w:pPr>
              <w:rPr>
                <w:rFonts w:ascii="宋体"/>
              </w:rPr>
            </w:pPr>
          </w:p>
        </w:tc>
        <w:tc>
          <w:tcPr>
            <w:tcW w:w="5" w:type="pct"/>
            <w:shd w:val="clear" w:color="auto" w:fill="auto"/>
            <w:vAlign w:val="bottom"/>
          </w:tcPr>
          <w:p w14:paraId="5CD90441" w14:textId="77777777" w:rsidR="00BA49F5" w:rsidRDefault="00BA49F5">
            <w:pPr>
              <w:rPr>
                <w:rFonts w:ascii="宋体"/>
              </w:rPr>
            </w:pPr>
          </w:p>
        </w:tc>
        <w:tc>
          <w:tcPr>
            <w:tcW w:w="27" w:type="pct"/>
            <w:shd w:val="clear" w:color="auto" w:fill="auto"/>
            <w:vAlign w:val="bottom"/>
          </w:tcPr>
          <w:p w14:paraId="5CD90442" w14:textId="77777777" w:rsidR="00BA49F5" w:rsidRDefault="00BA49F5">
            <w:pPr>
              <w:rPr>
                <w:rFonts w:ascii="宋体"/>
              </w:rPr>
            </w:pPr>
          </w:p>
        </w:tc>
        <w:tc>
          <w:tcPr>
            <w:tcW w:w="5" w:type="pct"/>
            <w:shd w:val="clear" w:color="auto" w:fill="auto"/>
            <w:vAlign w:val="bottom"/>
          </w:tcPr>
          <w:p w14:paraId="5CD90443" w14:textId="77777777" w:rsidR="00BA49F5" w:rsidRDefault="00BA49F5">
            <w:pPr>
              <w:rPr>
                <w:rFonts w:ascii="宋体"/>
              </w:rPr>
            </w:pPr>
          </w:p>
        </w:tc>
        <w:tc>
          <w:tcPr>
            <w:tcW w:w="50" w:type="pct"/>
            <w:shd w:val="clear" w:color="auto" w:fill="auto"/>
            <w:vAlign w:val="bottom"/>
          </w:tcPr>
          <w:p w14:paraId="5CD90444" w14:textId="77777777" w:rsidR="00BA49F5" w:rsidRDefault="00BA49F5">
            <w:pPr>
              <w:rPr>
                <w:rFonts w:ascii="宋体"/>
              </w:rPr>
            </w:pPr>
          </w:p>
        </w:tc>
        <w:tc>
          <w:tcPr>
            <w:tcW w:w="592" w:type="pct"/>
            <w:shd w:val="clear" w:color="auto" w:fill="auto"/>
            <w:vAlign w:val="bottom"/>
          </w:tcPr>
          <w:p w14:paraId="5CD90445" w14:textId="77777777" w:rsidR="00BA49F5" w:rsidRDefault="00BA49F5">
            <w:pPr>
              <w:rPr>
                <w:rFonts w:ascii="宋体"/>
              </w:rPr>
            </w:pPr>
          </w:p>
        </w:tc>
        <w:tc>
          <w:tcPr>
            <w:tcW w:w="5" w:type="pct"/>
            <w:shd w:val="clear" w:color="auto" w:fill="auto"/>
            <w:vAlign w:val="bottom"/>
          </w:tcPr>
          <w:p w14:paraId="5CD90446" w14:textId="77777777" w:rsidR="00BA49F5" w:rsidRDefault="00BA49F5">
            <w:pPr>
              <w:rPr>
                <w:rFonts w:ascii="宋体"/>
              </w:rPr>
            </w:pPr>
          </w:p>
        </w:tc>
        <w:tc>
          <w:tcPr>
            <w:tcW w:w="5" w:type="pct"/>
            <w:shd w:val="clear" w:color="auto" w:fill="auto"/>
            <w:vAlign w:val="bottom"/>
          </w:tcPr>
          <w:p w14:paraId="5CD90447" w14:textId="77777777" w:rsidR="00BA49F5" w:rsidRDefault="00BA49F5">
            <w:pPr>
              <w:rPr>
                <w:rFonts w:ascii="宋体"/>
              </w:rPr>
            </w:pPr>
          </w:p>
        </w:tc>
        <w:tc>
          <w:tcPr>
            <w:tcW w:w="27" w:type="pct"/>
            <w:shd w:val="clear" w:color="auto" w:fill="auto"/>
            <w:vAlign w:val="bottom"/>
          </w:tcPr>
          <w:p w14:paraId="5CD90448" w14:textId="77777777" w:rsidR="00BA49F5" w:rsidRDefault="00BA49F5">
            <w:pPr>
              <w:rPr>
                <w:rFonts w:ascii="宋体"/>
              </w:rPr>
            </w:pPr>
          </w:p>
        </w:tc>
        <w:tc>
          <w:tcPr>
            <w:tcW w:w="5" w:type="pct"/>
            <w:shd w:val="clear" w:color="auto" w:fill="auto"/>
            <w:vAlign w:val="bottom"/>
          </w:tcPr>
          <w:p w14:paraId="5CD90449" w14:textId="77777777" w:rsidR="00BA49F5" w:rsidRDefault="00BA49F5">
            <w:pPr>
              <w:rPr>
                <w:rFonts w:ascii="宋体"/>
              </w:rPr>
            </w:pPr>
          </w:p>
        </w:tc>
        <w:tc>
          <w:tcPr>
            <w:tcW w:w="50" w:type="pct"/>
            <w:shd w:val="clear" w:color="auto" w:fill="auto"/>
            <w:vAlign w:val="bottom"/>
          </w:tcPr>
          <w:p w14:paraId="5CD9044A" w14:textId="77777777" w:rsidR="00BA49F5" w:rsidRDefault="00BA49F5">
            <w:pPr>
              <w:rPr>
                <w:rFonts w:ascii="宋体"/>
              </w:rPr>
            </w:pPr>
          </w:p>
        </w:tc>
        <w:tc>
          <w:tcPr>
            <w:tcW w:w="592" w:type="pct"/>
            <w:shd w:val="clear" w:color="auto" w:fill="auto"/>
            <w:vAlign w:val="bottom"/>
          </w:tcPr>
          <w:p w14:paraId="5CD9044B" w14:textId="77777777" w:rsidR="00BA49F5" w:rsidRDefault="00BA49F5">
            <w:pPr>
              <w:rPr>
                <w:rFonts w:ascii="宋体"/>
              </w:rPr>
            </w:pPr>
          </w:p>
        </w:tc>
        <w:tc>
          <w:tcPr>
            <w:tcW w:w="5" w:type="pct"/>
            <w:shd w:val="clear" w:color="auto" w:fill="auto"/>
            <w:vAlign w:val="bottom"/>
          </w:tcPr>
          <w:p w14:paraId="5CD9044C" w14:textId="77777777" w:rsidR="00BA49F5" w:rsidRDefault="00BA49F5">
            <w:pPr>
              <w:rPr>
                <w:rFonts w:ascii="宋体"/>
              </w:rPr>
            </w:pPr>
          </w:p>
        </w:tc>
      </w:tr>
      <w:tr w:rsidR="00BA49F5" w14:paraId="5CD90450" w14:textId="77777777">
        <w:tc>
          <w:tcPr>
            <w:tcW w:w="0" w:type="auto"/>
            <w:gridSpan w:val="3"/>
            <w:shd w:val="clear" w:color="auto" w:fill="auto"/>
            <w:tcMar>
              <w:top w:w="0" w:type="dxa"/>
              <w:left w:w="20" w:type="dxa"/>
              <w:bottom w:w="0" w:type="dxa"/>
              <w:right w:w="20" w:type="dxa"/>
            </w:tcMar>
            <w:vAlign w:val="bottom"/>
          </w:tcPr>
          <w:p w14:paraId="5CD9044E" w14:textId="77777777" w:rsidR="00BA49F5" w:rsidRDefault="00BA49F5">
            <w:pPr>
              <w:rPr>
                <w:rFonts w:ascii="宋体"/>
              </w:rPr>
            </w:pPr>
          </w:p>
        </w:tc>
        <w:tc>
          <w:tcPr>
            <w:tcW w:w="0" w:type="auto"/>
            <w:gridSpan w:val="15"/>
            <w:shd w:val="clear" w:color="auto" w:fill="auto"/>
            <w:tcMar>
              <w:top w:w="40" w:type="dxa"/>
              <w:left w:w="20" w:type="dxa"/>
              <w:bottom w:w="40" w:type="dxa"/>
              <w:right w:w="20" w:type="dxa"/>
            </w:tcMar>
            <w:vAlign w:val="bottom"/>
          </w:tcPr>
          <w:p w14:paraId="5CD9044F" w14:textId="77777777" w:rsidR="00BA49F5" w:rsidRDefault="007E5E49">
            <w:pPr>
              <w:jc w:val="center"/>
              <w:textAlignment w:val="bottom"/>
            </w:pPr>
            <w:r>
              <w:rPr>
                <w:rFonts w:ascii="Times New Roman" w:eastAsia="宋体" w:hAnsi="Times New Roman"/>
                <w:b/>
                <w:bCs/>
                <w:color w:val="000000"/>
                <w:sz w:val="16"/>
                <w:szCs w:val="16"/>
              </w:rPr>
              <w:t>Year Ended December 31,</w:t>
            </w:r>
          </w:p>
        </w:tc>
      </w:tr>
      <w:tr w:rsidR="00BA49F5" w14:paraId="5CD90457" w14:textId="77777777">
        <w:tc>
          <w:tcPr>
            <w:tcW w:w="0" w:type="auto"/>
            <w:gridSpan w:val="3"/>
            <w:shd w:val="clear" w:color="auto" w:fill="auto"/>
            <w:tcMar>
              <w:top w:w="0" w:type="dxa"/>
              <w:left w:w="20" w:type="dxa"/>
              <w:bottom w:w="0" w:type="dxa"/>
              <w:right w:w="20" w:type="dxa"/>
            </w:tcMar>
            <w:vAlign w:val="bottom"/>
          </w:tcPr>
          <w:p w14:paraId="5CD90451"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52"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53"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54"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5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56"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464" w14:textId="77777777">
        <w:tc>
          <w:tcPr>
            <w:tcW w:w="0" w:type="auto"/>
            <w:gridSpan w:val="3"/>
            <w:shd w:val="clear" w:color="auto" w:fill="CCEEFF"/>
            <w:tcMar>
              <w:top w:w="40" w:type="dxa"/>
              <w:left w:w="20" w:type="dxa"/>
              <w:bottom w:w="40" w:type="dxa"/>
              <w:right w:w="20" w:type="dxa"/>
            </w:tcMar>
            <w:vAlign w:val="bottom"/>
          </w:tcPr>
          <w:p w14:paraId="5CD90458" w14:textId="77777777" w:rsidR="00BA49F5" w:rsidRDefault="007E5E49">
            <w:pPr>
              <w:textAlignment w:val="bottom"/>
            </w:pPr>
            <w:r>
              <w:rPr>
                <w:rFonts w:ascii="Times New Roman" w:eastAsia="宋体" w:hAnsi="Times New Roman"/>
                <w:color w:val="000000"/>
                <w:sz w:val="20"/>
                <w:szCs w:val="20"/>
              </w:rPr>
              <w:t>Interest income,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459"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5A" w14:textId="77777777" w:rsidR="00BA49F5" w:rsidRDefault="007E5E49">
            <w:pPr>
              <w:jc w:val="right"/>
              <w:textAlignment w:val="bottom"/>
            </w:pPr>
            <w:r>
              <w:rPr>
                <w:rFonts w:ascii="Times New Roman" w:eastAsia="宋体" w:hAnsi="Times New Roman"/>
                <w:color w:val="000000"/>
                <w:sz w:val="20"/>
                <w:szCs w:val="20"/>
              </w:rPr>
              <w:t>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5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5C"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45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5E" w14:textId="77777777" w:rsidR="00BA49F5" w:rsidRDefault="007E5E49">
            <w:pPr>
              <w:jc w:val="right"/>
              <w:textAlignment w:val="bottom"/>
            </w:pPr>
            <w:r>
              <w:rPr>
                <w:rFonts w:ascii="Times New Roman" w:eastAsia="宋体" w:hAnsi="Times New Roman"/>
                <w:color w:val="000000"/>
                <w:sz w:val="20"/>
                <w:szCs w:val="20"/>
              </w:rPr>
              <w:t>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5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60"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46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62" w14:textId="77777777" w:rsidR="00BA49F5" w:rsidRDefault="007E5E49">
            <w:pPr>
              <w:jc w:val="right"/>
              <w:textAlignment w:val="bottom"/>
            </w:pPr>
            <w:r>
              <w:rPr>
                <w:rFonts w:ascii="Times New Roman" w:eastAsia="宋体" w:hAnsi="Times New Roman"/>
                <w:color w:val="000000"/>
                <w:sz w:val="20"/>
                <w:szCs w:val="20"/>
              </w:rPr>
              <w:t>672 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63" w14:textId="77777777" w:rsidR="00BA49F5" w:rsidRDefault="00BA49F5">
            <w:pPr>
              <w:jc w:val="right"/>
              <w:rPr>
                <w:rFonts w:ascii="宋体"/>
              </w:rPr>
            </w:pPr>
          </w:p>
        </w:tc>
      </w:tr>
      <w:tr w:rsidR="00BA49F5" w14:paraId="5CD9046E" w14:textId="77777777">
        <w:tc>
          <w:tcPr>
            <w:tcW w:w="0" w:type="auto"/>
            <w:gridSpan w:val="3"/>
            <w:shd w:val="clear" w:color="auto" w:fill="FFFFFF"/>
            <w:tcMar>
              <w:top w:w="40" w:type="dxa"/>
              <w:left w:w="20" w:type="dxa"/>
              <w:bottom w:w="40" w:type="dxa"/>
              <w:right w:w="20" w:type="dxa"/>
            </w:tcMar>
            <w:vAlign w:val="bottom"/>
          </w:tcPr>
          <w:p w14:paraId="5CD90465" w14:textId="77777777" w:rsidR="00BA49F5" w:rsidRDefault="007E5E49">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5CD90466" w14:textId="77777777" w:rsidR="00BA49F5" w:rsidRDefault="007E5E49">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5CD9046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6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469" w14:textId="77777777" w:rsidR="00BA49F5" w:rsidRDefault="007E5E49">
            <w:pPr>
              <w:jc w:val="right"/>
              <w:textAlignment w:val="bottom"/>
            </w:pPr>
            <w:r>
              <w:rPr>
                <w:rFonts w:ascii="Times New Roman" w:eastAsia="宋体" w:hAnsi="Times New Roman"/>
                <w:color w:val="000000"/>
                <w:sz w:val="20"/>
                <w:szCs w:val="20"/>
              </w:rPr>
              <w:t>(140)</w:t>
            </w:r>
          </w:p>
        </w:tc>
        <w:tc>
          <w:tcPr>
            <w:tcW w:w="0" w:type="auto"/>
            <w:shd w:val="clear" w:color="auto" w:fill="FFFFFF"/>
            <w:tcMar>
              <w:top w:w="40" w:type="dxa"/>
              <w:left w:w="0" w:type="dxa"/>
              <w:bottom w:w="40" w:type="dxa"/>
              <w:right w:w="20" w:type="dxa"/>
            </w:tcMar>
            <w:vAlign w:val="bottom"/>
          </w:tcPr>
          <w:p w14:paraId="5CD9046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6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46C" w14:textId="77777777" w:rsidR="00BA49F5" w:rsidRDefault="007E5E49">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5CD9046D" w14:textId="77777777" w:rsidR="00BA49F5" w:rsidRDefault="00BA49F5">
            <w:pPr>
              <w:jc w:val="right"/>
              <w:rPr>
                <w:rFonts w:ascii="宋体"/>
              </w:rPr>
            </w:pPr>
          </w:p>
        </w:tc>
      </w:tr>
      <w:tr w:rsidR="00BA49F5" w14:paraId="5CD90478" w14:textId="77777777">
        <w:tc>
          <w:tcPr>
            <w:tcW w:w="0" w:type="auto"/>
            <w:gridSpan w:val="3"/>
            <w:shd w:val="clear" w:color="auto" w:fill="CCEEFF"/>
            <w:tcMar>
              <w:top w:w="40" w:type="dxa"/>
              <w:left w:w="20" w:type="dxa"/>
              <w:bottom w:w="40" w:type="dxa"/>
              <w:right w:w="20" w:type="dxa"/>
            </w:tcMar>
            <w:vAlign w:val="bottom"/>
          </w:tcPr>
          <w:p w14:paraId="5CD9046F" w14:textId="77777777" w:rsidR="00BA49F5" w:rsidRDefault="007E5E49">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5CD90470" w14:textId="77777777" w:rsidR="00BA49F5" w:rsidRDefault="007E5E49">
            <w:pPr>
              <w:jc w:val="right"/>
              <w:textAlignment w:val="bottom"/>
            </w:pPr>
            <w:r>
              <w:rPr>
                <w:rFonts w:ascii="Times New Roman" w:eastAsia="宋体" w:hAnsi="Times New Roman"/>
                <w:color w:val="000000"/>
                <w:sz w:val="20"/>
                <w:szCs w:val="20"/>
              </w:rPr>
              <w:t>(320)</w:t>
            </w:r>
          </w:p>
        </w:tc>
        <w:tc>
          <w:tcPr>
            <w:tcW w:w="0" w:type="auto"/>
            <w:shd w:val="clear" w:color="auto" w:fill="CCEEFF"/>
            <w:tcMar>
              <w:top w:w="40" w:type="dxa"/>
              <w:left w:w="0" w:type="dxa"/>
              <w:bottom w:w="40" w:type="dxa"/>
              <w:right w:w="20" w:type="dxa"/>
            </w:tcMar>
            <w:vAlign w:val="bottom"/>
          </w:tcPr>
          <w:p w14:paraId="5CD9047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7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473" w14:textId="77777777" w:rsidR="00BA49F5" w:rsidRDefault="007E5E49">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5CD9047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7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476" w14:textId="77777777" w:rsidR="00BA49F5" w:rsidRDefault="007E5E49">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5CD90477" w14:textId="77777777" w:rsidR="00BA49F5" w:rsidRDefault="00BA49F5">
            <w:pPr>
              <w:jc w:val="right"/>
              <w:rPr>
                <w:rFonts w:ascii="宋体"/>
              </w:rPr>
            </w:pPr>
          </w:p>
        </w:tc>
      </w:tr>
      <w:tr w:rsidR="00BA49F5" w14:paraId="5CD90485" w14:textId="77777777">
        <w:tc>
          <w:tcPr>
            <w:tcW w:w="0" w:type="auto"/>
            <w:gridSpan w:val="3"/>
            <w:shd w:val="clear" w:color="auto" w:fill="FFFFFF"/>
            <w:tcMar>
              <w:top w:w="40" w:type="dxa"/>
              <w:left w:w="380" w:type="dxa"/>
              <w:bottom w:w="40" w:type="dxa"/>
              <w:right w:w="20" w:type="dxa"/>
            </w:tcMar>
            <w:vAlign w:val="bottom"/>
          </w:tcPr>
          <w:p w14:paraId="5CD90479" w14:textId="77777777" w:rsidR="00BA49F5" w:rsidRDefault="007E5E49">
            <w:pPr>
              <w:textAlignment w:val="bottom"/>
            </w:pPr>
            <w:r>
              <w:rPr>
                <w:rFonts w:ascii="Times New Roman" w:eastAsia="宋体" w:hAnsi="Times New Roman"/>
                <w:color w:val="000000"/>
                <w:sz w:val="20"/>
                <w:szCs w:val="20"/>
              </w:rPr>
              <w:t>Interest and other income (expense),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47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47B" w14:textId="77777777" w:rsidR="00BA49F5" w:rsidRDefault="007E5E49">
            <w:pPr>
              <w:jc w:val="right"/>
              <w:textAlignment w:val="bottom"/>
            </w:pPr>
            <w:r>
              <w:rPr>
                <w:rFonts w:ascii="Times New Roman" w:eastAsia="宋体" w:hAnsi="Times New Roman"/>
                <w:color w:val="000000"/>
                <w:sz w:val="20"/>
                <w:szCs w:val="20"/>
              </w:rPr>
              <w:t>(125)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47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7D"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47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47F" w14:textId="77777777" w:rsidR="00BA49F5" w:rsidRDefault="007E5E49">
            <w:pPr>
              <w:jc w:val="right"/>
              <w:textAlignment w:val="bottom"/>
            </w:pPr>
            <w:r>
              <w:rPr>
                <w:rFonts w:ascii="Times New Roman" w:eastAsia="宋体" w:hAnsi="Times New Roman"/>
                <w:color w:val="000000"/>
                <w:sz w:val="20"/>
                <w:szCs w:val="20"/>
              </w:rPr>
              <w:t>531 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48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81"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48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483" w14:textId="77777777" w:rsidR="00BA49F5" w:rsidRDefault="007E5E49">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484" w14:textId="77777777" w:rsidR="00BA49F5" w:rsidRDefault="00BA49F5">
            <w:pPr>
              <w:jc w:val="right"/>
              <w:rPr>
                <w:rFonts w:ascii="宋体"/>
              </w:rPr>
            </w:pPr>
          </w:p>
        </w:tc>
      </w:tr>
    </w:tbl>
    <w:p w14:paraId="5CD90486" w14:textId="77777777" w:rsidR="00BA49F5" w:rsidRDefault="00BA49F5">
      <w:pPr>
        <w:jc w:val="both"/>
      </w:pPr>
    </w:p>
    <w:p w14:paraId="5CD90487" w14:textId="77777777" w:rsidR="00BA49F5" w:rsidRDefault="007E5E49">
      <w:pPr>
        <w:jc w:val="center"/>
      </w:pPr>
      <w:r>
        <w:rPr>
          <w:rFonts w:ascii="Times New Roman" w:eastAsia="宋体" w:hAnsi="Times New Roman"/>
          <w:color w:val="000000"/>
          <w:sz w:val="20"/>
          <w:szCs w:val="20"/>
        </w:rPr>
        <w:t>115</w:t>
      </w:r>
    </w:p>
    <w:p w14:paraId="5CD90488" w14:textId="77777777" w:rsidR="00BA49F5" w:rsidRDefault="007E5E49">
      <w:r>
        <w:pict w14:anchorId="5CD90D68">
          <v:rect id="_x0000_i1139" style="width:415.3pt;height:1.5pt" o:hralign="center" o:hrstd="t" o:hr="t" fillcolor="#a0a0a0" stroked="f"/>
        </w:pict>
      </w:r>
    </w:p>
    <w:p w14:paraId="5CD90489" w14:textId="77777777" w:rsidR="00BA49F5" w:rsidRDefault="00BA49F5"/>
    <w:p w14:paraId="5CD9048A" w14:textId="77777777" w:rsidR="00BA49F5" w:rsidRDefault="00BA49F5"/>
    <w:p w14:paraId="5CD9048B" w14:textId="77777777" w:rsidR="00BA49F5" w:rsidRDefault="007E5E49">
      <w:hyperlink r:id="rId325" w:anchor="i6df229dad1864210ab76200083e26819_7" w:history="1">
        <w:r>
          <w:rPr>
            <w:rStyle w:val="a5"/>
            <w:rFonts w:ascii="Times New Roman" w:eastAsia="宋体" w:hAnsi="Times New Roman"/>
            <w:sz w:val="20"/>
            <w:szCs w:val="20"/>
          </w:rPr>
          <w:t>T</w:t>
        </w:r>
      </w:hyperlink>
      <w:hyperlink r:id="rId326" w:anchor="i6df229dad1864210ab76200083e26819_7" w:history="1">
        <w:r>
          <w:rPr>
            <w:rStyle w:val="a5"/>
            <w:rFonts w:ascii="Times New Roman" w:eastAsia="宋体" w:hAnsi="Times New Roman"/>
            <w:sz w:val="20"/>
            <w:szCs w:val="20"/>
          </w:rPr>
          <w:t>able of Contents</w:t>
        </w:r>
      </w:hyperlink>
    </w:p>
    <w:p w14:paraId="5CD9048C" w14:textId="77777777" w:rsidR="00BA49F5" w:rsidRDefault="007E5E49">
      <w:pPr>
        <w:spacing w:before="180"/>
      </w:pPr>
      <w:r>
        <w:rPr>
          <w:rFonts w:ascii="Times New Roman" w:eastAsia="宋体" w:hAnsi="Times New Roman"/>
          <w:b/>
          <w:bCs/>
          <w:color w:val="000000"/>
          <w:sz w:val="20"/>
          <w:szCs w:val="20"/>
        </w:rPr>
        <w:t>Note 16.</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Income Taxes</w:t>
      </w:r>
    </w:p>
    <w:p w14:paraId="5CD9048D" w14:textId="77777777" w:rsidR="00BA49F5" w:rsidRDefault="00BA49F5">
      <w:pPr>
        <w:ind w:firstLine="540"/>
        <w:jc w:val="both"/>
      </w:pPr>
    </w:p>
    <w:p w14:paraId="5CD9048E" w14:textId="77777777" w:rsidR="00BA49F5" w:rsidRDefault="007E5E49">
      <w:pPr>
        <w:ind w:firstLine="540"/>
        <w:jc w:val="both"/>
      </w:pPr>
      <w:r>
        <w:rPr>
          <w:rFonts w:ascii="Times New Roman" w:eastAsia="宋体" w:hAnsi="Times New Roman"/>
          <w:color w:val="000000"/>
          <w:sz w:val="20"/>
          <w:szCs w:val="20"/>
        </w:rPr>
        <w:t xml:space="preserve">The components of income before provision for income taxes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34"/>
        <w:gridCol w:w="36"/>
        <w:gridCol w:w="120"/>
        <w:gridCol w:w="940"/>
        <w:gridCol w:w="36"/>
        <w:gridCol w:w="36"/>
        <w:gridCol w:w="36"/>
        <w:gridCol w:w="36"/>
        <w:gridCol w:w="120"/>
        <w:gridCol w:w="902"/>
        <w:gridCol w:w="36"/>
        <w:gridCol w:w="36"/>
        <w:gridCol w:w="36"/>
        <w:gridCol w:w="36"/>
        <w:gridCol w:w="120"/>
        <w:gridCol w:w="902"/>
        <w:gridCol w:w="36"/>
      </w:tblGrid>
      <w:tr w:rsidR="00BA49F5" w14:paraId="5CD904A1" w14:textId="77777777">
        <w:trPr>
          <w:jc w:val="center"/>
        </w:trPr>
        <w:tc>
          <w:tcPr>
            <w:tcW w:w="50" w:type="pct"/>
            <w:shd w:val="clear" w:color="auto" w:fill="auto"/>
            <w:vAlign w:val="bottom"/>
          </w:tcPr>
          <w:p w14:paraId="5CD9048F" w14:textId="77777777" w:rsidR="00BA49F5" w:rsidRDefault="00BA49F5">
            <w:pPr>
              <w:rPr>
                <w:rFonts w:ascii="宋体"/>
              </w:rPr>
            </w:pPr>
          </w:p>
        </w:tc>
        <w:tc>
          <w:tcPr>
            <w:tcW w:w="2928" w:type="pct"/>
            <w:shd w:val="clear" w:color="auto" w:fill="auto"/>
            <w:vAlign w:val="bottom"/>
          </w:tcPr>
          <w:p w14:paraId="5CD90490" w14:textId="77777777" w:rsidR="00BA49F5" w:rsidRDefault="00BA49F5">
            <w:pPr>
              <w:rPr>
                <w:rFonts w:ascii="宋体"/>
              </w:rPr>
            </w:pPr>
          </w:p>
        </w:tc>
        <w:tc>
          <w:tcPr>
            <w:tcW w:w="5" w:type="pct"/>
            <w:shd w:val="clear" w:color="auto" w:fill="auto"/>
            <w:vAlign w:val="bottom"/>
          </w:tcPr>
          <w:p w14:paraId="5CD90491" w14:textId="77777777" w:rsidR="00BA49F5" w:rsidRDefault="00BA49F5">
            <w:pPr>
              <w:rPr>
                <w:rFonts w:ascii="宋体"/>
              </w:rPr>
            </w:pPr>
          </w:p>
        </w:tc>
        <w:tc>
          <w:tcPr>
            <w:tcW w:w="50" w:type="pct"/>
            <w:shd w:val="clear" w:color="auto" w:fill="auto"/>
            <w:vAlign w:val="bottom"/>
          </w:tcPr>
          <w:p w14:paraId="5CD90492" w14:textId="77777777" w:rsidR="00BA49F5" w:rsidRDefault="00BA49F5">
            <w:pPr>
              <w:rPr>
                <w:rFonts w:ascii="宋体"/>
              </w:rPr>
            </w:pPr>
          </w:p>
        </w:tc>
        <w:tc>
          <w:tcPr>
            <w:tcW w:w="592" w:type="pct"/>
            <w:shd w:val="clear" w:color="auto" w:fill="auto"/>
            <w:vAlign w:val="bottom"/>
          </w:tcPr>
          <w:p w14:paraId="5CD90493" w14:textId="77777777" w:rsidR="00BA49F5" w:rsidRDefault="00BA49F5">
            <w:pPr>
              <w:rPr>
                <w:rFonts w:ascii="宋体"/>
              </w:rPr>
            </w:pPr>
          </w:p>
        </w:tc>
        <w:tc>
          <w:tcPr>
            <w:tcW w:w="5" w:type="pct"/>
            <w:shd w:val="clear" w:color="auto" w:fill="auto"/>
            <w:vAlign w:val="bottom"/>
          </w:tcPr>
          <w:p w14:paraId="5CD90494" w14:textId="77777777" w:rsidR="00BA49F5" w:rsidRDefault="00BA49F5">
            <w:pPr>
              <w:rPr>
                <w:rFonts w:ascii="宋体"/>
              </w:rPr>
            </w:pPr>
          </w:p>
        </w:tc>
        <w:tc>
          <w:tcPr>
            <w:tcW w:w="5" w:type="pct"/>
            <w:shd w:val="clear" w:color="auto" w:fill="auto"/>
            <w:vAlign w:val="bottom"/>
          </w:tcPr>
          <w:p w14:paraId="5CD90495" w14:textId="77777777" w:rsidR="00BA49F5" w:rsidRDefault="00BA49F5">
            <w:pPr>
              <w:rPr>
                <w:rFonts w:ascii="宋体"/>
              </w:rPr>
            </w:pPr>
          </w:p>
        </w:tc>
        <w:tc>
          <w:tcPr>
            <w:tcW w:w="27" w:type="pct"/>
            <w:shd w:val="clear" w:color="auto" w:fill="auto"/>
            <w:vAlign w:val="bottom"/>
          </w:tcPr>
          <w:p w14:paraId="5CD90496" w14:textId="77777777" w:rsidR="00BA49F5" w:rsidRDefault="00BA49F5">
            <w:pPr>
              <w:rPr>
                <w:rFonts w:ascii="宋体"/>
              </w:rPr>
            </w:pPr>
          </w:p>
        </w:tc>
        <w:tc>
          <w:tcPr>
            <w:tcW w:w="5" w:type="pct"/>
            <w:shd w:val="clear" w:color="auto" w:fill="auto"/>
            <w:vAlign w:val="bottom"/>
          </w:tcPr>
          <w:p w14:paraId="5CD90497" w14:textId="77777777" w:rsidR="00BA49F5" w:rsidRDefault="00BA49F5">
            <w:pPr>
              <w:rPr>
                <w:rFonts w:ascii="宋体"/>
              </w:rPr>
            </w:pPr>
          </w:p>
        </w:tc>
        <w:tc>
          <w:tcPr>
            <w:tcW w:w="50" w:type="pct"/>
            <w:shd w:val="clear" w:color="auto" w:fill="auto"/>
            <w:vAlign w:val="bottom"/>
          </w:tcPr>
          <w:p w14:paraId="5CD90498" w14:textId="77777777" w:rsidR="00BA49F5" w:rsidRDefault="00BA49F5">
            <w:pPr>
              <w:rPr>
                <w:rFonts w:ascii="宋体"/>
              </w:rPr>
            </w:pPr>
          </w:p>
        </w:tc>
        <w:tc>
          <w:tcPr>
            <w:tcW w:w="592" w:type="pct"/>
            <w:shd w:val="clear" w:color="auto" w:fill="auto"/>
            <w:vAlign w:val="bottom"/>
          </w:tcPr>
          <w:p w14:paraId="5CD90499" w14:textId="77777777" w:rsidR="00BA49F5" w:rsidRDefault="00BA49F5">
            <w:pPr>
              <w:rPr>
                <w:rFonts w:ascii="宋体"/>
              </w:rPr>
            </w:pPr>
          </w:p>
        </w:tc>
        <w:tc>
          <w:tcPr>
            <w:tcW w:w="5" w:type="pct"/>
            <w:shd w:val="clear" w:color="auto" w:fill="auto"/>
            <w:vAlign w:val="bottom"/>
          </w:tcPr>
          <w:p w14:paraId="5CD9049A" w14:textId="77777777" w:rsidR="00BA49F5" w:rsidRDefault="00BA49F5">
            <w:pPr>
              <w:rPr>
                <w:rFonts w:ascii="宋体"/>
              </w:rPr>
            </w:pPr>
          </w:p>
        </w:tc>
        <w:tc>
          <w:tcPr>
            <w:tcW w:w="5" w:type="pct"/>
            <w:shd w:val="clear" w:color="auto" w:fill="auto"/>
            <w:vAlign w:val="bottom"/>
          </w:tcPr>
          <w:p w14:paraId="5CD9049B" w14:textId="77777777" w:rsidR="00BA49F5" w:rsidRDefault="00BA49F5">
            <w:pPr>
              <w:rPr>
                <w:rFonts w:ascii="宋体"/>
              </w:rPr>
            </w:pPr>
          </w:p>
        </w:tc>
        <w:tc>
          <w:tcPr>
            <w:tcW w:w="27" w:type="pct"/>
            <w:shd w:val="clear" w:color="auto" w:fill="auto"/>
            <w:vAlign w:val="bottom"/>
          </w:tcPr>
          <w:p w14:paraId="5CD9049C" w14:textId="77777777" w:rsidR="00BA49F5" w:rsidRDefault="00BA49F5">
            <w:pPr>
              <w:rPr>
                <w:rFonts w:ascii="宋体"/>
              </w:rPr>
            </w:pPr>
          </w:p>
        </w:tc>
        <w:tc>
          <w:tcPr>
            <w:tcW w:w="5" w:type="pct"/>
            <w:shd w:val="clear" w:color="auto" w:fill="auto"/>
            <w:vAlign w:val="bottom"/>
          </w:tcPr>
          <w:p w14:paraId="5CD9049D" w14:textId="77777777" w:rsidR="00BA49F5" w:rsidRDefault="00BA49F5">
            <w:pPr>
              <w:rPr>
                <w:rFonts w:ascii="宋体"/>
              </w:rPr>
            </w:pPr>
          </w:p>
        </w:tc>
        <w:tc>
          <w:tcPr>
            <w:tcW w:w="50" w:type="pct"/>
            <w:shd w:val="clear" w:color="auto" w:fill="auto"/>
            <w:vAlign w:val="bottom"/>
          </w:tcPr>
          <w:p w14:paraId="5CD9049E" w14:textId="77777777" w:rsidR="00BA49F5" w:rsidRDefault="00BA49F5">
            <w:pPr>
              <w:rPr>
                <w:rFonts w:ascii="宋体"/>
              </w:rPr>
            </w:pPr>
          </w:p>
        </w:tc>
        <w:tc>
          <w:tcPr>
            <w:tcW w:w="592" w:type="pct"/>
            <w:shd w:val="clear" w:color="auto" w:fill="auto"/>
            <w:vAlign w:val="bottom"/>
          </w:tcPr>
          <w:p w14:paraId="5CD9049F" w14:textId="77777777" w:rsidR="00BA49F5" w:rsidRDefault="00BA49F5">
            <w:pPr>
              <w:rPr>
                <w:rFonts w:ascii="宋体"/>
              </w:rPr>
            </w:pPr>
          </w:p>
        </w:tc>
        <w:tc>
          <w:tcPr>
            <w:tcW w:w="5" w:type="pct"/>
            <w:shd w:val="clear" w:color="auto" w:fill="auto"/>
            <w:vAlign w:val="bottom"/>
          </w:tcPr>
          <w:p w14:paraId="5CD904A0" w14:textId="77777777" w:rsidR="00BA49F5" w:rsidRDefault="00BA49F5">
            <w:pPr>
              <w:rPr>
                <w:rFonts w:ascii="宋体"/>
              </w:rPr>
            </w:pPr>
          </w:p>
        </w:tc>
      </w:tr>
      <w:tr w:rsidR="00BA49F5" w14:paraId="5CD904A4" w14:textId="77777777">
        <w:trPr>
          <w:jc w:val="center"/>
        </w:trPr>
        <w:tc>
          <w:tcPr>
            <w:tcW w:w="0" w:type="auto"/>
            <w:gridSpan w:val="3"/>
            <w:shd w:val="clear" w:color="auto" w:fill="auto"/>
            <w:tcMar>
              <w:top w:w="40" w:type="dxa"/>
              <w:left w:w="20" w:type="dxa"/>
              <w:bottom w:w="40" w:type="dxa"/>
              <w:right w:w="20" w:type="dxa"/>
            </w:tcMar>
            <w:vAlign w:val="bottom"/>
          </w:tcPr>
          <w:p w14:paraId="5CD904A2"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904A3"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904AB" w14:textId="77777777">
        <w:trPr>
          <w:jc w:val="center"/>
        </w:trPr>
        <w:tc>
          <w:tcPr>
            <w:tcW w:w="0" w:type="auto"/>
            <w:gridSpan w:val="3"/>
            <w:shd w:val="clear" w:color="auto" w:fill="auto"/>
            <w:tcMar>
              <w:top w:w="40" w:type="dxa"/>
              <w:left w:w="20" w:type="dxa"/>
              <w:bottom w:w="40" w:type="dxa"/>
              <w:right w:w="20" w:type="dxa"/>
            </w:tcMar>
            <w:vAlign w:val="bottom"/>
          </w:tcPr>
          <w:p w14:paraId="5CD904A5"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A6"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A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A8"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A9"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AA"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4B8" w14:textId="77777777">
        <w:trPr>
          <w:jc w:val="center"/>
        </w:trPr>
        <w:tc>
          <w:tcPr>
            <w:tcW w:w="0" w:type="auto"/>
            <w:gridSpan w:val="3"/>
            <w:shd w:val="clear" w:color="auto" w:fill="CCEEFF"/>
            <w:tcMar>
              <w:top w:w="40" w:type="dxa"/>
              <w:left w:w="20" w:type="dxa"/>
              <w:bottom w:w="40" w:type="dxa"/>
              <w:right w:w="20" w:type="dxa"/>
            </w:tcMar>
            <w:vAlign w:val="bottom"/>
          </w:tcPr>
          <w:p w14:paraId="5CD904AC" w14:textId="77777777" w:rsidR="00BA49F5" w:rsidRDefault="007E5E49">
            <w:pPr>
              <w:textAlignment w:val="bottom"/>
            </w:pPr>
            <w:r>
              <w:rPr>
                <w:rFonts w:ascii="Times New Roman" w:eastAsia="宋体" w:hAnsi="Times New Roman"/>
                <w:color w:val="000000"/>
                <w:sz w:val="20"/>
                <w:szCs w:val="20"/>
              </w:rPr>
              <w:t>Domestic</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4A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AE" w14:textId="77777777" w:rsidR="00BA49F5" w:rsidRDefault="007E5E49">
            <w:pPr>
              <w:jc w:val="right"/>
              <w:textAlignment w:val="bottom"/>
            </w:pPr>
            <w:r>
              <w:rPr>
                <w:rFonts w:ascii="Times New Roman" w:eastAsia="宋体" w:hAnsi="Times New Roman"/>
                <w:color w:val="000000"/>
                <w:sz w:val="20"/>
                <w:szCs w:val="20"/>
              </w:rPr>
              <w:t>25,025 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A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B0"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4B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B2" w14:textId="77777777" w:rsidR="00BA49F5" w:rsidRDefault="007E5E49">
            <w:pPr>
              <w:jc w:val="right"/>
              <w:textAlignment w:val="bottom"/>
            </w:pPr>
            <w:r>
              <w:rPr>
                <w:rFonts w:ascii="Times New Roman" w:eastAsia="宋体" w:hAnsi="Times New Roman"/>
                <w:color w:val="000000"/>
                <w:sz w:val="20"/>
                <w:szCs w:val="20"/>
              </w:rPr>
              <w:t>43,669 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B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B4"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4B5"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4B6" w14:textId="77777777" w:rsidR="00BA49F5" w:rsidRDefault="007E5E49">
            <w:pPr>
              <w:jc w:val="right"/>
              <w:textAlignment w:val="bottom"/>
            </w:pPr>
            <w:r>
              <w:rPr>
                <w:rFonts w:ascii="Times New Roman" w:eastAsia="宋体" w:hAnsi="Times New Roman"/>
                <w:color w:val="000000"/>
                <w:sz w:val="20"/>
                <w:szCs w:val="20"/>
              </w:rPr>
              <w:t>24,233 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4B7" w14:textId="77777777" w:rsidR="00BA49F5" w:rsidRDefault="00BA49F5">
            <w:pPr>
              <w:jc w:val="right"/>
              <w:rPr>
                <w:rFonts w:ascii="宋体"/>
              </w:rPr>
            </w:pPr>
          </w:p>
        </w:tc>
      </w:tr>
      <w:tr w:rsidR="00BA49F5" w14:paraId="5CD904C2" w14:textId="77777777">
        <w:trPr>
          <w:jc w:val="center"/>
        </w:trPr>
        <w:tc>
          <w:tcPr>
            <w:tcW w:w="0" w:type="auto"/>
            <w:gridSpan w:val="3"/>
            <w:shd w:val="clear" w:color="auto" w:fill="FFFFFF"/>
            <w:tcMar>
              <w:top w:w="40" w:type="dxa"/>
              <w:left w:w="20" w:type="dxa"/>
              <w:bottom w:w="40" w:type="dxa"/>
              <w:right w:w="20" w:type="dxa"/>
            </w:tcMar>
            <w:vAlign w:val="bottom"/>
          </w:tcPr>
          <w:p w14:paraId="5CD904B9" w14:textId="77777777" w:rsidR="00BA49F5" w:rsidRDefault="007E5E49">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5CD904BA" w14:textId="77777777" w:rsidR="00BA49F5" w:rsidRDefault="007E5E49">
            <w:pPr>
              <w:jc w:val="right"/>
              <w:textAlignment w:val="bottom"/>
            </w:pPr>
            <w:r>
              <w:rPr>
                <w:rFonts w:ascii="Times New Roman" w:eastAsia="宋体" w:hAnsi="Times New Roman"/>
                <w:color w:val="000000"/>
                <w:sz w:val="20"/>
                <w:szCs w:val="20"/>
              </w:rPr>
              <w:t>3,794 </w:t>
            </w:r>
          </w:p>
        </w:tc>
        <w:tc>
          <w:tcPr>
            <w:tcW w:w="0" w:type="auto"/>
            <w:shd w:val="clear" w:color="auto" w:fill="FFFFFF"/>
            <w:tcMar>
              <w:top w:w="40" w:type="dxa"/>
              <w:left w:w="0" w:type="dxa"/>
              <w:bottom w:w="40" w:type="dxa"/>
              <w:right w:w="20" w:type="dxa"/>
            </w:tcMar>
            <w:vAlign w:val="bottom"/>
          </w:tcPr>
          <w:p w14:paraId="5CD904B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B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4BD" w14:textId="77777777" w:rsidR="00BA49F5" w:rsidRDefault="007E5E49">
            <w:pPr>
              <w:jc w:val="right"/>
              <w:textAlignment w:val="bottom"/>
            </w:pPr>
            <w:r>
              <w:rPr>
                <w:rFonts w:ascii="Times New Roman" w:eastAsia="宋体" w:hAnsi="Times New Roman"/>
                <w:color w:val="000000"/>
                <w:sz w:val="20"/>
                <w:szCs w:val="20"/>
              </w:rPr>
              <w:t>3,615 </w:t>
            </w:r>
          </w:p>
        </w:tc>
        <w:tc>
          <w:tcPr>
            <w:tcW w:w="0" w:type="auto"/>
            <w:shd w:val="clear" w:color="auto" w:fill="FFFFFF"/>
            <w:tcMar>
              <w:top w:w="40" w:type="dxa"/>
              <w:left w:w="0" w:type="dxa"/>
              <w:bottom w:w="40" w:type="dxa"/>
              <w:right w:w="20" w:type="dxa"/>
            </w:tcMar>
            <w:vAlign w:val="bottom"/>
          </w:tcPr>
          <w:p w14:paraId="5CD904B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B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4C0" w14:textId="77777777" w:rsidR="00BA49F5" w:rsidRDefault="007E5E49">
            <w:pPr>
              <w:jc w:val="right"/>
              <w:textAlignment w:val="bottom"/>
            </w:pPr>
            <w:r>
              <w:rPr>
                <w:rFonts w:ascii="Times New Roman" w:eastAsia="宋体" w:hAnsi="Times New Roman"/>
                <w:color w:val="000000"/>
                <w:sz w:val="20"/>
                <w:szCs w:val="20"/>
              </w:rPr>
              <w:t>8,947 </w:t>
            </w:r>
          </w:p>
        </w:tc>
        <w:tc>
          <w:tcPr>
            <w:tcW w:w="0" w:type="auto"/>
            <w:shd w:val="clear" w:color="auto" w:fill="FFFFFF"/>
            <w:tcMar>
              <w:top w:w="40" w:type="dxa"/>
              <w:left w:w="0" w:type="dxa"/>
              <w:bottom w:w="40" w:type="dxa"/>
              <w:right w:w="20" w:type="dxa"/>
            </w:tcMar>
            <w:vAlign w:val="bottom"/>
          </w:tcPr>
          <w:p w14:paraId="5CD904C1" w14:textId="77777777" w:rsidR="00BA49F5" w:rsidRDefault="00BA49F5">
            <w:pPr>
              <w:jc w:val="right"/>
              <w:rPr>
                <w:rFonts w:ascii="宋体"/>
              </w:rPr>
            </w:pPr>
          </w:p>
        </w:tc>
      </w:tr>
      <w:tr w:rsidR="00BA49F5" w14:paraId="5CD904CF" w14:textId="77777777">
        <w:trPr>
          <w:jc w:val="center"/>
        </w:trPr>
        <w:tc>
          <w:tcPr>
            <w:tcW w:w="0" w:type="auto"/>
            <w:gridSpan w:val="3"/>
            <w:shd w:val="clear" w:color="auto" w:fill="CCEEFF"/>
            <w:tcMar>
              <w:top w:w="40" w:type="dxa"/>
              <w:left w:w="380" w:type="dxa"/>
              <w:bottom w:w="40" w:type="dxa"/>
              <w:right w:w="20" w:type="dxa"/>
            </w:tcMar>
            <w:vAlign w:val="bottom"/>
          </w:tcPr>
          <w:p w14:paraId="5CD904C3" w14:textId="77777777" w:rsidR="00BA49F5" w:rsidRDefault="007E5E49">
            <w:pPr>
              <w:textAlignment w:val="bottom"/>
            </w:pPr>
            <w:r>
              <w:rPr>
                <w:rFonts w:ascii="Times New Roman" w:eastAsia="宋体" w:hAnsi="Times New Roman"/>
                <w:color w:val="000000"/>
                <w:sz w:val="20"/>
                <w:szCs w:val="20"/>
              </w:rPr>
              <w:t>Income before provision for income taxes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4C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4C5" w14:textId="77777777" w:rsidR="00BA49F5" w:rsidRDefault="007E5E49">
            <w:pPr>
              <w:jc w:val="right"/>
              <w:textAlignment w:val="bottom"/>
            </w:pPr>
            <w:r>
              <w:rPr>
                <w:rFonts w:ascii="Times New Roman" w:eastAsia="宋体" w:hAnsi="Times New Roman"/>
                <w:color w:val="000000"/>
                <w:sz w:val="20"/>
                <w:szCs w:val="20"/>
              </w:rPr>
              <w:t>28,819 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4C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C7"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4C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4C9" w14:textId="77777777" w:rsidR="00BA49F5" w:rsidRDefault="007E5E49">
            <w:pPr>
              <w:jc w:val="right"/>
              <w:textAlignment w:val="bottom"/>
            </w:pPr>
            <w:r>
              <w:rPr>
                <w:rFonts w:ascii="Times New Roman" w:eastAsia="宋体" w:hAnsi="Times New Roman"/>
                <w:color w:val="000000"/>
                <w:sz w:val="20"/>
                <w:szCs w:val="20"/>
              </w:rPr>
              <w:t>47,284 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4C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4CB"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4C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4CD" w14:textId="77777777" w:rsidR="00BA49F5" w:rsidRDefault="007E5E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4CE" w14:textId="77777777" w:rsidR="00BA49F5" w:rsidRDefault="00BA49F5">
            <w:pPr>
              <w:jc w:val="right"/>
              <w:rPr>
                <w:rFonts w:ascii="宋体"/>
              </w:rPr>
            </w:pPr>
          </w:p>
        </w:tc>
      </w:tr>
    </w:tbl>
    <w:p w14:paraId="5CD904D0" w14:textId="77777777" w:rsidR="00BA49F5" w:rsidRDefault="00BA49F5">
      <w:pPr>
        <w:ind w:firstLine="540"/>
        <w:jc w:val="both"/>
      </w:pPr>
    </w:p>
    <w:p w14:paraId="5CD904D1" w14:textId="77777777" w:rsidR="00BA49F5" w:rsidRDefault="007E5E49">
      <w:pPr>
        <w:ind w:firstLine="540"/>
        <w:jc w:val="both"/>
      </w:pPr>
      <w:r>
        <w:rPr>
          <w:rFonts w:ascii="Times New Roman" w:eastAsia="宋体" w:hAnsi="Times New Roman"/>
          <w:color w:val="000000"/>
          <w:sz w:val="20"/>
          <w:szCs w:val="20"/>
        </w:rPr>
        <w:t>The provision for income taxes consists of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BA49F5" w14:paraId="5CD904E4" w14:textId="77777777">
        <w:trPr>
          <w:jc w:val="center"/>
        </w:trPr>
        <w:tc>
          <w:tcPr>
            <w:tcW w:w="50" w:type="pct"/>
            <w:shd w:val="clear" w:color="auto" w:fill="auto"/>
            <w:vAlign w:val="bottom"/>
          </w:tcPr>
          <w:p w14:paraId="5CD904D2" w14:textId="77777777" w:rsidR="00BA49F5" w:rsidRDefault="00BA49F5">
            <w:pPr>
              <w:rPr>
                <w:rFonts w:ascii="宋体"/>
              </w:rPr>
            </w:pPr>
          </w:p>
        </w:tc>
        <w:tc>
          <w:tcPr>
            <w:tcW w:w="2928" w:type="pct"/>
            <w:shd w:val="clear" w:color="auto" w:fill="auto"/>
            <w:vAlign w:val="bottom"/>
          </w:tcPr>
          <w:p w14:paraId="5CD904D3" w14:textId="77777777" w:rsidR="00BA49F5" w:rsidRDefault="00BA49F5">
            <w:pPr>
              <w:rPr>
                <w:rFonts w:ascii="宋体"/>
              </w:rPr>
            </w:pPr>
          </w:p>
        </w:tc>
        <w:tc>
          <w:tcPr>
            <w:tcW w:w="5" w:type="pct"/>
            <w:shd w:val="clear" w:color="auto" w:fill="auto"/>
            <w:vAlign w:val="bottom"/>
          </w:tcPr>
          <w:p w14:paraId="5CD904D4" w14:textId="77777777" w:rsidR="00BA49F5" w:rsidRDefault="00BA49F5">
            <w:pPr>
              <w:rPr>
                <w:rFonts w:ascii="宋体"/>
              </w:rPr>
            </w:pPr>
          </w:p>
        </w:tc>
        <w:tc>
          <w:tcPr>
            <w:tcW w:w="50" w:type="pct"/>
            <w:shd w:val="clear" w:color="auto" w:fill="auto"/>
            <w:vAlign w:val="bottom"/>
          </w:tcPr>
          <w:p w14:paraId="5CD904D5" w14:textId="77777777" w:rsidR="00BA49F5" w:rsidRDefault="00BA49F5">
            <w:pPr>
              <w:rPr>
                <w:rFonts w:ascii="宋体"/>
              </w:rPr>
            </w:pPr>
          </w:p>
        </w:tc>
        <w:tc>
          <w:tcPr>
            <w:tcW w:w="592" w:type="pct"/>
            <w:shd w:val="clear" w:color="auto" w:fill="auto"/>
            <w:vAlign w:val="bottom"/>
          </w:tcPr>
          <w:p w14:paraId="5CD904D6" w14:textId="77777777" w:rsidR="00BA49F5" w:rsidRDefault="00BA49F5">
            <w:pPr>
              <w:rPr>
                <w:rFonts w:ascii="宋体"/>
              </w:rPr>
            </w:pPr>
          </w:p>
        </w:tc>
        <w:tc>
          <w:tcPr>
            <w:tcW w:w="5" w:type="pct"/>
            <w:shd w:val="clear" w:color="auto" w:fill="auto"/>
            <w:vAlign w:val="bottom"/>
          </w:tcPr>
          <w:p w14:paraId="5CD904D7" w14:textId="77777777" w:rsidR="00BA49F5" w:rsidRDefault="00BA49F5">
            <w:pPr>
              <w:rPr>
                <w:rFonts w:ascii="宋体"/>
              </w:rPr>
            </w:pPr>
          </w:p>
        </w:tc>
        <w:tc>
          <w:tcPr>
            <w:tcW w:w="5" w:type="pct"/>
            <w:shd w:val="clear" w:color="auto" w:fill="auto"/>
            <w:vAlign w:val="bottom"/>
          </w:tcPr>
          <w:p w14:paraId="5CD904D8" w14:textId="77777777" w:rsidR="00BA49F5" w:rsidRDefault="00BA49F5">
            <w:pPr>
              <w:rPr>
                <w:rFonts w:ascii="宋体"/>
              </w:rPr>
            </w:pPr>
          </w:p>
        </w:tc>
        <w:tc>
          <w:tcPr>
            <w:tcW w:w="27" w:type="pct"/>
            <w:shd w:val="clear" w:color="auto" w:fill="auto"/>
            <w:vAlign w:val="bottom"/>
          </w:tcPr>
          <w:p w14:paraId="5CD904D9" w14:textId="77777777" w:rsidR="00BA49F5" w:rsidRDefault="00BA49F5">
            <w:pPr>
              <w:rPr>
                <w:rFonts w:ascii="宋体"/>
              </w:rPr>
            </w:pPr>
          </w:p>
        </w:tc>
        <w:tc>
          <w:tcPr>
            <w:tcW w:w="5" w:type="pct"/>
            <w:shd w:val="clear" w:color="auto" w:fill="auto"/>
            <w:vAlign w:val="bottom"/>
          </w:tcPr>
          <w:p w14:paraId="5CD904DA" w14:textId="77777777" w:rsidR="00BA49F5" w:rsidRDefault="00BA49F5">
            <w:pPr>
              <w:rPr>
                <w:rFonts w:ascii="宋体"/>
              </w:rPr>
            </w:pPr>
          </w:p>
        </w:tc>
        <w:tc>
          <w:tcPr>
            <w:tcW w:w="50" w:type="pct"/>
            <w:shd w:val="clear" w:color="auto" w:fill="auto"/>
            <w:vAlign w:val="bottom"/>
          </w:tcPr>
          <w:p w14:paraId="5CD904DB" w14:textId="77777777" w:rsidR="00BA49F5" w:rsidRDefault="00BA49F5">
            <w:pPr>
              <w:rPr>
                <w:rFonts w:ascii="宋体"/>
              </w:rPr>
            </w:pPr>
          </w:p>
        </w:tc>
        <w:tc>
          <w:tcPr>
            <w:tcW w:w="592" w:type="pct"/>
            <w:shd w:val="clear" w:color="auto" w:fill="auto"/>
            <w:vAlign w:val="bottom"/>
          </w:tcPr>
          <w:p w14:paraId="5CD904DC" w14:textId="77777777" w:rsidR="00BA49F5" w:rsidRDefault="00BA49F5">
            <w:pPr>
              <w:rPr>
                <w:rFonts w:ascii="宋体"/>
              </w:rPr>
            </w:pPr>
          </w:p>
        </w:tc>
        <w:tc>
          <w:tcPr>
            <w:tcW w:w="5" w:type="pct"/>
            <w:shd w:val="clear" w:color="auto" w:fill="auto"/>
            <w:vAlign w:val="bottom"/>
          </w:tcPr>
          <w:p w14:paraId="5CD904DD" w14:textId="77777777" w:rsidR="00BA49F5" w:rsidRDefault="00BA49F5">
            <w:pPr>
              <w:rPr>
                <w:rFonts w:ascii="宋体"/>
              </w:rPr>
            </w:pPr>
          </w:p>
        </w:tc>
        <w:tc>
          <w:tcPr>
            <w:tcW w:w="5" w:type="pct"/>
            <w:shd w:val="clear" w:color="auto" w:fill="auto"/>
            <w:vAlign w:val="bottom"/>
          </w:tcPr>
          <w:p w14:paraId="5CD904DE" w14:textId="77777777" w:rsidR="00BA49F5" w:rsidRDefault="00BA49F5">
            <w:pPr>
              <w:rPr>
                <w:rFonts w:ascii="宋体"/>
              </w:rPr>
            </w:pPr>
          </w:p>
        </w:tc>
        <w:tc>
          <w:tcPr>
            <w:tcW w:w="27" w:type="pct"/>
            <w:shd w:val="clear" w:color="auto" w:fill="auto"/>
            <w:vAlign w:val="bottom"/>
          </w:tcPr>
          <w:p w14:paraId="5CD904DF" w14:textId="77777777" w:rsidR="00BA49F5" w:rsidRDefault="00BA49F5">
            <w:pPr>
              <w:rPr>
                <w:rFonts w:ascii="宋体"/>
              </w:rPr>
            </w:pPr>
          </w:p>
        </w:tc>
        <w:tc>
          <w:tcPr>
            <w:tcW w:w="5" w:type="pct"/>
            <w:shd w:val="clear" w:color="auto" w:fill="auto"/>
            <w:vAlign w:val="bottom"/>
          </w:tcPr>
          <w:p w14:paraId="5CD904E0" w14:textId="77777777" w:rsidR="00BA49F5" w:rsidRDefault="00BA49F5">
            <w:pPr>
              <w:rPr>
                <w:rFonts w:ascii="宋体"/>
              </w:rPr>
            </w:pPr>
          </w:p>
        </w:tc>
        <w:tc>
          <w:tcPr>
            <w:tcW w:w="50" w:type="pct"/>
            <w:shd w:val="clear" w:color="auto" w:fill="auto"/>
            <w:vAlign w:val="bottom"/>
          </w:tcPr>
          <w:p w14:paraId="5CD904E1" w14:textId="77777777" w:rsidR="00BA49F5" w:rsidRDefault="00BA49F5">
            <w:pPr>
              <w:rPr>
                <w:rFonts w:ascii="宋体"/>
              </w:rPr>
            </w:pPr>
          </w:p>
        </w:tc>
        <w:tc>
          <w:tcPr>
            <w:tcW w:w="592" w:type="pct"/>
            <w:shd w:val="clear" w:color="auto" w:fill="auto"/>
            <w:vAlign w:val="bottom"/>
          </w:tcPr>
          <w:p w14:paraId="5CD904E2" w14:textId="77777777" w:rsidR="00BA49F5" w:rsidRDefault="00BA49F5">
            <w:pPr>
              <w:rPr>
                <w:rFonts w:ascii="宋体"/>
              </w:rPr>
            </w:pPr>
          </w:p>
        </w:tc>
        <w:tc>
          <w:tcPr>
            <w:tcW w:w="5" w:type="pct"/>
            <w:shd w:val="clear" w:color="auto" w:fill="auto"/>
            <w:vAlign w:val="bottom"/>
          </w:tcPr>
          <w:p w14:paraId="5CD904E3" w14:textId="77777777" w:rsidR="00BA49F5" w:rsidRDefault="00BA49F5">
            <w:pPr>
              <w:rPr>
                <w:rFonts w:ascii="宋体"/>
              </w:rPr>
            </w:pPr>
          </w:p>
        </w:tc>
      </w:tr>
      <w:tr w:rsidR="00BA49F5" w14:paraId="5CD904E7" w14:textId="77777777">
        <w:trPr>
          <w:jc w:val="center"/>
        </w:trPr>
        <w:tc>
          <w:tcPr>
            <w:tcW w:w="0" w:type="auto"/>
            <w:gridSpan w:val="3"/>
            <w:shd w:val="clear" w:color="auto" w:fill="auto"/>
            <w:tcMar>
              <w:top w:w="40" w:type="dxa"/>
              <w:left w:w="20" w:type="dxa"/>
              <w:bottom w:w="40" w:type="dxa"/>
              <w:right w:w="20" w:type="dxa"/>
            </w:tcMar>
            <w:vAlign w:val="bottom"/>
          </w:tcPr>
          <w:p w14:paraId="5CD904E5"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904E6"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904EE" w14:textId="77777777">
        <w:trPr>
          <w:jc w:val="center"/>
        </w:trPr>
        <w:tc>
          <w:tcPr>
            <w:tcW w:w="0" w:type="auto"/>
            <w:gridSpan w:val="3"/>
            <w:shd w:val="clear" w:color="auto" w:fill="auto"/>
            <w:tcMar>
              <w:top w:w="40" w:type="dxa"/>
              <w:left w:w="20" w:type="dxa"/>
              <w:bottom w:w="40" w:type="dxa"/>
              <w:right w:w="20" w:type="dxa"/>
            </w:tcMar>
            <w:vAlign w:val="bottom"/>
          </w:tcPr>
          <w:p w14:paraId="5CD904E8"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E9"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EA"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EB"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4EC"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4ED"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4F5" w14:textId="77777777">
        <w:trPr>
          <w:jc w:val="center"/>
        </w:trPr>
        <w:tc>
          <w:tcPr>
            <w:tcW w:w="0" w:type="auto"/>
            <w:gridSpan w:val="3"/>
            <w:shd w:val="clear" w:color="auto" w:fill="CCEEFF"/>
            <w:tcMar>
              <w:top w:w="40" w:type="dxa"/>
              <w:left w:w="20" w:type="dxa"/>
              <w:bottom w:w="40" w:type="dxa"/>
              <w:right w:w="20" w:type="dxa"/>
            </w:tcMar>
            <w:vAlign w:val="bottom"/>
          </w:tcPr>
          <w:p w14:paraId="5CD904EF" w14:textId="77777777" w:rsidR="00BA49F5" w:rsidRDefault="007E5E49">
            <w:pPr>
              <w:textAlignment w:val="bottom"/>
            </w:pPr>
            <w:r>
              <w:rPr>
                <w:rFonts w:ascii="Times New Roman" w:eastAsia="宋体" w:hAnsi="Times New Roman"/>
                <w:color w:val="000000"/>
                <w:sz w:val="20"/>
                <w:szCs w:val="20"/>
              </w:rPr>
              <w:t>Current:</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904F0"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904F1"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904F2" w14:textId="77777777" w:rsidR="00BA49F5" w:rsidRDefault="007E5E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5CD904F3"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904F4" w14:textId="77777777" w:rsidR="00BA49F5" w:rsidRDefault="007E5E49">
            <w:pPr>
              <w:textAlignment w:val="bottom"/>
            </w:pPr>
            <w:r>
              <w:rPr>
                <w:rFonts w:ascii="Times New Roman" w:eastAsia="宋体" w:hAnsi="Times New Roman"/>
                <w:color w:val="000000"/>
                <w:sz w:val="8"/>
                <w:szCs w:val="8"/>
              </w:rPr>
              <w:t> </w:t>
            </w:r>
          </w:p>
        </w:tc>
      </w:tr>
      <w:tr w:rsidR="00BA49F5" w14:paraId="5CD90502" w14:textId="77777777">
        <w:trPr>
          <w:jc w:val="center"/>
        </w:trPr>
        <w:tc>
          <w:tcPr>
            <w:tcW w:w="0" w:type="auto"/>
            <w:gridSpan w:val="3"/>
            <w:shd w:val="clear" w:color="auto" w:fill="FFFFFF"/>
            <w:tcMar>
              <w:top w:w="40" w:type="dxa"/>
              <w:left w:w="200" w:type="dxa"/>
              <w:bottom w:w="40" w:type="dxa"/>
              <w:right w:w="20" w:type="dxa"/>
            </w:tcMar>
            <w:vAlign w:val="bottom"/>
          </w:tcPr>
          <w:p w14:paraId="5CD904F6" w14:textId="77777777" w:rsidR="00BA49F5" w:rsidRDefault="007E5E49">
            <w:pPr>
              <w:textAlignment w:val="bottom"/>
            </w:pPr>
            <w:r>
              <w:rPr>
                <w:rFonts w:ascii="Times New Roman" w:eastAsia="宋体" w:hAnsi="Times New Roman"/>
                <w:color w:val="000000"/>
                <w:sz w:val="20"/>
                <w:szCs w:val="20"/>
              </w:rPr>
              <w:t>Federal</w:t>
            </w:r>
          </w:p>
        </w:tc>
        <w:tc>
          <w:tcPr>
            <w:tcW w:w="0" w:type="auto"/>
            <w:shd w:val="clear" w:color="auto" w:fill="FFFFFF"/>
            <w:tcMar>
              <w:top w:w="40" w:type="dxa"/>
              <w:left w:w="20" w:type="dxa"/>
              <w:bottom w:w="40" w:type="dxa"/>
              <w:right w:w="0" w:type="dxa"/>
            </w:tcMar>
            <w:vAlign w:val="bottom"/>
          </w:tcPr>
          <w:p w14:paraId="5CD904F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4F8" w14:textId="77777777" w:rsidR="00BA49F5" w:rsidRDefault="007E5E49">
            <w:pPr>
              <w:jc w:val="right"/>
              <w:textAlignment w:val="bottom"/>
            </w:pPr>
            <w:r>
              <w:rPr>
                <w:rFonts w:ascii="Times New Roman" w:eastAsia="宋体" w:hAnsi="Times New Roman"/>
                <w:color w:val="000000"/>
                <w:sz w:val="20"/>
                <w:szCs w:val="20"/>
              </w:rPr>
              <w:t>6,094 </w:t>
            </w:r>
          </w:p>
        </w:tc>
        <w:tc>
          <w:tcPr>
            <w:tcW w:w="0" w:type="auto"/>
            <w:shd w:val="clear" w:color="auto" w:fill="FFFFFF"/>
            <w:tcMar>
              <w:top w:w="40" w:type="dxa"/>
              <w:left w:w="0" w:type="dxa"/>
              <w:bottom w:w="40" w:type="dxa"/>
              <w:right w:w="20" w:type="dxa"/>
            </w:tcMar>
            <w:vAlign w:val="bottom"/>
          </w:tcPr>
          <w:p w14:paraId="5CD904F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FA"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4F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4FC" w14:textId="77777777" w:rsidR="00BA49F5" w:rsidRDefault="007E5E49">
            <w:pPr>
              <w:jc w:val="right"/>
              <w:textAlignment w:val="bottom"/>
            </w:pPr>
            <w:r>
              <w:rPr>
                <w:rFonts w:ascii="Times New Roman" w:eastAsia="宋体" w:hAnsi="Times New Roman"/>
                <w:color w:val="000000"/>
                <w:sz w:val="20"/>
                <w:szCs w:val="20"/>
              </w:rPr>
              <w:t>4,971 </w:t>
            </w:r>
          </w:p>
        </w:tc>
        <w:tc>
          <w:tcPr>
            <w:tcW w:w="0" w:type="auto"/>
            <w:shd w:val="clear" w:color="auto" w:fill="FFFFFF"/>
            <w:tcMar>
              <w:top w:w="40" w:type="dxa"/>
              <w:left w:w="0" w:type="dxa"/>
              <w:bottom w:w="40" w:type="dxa"/>
              <w:right w:w="20" w:type="dxa"/>
            </w:tcMar>
            <w:vAlign w:val="bottom"/>
          </w:tcPr>
          <w:p w14:paraId="5CD904F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4FE"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4F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500" w14:textId="77777777" w:rsidR="00BA49F5" w:rsidRDefault="007E5E49">
            <w:pPr>
              <w:jc w:val="right"/>
              <w:textAlignment w:val="bottom"/>
            </w:pPr>
            <w:r>
              <w:rPr>
                <w:rFonts w:ascii="Times New Roman" w:eastAsia="宋体" w:hAnsi="Times New Roman"/>
                <w:color w:val="000000"/>
                <w:sz w:val="20"/>
                <w:szCs w:val="20"/>
              </w:rPr>
              <w:t>3,297 </w:t>
            </w:r>
          </w:p>
        </w:tc>
        <w:tc>
          <w:tcPr>
            <w:tcW w:w="0" w:type="auto"/>
            <w:shd w:val="clear" w:color="auto" w:fill="FFFFFF"/>
            <w:tcMar>
              <w:top w:w="40" w:type="dxa"/>
              <w:left w:w="0" w:type="dxa"/>
              <w:bottom w:w="40" w:type="dxa"/>
              <w:right w:w="20" w:type="dxa"/>
            </w:tcMar>
            <w:vAlign w:val="bottom"/>
          </w:tcPr>
          <w:p w14:paraId="5CD90501" w14:textId="77777777" w:rsidR="00BA49F5" w:rsidRDefault="00BA49F5">
            <w:pPr>
              <w:jc w:val="right"/>
              <w:rPr>
                <w:rFonts w:ascii="宋体"/>
              </w:rPr>
            </w:pPr>
          </w:p>
        </w:tc>
      </w:tr>
      <w:tr w:rsidR="00BA49F5" w14:paraId="5CD9050C" w14:textId="77777777">
        <w:trPr>
          <w:jc w:val="center"/>
        </w:trPr>
        <w:tc>
          <w:tcPr>
            <w:tcW w:w="0" w:type="auto"/>
            <w:gridSpan w:val="3"/>
            <w:shd w:val="clear" w:color="auto" w:fill="CCEEFF"/>
            <w:tcMar>
              <w:top w:w="40" w:type="dxa"/>
              <w:left w:w="200" w:type="dxa"/>
              <w:bottom w:w="40" w:type="dxa"/>
              <w:right w:w="20" w:type="dxa"/>
            </w:tcMar>
            <w:vAlign w:val="bottom"/>
          </w:tcPr>
          <w:p w14:paraId="5CD90503" w14:textId="77777777" w:rsidR="00BA49F5" w:rsidRDefault="007E5E49">
            <w:pPr>
              <w:textAlignment w:val="bottom"/>
            </w:pPr>
            <w:r>
              <w:rPr>
                <w:rFonts w:ascii="Times New Roman" w:eastAsia="宋体" w:hAnsi="Times New Roman"/>
                <w:color w:val="000000"/>
                <w:sz w:val="20"/>
                <w:szCs w:val="20"/>
              </w:rPr>
              <w:t>State</w:t>
            </w:r>
          </w:p>
        </w:tc>
        <w:tc>
          <w:tcPr>
            <w:tcW w:w="0" w:type="auto"/>
            <w:gridSpan w:val="2"/>
            <w:shd w:val="clear" w:color="auto" w:fill="CCEEFF"/>
            <w:tcMar>
              <w:top w:w="40" w:type="dxa"/>
              <w:left w:w="20" w:type="dxa"/>
              <w:bottom w:w="40" w:type="dxa"/>
              <w:right w:w="0" w:type="dxa"/>
            </w:tcMar>
            <w:vAlign w:val="bottom"/>
          </w:tcPr>
          <w:p w14:paraId="5CD90504" w14:textId="77777777" w:rsidR="00BA49F5" w:rsidRDefault="007E5E49">
            <w:pPr>
              <w:jc w:val="right"/>
              <w:textAlignment w:val="bottom"/>
            </w:pPr>
            <w:r>
              <w:rPr>
                <w:rFonts w:ascii="Times New Roman" w:eastAsia="宋体" w:hAnsi="Times New Roman"/>
                <w:color w:val="000000"/>
                <w:sz w:val="20"/>
                <w:szCs w:val="20"/>
              </w:rPr>
              <w:t>874 </w:t>
            </w:r>
          </w:p>
        </w:tc>
        <w:tc>
          <w:tcPr>
            <w:tcW w:w="0" w:type="auto"/>
            <w:shd w:val="clear" w:color="auto" w:fill="CCEEFF"/>
            <w:tcMar>
              <w:top w:w="40" w:type="dxa"/>
              <w:left w:w="0" w:type="dxa"/>
              <w:bottom w:w="40" w:type="dxa"/>
              <w:right w:w="20" w:type="dxa"/>
            </w:tcMar>
            <w:vAlign w:val="bottom"/>
          </w:tcPr>
          <w:p w14:paraId="5CD9050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0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07" w14:textId="77777777" w:rsidR="00BA49F5" w:rsidRDefault="007E5E49">
            <w:pPr>
              <w:jc w:val="right"/>
              <w:textAlignment w:val="bottom"/>
            </w:pPr>
            <w:r>
              <w:rPr>
                <w:rFonts w:ascii="Times New Roman" w:eastAsia="宋体" w:hAnsi="Times New Roman"/>
                <w:color w:val="000000"/>
                <w:sz w:val="20"/>
                <w:szCs w:val="20"/>
              </w:rPr>
              <w:t>548 </w:t>
            </w:r>
          </w:p>
        </w:tc>
        <w:tc>
          <w:tcPr>
            <w:tcW w:w="0" w:type="auto"/>
            <w:shd w:val="clear" w:color="auto" w:fill="CCEEFF"/>
            <w:tcMar>
              <w:top w:w="40" w:type="dxa"/>
              <w:left w:w="0" w:type="dxa"/>
              <w:bottom w:w="40" w:type="dxa"/>
              <w:right w:w="20" w:type="dxa"/>
            </w:tcMar>
            <w:vAlign w:val="bottom"/>
          </w:tcPr>
          <w:p w14:paraId="5CD90508"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09"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0A" w14:textId="77777777" w:rsidR="00BA49F5" w:rsidRDefault="007E5E49">
            <w:pPr>
              <w:jc w:val="right"/>
              <w:textAlignment w:val="bottom"/>
            </w:pPr>
            <w:r>
              <w:rPr>
                <w:rFonts w:ascii="Times New Roman" w:eastAsia="宋体" w:hAnsi="Times New Roman"/>
                <w:color w:val="000000"/>
                <w:sz w:val="20"/>
                <w:szCs w:val="20"/>
              </w:rPr>
              <w:t>523 </w:t>
            </w:r>
          </w:p>
        </w:tc>
        <w:tc>
          <w:tcPr>
            <w:tcW w:w="0" w:type="auto"/>
            <w:shd w:val="clear" w:color="auto" w:fill="CCEEFF"/>
            <w:tcMar>
              <w:top w:w="40" w:type="dxa"/>
              <w:left w:w="0" w:type="dxa"/>
              <w:bottom w:w="40" w:type="dxa"/>
              <w:right w:w="20" w:type="dxa"/>
            </w:tcMar>
            <w:vAlign w:val="bottom"/>
          </w:tcPr>
          <w:p w14:paraId="5CD9050B" w14:textId="77777777" w:rsidR="00BA49F5" w:rsidRDefault="00BA49F5">
            <w:pPr>
              <w:jc w:val="right"/>
              <w:rPr>
                <w:rFonts w:ascii="宋体"/>
              </w:rPr>
            </w:pPr>
          </w:p>
        </w:tc>
      </w:tr>
      <w:tr w:rsidR="00BA49F5" w14:paraId="5CD90516" w14:textId="77777777">
        <w:trPr>
          <w:jc w:val="center"/>
        </w:trPr>
        <w:tc>
          <w:tcPr>
            <w:tcW w:w="0" w:type="auto"/>
            <w:gridSpan w:val="3"/>
            <w:shd w:val="clear" w:color="auto" w:fill="FFFFFF"/>
            <w:tcMar>
              <w:top w:w="40" w:type="dxa"/>
              <w:left w:w="200" w:type="dxa"/>
              <w:bottom w:w="40" w:type="dxa"/>
              <w:right w:w="20" w:type="dxa"/>
            </w:tcMar>
            <w:vAlign w:val="bottom"/>
          </w:tcPr>
          <w:p w14:paraId="5CD9050D" w14:textId="77777777" w:rsidR="00BA49F5" w:rsidRDefault="007E5E49">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5CD9050E" w14:textId="77777777" w:rsidR="00BA49F5" w:rsidRDefault="007E5E49">
            <w:pPr>
              <w:jc w:val="right"/>
              <w:textAlignment w:val="bottom"/>
            </w:pPr>
            <w:r>
              <w:rPr>
                <w:rFonts w:ascii="Times New Roman" w:eastAsia="宋体" w:hAnsi="Times New Roman"/>
                <w:color w:val="000000"/>
                <w:sz w:val="20"/>
                <w:szCs w:val="20"/>
              </w:rPr>
              <w:t>1,928 </w:t>
            </w:r>
          </w:p>
        </w:tc>
        <w:tc>
          <w:tcPr>
            <w:tcW w:w="0" w:type="auto"/>
            <w:shd w:val="clear" w:color="auto" w:fill="FFFFFF"/>
            <w:tcMar>
              <w:top w:w="40" w:type="dxa"/>
              <w:left w:w="0" w:type="dxa"/>
              <w:bottom w:w="40" w:type="dxa"/>
              <w:right w:w="20" w:type="dxa"/>
            </w:tcMar>
            <w:vAlign w:val="bottom"/>
          </w:tcPr>
          <w:p w14:paraId="5CD9050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1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11" w14:textId="77777777" w:rsidR="00BA49F5" w:rsidRDefault="007E5E49">
            <w:pPr>
              <w:jc w:val="right"/>
              <w:textAlignment w:val="bottom"/>
            </w:pPr>
            <w:r>
              <w:rPr>
                <w:rFonts w:ascii="Times New Roman" w:eastAsia="宋体" w:hAnsi="Times New Roman"/>
                <w:color w:val="000000"/>
                <w:sz w:val="20"/>
                <w:szCs w:val="20"/>
              </w:rPr>
              <w:t>1,786 </w:t>
            </w:r>
          </w:p>
        </w:tc>
        <w:tc>
          <w:tcPr>
            <w:tcW w:w="0" w:type="auto"/>
            <w:shd w:val="clear" w:color="auto" w:fill="FFFFFF"/>
            <w:tcMar>
              <w:top w:w="40" w:type="dxa"/>
              <w:left w:w="0" w:type="dxa"/>
              <w:bottom w:w="40" w:type="dxa"/>
              <w:right w:w="20" w:type="dxa"/>
            </w:tcMar>
            <w:vAlign w:val="bottom"/>
          </w:tcPr>
          <w:p w14:paraId="5CD9051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1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14" w14:textId="77777777" w:rsidR="00BA49F5" w:rsidRDefault="007E5E49">
            <w:pPr>
              <w:jc w:val="right"/>
              <w:textAlignment w:val="bottom"/>
            </w:pPr>
            <w:r>
              <w:rPr>
                <w:rFonts w:ascii="Times New Roman" w:eastAsia="宋体" w:hAnsi="Times New Roman"/>
                <w:color w:val="000000"/>
                <w:sz w:val="20"/>
                <w:szCs w:val="20"/>
              </w:rPr>
              <w:t>1,211 </w:t>
            </w:r>
          </w:p>
        </w:tc>
        <w:tc>
          <w:tcPr>
            <w:tcW w:w="0" w:type="auto"/>
            <w:shd w:val="clear" w:color="auto" w:fill="FFFFFF"/>
            <w:tcMar>
              <w:top w:w="40" w:type="dxa"/>
              <w:left w:w="0" w:type="dxa"/>
              <w:bottom w:w="40" w:type="dxa"/>
              <w:right w:w="20" w:type="dxa"/>
            </w:tcMar>
            <w:vAlign w:val="bottom"/>
          </w:tcPr>
          <w:p w14:paraId="5CD90515" w14:textId="77777777" w:rsidR="00BA49F5" w:rsidRDefault="00BA49F5">
            <w:pPr>
              <w:jc w:val="right"/>
              <w:rPr>
                <w:rFonts w:ascii="宋体"/>
              </w:rPr>
            </w:pPr>
          </w:p>
        </w:tc>
      </w:tr>
      <w:tr w:rsidR="00BA49F5" w14:paraId="5CD90520" w14:textId="77777777">
        <w:trPr>
          <w:jc w:val="center"/>
        </w:trPr>
        <w:tc>
          <w:tcPr>
            <w:tcW w:w="0" w:type="auto"/>
            <w:gridSpan w:val="3"/>
            <w:shd w:val="clear" w:color="auto" w:fill="CCEEFF"/>
            <w:tcMar>
              <w:top w:w="40" w:type="dxa"/>
              <w:left w:w="20" w:type="dxa"/>
              <w:bottom w:w="40" w:type="dxa"/>
              <w:right w:w="20" w:type="dxa"/>
            </w:tcMar>
            <w:vAlign w:val="bottom"/>
          </w:tcPr>
          <w:p w14:paraId="5CD90517" w14:textId="77777777" w:rsidR="00BA49F5" w:rsidRDefault="007E5E49">
            <w:pPr>
              <w:textAlignment w:val="bottom"/>
            </w:pPr>
            <w:r>
              <w:rPr>
                <w:rFonts w:ascii="Times New Roman" w:eastAsia="宋体" w:hAnsi="Times New Roman"/>
                <w:color w:val="000000"/>
                <w:sz w:val="20"/>
                <w:szCs w:val="20"/>
              </w:rPr>
              <w:t>Total current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18" w14:textId="77777777" w:rsidR="00BA49F5" w:rsidRDefault="007E5E49">
            <w:pPr>
              <w:jc w:val="right"/>
              <w:textAlignment w:val="bottom"/>
            </w:pPr>
            <w:r>
              <w:rPr>
                <w:rFonts w:ascii="Times New Roman" w:eastAsia="宋体" w:hAnsi="Times New Roman"/>
                <w:color w:val="000000"/>
                <w:sz w:val="20"/>
                <w:szCs w:val="20"/>
              </w:rPr>
              <w:t>8,896 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1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1A"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1B" w14:textId="77777777" w:rsidR="00BA49F5" w:rsidRDefault="007E5E49">
            <w:pPr>
              <w:jc w:val="right"/>
              <w:textAlignment w:val="bottom"/>
            </w:pPr>
            <w:r>
              <w:rPr>
                <w:rFonts w:ascii="Times New Roman" w:eastAsia="宋体" w:hAnsi="Times New Roman"/>
                <w:color w:val="000000"/>
                <w:sz w:val="20"/>
                <w:szCs w:val="20"/>
              </w:rPr>
              <w:t>7,305 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1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1D"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1E" w14:textId="77777777" w:rsidR="00BA49F5" w:rsidRDefault="007E5E49">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1F" w14:textId="77777777" w:rsidR="00BA49F5" w:rsidRDefault="00BA49F5">
            <w:pPr>
              <w:jc w:val="right"/>
              <w:rPr>
                <w:rFonts w:ascii="宋体"/>
              </w:rPr>
            </w:pPr>
          </w:p>
        </w:tc>
      </w:tr>
      <w:tr w:rsidR="00BA49F5" w14:paraId="5CD90527" w14:textId="77777777">
        <w:trPr>
          <w:trHeight w:val="300"/>
          <w:jc w:val="center"/>
        </w:trPr>
        <w:tc>
          <w:tcPr>
            <w:tcW w:w="0" w:type="auto"/>
            <w:gridSpan w:val="3"/>
            <w:shd w:val="clear" w:color="auto" w:fill="FFFFFF"/>
            <w:tcMar>
              <w:top w:w="0" w:type="dxa"/>
              <w:left w:w="20" w:type="dxa"/>
              <w:bottom w:w="0" w:type="dxa"/>
              <w:right w:w="20" w:type="dxa"/>
            </w:tcMar>
            <w:vAlign w:val="bottom"/>
          </w:tcPr>
          <w:p w14:paraId="5CD90521"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90522"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523"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90524"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525" w14:textId="77777777" w:rsidR="00BA49F5" w:rsidRDefault="00BA49F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CD90526" w14:textId="77777777" w:rsidR="00BA49F5" w:rsidRDefault="00BA49F5">
            <w:pPr>
              <w:rPr>
                <w:rFonts w:ascii="宋体"/>
              </w:rPr>
            </w:pPr>
          </w:p>
        </w:tc>
      </w:tr>
      <w:tr w:rsidR="00BA49F5" w14:paraId="5CD9052E" w14:textId="77777777">
        <w:trPr>
          <w:jc w:val="center"/>
        </w:trPr>
        <w:tc>
          <w:tcPr>
            <w:tcW w:w="0" w:type="auto"/>
            <w:gridSpan w:val="3"/>
            <w:shd w:val="clear" w:color="auto" w:fill="CCEEFF"/>
            <w:tcMar>
              <w:top w:w="40" w:type="dxa"/>
              <w:left w:w="20" w:type="dxa"/>
              <w:bottom w:w="40" w:type="dxa"/>
              <w:right w:w="20" w:type="dxa"/>
            </w:tcMar>
            <w:vAlign w:val="bottom"/>
          </w:tcPr>
          <w:p w14:paraId="5CD90528" w14:textId="77777777" w:rsidR="00BA49F5" w:rsidRDefault="007E5E49">
            <w:pPr>
              <w:textAlignment w:val="bottom"/>
            </w:pPr>
            <w:r>
              <w:rPr>
                <w:rFonts w:ascii="Times New Roman" w:eastAsia="宋体" w:hAnsi="Times New Roman"/>
                <w:color w:val="000000"/>
                <w:sz w:val="20"/>
                <w:szCs w:val="20"/>
              </w:rPr>
              <w:t>Deferred:</w:t>
            </w:r>
          </w:p>
        </w:tc>
        <w:tc>
          <w:tcPr>
            <w:tcW w:w="0" w:type="auto"/>
            <w:gridSpan w:val="3"/>
            <w:shd w:val="clear" w:color="auto" w:fill="CCEEFF"/>
            <w:tcMar>
              <w:top w:w="40" w:type="dxa"/>
              <w:left w:w="20" w:type="dxa"/>
              <w:bottom w:w="40" w:type="dxa"/>
              <w:right w:w="20" w:type="dxa"/>
            </w:tcMar>
            <w:vAlign w:val="bottom"/>
          </w:tcPr>
          <w:p w14:paraId="5CD90529"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9052A"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9052B"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9052C" w14:textId="77777777" w:rsidR="00BA49F5" w:rsidRDefault="00BA49F5">
            <w:pPr>
              <w:rPr>
                <w:rFonts w:ascii="宋体"/>
              </w:rPr>
            </w:pPr>
          </w:p>
        </w:tc>
        <w:tc>
          <w:tcPr>
            <w:tcW w:w="0" w:type="auto"/>
            <w:gridSpan w:val="3"/>
            <w:shd w:val="clear" w:color="auto" w:fill="CCEEFF"/>
            <w:tcMar>
              <w:top w:w="40" w:type="dxa"/>
              <w:left w:w="20" w:type="dxa"/>
              <w:bottom w:w="40" w:type="dxa"/>
              <w:right w:w="20" w:type="dxa"/>
            </w:tcMar>
            <w:vAlign w:val="bottom"/>
          </w:tcPr>
          <w:p w14:paraId="5CD9052D" w14:textId="77777777" w:rsidR="00BA49F5" w:rsidRDefault="007E5E49">
            <w:pPr>
              <w:textAlignment w:val="bottom"/>
            </w:pPr>
            <w:r>
              <w:rPr>
                <w:rFonts w:ascii="Times New Roman" w:eastAsia="宋体" w:hAnsi="Times New Roman"/>
                <w:color w:val="000000"/>
                <w:sz w:val="20"/>
                <w:szCs w:val="20"/>
              </w:rPr>
              <w:t> </w:t>
            </w:r>
          </w:p>
        </w:tc>
      </w:tr>
      <w:tr w:rsidR="00BA49F5" w14:paraId="5CD90538" w14:textId="77777777">
        <w:trPr>
          <w:jc w:val="center"/>
        </w:trPr>
        <w:tc>
          <w:tcPr>
            <w:tcW w:w="0" w:type="auto"/>
            <w:gridSpan w:val="3"/>
            <w:shd w:val="clear" w:color="auto" w:fill="FFFFFF"/>
            <w:tcMar>
              <w:top w:w="40" w:type="dxa"/>
              <w:left w:w="200" w:type="dxa"/>
              <w:bottom w:w="40" w:type="dxa"/>
              <w:right w:w="20" w:type="dxa"/>
            </w:tcMar>
            <w:vAlign w:val="bottom"/>
          </w:tcPr>
          <w:p w14:paraId="5CD9052F" w14:textId="77777777" w:rsidR="00BA49F5" w:rsidRDefault="007E5E49">
            <w:pPr>
              <w:textAlignment w:val="bottom"/>
            </w:pPr>
            <w:r>
              <w:rPr>
                <w:rFonts w:ascii="Times New Roman" w:eastAsia="宋体" w:hAnsi="Times New Roman"/>
                <w:color w:val="000000"/>
                <w:sz w:val="20"/>
                <w:szCs w:val="20"/>
              </w:rPr>
              <w:t>Federal</w:t>
            </w:r>
          </w:p>
        </w:tc>
        <w:tc>
          <w:tcPr>
            <w:tcW w:w="0" w:type="auto"/>
            <w:gridSpan w:val="2"/>
            <w:shd w:val="clear" w:color="auto" w:fill="FFFFFF"/>
            <w:tcMar>
              <w:top w:w="40" w:type="dxa"/>
              <w:left w:w="20" w:type="dxa"/>
              <w:bottom w:w="40" w:type="dxa"/>
              <w:right w:w="0" w:type="dxa"/>
            </w:tcMar>
            <w:vAlign w:val="bottom"/>
          </w:tcPr>
          <w:p w14:paraId="5CD90530" w14:textId="77777777" w:rsidR="00BA49F5" w:rsidRDefault="007E5E49">
            <w:pPr>
              <w:jc w:val="right"/>
              <w:textAlignment w:val="bottom"/>
            </w:pPr>
            <w:r>
              <w:rPr>
                <w:rFonts w:ascii="Times New Roman" w:eastAsia="宋体" w:hAnsi="Times New Roman"/>
                <w:color w:val="000000"/>
                <w:sz w:val="20"/>
                <w:szCs w:val="20"/>
              </w:rPr>
              <w:t>(2,776)</w:t>
            </w:r>
          </w:p>
        </w:tc>
        <w:tc>
          <w:tcPr>
            <w:tcW w:w="0" w:type="auto"/>
            <w:shd w:val="clear" w:color="auto" w:fill="FFFFFF"/>
            <w:tcMar>
              <w:top w:w="40" w:type="dxa"/>
              <w:left w:w="0" w:type="dxa"/>
              <w:bottom w:w="40" w:type="dxa"/>
              <w:right w:w="20" w:type="dxa"/>
            </w:tcMar>
            <w:vAlign w:val="bottom"/>
          </w:tcPr>
          <w:p w14:paraId="5CD9053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32"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33" w14:textId="77777777" w:rsidR="00BA49F5" w:rsidRDefault="007E5E49">
            <w:pPr>
              <w:jc w:val="right"/>
              <w:textAlignment w:val="bottom"/>
            </w:pPr>
            <w:r>
              <w:rPr>
                <w:rFonts w:ascii="Times New Roman" w:eastAsia="宋体" w:hAnsi="Times New Roman"/>
                <w:color w:val="000000"/>
                <w:sz w:val="20"/>
                <w:szCs w:val="20"/>
              </w:rPr>
              <w:t>585 </w:t>
            </w:r>
          </w:p>
        </w:tc>
        <w:tc>
          <w:tcPr>
            <w:tcW w:w="0" w:type="auto"/>
            <w:shd w:val="clear" w:color="auto" w:fill="FFFFFF"/>
            <w:tcMar>
              <w:top w:w="40" w:type="dxa"/>
              <w:left w:w="0" w:type="dxa"/>
              <w:bottom w:w="40" w:type="dxa"/>
              <w:right w:w="20" w:type="dxa"/>
            </w:tcMar>
            <w:vAlign w:val="bottom"/>
          </w:tcPr>
          <w:p w14:paraId="5CD90534"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35"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36" w14:textId="77777777" w:rsidR="00BA49F5" w:rsidRDefault="007E5E49">
            <w:pPr>
              <w:jc w:val="right"/>
              <w:textAlignment w:val="bottom"/>
            </w:pPr>
            <w:r>
              <w:rPr>
                <w:rFonts w:ascii="Times New Roman" w:eastAsia="宋体" w:hAnsi="Times New Roman"/>
                <w:color w:val="000000"/>
                <w:sz w:val="20"/>
                <w:szCs w:val="20"/>
              </w:rPr>
              <w:t>(859)</w:t>
            </w:r>
          </w:p>
        </w:tc>
        <w:tc>
          <w:tcPr>
            <w:tcW w:w="0" w:type="auto"/>
            <w:shd w:val="clear" w:color="auto" w:fill="FFFFFF"/>
            <w:tcMar>
              <w:top w:w="40" w:type="dxa"/>
              <w:left w:w="0" w:type="dxa"/>
              <w:bottom w:w="40" w:type="dxa"/>
              <w:right w:w="20" w:type="dxa"/>
            </w:tcMar>
            <w:vAlign w:val="bottom"/>
          </w:tcPr>
          <w:p w14:paraId="5CD90537" w14:textId="77777777" w:rsidR="00BA49F5" w:rsidRDefault="00BA49F5">
            <w:pPr>
              <w:jc w:val="right"/>
              <w:rPr>
                <w:rFonts w:ascii="宋体"/>
              </w:rPr>
            </w:pPr>
          </w:p>
        </w:tc>
      </w:tr>
      <w:tr w:rsidR="00BA49F5" w14:paraId="5CD90542" w14:textId="77777777">
        <w:trPr>
          <w:jc w:val="center"/>
        </w:trPr>
        <w:tc>
          <w:tcPr>
            <w:tcW w:w="0" w:type="auto"/>
            <w:gridSpan w:val="3"/>
            <w:shd w:val="clear" w:color="auto" w:fill="CCEEFF"/>
            <w:tcMar>
              <w:top w:w="40" w:type="dxa"/>
              <w:left w:w="200" w:type="dxa"/>
              <w:bottom w:w="40" w:type="dxa"/>
              <w:right w:w="20" w:type="dxa"/>
            </w:tcMar>
            <w:vAlign w:val="bottom"/>
          </w:tcPr>
          <w:p w14:paraId="5CD90539" w14:textId="77777777" w:rsidR="00BA49F5" w:rsidRDefault="007E5E49">
            <w:pPr>
              <w:textAlignment w:val="bottom"/>
            </w:pPr>
            <w:r>
              <w:rPr>
                <w:rFonts w:ascii="Times New Roman" w:eastAsia="宋体" w:hAnsi="Times New Roman"/>
                <w:color w:val="000000"/>
                <w:sz w:val="20"/>
                <w:szCs w:val="20"/>
              </w:rPr>
              <w:t>State</w:t>
            </w:r>
          </w:p>
        </w:tc>
        <w:tc>
          <w:tcPr>
            <w:tcW w:w="0" w:type="auto"/>
            <w:gridSpan w:val="2"/>
            <w:shd w:val="clear" w:color="auto" w:fill="CCEEFF"/>
            <w:tcMar>
              <w:top w:w="40" w:type="dxa"/>
              <w:left w:w="20" w:type="dxa"/>
              <w:bottom w:w="40" w:type="dxa"/>
              <w:right w:w="0" w:type="dxa"/>
            </w:tcMar>
            <w:vAlign w:val="bottom"/>
          </w:tcPr>
          <w:p w14:paraId="5CD9053A" w14:textId="77777777" w:rsidR="00BA49F5" w:rsidRDefault="007E5E49">
            <w:pPr>
              <w:jc w:val="right"/>
              <w:textAlignment w:val="bottom"/>
            </w:pPr>
            <w:r>
              <w:rPr>
                <w:rFonts w:ascii="Times New Roman" w:eastAsia="宋体" w:hAnsi="Times New Roman"/>
                <w:color w:val="000000"/>
                <w:sz w:val="20"/>
                <w:szCs w:val="20"/>
              </w:rPr>
              <w:t>(405)</w:t>
            </w:r>
          </w:p>
        </w:tc>
        <w:tc>
          <w:tcPr>
            <w:tcW w:w="0" w:type="auto"/>
            <w:shd w:val="clear" w:color="auto" w:fill="CCEEFF"/>
            <w:tcMar>
              <w:top w:w="40" w:type="dxa"/>
              <w:left w:w="0" w:type="dxa"/>
              <w:bottom w:w="40" w:type="dxa"/>
              <w:right w:w="20" w:type="dxa"/>
            </w:tcMar>
            <w:vAlign w:val="bottom"/>
          </w:tcPr>
          <w:p w14:paraId="5CD9053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3C"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3D" w14:textId="77777777" w:rsidR="00BA49F5" w:rsidRDefault="007E5E49">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5CD9053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3F"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40" w14:textId="77777777" w:rsidR="00BA49F5" w:rsidRDefault="007E5E49">
            <w:pPr>
              <w:jc w:val="right"/>
              <w:textAlignment w:val="bottom"/>
            </w:pPr>
            <w:r>
              <w:rPr>
                <w:rFonts w:ascii="Times New Roman" w:eastAsia="宋体" w:hAnsi="Times New Roman"/>
                <w:color w:val="000000"/>
                <w:sz w:val="20"/>
                <w:szCs w:val="20"/>
              </w:rPr>
              <w:t>(122)</w:t>
            </w:r>
          </w:p>
        </w:tc>
        <w:tc>
          <w:tcPr>
            <w:tcW w:w="0" w:type="auto"/>
            <w:shd w:val="clear" w:color="auto" w:fill="CCEEFF"/>
            <w:tcMar>
              <w:top w:w="40" w:type="dxa"/>
              <w:left w:w="0" w:type="dxa"/>
              <w:bottom w:w="40" w:type="dxa"/>
              <w:right w:w="20" w:type="dxa"/>
            </w:tcMar>
            <w:vAlign w:val="bottom"/>
          </w:tcPr>
          <w:p w14:paraId="5CD90541" w14:textId="77777777" w:rsidR="00BA49F5" w:rsidRDefault="00BA49F5">
            <w:pPr>
              <w:jc w:val="right"/>
              <w:rPr>
                <w:rFonts w:ascii="宋体"/>
              </w:rPr>
            </w:pPr>
          </w:p>
        </w:tc>
      </w:tr>
      <w:tr w:rsidR="00BA49F5" w14:paraId="5CD9054C" w14:textId="77777777">
        <w:trPr>
          <w:jc w:val="center"/>
        </w:trPr>
        <w:tc>
          <w:tcPr>
            <w:tcW w:w="0" w:type="auto"/>
            <w:gridSpan w:val="3"/>
            <w:shd w:val="clear" w:color="auto" w:fill="FFFFFF"/>
            <w:tcMar>
              <w:top w:w="40" w:type="dxa"/>
              <w:left w:w="200" w:type="dxa"/>
              <w:bottom w:w="40" w:type="dxa"/>
              <w:right w:w="20" w:type="dxa"/>
            </w:tcMar>
            <w:vAlign w:val="bottom"/>
          </w:tcPr>
          <w:p w14:paraId="5CD90543" w14:textId="77777777" w:rsidR="00BA49F5" w:rsidRDefault="007E5E49">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5CD90544" w14:textId="77777777" w:rsidR="00BA49F5" w:rsidRDefault="007E5E49">
            <w:pPr>
              <w:jc w:val="right"/>
              <w:textAlignment w:val="bottom"/>
            </w:pPr>
            <w:r>
              <w:rPr>
                <w:rFonts w:ascii="Times New Roman" w:eastAsia="宋体" w:hAnsi="Times New Roman"/>
                <w:color w:val="000000"/>
                <w:sz w:val="20"/>
                <w:szCs w:val="20"/>
              </w:rPr>
              <w:t>(96)</w:t>
            </w:r>
          </w:p>
        </w:tc>
        <w:tc>
          <w:tcPr>
            <w:tcW w:w="0" w:type="auto"/>
            <w:shd w:val="clear" w:color="auto" w:fill="FFFFFF"/>
            <w:tcMar>
              <w:top w:w="40" w:type="dxa"/>
              <w:left w:w="0" w:type="dxa"/>
              <w:bottom w:w="40" w:type="dxa"/>
              <w:right w:w="20" w:type="dxa"/>
            </w:tcMar>
            <w:vAlign w:val="bottom"/>
          </w:tcPr>
          <w:p w14:paraId="5CD9054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46"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47" w14:textId="77777777" w:rsidR="00BA49F5" w:rsidRDefault="007E5E49">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5CD9054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49"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4A" w14:textId="77777777" w:rsidR="00BA49F5" w:rsidRDefault="007E5E49">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5CD9054B" w14:textId="77777777" w:rsidR="00BA49F5" w:rsidRDefault="00BA49F5">
            <w:pPr>
              <w:jc w:val="right"/>
              <w:rPr>
                <w:rFonts w:ascii="宋体"/>
              </w:rPr>
            </w:pPr>
          </w:p>
        </w:tc>
      </w:tr>
      <w:tr w:rsidR="00BA49F5" w14:paraId="5CD90556" w14:textId="77777777">
        <w:trPr>
          <w:jc w:val="center"/>
        </w:trPr>
        <w:tc>
          <w:tcPr>
            <w:tcW w:w="0" w:type="auto"/>
            <w:gridSpan w:val="3"/>
            <w:shd w:val="clear" w:color="auto" w:fill="CCEEFF"/>
            <w:tcMar>
              <w:top w:w="40" w:type="dxa"/>
              <w:left w:w="20" w:type="dxa"/>
              <w:bottom w:w="40" w:type="dxa"/>
              <w:right w:w="20" w:type="dxa"/>
            </w:tcMar>
            <w:vAlign w:val="bottom"/>
          </w:tcPr>
          <w:p w14:paraId="5CD9054D" w14:textId="77777777" w:rsidR="00BA49F5" w:rsidRDefault="007E5E49">
            <w:pPr>
              <w:textAlignment w:val="bottom"/>
            </w:pPr>
            <w:r>
              <w:rPr>
                <w:rFonts w:ascii="Times New Roman" w:eastAsia="宋体" w:hAnsi="Times New Roman"/>
                <w:color w:val="000000"/>
                <w:sz w:val="20"/>
                <w:szCs w:val="20"/>
              </w:rPr>
              <w:t>Total deferred tax (benefits)/expense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4E" w14:textId="77777777" w:rsidR="00BA49F5" w:rsidRDefault="007E5E49">
            <w:pPr>
              <w:jc w:val="right"/>
              <w:textAlignment w:val="bottom"/>
            </w:pPr>
            <w:r>
              <w:rPr>
                <w:rFonts w:ascii="Times New Roman" w:eastAsia="宋体" w:hAnsi="Times New Roman"/>
                <w:color w:val="000000"/>
                <w:sz w:val="20"/>
                <w:szCs w:val="20"/>
              </w:rPr>
              <w:t>(3,277)</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4F"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50"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51" w14:textId="77777777" w:rsidR="00BA49F5" w:rsidRDefault="007E5E49">
            <w:pPr>
              <w:jc w:val="right"/>
              <w:textAlignment w:val="bottom"/>
            </w:pPr>
            <w:r>
              <w:rPr>
                <w:rFonts w:ascii="Times New Roman" w:eastAsia="宋体" w:hAnsi="Times New Roman"/>
                <w:color w:val="000000"/>
                <w:sz w:val="20"/>
                <w:szCs w:val="20"/>
              </w:rPr>
              <w:t>609 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5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53"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54" w14:textId="77777777" w:rsidR="00BA49F5" w:rsidRDefault="007E5E49">
            <w:pPr>
              <w:jc w:val="right"/>
              <w:textAlignment w:val="bottom"/>
            </w:pPr>
            <w:r>
              <w:rPr>
                <w:rFonts w:ascii="Times New Roman" w:eastAsia="宋体" w:hAnsi="Times New Roman"/>
                <w:color w:val="000000"/>
                <w:sz w:val="20"/>
                <w:szCs w:val="20"/>
              </w:rPr>
              <w:t>(997)</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55" w14:textId="77777777" w:rsidR="00BA49F5" w:rsidRDefault="00BA49F5">
            <w:pPr>
              <w:jc w:val="right"/>
              <w:rPr>
                <w:rFonts w:ascii="宋体"/>
              </w:rPr>
            </w:pPr>
          </w:p>
        </w:tc>
      </w:tr>
      <w:tr w:rsidR="00BA49F5" w14:paraId="5CD90563" w14:textId="77777777">
        <w:trPr>
          <w:jc w:val="center"/>
        </w:trPr>
        <w:tc>
          <w:tcPr>
            <w:tcW w:w="0" w:type="auto"/>
            <w:gridSpan w:val="3"/>
            <w:shd w:val="clear" w:color="auto" w:fill="FFFFFF"/>
            <w:tcMar>
              <w:top w:w="40" w:type="dxa"/>
              <w:left w:w="380" w:type="dxa"/>
              <w:bottom w:w="40" w:type="dxa"/>
              <w:right w:w="20" w:type="dxa"/>
            </w:tcMar>
            <w:vAlign w:val="bottom"/>
          </w:tcPr>
          <w:p w14:paraId="5CD90557" w14:textId="77777777" w:rsidR="00BA49F5" w:rsidRDefault="007E5E49">
            <w:pPr>
              <w:textAlignment w:val="bottom"/>
            </w:pPr>
            <w:r>
              <w:rPr>
                <w:rFonts w:ascii="Times New Roman" w:eastAsia="宋体" w:hAnsi="Times New Roman"/>
                <w:color w:val="000000"/>
                <w:sz w:val="20"/>
                <w:szCs w:val="20"/>
              </w:rPr>
              <w:t>Provision for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55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559" w14:textId="77777777" w:rsidR="00BA49F5" w:rsidRDefault="007E5E49">
            <w:pPr>
              <w:jc w:val="right"/>
              <w:textAlignment w:val="bottom"/>
            </w:pPr>
            <w:r>
              <w:rPr>
                <w:rFonts w:ascii="Times New Roman" w:eastAsia="宋体" w:hAnsi="Times New Roman"/>
                <w:color w:val="000000"/>
                <w:sz w:val="20"/>
                <w:szCs w:val="20"/>
              </w:rPr>
              <w:t>5,619 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55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5B"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55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55D" w14:textId="77777777" w:rsidR="00BA49F5" w:rsidRDefault="007E5E49">
            <w:pPr>
              <w:jc w:val="right"/>
              <w:textAlignment w:val="bottom"/>
            </w:pPr>
            <w:r>
              <w:rPr>
                <w:rFonts w:ascii="Times New Roman" w:eastAsia="宋体" w:hAnsi="Times New Roman"/>
                <w:color w:val="000000"/>
                <w:sz w:val="20"/>
                <w:szCs w:val="20"/>
              </w:rPr>
              <w:t>7,914 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55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5F"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56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561" w14:textId="77777777" w:rsidR="00BA49F5" w:rsidRDefault="007E5E49">
            <w:pPr>
              <w:jc w:val="right"/>
              <w:textAlignment w:val="bottom"/>
            </w:pPr>
            <w:r>
              <w:rPr>
                <w:rFonts w:ascii="Times New Roman" w:eastAsia="宋体" w:hAnsi="Times New Roman"/>
                <w:color w:val="000000"/>
                <w:sz w:val="20"/>
                <w:szCs w:val="20"/>
              </w:rPr>
              <w:t>4,034 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562" w14:textId="77777777" w:rsidR="00BA49F5" w:rsidRDefault="00BA49F5">
            <w:pPr>
              <w:jc w:val="right"/>
              <w:rPr>
                <w:rFonts w:ascii="宋体"/>
              </w:rPr>
            </w:pPr>
          </w:p>
        </w:tc>
      </w:tr>
    </w:tbl>
    <w:p w14:paraId="5CD90564" w14:textId="77777777" w:rsidR="00BA49F5" w:rsidRDefault="007E5E49">
      <w:pPr>
        <w:spacing w:before="180"/>
        <w:jc w:val="center"/>
      </w:pPr>
      <w:r>
        <w:rPr>
          <w:rFonts w:ascii="Times New Roman" w:eastAsia="宋体" w:hAnsi="Times New Roman"/>
          <w:color w:val="000000"/>
          <w:sz w:val="14"/>
          <w:szCs w:val="14"/>
        </w:rPr>
        <w:t> </w:t>
      </w:r>
    </w:p>
    <w:p w14:paraId="5CD90565" w14:textId="77777777" w:rsidR="00BA49F5" w:rsidRDefault="007E5E49">
      <w:pPr>
        <w:ind w:firstLine="540"/>
        <w:jc w:val="both"/>
      </w:pPr>
      <w:r>
        <w:rPr>
          <w:rFonts w:ascii="Times New Roman" w:eastAsia="宋体" w:hAnsi="Times New Roman"/>
          <w:color w:val="000000"/>
          <w:sz w:val="20"/>
          <w:szCs w:val="20"/>
        </w:rPr>
        <w:t>A reconciliation of the U.S. federal statutory income tax rates to our effective tax rate is as follows (in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791"/>
        <w:gridCol w:w="38"/>
        <w:gridCol w:w="38"/>
        <w:gridCol w:w="896"/>
        <w:gridCol w:w="188"/>
        <w:gridCol w:w="37"/>
        <w:gridCol w:w="37"/>
        <w:gridCol w:w="37"/>
        <w:gridCol w:w="38"/>
        <w:gridCol w:w="837"/>
        <w:gridCol w:w="187"/>
        <w:gridCol w:w="36"/>
        <w:gridCol w:w="36"/>
        <w:gridCol w:w="36"/>
        <w:gridCol w:w="37"/>
        <w:gridCol w:w="841"/>
        <w:gridCol w:w="187"/>
      </w:tblGrid>
      <w:tr w:rsidR="00BA49F5" w14:paraId="5CD90578" w14:textId="77777777">
        <w:trPr>
          <w:jc w:val="center"/>
        </w:trPr>
        <w:tc>
          <w:tcPr>
            <w:tcW w:w="50" w:type="pct"/>
            <w:shd w:val="clear" w:color="auto" w:fill="auto"/>
            <w:vAlign w:val="bottom"/>
          </w:tcPr>
          <w:p w14:paraId="5CD90566" w14:textId="77777777" w:rsidR="00BA49F5" w:rsidRDefault="00BA49F5">
            <w:pPr>
              <w:rPr>
                <w:rFonts w:ascii="宋体"/>
              </w:rPr>
            </w:pPr>
          </w:p>
        </w:tc>
        <w:tc>
          <w:tcPr>
            <w:tcW w:w="2928" w:type="pct"/>
            <w:shd w:val="clear" w:color="auto" w:fill="auto"/>
            <w:vAlign w:val="bottom"/>
          </w:tcPr>
          <w:p w14:paraId="5CD90567" w14:textId="77777777" w:rsidR="00BA49F5" w:rsidRDefault="00BA49F5">
            <w:pPr>
              <w:rPr>
                <w:rFonts w:ascii="宋体"/>
              </w:rPr>
            </w:pPr>
          </w:p>
        </w:tc>
        <w:tc>
          <w:tcPr>
            <w:tcW w:w="5" w:type="pct"/>
            <w:shd w:val="clear" w:color="auto" w:fill="auto"/>
            <w:vAlign w:val="bottom"/>
          </w:tcPr>
          <w:p w14:paraId="5CD90568" w14:textId="77777777" w:rsidR="00BA49F5" w:rsidRDefault="00BA49F5">
            <w:pPr>
              <w:rPr>
                <w:rFonts w:ascii="宋体"/>
              </w:rPr>
            </w:pPr>
          </w:p>
        </w:tc>
        <w:tc>
          <w:tcPr>
            <w:tcW w:w="50" w:type="pct"/>
            <w:shd w:val="clear" w:color="auto" w:fill="auto"/>
            <w:vAlign w:val="bottom"/>
          </w:tcPr>
          <w:p w14:paraId="5CD90569" w14:textId="77777777" w:rsidR="00BA49F5" w:rsidRDefault="00BA49F5">
            <w:pPr>
              <w:rPr>
                <w:rFonts w:ascii="宋体"/>
              </w:rPr>
            </w:pPr>
          </w:p>
        </w:tc>
        <w:tc>
          <w:tcPr>
            <w:tcW w:w="592" w:type="pct"/>
            <w:shd w:val="clear" w:color="auto" w:fill="auto"/>
            <w:vAlign w:val="bottom"/>
          </w:tcPr>
          <w:p w14:paraId="5CD9056A" w14:textId="77777777" w:rsidR="00BA49F5" w:rsidRDefault="00BA49F5">
            <w:pPr>
              <w:rPr>
                <w:rFonts w:ascii="宋体"/>
              </w:rPr>
            </w:pPr>
          </w:p>
        </w:tc>
        <w:tc>
          <w:tcPr>
            <w:tcW w:w="5" w:type="pct"/>
            <w:shd w:val="clear" w:color="auto" w:fill="auto"/>
            <w:vAlign w:val="bottom"/>
          </w:tcPr>
          <w:p w14:paraId="5CD9056B" w14:textId="77777777" w:rsidR="00BA49F5" w:rsidRDefault="00BA49F5">
            <w:pPr>
              <w:rPr>
                <w:rFonts w:ascii="宋体"/>
              </w:rPr>
            </w:pPr>
          </w:p>
        </w:tc>
        <w:tc>
          <w:tcPr>
            <w:tcW w:w="5" w:type="pct"/>
            <w:shd w:val="clear" w:color="auto" w:fill="auto"/>
            <w:vAlign w:val="bottom"/>
          </w:tcPr>
          <w:p w14:paraId="5CD9056C" w14:textId="77777777" w:rsidR="00BA49F5" w:rsidRDefault="00BA49F5">
            <w:pPr>
              <w:rPr>
                <w:rFonts w:ascii="宋体"/>
              </w:rPr>
            </w:pPr>
          </w:p>
        </w:tc>
        <w:tc>
          <w:tcPr>
            <w:tcW w:w="27" w:type="pct"/>
            <w:shd w:val="clear" w:color="auto" w:fill="auto"/>
            <w:vAlign w:val="bottom"/>
          </w:tcPr>
          <w:p w14:paraId="5CD9056D" w14:textId="77777777" w:rsidR="00BA49F5" w:rsidRDefault="00BA49F5">
            <w:pPr>
              <w:rPr>
                <w:rFonts w:ascii="宋体"/>
              </w:rPr>
            </w:pPr>
          </w:p>
        </w:tc>
        <w:tc>
          <w:tcPr>
            <w:tcW w:w="5" w:type="pct"/>
            <w:shd w:val="clear" w:color="auto" w:fill="auto"/>
            <w:vAlign w:val="bottom"/>
          </w:tcPr>
          <w:p w14:paraId="5CD9056E" w14:textId="77777777" w:rsidR="00BA49F5" w:rsidRDefault="00BA49F5">
            <w:pPr>
              <w:rPr>
                <w:rFonts w:ascii="宋体"/>
              </w:rPr>
            </w:pPr>
          </w:p>
        </w:tc>
        <w:tc>
          <w:tcPr>
            <w:tcW w:w="50" w:type="pct"/>
            <w:shd w:val="clear" w:color="auto" w:fill="auto"/>
            <w:vAlign w:val="bottom"/>
          </w:tcPr>
          <w:p w14:paraId="5CD9056F" w14:textId="77777777" w:rsidR="00BA49F5" w:rsidRDefault="00BA49F5">
            <w:pPr>
              <w:rPr>
                <w:rFonts w:ascii="宋体"/>
              </w:rPr>
            </w:pPr>
          </w:p>
        </w:tc>
        <w:tc>
          <w:tcPr>
            <w:tcW w:w="592" w:type="pct"/>
            <w:shd w:val="clear" w:color="auto" w:fill="auto"/>
            <w:vAlign w:val="bottom"/>
          </w:tcPr>
          <w:p w14:paraId="5CD90570" w14:textId="77777777" w:rsidR="00BA49F5" w:rsidRDefault="00BA49F5">
            <w:pPr>
              <w:rPr>
                <w:rFonts w:ascii="宋体"/>
              </w:rPr>
            </w:pPr>
          </w:p>
        </w:tc>
        <w:tc>
          <w:tcPr>
            <w:tcW w:w="5" w:type="pct"/>
            <w:shd w:val="clear" w:color="auto" w:fill="auto"/>
            <w:vAlign w:val="bottom"/>
          </w:tcPr>
          <w:p w14:paraId="5CD90571" w14:textId="77777777" w:rsidR="00BA49F5" w:rsidRDefault="00BA49F5">
            <w:pPr>
              <w:rPr>
                <w:rFonts w:ascii="宋体"/>
              </w:rPr>
            </w:pPr>
          </w:p>
        </w:tc>
        <w:tc>
          <w:tcPr>
            <w:tcW w:w="5" w:type="pct"/>
            <w:shd w:val="clear" w:color="auto" w:fill="auto"/>
            <w:vAlign w:val="bottom"/>
          </w:tcPr>
          <w:p w14:paraId="5CD90572" w14:textId="77777777" w:rsidR="00BA49F5" w:rsidRDefault="00BA49F5">
            <w:pPr>
              <w:rPr>
                <w:rFonts w:ascii="宋体"/>
              </w:rPr>
            </w:pPr>
          </w:p>
        </w:tc>
        <w:tc>
          <w:tcPr>
            <w:tcW w:w="27" w:type="pct"/>
            <w:shd w:val="clear" w:color="auto" w:fill="auto"/>
            <w:vAlign w:val="bottom"/>
          </w:tcPr>
          <w:p w14:paraId="5CD90573" w14:textId="77777777" w:rsidR="00BA49F5" w:rsidRDefault="00BA49F5">
            <w:pPr>
              <w:rPr>
                <w:rFonts w:ascii="宋体"/>
              </w:rPr>
            </w:pPr>
          </w:p>
        </w:tc>
        <w:tc>
          <w:tcPr>
            <w:tcW w:w="5" w:type="pct"/>
            <w:shd w:val="clear" w:color="auto" w:fill="auto"/>
            <w:vAlign w:val="bottom"/>
          </w:tcPr>
          <w:p w14:paraId="5CD90574" w14:textId="77777777" w:rsidR="00BA49F5" w:rsidRDefault="00BA49F5">
            <w:pPr>
              <w:rPr>
                <w:rFonts w:ascii="宋体"/>
              </w:rPr>
            </w:pPr>
          </w:p>
        </w:tc>
        <w:tc>
          <w:tcPr>
            <w:tcW w:w="50" w:type="pct"/>
            <w:shd w:val="clear" w:color="auto" w:fill="auto"/>
            <w:vAlign w:val="bottom"/>
          </w:tcPr>
          <w:p w14:paraId="5CD90575" w14:textId="77777777" w:rsidR="00BA49F5" w:rsidRDefault="00BA49F5">
            <w:pPr>
              <w:rPr>
                <w:rFonts w:ascii="宋体"/>
              </w:rPr>
            </w:pPr>
          </w:p>
        </w:tc>
        <w:tc>
          <w:tcPr>
            <w:tcW w:w="592" w:type="pct"/>
            <w:shd w:val="clear" w:color="auto" w:fill="auto"/>
            <w:vAlign w:val="bottom"/>
          </w:tcPr>
          <w:p w14:paraId="5CD90576" w14:textId="77777777" w:rsidR="00BA49F5" w:rsidRDefault="00BA49F5">
            <w:pPr>
              <w:rPr>
                <w:rFonts w:ascii="宋体"/>
              </w:rPr>
            </w:pPr>
          </w:p>
        </w:tc>
        <w:tc>
          <w:tcPr>
            <w:tcW w:w="5" w:type="pct"/>
            <w:shd w:val="clear" w:color="auto" w:fill="auto"/>
            <w:vAlign w:val="bottom"/>
          </w:tcPr>
          <w:p w14:paraId="5CD90577" w14:textId="77777777" w:rsidR="00BA49F5" w:rsidRDefault="00BA49F5">
            <w:pPr>
              <w:rPr>
                <w:rFonts w:ascii="宋体"/>
              </w:rPr>
            </w:pPr>
          </w:p>
        </w:tc>
      </w:tr>
      <w:tr w:rsidR="00BA49F5" w14:paraId="5CD9057B" w14:textId="77777777">
        <w:trPr>
          <w:jc w:val="center"/>
        </w:trPr>
        <w:tc>
          <w:tcPr>
            <w:tcW w:w="0" w:type="auto"/>
            <w:gridSpan w:val="3"/>
            <w:shd w:val="clear" w:color="auto" w:fill="auto"/>
            <w:tcMar>
              <w:top w:w="40" w:type="dxa"/>
              <w:left w:w="20" w:type="dxa"/>
              <w:bottom w:w="40" w:type="dxa"/>
              <w:right w:w="20" w:type="dxa"/>
            </w:tcMar>
            <w:vAlign w:val="bottom"/>
          </w:tcPr>
          <w:p w14:paraId="5CD90579"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9057A"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90582" w14:textId="77777777">
        <w:trPr>
          <w:jc w:val="center"/>
        </w:trPr>
        <w:tc>
          <w:tcPr>
            <w:tcW w:w="0" w:type="auto"/>
            <w:gridSpan w:val="3"/>
            <w:shd w:val="clear" w:color="auto" w:fill="auto"/>
            <w:tcMar>
              <w:top w:w="40" w:type="dxa"/>
              <w:left w:w="20" w:type="dxa"/>
              <w:bottom w:w="40" w:type="dxa"/>
              <w:right w:w="20" w:type="dxa"/>
            </w:tcMar>
            <w:vAlign w:val="bottom"/>
          </w:tcPr>
          <w:p w14:paraId="5CD9057C"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57D"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57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57F"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580"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581"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58C" w14:textId="77777777">
        <w:trPr>
          <w:jc w:val="center"/>
        </w:trPr>
        <w:tc>
          <w:tcPr>
            <w:tcW w:w="0" w:type="auto"/>
            <w:gridSpan w:val="3"/>
            <w:shd w:val="clear" w:color="auto" w:fill="CCEEFF"/>
            <w:tcMar>
              <w:top w:w="40" w:type="dxa"/>
              <w:left w:w="20" w:type="dxa"/>
              <w:bottom w:w="40" w:type="dxa"/>
              <w:right w:w="20" w:type="dxa"/>
            </w:tcMar>
            <w:vAlign w:val="bottom"/>
          </w:tcPr>
          <w:p w14:paraId="5CD90583" w14:textId="77777777" w:rsidR="00BA49F5" w:rsidRDefault="007E5E49">
            <w:pPr>
              <w:textAlignment w:val="bottom"/>
            </w:pPr>
            <w:r>
              <w:rPr>
                <w:rFonts w:ascii="Times New Roman" w:eastAsia="宋体" w:hAnsi="Times New Roman"/>
                <w:color w:val="000000"/>
                <w:sz w:val="20"/>
                <w:szCs w:val="20"/>
              </w:rPr>
              <w:t>U.S. federal statutory income tax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84" w14:textId="77777777" w:rsidR="00BA49F5" w:rsidRDefault="007E5E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85"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90586"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87" w14:textId="77777777" w:rsidR="00BA49F5" w:rsidRDefault="007E5E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88"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90589"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58A" w14:textId="77777777" w:rsidR="00BA49F5" w:rsidRDefault="007E5E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58B" w14:textId="77777777" w:rsidR="00BA49F5" w:rsidRDefault="007E5E49">
            <w:pPr>
              <w:jc w:val="right"/>
              <w:textAlignment w:val="bottom"/>
            </w:pPr>
            <w:r>
              <w:rPr>
                <w:rFonts w:ascii="Times New Roman" w:eastAsia="宋体" w:hAnsi="Times New Roman"/>
                <w:color w:val="000000"/>
                <w:sz w:val="20"/>
                <w:szCs w:val="20"/>
              </w:rPr>
              <w:t>%</w:t>
            </w:r>
          </w:p>
        </w:tc>
      </w:tr>
      <w:tr w:rsidR="00BA49F5" w14:paraId="5CD90596" w14:textId="77777777">
        <w:trPr>
          <w:jc w:val="center"/>
        </w:trPr>
        <w:tc>
          <w:tcPr>
            <w:tcW w:w="0" w:type="auto"/>
            <w:gridSpan w:val="3"/>
            <w:shd w:val="clear" w:color="auto" w:fill="FFFFFF"/>
            <w:tcMar>
              <w:top w:w="40" w:type="dxa"/>
              <w:left w:w="20" w:type="dxa"/>
              <w:bottom w:w="40" w:type="dxa"/>
              <w:right w:w="20" w:type="dxa"/>
            </w:tcMar>
            <w:vAlign w:val="bottom"/>
          </w:tcPr>
          <w:p w14:paraId="5CD9058D" w14:textId="77777777" w:rsidR="00BA49F5" w:rsidRDefault="007E5E49">
            <w:pPr>
              <w:textAlignment w:val="bottom"/>
            </w:pPr>
            <w:r>
              <w:rPr>
                <w:rFonts w:ascii="Times New Roman" w:eastAsia="宋体" w:hAnsi="Times New Roman"/>
                <w:color w:val="000000"/>
                <w:sz w:val="20"/>
                <w:szCs w:val="20"/>
              </w:rPr>
              <w:t>State income taxes, net of federal benefit</w:t>
            </w:r>
          </w:p>
        </w:tc>
        <w:tc>
          <w:tcPr>
            <w:tcW w:w="0" w:type="auto"/>
            <w:gridSpan w:val="2"/>
            <w:shd w:val="clear" w:color="auto" w:fill="FFFFFF"/>
            <w:tcMar>
              <w:top w:w="40" w:type="dxa"/>
              <w:left w:w="20" w:type="dxa"/>
              <w:bottom w:w="40" w:type="dxa"/>
              <w:right w:w="0" w:type="dxa"/>
            </w:tcMar>
            <w:vAlign w:val="bottom"/>
          </w:tcPr>
          <w:p w14:paraId="5CD9058E" w14:textId="77777777" w:rsidR="00BA49F5" w:rsidRDefault="007E5E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5CD9058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90"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91" w14:textId="77777777" w:rsidR="00BA49F5" w:rsidRDefault="007E5E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5CD9059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93"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94" w14:textId="77777777" w:rsidR="00BA49F5" w:rsidRDefault="007E5E4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5CD90595" w14:textId="77777777" w:rsidR="00BA49F5" w:rsidRDefault="00BA49F5">
            <w:pPr>
              <w:jc w:val="right"/>
              <w:rPr>
                <w:rFonts w:ascii="宋体"/>
              </w:rPr>
            </w:pPr>
          </w:p>
        </w:tc>
      </w:tr>
      <w:tr w:rsidR="00BA49F5" w14:paraId="5CD905A0" w14:textId="77777777">
        <w:trPr>
          <w:jc w:val="center"/>
        </w:trPr>
        <w:tc>
          <w:tcPr>
            <w:tcW w:w="0" w:type="auto"/>
            <w:gridSpan w:val="3"/>
            <w:shd w:val="clear" w:color="auto" w:fill="CCEEFF"/>
            <w:tcMar>
              <w:top w:w="40" w:type="dxa"/>
              <w:left w:w="20" w:type="dxa"/>
              <w:bottom w:w="40" w:type="dxa"/>
              <w:right w:w="20" w:type="dxa"/>
            </w:tcMar>
            <w:vAlign w:val="bottom"/>
          </w:tcPr>
          <w:p w14:paraId="5CD90597"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5CD90598" w14:textId="77777777" w:rsidR="00BA49F5" w:rsidRDefault="007E5E49">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5CD9059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9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9B" w14:textId="77777777" w:rsidR="00BA49F5" w:rsidRDefault="007E5E49">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5CD9059C"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9D"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9E" w14:textId="77777777" w:rsidR="00BA49F5" w:rsidRDefault="007E5E49">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5CD9059F" w14:textId="77777777" w:rsidR="00BA49F5" w:rsidRDefault="00BA49F5">
            <w:pPr>
              <w:jc w:val="right"/>
              <w:rPr>
                <w:rFonts w:ascii="宋体"/>
              </w:rPr>
            </w:pPr>
          </w:p>
        </w:tc>
      </w:tr>
      <w:tr w:rsidR="00BA49F5" w14:paraId="5CD905AA" w14:textId="77777777">
        <w:trPr>
          <w:jc w:val="center"/>
        </w:trPr>
        <w:tc>
          <w:tcPr>
            <w:tcW w:w="0" w:type="auto"/>
            <w:gridSpan w:val="3"/>
            <w:shd w:val="clear" w:color="auto" w:fill="FFFFFF"/>
            <w:tcMar>
              <w:top w:w="40" w:type="dxa"/>
              <w:left w:w="20" w:type="dxa"/>
              <w:bottom w:w="40" w:type="dxa"/>
              <w:right w:w="20" w:type="dxa"/>
            </w:tcMar>
            <w:vAlign w:val="bottom"/>
          </w:tcPr>
          <w:p w14:paraId="5CD905A1" w14:textId="77777777" w:rsidR="00BA49F5" w:rsidRDefault="007E5E49">
            <w:pPr>
              <w:textAlignment w:val="bottom"/>
            </w:pPr>
            <w:r>
              <w:rPr>
                <w:rFonts w:ascii="Times New Roman" w:eastAsia="宋体" w:hAnsi="Times New Roman"/>
                <w:color w:val="000000"/>
                <w:sz w:val="20"/>
                <w:szCs w:val="20"/>
              </w:rPr>
              <w:t>Research and development tax credits</w:t>
            </w:r>
          </w:p>
        </w:tc>
        <w:tc>
          <w:tcPr>
            <w:tcW w:w="0" w:type="auto"/>
            <w:gridSpan w:val="2"/>
            <w:shd w:val="clear" w:color="auto" w:fill="FFFFFF"/>
            <w:tcMar>
              <w:top w:w="40" w:type="dxa"/>
              <w:left w:w="20" w:type="dxa"/>
              <w:bottom w:w="40" w:type="dxa"/>
              <w:right w:w="0" w:type="dxa"/>
            </w:tcMar>
            <w:vAlign w:val="bottom"/>
          </w:tcPr>
          <w:p w14:paraId="5CD905A2" w14:textId="77777777" w:rsidR="00BA49F5" w:rsidRDefault="007E5E49">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5CD905A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A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A5" w14:textId="77777777" w:rsidR="00BA49F5" w:rsidRDefault="007E5E4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5CD905A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A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A8" w14:textId="77777777" w:rsidR="00BA49F5" w:rsidRDefault="007E5E4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5CD905A9" w14:textId="77777777" w:rsidR="00BA49F5" w:rsidRDefault="00BA49F5">
            <w:pPr>
              <w:jc w:val="right"/>
              <w:rPr>
                <w:rFonts w:ascii="宋体"/>
              </w:rPr>
            </w:pPr>
          </w:p>
        </w:tc>
      </w:tr>
      <w:tr w:rsidR="00BA49F5" w14:paraId="5CD905B4" w14:textId="77777777">
        <w:trPr>
          <w:jc w:val="center"/>
        </w:trPr>
        <w:tc>
          <w:tcPr>
            <w:tcW w:w="0" w:type="auto"/>
            <w:gridSpan w:val="3"/>
            <w:shd w:val="clear" w:color="auto" w:fill="CCEEFF"/>
            <w:tcMar>
              <w:top w:w="40" w:type="dxa"/>
              <w:left w:w="20" w:type="dxa"/>
              <w:bottom w:w="40" w:type="dxa"/>
              <w:right w:w="20" w:type="dxa"/>
            </w:tcMar>
            <w:vAlign w:val="bottom"/>
          </w:tcPr>
          <w:p w14:paraId="5CD905AB" w14:textId="77777777" w:rsidR="00BA49F5" w:rsidRDefault="007E5E49">
            <w:pPr>
              <w:textAlignment w:val="bottom"/>
            </w:pPr>
            <w:r>
              <w:rPr>
                <w:rFonts w:ascii="Times New Roman" w:eastAsia="宋体" w:hAnsi="Times New Roman"/>
                <w:color w:val="000000"/>
                <w:sz w:val="20"/>
                <w:szCs w:val="20"/>
              </w:rPr>
              <w:t>Foreign-derived intangible income deduction</w:t>
            </w:r>
          </w:p>
        </w:tc>
        <w:tc>
          <w:tcPr>
            <w:tcW w:w="0" w:type="auto"/>
            <w:gridSpan w:val="2"/>
            <w:shd w:val="clear" w:color="auto" w:fill="CCEEFF"/>
            <w:tcMar>
              <w:top w:w="40" w:type="dxa"/>
              <w:left w:w="20" w:type="dxa"/>
              <w:bottom w:w="40" w:type="dxa"/>
              <w:right w:w="0" w:type="dxa"/>
            </w:tcMar>
            <w:vAlign w:val="bottom"/>
          </w:tcPr>
          <w:p w14:paraId="5CD905AC" w14:textId="77777777" w:rsidR="00BA49F5" w:rsidRDefault="007E5E49">
            <w:pPr>
              <w:jc w:val="right"/>
              <w:textAlignment w:val="bottom"/>
            </w:pPr>
            <w:r>
              <w:rPr>
                <w:rFonts w:ascii="Times New Roman" w:eastAsia="宋体" w:hAnsi="Times New Roman"/>
                <w:color w:val="000000"/>
                <w:sz w:val="20"/>
                <w:szCs w:val="20"/>
              </w:rPr>
              <w:t>(7.0)</w:t>
            </w:r>
          </w:p>
        </w:tc>
        <w:tc>
          <w:tcPr>
            <w:tcW w:w="0" w:type="auto"/>
            <w:shd w:val="clear" w:color="auto" w:fill="CCEEFF"/>
            <w:tcMar>
              <w:top w:w="40" w:type="dxa"/>
              <w:left w:w="0" w:type="dxa"/>
              <w:bottom w:w="40" w:type="dxa"/>
              <w:right w:w="20" w:type="dxa"/>
            </w:tcMar>
            <w:vAlign w:val="bottom"/>
          </w:tcPr>
          <w:p w14:paraId="5CD905A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AE"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AF" w14:textId="77777777" w:rsidR="00BA49F5" w:rsidRDefault="007E5E49">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5CD905B0"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B1"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B2" w14:textId="77777777" w:rsidR="00BA49F5" w:rsidRDefault="007E5E49">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5CD905B3" w14:textId="77777777" w:rsidR="00BA49F5" w:rsidRDefault="00BA49F5">
            <w:pPr>
              <w:jc w:val="right"/>
              <w:rPr>
                <w:rFonts w:ascii="宋体"/>
              </w:rPr>
            </w:pPr>
          </w:p>
        </w:tc>
      </w:tr>
      <w:tr w:rsidR="00BA49F5" w14:paraId="5CD905BE" w14:textId="77777777">
        <w:trPr>
          <w:jc w:val="center"/>
        </w:trPr>
        <w:tc>
          <w:tcPr>
            <w:tcW w:w="0" w:type="auto"/>
            <w:gridSpan w:val="3"/>
            <w:shd w:val="clear" w:color="auto" w:fill="FFFFFF"/>
            <w:tcMar>
              <w:top w:w="40" w:type="dxa"/>
              <w:left w:w="20" w:type="dxa"/>
              <w:bottom w:w="40" w:type="dxa"/>
              <w:right w:w="20" w:type="dxa"/>
            </w:tcMar>
            <w:vAlign w:val="bottom"/>
          </w:tcPr>
          <w:p w14:paraId="5CD905B5" w14:textId="77777777" w:rsidR="00BA49F5" w:rsidRDefault="007E5E49">
            <w:pPr>
              <w:textAlignment w:val="bottom"/>
            </w:pPr>
            <w:r>
              <w:rPr>
                <w:rFonts w:ascii="Times New Roman" w:eastAsia="宋体" w:hAnsi="Times New Roman"/>
                <w:color w:val="000000"/>
                <w:sz w:val="20"/>
                <w:szCs w:val="20"/>
              </w:rPr>
              <w:t>Effect of non-U.S. operations</w:t>
            </w:r>
          </w:p>
        </w:tc>
        <w:tc>
          <w:tcPr>
            <w:tcW w:w="0" w:type="auto"/>
            <w:gridSpan w:val="2"/>
            <w:shd w:val="clear" w:color="auto" w:fill="FFFFFF"/>
            <w:tcMar>
              <w:top w:w="40" w:type="dxa"/>
              <w:left w:w="20" w:type="dxa"/>
              <w:bottom w:w="40" w:type="dxa"/>
              <w:right w:w="0" w:type="dxa"/>
            </w:tcMar>
            <w:vAlign w:val="bottom"/>
          </w:tcPr>
          <w:p w14:paraId="5CD905B6" w14:textId="77777777" w:rsidR="00BA49F5" w:rsidRDefault="007E5E49">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5CD905B7"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B8"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B9" w14:textId="77777777" w:rsidR="00BA49F5" w:rsidRDefault="007E5E4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5CD905B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BB"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BC" w14:textId="77777777" w:rsidR="00BA49F5" w:rsidRDefault="007E5E49">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5CD905BD" w14:textId="77777777" w:rsidR="00BA49F5" w:rsidRDefault="00BA49F5">
            <w:pPr>
              <w:jc w:val="right"/>
              <w:rPr>
                <w:rFonts w:ascii="宋体"/>
              </w:rPr>
            </w:pPr>
          </w:p>
        </w:tc>
      </w:tr>
      <w:tr w:rsidR="00BA49F5" w14:paraId="5CD905C8" w14:textId="77777777">
        <w:trPr>
          <w:jc w:val="center"/>
        </w:trPr>
        <w:tc>
          <w:tcPr>
            <w:tcW w:w="0" w:type="auto"/>
            <w:gridSpan w:val="3"/>
            <w:shd w:val="clear" w:color="auto" w:fill="CCEEFF"/>
            <w:tcMar>
              <w:top w:w="40" w:type="dxa"/>
              <w:left w:w="20" w:type="dxa"/>
              <w:bottom w:w="40" w:type="dxa"/>
              <w:right w:w="20" w:type="dxa"/>
            </w:tcMar>
            <w:vAlign w:val="bottom"/>
          </w:tcPr>
          <w:p w14:paraId="5CD905BF" w14:textId="77777777" w:rsidR="00BA49F5" w:rsidRDefault="007E5E49">
            <w:pPr>
              <w:textAlignment w:val="bottom"/>
            </w:pPr>
            <w:r>
              <w:rPr>
                <w:rFonts w:ascii="Times New Roman" w:eastAsia="宋体" w:hAnsi="Times New Roman"/>
                <w:color w:val="000000"/>
                <w:sz w:val="20"/>
                <w:szCs w:val="20"/>
              </w:rPr>
              <w:t>Research and development capitalization</w:t>
            </w:r>
          </w:p>
        </w:tc>
        <w:tc>
          <w:tcPr>
            <w:tcW w:w="0" w:type="auto"/>
            <w:gridSpan w:val="2"/>
            <w:shd w:val="clear" w:color="auto" w:fill="CCEEFF"/>
            <w:tcMar>
              <w:top w:w="40" w:type="dxa"/>
              <w:left w:w="20" w:type="dxa"/>
              <w:bottom w:w="40" w:type="dxa"/>
              <w:right w:w="0" w:type="dxa"/>
            </w:tcMar>
            <w:vAlign w:val="bottom"/>
          </w:tcPr>
          <w:p w14:paraId="5CD905C0"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905C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C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C3"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CD905C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5C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5C6" w14:textId="77777777" w:rsidR="00BA49F5" w:rsidRDefault="007E5E49">
            <w:pPr>
              <w:jc w:val="right"/>
              <w:textAlignment w:val="bottom"/>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bottom"/>
          </w:tcPr>
          <w:p w14:paraId="5CD905C7" w14:textId="77777777" w:rsidR="00BA49F5" w:rsidRDefault="00BA49F5">
            <w:pPr>
              <w:jc w:val="right"/>
              <w:rPr>
                <w:rFonts w:ascii="宋体"/>
              </w:rPr>
            </w:pPr>
          </w:p>
        </w:tc>
      </w:tr>
      <w:tr w:rsidR="00BA49F5" w14:paraId="5CD905D2" w14:textId="77777777">
        <w:trPr>
          <w:jc w:val="center"/>
        </w:trPr>
        <w:tc>
          <w:tcPr>
            <w:tcW w:w="0" w:type="auto"/>
            <w:gridSpan w:val="3"/>
            <w:shd w:val="clear" w:color="auto" w:fill="FFFFFF"/>
            <w:tcMar>
              <w:top w:w="40" w:type="dxa"/>
              <w:left w:w="20" w:type="dxa"/>
              <w:bottom w:w="40" w:type="dxa"/>
              <w:right w:w="20" w:type="dxa"/>
            </w:tcMar>
            <w:vAlign w:val="bottom"/>
          </w:tcPr>
          <w:p w14:paraId="5CD905C9" w14:textId="77777777" w:rsidR="00BA49F5" w:rsidRDefault="007E5E4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CD905CA" w14:textId="77777777" w:rsidR="00BA49F5" w:rsidRDefault="007E5E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5CD905CB"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CC"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CD" w14:textId="77777777" w:rsidR="00BA49F5" w:rsidRDefault="007E5E4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5CD905C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5C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5D0" w14:textId="77777777" w:rsidR="00BA49F5" w:rsidRDefault="007E5E49">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5CD905D1" w14:textId="77777777" w:rsidR="00BA49F5" w:rsidRDefault="00BA49F5">
            <w:pPr>
              <w:jc w:val="right"/>
              <w:rPr>
                <w:rFonts w:ascii="宋体"/>
              </w:rPr>
            </w:pPr>
          </w:p>
        </w:tc>
      </w:tr>
      <w:tr w:rsidR="00BA49F5" w14:paraId="5CD905DC" w14:textId="77777777">
        <w:trPr>
          <w:jc w:val="center"/>
        </w:trPr>
        <w:tc>
          <w:tcPr>
            <w:tcW w:w="0" w:type="auto"/>
            <w:gridSpan w:val="3"/>
            <w:shd w:val="clear" w:color="auto" w:fill="CCEEFF"/>
            <w:tcMar>
              <w:top w:w="40" w:type="dxa"/>
              <w:left w:w="380" w:type="dxa"/>
              <w:bottom w:w="40" w:type="dxa"/>
              <w:right w:w="20" w:type="dxa"/>
            </w:tcMar>
            <w:vAlign w:val="bottom"/>
          </w:tcPr>
          <w:p w14:paraId="5CD905D3" w14:textId="77777777" w:rsidR="00BA49F5" w:rsidRDefault="007E5E49">
            <w:pPr>
              <w:textAlignment w:val="bottom"/>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5D4" w14:textId="77777777" w:rsidR="00BA49F5" w:rsidRDefault="007E5E49">
            <w:pPr>
              <w:jc w:val="right"/>
              <w:textAlignment w:val="bottom"/>
            </w:pPr>
            <w:r>
              <w:rPr>
                <w:rFonts w:ascii="Times New Roman" w:eastAsia="宋体" w:hAnsi="Times New Roman"/>
                <w:color w:val="000000"/>
                <w:sz w:val="20"/>
                <w:szCs w:val="20"/>
              </w:rPr>
              <w:t>19.5 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5D5"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905D6"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5D7" w14:textId="77777777" w:rsidR="00BA49F5" w:rsidRDefault="007E5E49">
            <w:pPr>
              <w:jc w:val="right"/>
              <w:textAlignment w:val="bottom"/>
            </w:pPr>
            <w:r>
              <w:rPr>
                <w:rFonts w:ascii="Times New Roman" w:eastAsia="宋体" w:hAnsi="Times New Roman"/>
                <w:color w:val="000000"/>
                <w:sz w:val="20"/>
                <w:szCs w:val="20"/>
              </w:rPr>
              <w:t>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5D8" w14:textId="77777777" w:rsidR="00BA49F5" w:rsidRDefault="007E5E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CD905D9" w14:textId="77777777" w:rsidR="00BA49F5" w:rsidRDefault="00BA49F5">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5DA" w14:textId="77777777" w:rsidR="00BA49F5" w:rsidRDefault="007E5E49">
            <w:pPr>
              <w:jc w:val="right"/>
              <w:textAlignment w:val="bottom"/>
            </w:pPr>
            <w:r>
              <w:rPr>
                <w:rFonts w:ascii="Times New Roman" w:eastAsia="宋体" w:hAnsi="Times New Roman"/>
                <w:color w:val="000000"/>
                <w:sz w:val="20"/>
                <w:szCs w:val="20"/>
              </w:rPr>
              <w:t>12.2 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5DB" w14:textId="77777777" w:rsidR="00BA49F5" w:rsidRDefault="007E5E49">
            <w:pPr>
              <w:jc w:val="right"/>
              <w:textAlignment w:val="bottom"/>
            </w:pPr>
            <w:r>
              <w:rPr>
                <w:rFonts w:ascii="Times New Roman" w:eastAsia="宋体" w:hAnsi="Times New Roman"/>
                <w:color w:val="000000"/>
                <w:sz w:val="20"/>
                <w:szCs w:val="20"/>
              </w:rPr>
              <w:t>%</w:t>
            </w:r>
          </w:p>
        </w:tc>
      </w:tr>
    </w:tbl>
    <w:p w14:paraId="5CD905DD" w14:textId="77777777" w:rsidR="00BA49F5" w:rsidRDefault="00BA49F5"/>
    <w:p w14:paraId="5CD905DE" w14:textId="77777777" w:rsidR="00BA49F5" w:rsidRDefault="007E5E49">
      <w:pPr>
        <w:jc w:val="center"/>
      </w:pPr>
      <w:r>
        <w:rPr>
          <w:rFonts w:ascii="Times New Roman" w:eastAsia="宋体" w:hAnsi="Times New Roman"/>
          <w:color w:val="000000"/>
          <w:sz w:val="20"/>
          <w:szCs w:val="20"/>
        </w:rPr>
        <w:t>116</w:t>
      </w:r>
    </w:p>
    <w:p w14:paraId="5CD905DF" w14:textId="77777777" w:rsidR="00BA49F5" w:rsidRDefault="007E5E49">
      <w:r>
        <w:pict w14:anchorId="5CD90D69">
          <v:rect id="_x0000_i1140" style="width:415.3pt;height:1.5pt" o:hralign="center" o:hrstd="t" o:hr="t" fillcolor="#a0a0a0" stroked="f"/>
        </w:pict>
      </w:r>
    </w:p>
    <w:p w14:paraId="5CD905E0" w14:textId="77777777" w:rsidR="00BA49F5" w:rsidRDefault="00BA49F5"/>
    <w:p w14:paraId="5CD905E1" w14:textId="77777777" w:rsidR="00BA49F5" w:rsidRDefault="00BA49F5"/>
    <w:p w14:paraId="5CD905E2" w14:textId="77777777" w:rsidR="00BA49F5" w:rsidRDefault="007E5E49">
      <w:hyperlink r:id="rId327" w:anchor="i6df229dad1864210ab76200083e26819_7" w:history="1">
        <w:r>
          <w:rPr>
            <w:rStyle w:val="a5"/>
            <w:rFonts w:ascii="Times New Roman" w:eastAsia="宋体" w:hAnsi="Times New Roman"/>
            <w:sz w:val="20"/>
            <w:szCs w:val="20"/>
          </w:rPr>
          <w:t>T</w:t>
        </w:r>
      </w:hyperlink>
      <w:hyperlink r:id="rId328" w:anchor="i6df229dad1864210ab76200083e26819_7" w:history="1">
        <w:r>
          <w:rPr>
            <w:rStyle w:val="a5"/>
            <w:rFonts w:ascii="Times New Roman" w:eastAsia="宋体" w:hAnsi="Times New Roman"/>
            <w:sz w:val="20"/>
            <w:szCs w:val="20"/>
          </w:rPr>
          <w:t>able of Contents</w:t>
        </w:r>
      </w:hyperlink>
    </w:p>
    <w:p w14:paraId="5CD905E3" w14:textId="77777777" w:rsidR="00BA49F5" w:rsidRDefault="007E5E49">
      <w:pPr>
        <w:ind w:firstLine="540"/>
      </w:pPr>
      <w:r>
        <w:rPr>
          <w:rFonts w:ascii="Times New Roman" w:eastAsia="宋体" w:hAnsi="Times New Roman"/>
          <w:color w:val="000000"/>
          <w:sz w:val="20"/>
          <w:szCs w:val="20"/>
        </w:rPr>
        <w:t xml:space="preserve">Our deferred tax assets (liabilities)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982"/>
        <w:gridCol w:w="37"/>
        <w:gridCol w:w="120"/>
        <w:gridCol w:w="945"/>
        <w:gridCol w:w="36"/>
        <w:gridCol w:w="36"/>
        <w:gridCol w:w="36"/>
        <w:gridCol w:w="36"/>
        <w:gridCol w:w="120"/>
        <w:gridCol w:w="912"/>
        <w:gridCol w:w="36"/>
      </w:tblGrid>
      <w:tr w:rsidR="00BA49F5" w14:paraId="5CD905F0" w14:textId="77777777">
        <w:tc>
          <w:tcPr>
            <w:tcW w:w="50" w:type="pct"/>
            <w:shd w:val="clear" w:color="auto" w:fill="auto"/>
            <w:vAlign w:val="bottom"/>
          </w:tcPr>
          <w:p w14:paraId="5CD905E4" w14:textId="77777777" w:rsidR="00BA49F5" w:rsidRDefault="00BA49F5">
            <w:pPr>
              <w:rPr>
                <w:rFonts w:ascii="宋体"/>
              </w:rPr>
            </w:pPr>
          </w:p>
        </w:tc>
        <w:tc>
          <w:tcPr>
            <w:tcW w:w="3613" w:type="pct"/>
            <w:shd w:val="clear" w:color="auto" w:fill="auto"/>
            <w:vAlign w:val="bottom"/>
          </w:tcPr>
          <w:p w14:paraId="5CD905E5" w14:textId="77777777" w:rsidR="00BA49F5" w:rsidRDefault="00BA49F5">
            <w:pPr>
              <w:rPr>
                <w:rFonts w:ascii="宋体"/>
              </w:rPr>
            </w:pPr>
          </w:p>
        </w:tc>
        <w:tc>
          <w:tcPr>
            <w:tcW w:w="5" w:type="pct"/>
            <w:shd w:val="clear" w:color="auto" w:fill="auto"/>
            <w:vAlign w:val="bottom"/>
          </w:tcPr>
          <w:p w14:paraId="5CD905E6" w14:textId="77777777" w:rsidR="00BA49F5" w:rsidRDefault="00BA49F5">
            <w:pPr>
              <w:rPr>
                <w:rFonts w:ascii="宋体"/>
              </w:rPr>
            </w:pPr>
          </w:p>
        </w:tc>
        <w:tc>
          <w:tcPr>
            <w:tcW w:w="50" w:type="pct"/>
            <w:shd w:val="clear" w:color="auto" w:fill="auto"/>
            <w:vAlign w:val="bottom"/>
          </w:tcPr>
          <w:p w14:paraId="5CD905E7" w14:textId="77777777" w:rsidR="00BA49F5" w:rsidRDefault="00BA49F5">
            <w:pPr>
              <w:rPr>
                <w:rFonts w:ascii="宋体"/>
              </w:rPr>
            </w:pPr>
          </w:p>
        </w:tc>
        <w:tc>
          <w:tcPr>
            <w:tcW w:w="592" w:type="pct"/>
            <w:shd w:val="clear" w:color="auto" w:fill="auto"/>
            <w:vAlign w:val="bottom"/>
          </w:tcPr>
          <w:p w14:paraId="5CD905E8" w14:textId="77777777" w:rsidR="00BA49F5" w:rsidRDefault="00BA49F5">
            <w:pPr>
              <w:rPr>
                <w:rFonts w:ascii="宋体"/>
              </w:rPr>
            </w:pPr>
          </w:p>
        </w:tc>
        <w:tc>
          <w:tcPr>
            <w:tcW w:w="5" w:type="pct"/>
            <w:shd w:val="clear" w:color="auto" w:fill="auto"/>
            <w:vAlign w:val="bottom"/>
          </w:tcPr>
          <w:p w14:paraId="5CD905E9" w14:textId="77777777" w:rsidR="00BA49F5" w:rsidRDefault="00BA49F5">
            <w:pPr>
              <w:rPr>
                <w:rFonts w:ascii="宋体"/>
              </w:rPr>
            </w:pPr>
          </w:p>
        </w:tc>
        <w:tc>
          <w:tcPr>
            <w:tcW w:w="5" w:type="pct"/>
            <w:shd w:val="clear" w:color="auto" w:fill="auto"/>
            <w:vAlign w:val="bottom"/>
          </w:tcPr>
          <w:p w14:paraId="5CD905EA" w14:textId="77777777" w:rsidR="00BA49F5" w:rsidRDefault="00BA49F5">
            <w:pPr>
              <w:rPr>
                <w:rFonts w:ascii="宋体"/>
              </w:rPr>
            </w:pPr>
          </w:p>
        </w:tc>
        <w:tc>
          <w:tcPr>
            <w:tcW w:w="27" w:type="pct"/>
            <w:shd w:val="clear" w:color="auto" w:fill="auto"/>
            <w:vAlign w:val="bottom"/>
          </w:tcPr>
          <w:p w14:paraId="5CD905EB" w14:textId="77777777" w:rsidR="00BA49F5" w:rsidRDefault="00BA49F5">
            <w:pPr>
              <w:rPr>
                <w:rFonts w:ascii="宋体"/>
              </w:rPr>
            </w:pPr>
          </w:p>
        </w:tc>
        <w:tc>
          <w:tcPr>
            <w:tcW w:w="5" w:type="pct"/>
            <w:shd w:val="clear" w:color="auto" w:fill="auto"/>
            <w:vAlign w:val="bottom"/>
          </w:tcPr>
          <w:p w14:paraId="5CD905EC" w14:textId="77777777" w:rsidR="00BA49F5" w:rsidRDefault="00BA49F5">
            <w:pPr>
              <w:rPr>
                <w:rFonts w:ascii="宋体"/>
              </w:rPr>
            </w:pPr>
          </w:p>
        </w:tc>
        <w:tc>
          <w:tcPr>
            <w:tcW w:w="50" w:type="pct"/>
            <w:shd w:val="clear" w:color="auto" w:fill="auto"/>
            <w:vAlign w:val="bottom"/>
          </w:tcPr>
          <w:p w14:paraId="5CD905ED" w14:textId="77777777" w:rsidR="00BA49F5" w:rsidRDefault="00BA49F5">
            <w:pPr>
              <w:rPr>
                <w:rFonts w:ascii="宋体"/>
              </w:rPr>
            </w:pPr>
          </w:p>
        </w:tc>
        <w:tc>
          <w:tcPr>
            <w:tcW w:w="592" w:type="pct"/>
            <w:shd w:val="clear" w:color="auto" w:fill="auto"/>
            <w:vAlign w:val="bottom"/>
          </w:tcPr>
          <w:p w14:paraId="5CD905EE" w14:textId="77777777" w:rsidR="00BA49F5" w:rsidRDefault="00BA49F5">
            <w:pPr>
              <w:rPr>
                <w:rFonts w:ascii="宋体"/>
              </w:rPr>
            </w:pPr>
          </w:p>
        </w:tc>
        <w:tc>
          <w:tcPr>
            <w:tcW w:w="5" w:type="pct"/>
            <w:shd w:val="clear" w:color="auto" w:fill="auto"/>
            <w:vAlign w:val="bottom"/>
          </w:tcPr>
          <w:p w14:paraId="5CD905EF" w14:textId="77777777" w:rsidR="00BA49F5" w:rsidRDefault="00BA49F5">
            <w:pPr>
              <w:rPr>
                <w:rFonts w:ascii="宋体"/>
              </w:rPr>
            </w:pPr>
          </w:p>
        </w:tc>
      </w:tr>
      <w:tr w:rsidR="00BA49F5" w14:paraId="5CD905F3" w14:textId="77777777">
        <w:tc>
          <w:tcPr>
            <w:tcW w:w="0" w:type="auto"/>
            <w:gridSpan w:val="3"/>
            <w:shd w:val="clear" w:color="auto" w:fill="auto"/>
            <w:tcMar>
              <w:top w:w="40" w:type="dxa"/>
              <w:left w:w="20" w:type="dxa"/>
              <w:bottom w:w="40" w:type="dxa"/>
              <w:right w:w="20" w:type="dxa"/>
            </w:tcMar>
            <w:vAlign w:val="bottom"/>
          </w:tcPr>
          <w:p w14:paraId="5CD905F1" w14:textId="77777777" w:rsidR="00BA49F5" w:rsidRDefault="007E5E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5CD905F2" w14:textId="77777777" w:rsidR="00BA49F5" w:rsidRDefault="007E5E49">
            <w:pPr>
              <w:jc w:val="center"/>
              <w:textAlignment w:val="bottom"/>
            </w:pPr>
            <w:r>
              <w:rPr>
                <w:rFonts w:ascii="Times New Roman" w:eastAsia="宋体" w:hAnsi="Times New Roman"/>
                <w:b/>
                <w:bCs/>
                <w:color w:val="000000"/>
                <w:sz w:val="16"/>
                <w:szCs w:val="16"/>
              </w:rPr>
              <w:t>December 31, </w:t>
            </w:r>
          </w:p>
        </w:tc>
      </w:tr>
      <w:tr w:rsidR="00BA49F5" w14:paraId="5CD905F8" w14:textId="77777777">
        <w:tc>
          <w:tcPr>
            <w:tcW w:w="0" w:type="auto"/>
            <w:gridSpan w:val="3"/>
            <w:shd w:val="clear" w:color="auto" w:fill="auto"/>
            <w:tcMar>
              <w:top w:w="40" w:type="dxa"/>
              <w:left w:w="20" w:type="dxa"/>
              <w:bottom w:w="40" w:type="dxa"/>
              <w:right w:w="20" w:type="dxa"/>
            </w:tcMar>
            <w:vAlign w:val="bottom"/>
          </w:tcPr>
          <w:p w14:paraId="5CD905F4"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5F5"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5F6"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5F7"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905FD" w14:textId="77777777">
        <w:tc>
          <w:tcPr>
            <w:tcW w:w="0" w:type="auto"/>
            <w:gridSpan w:val="3"/>
            <w:shd w:val="clear" w:color="auto" w:fill="CCEEFF"/>
            <w:tcMar>
              <w:top w:w="40" w:type="dxa"/>
              <w:left w:w="20" w:type="dxa"/>
              <w:bottom w:w="40" w:type="dxa"/>
              <w:right w:w="20" w:type="dxa"/>
            </w:tcMar>
            <w:vAlign w:val="bottom"/>
          </w:tcPr>
          <w:p w14:paraId="5CD905F9" w14:textId="77777777" w:rsidR="00BA49F5" w:rsidRDefault="007E5E49">
            <w:pPr>
              <w:textAlignment w:val="bottom"/>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905FA"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5CD905FB" w14:textId="77777777" w:rsidR="00BA49F5" w:rsidRDefault="00BA49F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CD905FC" w14:textId="77777777" w:rsidR="00BA49F5" w:rsidRDefault="007E5E49">
            <w:pPr>
              <w:textAlignment w:val="bottom"/>
            </w:pPr>
            <w:r>
              <w:rPr>
                <w:rFonts w:ascii="Times New Roman" w:eastAsia="宋体" w:hAnsi="Times New Roman"/>
                <w:color w:val="000000"/>
                <w:sz w:val="20"/>
                <w:szCs w:val="20"/>
              </w:rPr>
              <w:t> </w:t>
            </w:r>
          </w:p>
        </w:tc>
      </w:tr>
      <w:tr w:rsidR="00BA49F5" w14:paraId="5CD90606" w14:textId="77777777">
        <w:tc>
          <w:tcPr>
            <w:tcW w:w="0" w:type="auto"/>
            <w:gridSpan w:val="3"/>
            <w:shd w:val="clear" w:color="auto" w:fill="FFFFFF"/>
            <w:tcMar>
              <w:top w:w="40" w:type="dxa"/>
              <w:left w:w="200" w:type="dxa"/>
              <w:bottom w:w="40" w:type="dxa"/>
              <w:right w:w="20" w:type="dxa"/>
            </w:tcMar>
            <w:vAlign w:val="bottom"/>
          </w:tcPr>
          <w:p w14:paraId="5CD905FE" w14:textId="77777777" w:rsidR="00BA49F5" w:rsidRDefault="007E5E49">
            <w:pPr>
              <w:textAlignment w:val="bottom"/>
            </w:pPr>
            <w:r>
              <w:rPr>
                <w:rFonts w:ascii="Times New Roman" w:eastAsia="宋体" w:hAnsi="Times New Roman"/>
                <w:color w:val="000000"/>
                <w:sz w:val="20"/>
                <w:szCs w:val="20"/>
              </w:rPr>
              <w:t xml:space="preserve">Loss </w:t>
            </w:r>
            <w:r>
              <w:rPr>
                <w:rFonts w:ascii="Times New Roman" w:eastAsia="宋体" w:hAnsi="Times New Roman"/>
                <w:color w:val="000000"/>
                <w:sz w:val="20"/>
                <w:szCs w:val="20"/>
              </w:rPr>
              <w:t>carryforwards</w:t>
            </w:r>
          </w:p>
        </w:tc>
        <w:tc>
          <w:tcPr>
            <w:tcW w:w="0" w:type="auto"/>
            <w:shd w:val="clear" w:color="auto" w:fill="FFFFFF"/>
            <w:tcMar>
              <w:top w:w="40" w:type="dxa"/>
              <w:left w:w="20" w:type="dxa"/>
              <w:bottom w:w="40" w:type="dxa"/>
              <w:right w:w="0" w:type="dxa"/>
            </w:tcMar>
            <w:vAlign w:val="bottom"/>
          </w:tcPr>
          <w:p w14:paraId="5CD905FF"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600" w14:textId="77777777" w:rsidR="00BA49F5" w:rsidRDefault="007E5E49">
            <w:pPr>
              <w:jc w:val="right"/>
              <w:textAlignment w:val="bottom"/>
            </w:pPr>
            <w:r>
              <w:rPr>
                <w:rFonts w:ascii="Times New Roman" w:eastAsia="宋体" w:hAnsi="Times New Roman"/>
                <w:color w:val="000000"/>
                <w:sz w:val="20"/>
                <w:szCs w:val="20"/>
              </w:rPr>
              <w:t>234 </w:t>
            </w:r>
          </w:p>
        </w:tc>
        <w:tc>
          <w:tcPr>
            <w:tcW w:w="0" w:type="auto"/>
            <w:shd w:val="clear" w:color="auto" w:fill="FFFFFF"/>
            <w:tcMar>
              <w:top w:w="40" w:type="dxa"/>
              <w:left w:w="0" w:type="dxa"/>
              <w:bottom w:w="40" w:type="dxa"/>
              <w:right w:w="20" w:type="dxa"/>
            </w:tcMar>
            <w:vAlign w:val="bottom"/>
          </w:tcPr>
          <w:p w14:paraId="5CD90601"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02"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60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604" w14:textId="77777777" w:rsidR="00BA49F5" w:rsidRDefault="007E5E49">
            <w:pPr>
              <w:jc w:val="right"/>
              <w:textAlignment w:val="bottom"/>
            </w:pPr>
            <w:r>
              <w:rPr>
                <w:rFonts w:ascii="Times New Roman" w:eastAsia="宋体" w:hAnsi="Times New Roman"/>
                <w:color w:val="000000"/>
                <w:sz w:val="20"/>
                <w:szCs w:val="20"/>
              </w:rPr>
              <w:t>2,443 </w:t>
            </w:r>
          </w:p>
        </w:tc>
        <w:tc>
          <w:tcPr>
            <w:tcW w:w="0" w:type="auto"/>
            <w:shd w:val="clear" w:color="auto" w:fill="FFFFFF"/>
            <w:tcMar>
              <w:top w:w="40" w:type="dxa"/>
              <w:left w:w="0" w:type="dxa"/>
              <w:bottom w:w="40" w:type="dxa"/>
              <w:right w:w="20" w:type="dxa"/>
            </w:tcMar>
            <w:vAlign w:val="bottom"/>
          </w:tcPr>
          <w:p w14:paraId="5CD90605" w14:textId="77777777" w:rsidR="00BA49F5" w:rsidRDefault="00BA49F5">
            <w:pPr>
              <w:jc w:val="right"/>
              <w:rPr>
                <w:rFonts w:ascii="宋体"/>
              </w:rPr>
            </w:pPr>
          </w:p>
        </w:tc>
      </w:tr>
      <w:tr w:rsidR="00BA49F5" w14:paraId="5CD9060D" w14:textId="77777777">
        <w:tc>
          <w:tcPr>
            <w:tcW w:w="0" w:type="auto"/>
            <w:gridSpan w:val="3"/>
            <w:shd w:val="clear" w:color="auto" w:fill="CCEEFF"/>
            <w:tcMar>
              <w:top w:w="40" w:type="dxa"/>
              <w:left w:w="200" w:type="dxa"/>
              <w:bottom w:w="40" w:type="dxa"/>
              <w:right w:w="20" w:type="dxa"/>
            </w:tcMar>
            <w:vAlign w:val="bottom"/>
          </w:tcPr>
          <w:p w14:paraId="5CD90607" w14:textId="77777777" w:rsidR="00BA49F5" w:rsidRDefault="007E5E49">
            <w:pPr>
              <w:textAlignment w:val="bottom"/>
            </w:pPr>
            <w:r>
              <w:rPr>
                <w:rFonts w:ascii="Times New Roman" w:eastAsia="宋体" w:hAnsi="Times New Roman"/>
                <w:color w:val="000000"/>
                <w:sz w:val="20"/>
                <w:szCs w:val="20"/>
              </w:rPr>
              <w:t>Tax credit carryforwards</w:t>
            </w:r>
          </w:p>
        </w:tc>
        <w:tc>
          <w:tcPr>
            <w:tcW w:w="0" w:type="auto"/>
            <w:gridSpan w:val="2"/>
            <w:shd w:val="clear" w:color="auto" w:fill="CCEEFF"/>
            <w:tcMar>
              <w:top w:w="40" w:type="dxa"/>
              <w:left w:w="20" w:type="dxa"/>
              <w:bottom w:w="40" w:type="dxa"/>
              <w:right w:w="0" w:type="dxa"/>
            </w:tcMar>
            <w:vAlign w:val="bottom"/>
          </w:tcPr>
          <w:p w14:paraId="5CD90608" w14:textId="77777777" w:rsidR="00BA49F5" w:rsidRDefault="007E5E49">
            <w:pPr>
              <w:jc w:val="right"/>
              <w:textAlignment w:val="bottom"/>
            </w:pPr>
            <w:r>
              <w:rPr>
                <w:rFonts w:ascii="Times New Roman" w:eastAsia="宋体" w:hAnsi="Times New Roman"/>
                <w:color w:val="000000"/>
                <w:sz w:val="20"/>
                <w:szCs w:val="20"/>
              </w:rPr>
              <w:t>1,576 </w:t>
            </w:r>
          </w:p>
        </w:tc>
        <w:tc>
          <w:tcPr>
            <w:tcW w:w="0" w:type="auto"/>
            <w:shd w:val="clear" w:color="auto" w:fill="CCEEFF"/>
            <w:tcMar>
              <w:top w:w="40" w:type="dxa"/>
              <w:left w:w="0" w:type="dxa"/>
              <w:bottom w:w="40" w:type="dxa"/>
              <w:right w:w="20" w:type="dxa"/>
            </w:tcMar>
            <w:vAlign w:val="bottom"/>
          </w:tcPr>
          <w:p w14:paraId="5CD9060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0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0B" w14:textId="77777777" w:rsidR="00BA49F5" w:rsidRDefault="007E5E49">
            <w:pPr>
              <w:jc w:val="right"/>
              <w:textAlignment w:val="bottom"/>
            </w:pPr>
            <w:r>
              <w:rPr>
                <w:rFonts w:ascii="Times New Roman" w:eastAsia="宋体" w:hAnsi="Times New Roman"/>
                <w:color w:val="000000"/>
                <w:sz w:val="20"/>
                <w:szCs w:val="20"/>
              </w:rPr>
              <w:t>1,385 </w:t>
            </w:r>
          </w:p>
        </w:tc>
        <w:tc>
          <w:tcPr>
            <w:tcW w:w="0" w:type="auto"/>
            <w:shd w:val="clear" w:color="auto" w:fill="CCEEFF"/>
            <w:tcMar>
              <w:top w:w="40" w:type="dxa"/>
              <w:left w:w="0" w:type="dxa"/>
              <w:bottom w:w="40" w:type="dxa"/>
              <w:right w:w="20" w:type="dxa"/>
            </w:tcMar>
            <w:vAlign w:val="bottom"/>
          </w:tcPr>
          <w:p w14:paraId="5CD9060C" w14:textId="77777777" w:rsidR="00BA49F5" w:rsidRDefault="00BA49F5">
            <w:pPr>
              <w:jc w:val="right"/>
              <w:rPr>
                <w:rFonts w:ascii="宋体"/>
              </w:rPr>
            </w:pPr>
          </w:p>
        </w:tc>
      </w:tr>
      <w:tr w:rsidR="00BA49F5" w14:paraId="5CD90614" w14:textId="77777777">
        <w:tc>
          <w:tcPr>
            <w:tcW w:w="0" w:type="auto"/>
            <w:gridSpan w:val="3"/>
            <w:shd w:val="clear" w:color="auto" w:fill="FFFFFF"/>
            <w:tcMar>
              <w:top w:w="40" w:type="dxa"/>
              <w:left w:w="200" w:type="dxa"/>
              <w:bottom w:w="40" w:type="dxa"/>
              <w:right w:w="20" w:type="dxa"/>
            </w:tcMar>
            <w:vAlign w:val="bottom"/>
          </w:tcPr>
          <w:p w14:paraId="5CD9060E" w14:textId="77777777" w:rsidR="00BA49F5" w:rsidRDefault="007E5E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5CD9060F" w14:textId="77777777" w:rsidR="00BA49F5" w:rsidRDefault="007E5E49">
            <w:pPr>
              <w:jc w:val="right"/>
              <w:textAlignment w:val="bottom"/>
            </w:pPr>
            <w:r>
              <w:rPr>
                <w:rFonts w:ascii="Times New Roman" w:eastAsia="宋体" w:hAnsi="Times New Roman"/>
                <w:color w:val="000000"/>
                <w:sz w:val="20"/>
                <w:szCs w:val="20"/>
              </w:rPr>
              <w:t>368 </w:t>
            </w:r>
          </w:p>
        </w:tc>
        <w:tc>
          <w:tcPr>
            <w:tcW w:w="0" w:type="auto"/>
            <w:shd w:val="clear" w:color="auto" w:fill="FFFFFF"/>
            <w:tcMar>
              <w:top w:w="40" w:type="dxa"/>
              <w:left w:w="0" w:type="dxa"/>
              <w:bottom w:w="40" w:type="dxa"/>
              <w:right w:w="20" w:type="dxa"/>
            </w:tcMar>
            <w:vAlign w:val="bottom"/>
          </w:tcPr>
          <w:p w14:paraId="5CD9061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1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12" w14:textId="77777777" w:rsidR="00BA49F5" w:rsidRDefault="007E5E49">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5CD90613" w14:textId="77777777" w:rsidR="00BA49F5" w:rsidRDefault="00BA49F5">
            <w:pPr>
              <w:jc w:val="right"/>
              <w:rPr>
                <w:rFonts w:ascii="宋体"/>
              </w:rPr>
            </w:pPr>
          </w:p>
        </w:tc>
      </w:tr>
      <w:tr w:rsidR="00BA49F5" w14:paraId="5CD9061B" w14:textId="77777777">
        <w:tc>
          <w:tcPr>
            <w:tcW w:w="0" w:type="auto"/>
            <w:gridSpan w:val="3"/>
            <w:shd w:val="clear" w:color="auto" w:fill="CCEEFF"/>
            <w:tcMar>
              <w:top w:w="40" w:type="dxa"/>
              <w:left w:w="200" w:type="dxa"/>
              <w:bottom w:w="40" w:type="dxa"/>
              <w:right w:w="20" w:type="dxa"/>
            </w:tcMar>
            <w:vAlign w:val="bottom"/>
          </w:tcPr>
          <w:p w14:paraId="5CD90615" w14:textId="77777777" w:rsidR="00BA49F5" w:rsidRDefault="007E5E49">
            <w:pPr>
              <w:textAlignment w:val="bottom"/>
            </w:pPr>
            <w:r>
              <w:rPr>
                <w:rFonts w:ascii="Times New Roman" w:eastAsia="宋体" w:hAnsi="Times New Roman"/>
                <w:color w:val="000000"/>
                <w:sz w:val="20"/>
                <w:szCs w:val="20"/>
              </w:rPr>
              <w:t>Accrued expenses and other liabilities</w:t>
            </w:r>
          </w:p>
        </w:tc>
        <w:tc>
          <w:tcPr>
            <w:tcW w:w="0" w:type="auto"/>
            <w:gridSpan w:val="2"/>
            <w:shd w:val="clear" w:color="auto" w:fill="CCEEFF"/>
            <w:tcMar>
              <w:top w:w="40" w:type="dxa"/>
              <w:left w:w="20" w:type="dxa"/>
              <w:bottom w:w="40" w:type="dxa"/>
              <w:right w:w="0" w:type="dxa"/>
            </w:tcMar>
            <w:vAlign w:val="bottom"/>
          </w:tcPr>
          <w:p w14:paraId="5CD90616" w14:textId="77777777" w:rsidR="00BA49F5" w:rsidRDefault="007E5E49">
            <w:pPr>
              <w:jc w:val="right"/>
              <w:textAlignment w:val="bottom"/>
            </w:pPr>
            <w:r>
              <w:rPr>
                <w:rFonts w:ascii="Times New Roman" w:eastAsia="宋体" w:hAnsi="Times New Roman"/>
                <w:color w:val="000000"/>
                <w:sz w:val="20"/>
                <w:szCs w:val="20"/>
              </w:rPr>
              <w:t>1,627 </w:t>
            </w:r>
          </w:p>
        </w:tc>
        <w:tc>
          <w:tcPr>
            <w:tcW w:w="0" w:type="auto"/>
            <w:shd w:val="clear" w:color="auto" w:fill="CCEEFF"/>
            <w:tcMar>
              <w:top w:w="40" w:type="dxa"/>
              <w:left w:w="0" w:type="dxa"/>
              <w:bottom w:w="40" w:type="dxa"/>
              <w:right w:w="20" w:type="dxa"/>
            </w:tcMar>
            <w:vAlign w:val="bottom"/>
          </w:tcPr>
          <w:p w14:paraId="5CD9061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1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19" w14:textId="77777777" w:rsidR="00BA49F5" w:rsidRDefault="007E5E49">
            <w:pPr>
              <w:jc w:val="right"/>
              <w:textAlignment w:val="bottom"/>
            </w:pPr>
            <w:r>
              <w:rPr>
                <w:rFonts w:ascii="Times New Roman" w:eastAsia="宋体" w:hAnsi="Times New Roman"/>
                <w:color w:val="000000"/>
                <w:sz w:val="20"/>
                <w:szCs w:val="20"/>
              </w:rPr>
              <w:t>1,195 </w:t>
            </w:r>
          </w:p>
        </w:tc>
        <w:tc>
          <w:tcPr>
            <w:tcW w:w="0" w:type="auto"/>
            <w:shd w:val="clear" w:color="auto" w:fill="CCEEFF"/>
            <w:tcMar>
              <w:top w:w="40" w:type="dxa"/>
              <w:left w:w="0" w:type="dxa"/>
              <w:bottom w:w="40" w:type="dxa"/>
              <w:right w:w="20" w:type="dxa"/>
            </w:tcMar>
            <w:vAlign w:val="bottom"/>
          </w:tcPr>
          <w:p w14:paraId="5CD9061A" w14:textId="77777777" w:rsidR="00BA49F5" w:rsidRDefault="00BA49F5">
            <w:pPr>
              <w:jc w:val="right"/>
              <w:rPr>
                <w:rFonts w:ascii="宋体"/>
              </w:rPr>
            </w:pPr>
          </w:p>
        </w:tc>
      </w:tr>
      <w:tr w:rsidR="00BA49F5" w14:paraId="5CD90622" w14:textId="77777777">
        <w:tc>
          <w:tcPr>
            <w:tcW w:w="0" w:type="auto"/>
            <w:gridSpan w:val="3"/>
            <w:shd w:val="clear" w:color="auto" w:fill="FFFFFF"/>
            <w:tcMar>
              <w:top w:w="40" w:type="dxa"/>
              <w:left w:w="200" w:type="dxa"/>
              <w:bottom w:w="40" w:type="dxa"/>
              <w:right w:w="20" w:type="dxa"/>
            </w:tcMar>
            <w:vAlign w:val="bottom"/>
          </w:tcPr>
          <w:p w14:paraId="5CD9061C" w14:textId="77777777" w:rsidR="00BA49F5" w:rsidRDefault="007E5E49">
            <w:pPr>
              <w:textAlignment w:val="bottom"/>
            </w:pPr>
            <w:r>
              <w:rPr>
                <w:rFonts w:ascii="Times New Roman" w:eastAsia="宋体" w:hAnsi="Times New Roman"/>
                <w:color w:val="000000"/>
                <w:sz w:val="20"/>
                <w:szCs w:val="20"/>
              </w:rPr>
              <w:t>Lease liabilities</w:t>
            </w:r>
          </w:p>
        </w:tc>
        <w:tc>
          <w:tcPr>
            <w:tcW w:w="0" w:type="auto"/>
            <w:gridSpan w:val="2"/>
            <w:shd w:val="clear" w:color="auto" w:fill="FFFFFF"/>
            <w:tcMar>
              <w:top w:w="40" w:type="dxa"/>
              <w:left w:w="20" w:type="dxa"/>
              <w:bottom w:w="40" w:type="dxa"/>
              <w:right w:w="0" w:type="dxa"/>
            </w:tcMar>
            <w:vAlign w:val="bottom"/>
          </w:tcPr>
          <w:p w14:paraId="5CD9061D" w14:textId="77777777" w:rsidR="00BA49F5" w:rsidRDefault="007E5E49">
            <w:pPr>
              <w:jc w:val="right"/>
              <w:textAlignment w:val="bottom"/>
            </w:pPr>
            <w:r>
              <w:rPr>
                <w:rFonts w:ascii="Times New Roman" w:eastAsia="宋体" w:hAnsi="Times New Roman"/>
                <w:color w:val="000000"/>
                <w:sz w:val="20"/>
                <w:szCs w:val="20"/>
              </w:rPr>
              <w:t>3,200 </w:t>
            </w:r>
          </w:p>
        </w:tc>
        <w:tc>
          <w:tcPr>
            <w:tcW w:w="0" w:type="auto"/>
            <w:shd w:val="clear" w:color="auto" w:fill="FFFFFF"/>
            <w:tcMar>
              <w:top w:w="40" w:type="dxa"/>
              <w:left w:w="0" w:type="dxa"/>
              <w:bottom w:w="40" w:type="dxa"/>
              <w:right w:w="20" w:type="dxa"/>
            </w:tcMar>
            <w:vAlign w:val="bottom"/>
          </w:tcPr>
          <w:p w14:paraId="5CD9061E"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1F"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20" w14:textId="77777777" w:rsidR="00BA49F5" w:rsidRDefault="007E5E49">
            <w:pPr>
              <w:jc w:val="right"/>
              <w:textAlignment w:val="bottom"/>
            </w:pPr>
            <w:r>
              <w:rPr>
                <w:rFonts w:ascii="Times New Roman" w:eastAsia="宋体" w:hAnsi="Times New Roman"/>
                <w:color w:val="000000"/>
                <w:sz w:val="20"/>
                <w:szCs w:val="20"/>
              </w:rPr>
              <w:t>2,597 </w:t>
            </w:r>
          </w:p>
        </w:tc>
        <w:tc>
          <w:tcPr>
            <w:tcW w:w="0" w:type="auto"/>
            <w:shd w:val="clear" w:color="auto" w:fill="FFFFFF"/>
            <w:tcMar>
              <w:top w:w="40" w:type="dxa"/>
              <w:left w:w="0" w:type="dxa"/>
              <w:bottom w:w="40" w:type="dxa"/>
              <w:right w:w="20" w:type="dxa"/>
            </w:tcMar>
            <w:vAlign w:val="bottom"/>
          </w:tcPr>
          <w:p w14:paraId="5CD90621" w14:textId="77777777" w:rsidR="00BA49F5" w:rsidRDefault="00BA49F5">
            <w:pPr>
              <w:jc w:val="right"/>
              <w:rPr>
                <w:rFonts w:ascii="宋体"/>
              </w:rPr>
            </w:pPr>
          </w:p>
        </w:tc>
      </w:tr>
      <w:tr w:rsidR="00BA49F5" w14:paraId="5CD90629" w14:textId="77777777">
        <w:tc>
          <w:tcPr>
            <w:tcW w:w="0" w:type="auto"/>
            <w:gridSpan w:val="3"/>
            <w:shd w:val="clear" w:color="auto" w:fill="CCEEFF"/>
            <w:tcMar>
              <w:top w:w="40" w:type="dxa"/>
              <w:left w:w="200" w:type="dxa"/>
              <w:bottom w:w="40" w:type="dxa"/>
              <w:right w:w="20" w:type="dxa"/>
            </w:tcMar>
            <w:vAlign w:val="bottom"/>
          </w:tcPr>
          <w:p w14:paraId="5CD90623" w14:textId="77777777" w:rsidR="00BA49F5" w:rsidRDefault="007E5E49">
            <w:pPr>
              <w:textAlignment w:val="bottom"/>
            </w:pPr>
            <w:r>
              <w:rPr>
                <w:rFonts w:ascii="Times New Roman" w:eastAsia="宋体" w:hAnsi="Times New Roman"/>
                <w:color w:val="000000"/>
                <w:sz w:val="20"/>
                <w:szCs w:val="20"/>
              </w:rPr>
              <w:t>Capitalized research and development</w:t>
            </w:r>
          </w:p>
        </w:tc>
        <w:tc>
          <w:tcPr>
            <w:tcW w:w="0" w:type="auto"/>
            <w:gridSpan w:val="2"/>
            <w:shd w:val="clear" w:color="auto" w:fill="CCEEFF"/>
            <w:tcMar>
              <w:top w:w="40" w:type="dxa"/>
              <w:left w:w="20" w:type="dxa"/>
              <w:bottom w:w="40" w:type="dxa"/>
              <w:right w:w="0" w:type="dxa"/>
            </w:tcMar>
            <w:vAlign w:val="bottom"/>
          </w:tcPr>
          <w:p w14:paraId="5CD90624" w14:textId="77777777" w:rsidR="00BA49F5" w:rsidRDefault="007E5E49">
            <w:pPr>
              <w:jc w:val="right"/>
              <w:textAlignment w:val="bottom"/>
            </w:pPr>
            <w:r>
              <w:rPr>
                <w:rFonts w:ascii="Times New Roman" w:eastAsia="宋体" w:hAnsi="Times New Roman"/>
                <w:color w:val="000000"/>
                <w:sz w:val="20"/>
                <w:szCs w:val="20"/>
              </w:rPr>
              <w:t>8,175 </w:t>
            </w:r>
          </w:p>
        </w:tc>
        <w:tc>
          <w:tcPr>
            <w:tcW w:w="0" w:type="auto"/>
            <w:shd w:val="clear" w:color="auto" w:fill="CCEEFF"/>
            <w:tcMar>
              <w:top w:w="40" w:type="dxa"/>
              <w:left w:w="0" w:type="dxa"/>
              <w:bottom w:w="40" w:type="dxa"/>
              <w:right w:w="20" w:type="dxa"/>
            </w:tcMar>
            <w:vAlign w:val="bottom"/>
          </w:tcPr>
          <w:p w14:paraId="5CD90625"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26"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27" w14:textId="77777777" w:rsidR="00BA49F5" w:rsidRDefault="007E5E49">
            <w:pPr>
              <w:jc w:val="right"/>
              <w:textAlignment w:val="bottom"/>
            </w:pPr>
            <w:r>
              <w:rPr>
                <w:rFonts w:ascii="Times New Roman" w:eastAsia="宋体" w:hAnsi="Times New Roman"/>
                <w:color w:val="000000"/>
                <w:sz w:val="20"/>
                <w:szCs w:val="20"/>
              </w:rPr>
              <w:t>1,691 </w:t>
            </w:r>
          </w:p>
        </w:tc>
        <w:tc>
          <w:tcPr>
            <w:tcW w:w="0" w:type="auto"/>
            <w:shd w:val="clear" w:color="auto" w:fill="CCEEFF"/>
            <w:tcMar>
              <w:top w:w="40" w:type="dxa"/>
              <w:left w:w="0" w:type="dxa"/>
              <w:bottom w:w="40" w:type="dxa"/>
              <w:right w:w="20" w:type="dxa"/>
            </w:tcMar>
            <w:vAlign w:val="bottom"/>
          </w:tcPr>
          <w:p w14:paraId="5CD90628" w14:textId="77777777" w:rsidR="00BA49F5" w:rsidRDefault="00BA49F5">
            <w:pPr>
              <w:jc w:val="right"/>
              <w:rPr>
                <w:rFonts w:ascii="宋体"/>
              </w:rPr>
            </w:pPr>
          </w:p>
        </w:tc>
      </w:tr>
      <w:tr w:rsidR="00BA49F5" w14:paraId="5CD90630" w14:textId="77777777">
        <w:tc>
          <w:tcPr>
            <w:tcW w:w="0" w:type="auto"/>
            <w:gridSpan w:val="3"/>
            <w:shd w:val="clear" w:color="auto" w:fill="FFFFFF"/>
            <w:tcMar>
              <w:top w:w="40" w:type="dxa"/>
              <w:left w:w="200" w:type="dxa"/>
              <w:bottom w:w="40" w:type="dxa"/>
              <w:right w:w="20" w:type="dxa"/>
            </w:tcMar>
            <w:vAlign w:val="bottom"/>
          </w:tcPr>
          <w:p w14:paraId="5CD9062A" w14:textId="77777777" w:rsidR="00BA49F5" w:rsidRDefault="007E5E49">
            <w:pPr>
              <w:textAlignment w:val="bottom"/>
            </w:pPr>
            <w:r>
              <w:rPr>
                <w:rFonts w:ascii="Times New Roman" w:eastAsia="宋体" w:hAnsi="Times New Roman"/>
                <w:color w:val="000000"/>
                <w:sz w:val="20"/>
                <w:szCs w:val="20"/>
              </w:rPr>
              <w:t>Unrealized losses in securities and investments</w:t>
            </w:r>
          </w:p>
        </w:tc>
        <w:tc>
          <w:tcPr>
            <w:tcW w:w="0" w:type="auto"/>
            <w:gridSpan w:val="2"/>
            <w:shd w:val="clear" w:color="auto" w:fill="FFFFFF"/>
            <w:tcMar>
              <w:top w:w="40" w:type="dxa"/>
              <w:left w:w="20" w:type="dxa"/>
              <w:bottom w:w="40" w:type="dxa"/>
              <w:right w:w="0" w:type="dxa"/>
            </w:tcMar>
            <w:vAlign w:val="bottom"/>
          </w:tcPr>
          <w:p w14:paraId="5CD9062B" w14:textId="77777777" w:rsidR="00BA49F5" w:rsidRDefault="007E5E49">
            <w:pPr>
              <w:jc w:val="right"/>
              <w:textAlignment w:val="bottom"/>
            </w:pPr>
            <w:r>
              <w:rPr>
                <w:rFonts w:ascii="Times New Roman" w:eastAsia="宋体" w:hAnsi="Times New Roman"/>
                <w:color w:val="000000"/>
                <w:sz w:val="20"/>
                <w:szCs w:val="20"/>
              </w:rPr>
              <w:t>489 </w:t>
            </w:r>
          </w:p>
        </w:tc>
        <w:tc>
          <w:tcPr>
            <w:tcW w:w="0" w:type="auto"/>
            <w:shd w:val="clear" w:color="auto" w:fill="FFFFFF"/>
            <w:tcMar>
              <w:top w:w="40" w:type="dxa"/>
              <w:left w:w="0" w:type="dxa"/>
              <w:bottom w:w="40" w:type="dxa"/>
              <w:right w:w="20" w:type="dxa"/>
            </w:tcMar>
            <w:vAlign w:val="bottom"/>
          </w:tcPr>
          <w:p w14:paraId="5CD9062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2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2E" w14:textId="77777777" w:rsidR="00BA49F5" w:rsidRDefault="007E5E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CD9062F" w14:textId="77777777" w:rsidR="00BA49F5" w:rsidRDefault="00BA49F5">
            <w:pPr>
              <w:jc w:val="right"/>
              <w:rPr>
                <w:rFonts w:ascii="宋体"/>
              </w:rPr>
            </w:pPr>
          </w:p>
        </w:tc>
      </w:tr>
      <w:tr w:rsidR="00BA49F5" w14:paraId="5CD90637" w14:textId="77777777">
        <w:tc>
          <w:tcPr>
            <w:tcW w:w="0" w:type="auto"/>
            <w:gridSpan w:val="3"/>
            <w:shd w:val="clear" w:color="auto" w:fill="CCEEFF"/>
            <w:tcMar>
              <w:top w:w="40" w:type="dxa"/>
              <w:left w:w="200" w:type="dxa"/>
              <w:bottom w:w="40" w:type="dxa"/>
              <w:right w:w="20" w:type="dxa"/>
            </w:tcMar>
            <w:vAlign w:val="bottom"/>
          </w:tcPr>
          <w:p w14:paraId="5CD90631" w14:textId="77777777" w:rsidR="00BA49F5" w:rsidRDefault="007E5E49">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5CD90632" w14:textId="77777777" w:rsidR="00BA49F5" w:rsidRDefault="007E5E49">
            <w:pPr>
              <w:jc w:val="right"/>
              <w:textAlignment w:val="bottom"/>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bottom"/>
          </w:tcPr>
          <w:p w14:paraId="5CD9063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3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35" w14:textId="77777777" w:rsidR="00BA49F5" w:rsidRDefault="007E5E49">
            <w:pPr>
              <w:jc w:val="right"/>
              <w:textAlignment w:val="bottom"/>
            </w:pPr>
            <w:r>
              <w:rPr>
                <w:rFonts w:ascii="Times New Roman" w:eastAsia="宋体" w:hAnsi="Times New Roman"/>
                <w:color w:val="000000"/>
                <w:sz w:val="20"/>
                <w:szCs w:val="20"/>
              </w:rPr>
              <w:t>449 </w:t>
            </w:r>
          </w:p>
        </w:tc>
        <w:tc>
          <w:tcPr>
            <w:tcW w:w="0" w:type="auto"/>
            <w:shd w:val="clear" w:color="auto" w:fill="CCEEFF"/>
            <w:tcMar>
              <w:top w:w="40" w:type="dxa"/>
              <w:left w:w="0" w:type="dxa"/>
              <w:bottom w:w="40" w:type="dxa"/>
              <w:right w:w="20" w:type="dxa"/>
            </w:tcMar>
            <w:vAlign w:val="bottom"/>
          </w:tcPr>
          <w:p w14:paraId="5CD90636" w14:textId="77777777" w:rsidR="00BA49F5" w:rsidRDefault="00BA49F5">
            <w:pPr>
              <w:jc w:val="right"/>
              <w:rPr>
                <w:rFonts w:ascii="宋体"/>
              </w:rPr>
            </w:pPr>
          </w:p>
        </w:tc>
      </w:tr>
      <w:tr w:rsidR="00BA49F5" w14:paraId="5CD9063E" w14:textId="77777777">
        <w:tc>
          <w:tcPr>
            <w:tcW w:w="0" w:type="auto"/>
            <w:gridSpan w:val="3"/>
            <w:shd w:val="clear" w:color="auto" w:fill="FFFFFF"/>
            <w:tcMar>
              <w:top w:w="40" w:type="dxa"/>
              <w:left w:w="20" w:type="dxa"/>
              <w:bottom w:w="40" w:type="dxa"/>
              <w:right w:w="20" w:type="dxa"/>
            </w:tcMar>
            <w:vAlign w:val="bottom"/>
          </w:tcPr>
          <w:p w14:paraId="5CD90638" w14:textId="77777777" w:rsidR="00BA49F5" w:rsidRDefault="007E5E49">
            <w:pPr>
              <w:textAlignment w:val="bottom"/>
            </w:pPr>
            <w:r>
              <w:rPr>
                <w:rFonts w:ascii="Times New Roman" w:eastAsia="宋体" w:hAnsi="Times New Roman"/>
                <w:color w:val="000000"/>
                <w:sz w:val="20"/>
                <w:szCs w:val="20"/>
              </w:rPr>
              <w:t>Total 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639" w14:textId="77777777" w:rsidR="00BA49F5" w:rsidRDefault="007E5E49">
            <w:pPr>
              <w:jc w:val="right"/>
              <w:textAlignment w:val="bottom"/>
            </w:pPr>
            <w:r>
              <w:rPr>
                <w:rFonts w:ascii="Times New Roman" w:eastAsia="宋体" w:hAnsi="Times New Roman"/>
                <w:color w:val="000000"/>
                <w:sz w:val="20"/>
                <w:szCs w:val="20"/>
              </w:rPr>
              <w:t>16,290 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63A"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3B"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63C" w14:textId="77777777" w:rsidR="00BA49F5" w:rsidRDefault="007E5E49">
            <w:pPr>
              <w:jc w:val="right"/>
              <w:textAlignment w:val="bottom"/>
            </w:pPr>
            <w:r>
              <w:rPr>
                <w:rFonts w:ascii="Times New Roman" w:eastAsia="宋体" w:hAnsi="Times New Roman"/>
                <w:color w:val="000000"/>
                <w:sz w:val="20"/>
                <w:szCs w:val="20"/>
              </w:rPr>
              <w:t>10,079 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63D" w14:textId="77777777" w:rsidR="00BA49F5" w:rsidRDefault="00BA49F5">
            <w:pPr>
              <w:jc w:val="right"/>
              <w:rPr>
                <w:rFonts w:ascii="宋体"/>
              </w:rPr>
            </w:pPr>
          </w:p>
        </w:tc>
      </w:tr>
      <w:tr w:rsidR="00BA49F5" w14:paraId="5CD90645" w14:textId="77777777">
        <w:tc>
          <w:tcPr>
            <w:tcW w:w="0" w:type="auto"/>
            <w:gridSpan w:val="3"/>
            <w:shd w:val="clear" w:color="auto" w:fill="CCEEFF"/>
            <w:tcMar>
              <w:top w:w="40" w:type="dxa"/>
              <w:left w:w="200" w:type="dxa"/>
              <w:bottom w:w="40" w:type="dxa"/>
              <w:right w:w="20" w:type="dxa"/>
            </w:tcMar>
            <w:vAlign w:val="bottom"/>
          </w:tcPr>
          <w:p w14:paraId="5CD9063F" w14:textId="77777777" w:rsidR="00BA49F5" w:rsidRDefault="007E5E49">
            <w:pPr>
              <w:textAlignment w:val="bottom"/>
            </w:pPr>
            <w:r>
              <w:rPr>
                <w:rFonts w:ascii="Times New Roman" w:eastAsia="宋体" w:hAnsi="Times New Roman"/>
                <w:color w:val="000000"/>
                <w:sz w:val="20"/>
                <w:szCs w:val="20"/>
              </w:rPr>
              <w:t>Less: valuation allowance</w:t>
            </w:r>
          </w:p>
        </w:tc>
        <w:tc>
          <w:tcPr>
            <w:tcW w:w="0" w:type="auto"/>
            <w:gridSpan w:val="2"/>
            <w:shd w:val="clear" w:color="auto" w:fill="CCEEFF"/>
            <w:tcMar>
              <w:top w:w="40" w:type="dxa"/>
              <w:left w:w="20" w:type="dxa"/>
              <w:bottom w:w="40" w:type="dxa"/>
              <w:right w:w="0" w:type="dxa"/>
            </w:tcMar>
            <w:vAlign w:val="bottom"/>
          </w:tcPr>
          <w:p w14:paraId="5CD90640" w14:textId="77777777" w:rsidR="00BA49F5" w:rsidRDefault="007E5E49">
            <w:pPr>
              <w:jc w:val="right"/>
              <w:textAlignment w:val="bottom"/>
            </w:pPr>
            <w:r>
              <w:rPr>
                <w:rFonts w:ascii="Times New Roman" w:eastAsia="宋体" w:hAnsi="Times New Roman"/>
                <w:color w:val="000000"/>
                <w:sz w:val="20"/>
                <w:szCs w:val="20"/>
              </w:rPr>
              <w:t>(2,493)</w:t>
            </w:r>
          </w:p>
        </w:tc>
        <w:tc>
          <w:tcPr>
            <w:tcW w:w="0" w:type="auto"/>
            <w:shd w:val="clear" w:color="auto" w:fill="CCEEFF"/>
            <w:tcMar>
              <w:top w:w="40" w:type="dxa"/>
              <w:left w:w="0" w:type="dxa"/>
              <w:bottom w:w="40" w:type="dxa"/>
              <w:right w:w="20" w:type="dxa"/>
            </w:tcMar>
            <w:vAlign w:val="bottom"/>
          </w:tcPr>
          <w:p w14:paraId="5CD9064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4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43" w14:textId="77777777" w:rsidR="00BA49F5" w:rsidRDefault="007E5E49">
            <w:pPr>
              <w:jc w:val="right"/>
              <w:textAlignment w:val="bottom"/>
            </w:pPr>
            <w:r>
              <w:rPr>
                <w:rFonts w:ascii="Times New Roman" w:eastAsia="宋体" w:hAnsi="Times New Roman"/>
                <w:color w:val="000000"/>
                <w:sz w:val="20"/>
                <w:szCs w:val="20"/>
              </w:rPr>
              <w:t>(1,586)</w:t>
            </w:r>
          </w:p>
        </w:tc>
        <w:tc>
          <w:tcPr>
            <w:tcW w:w="0" w:type="auto"/>
            <w:shd w:val="clear" w:color="auto" w:fill="CCEEFF"/>
            <w:tcMar>
              <w:top w:w="40" w:type="dxa"/>
              <w:left w:w="0" w:type="dxa"/>
              <w:bottom w:w="40" w:type="dxa"/>
              <w:right w:w="20" w:type="dxa"/>
            </w:tcMar>
            <w:vAlign w:val="bottom"/>
          </w:tcPr>
          <w:p w14:paraId="5CD90644" w14:textId="77777777" w:rsidR="00BA49F5" w:rsidRDefault="00BA49F5">
            <w:pPr>
              <w:jc w:val="right"/>
              <w:rPr>
                <w:rFonts w:ascii="宋体"/>
              </w:rPr>
            </w:pPr>
          </w:p>
        </w:tc>
      </w:tr>
      <w:tr w:rsidR="00BA49F5" w14:paraId="5CD9064C" w14:textId="77777777">
        <w:tc>
          <w:tcPr>
            <w:tcW w:w="0" w:type="auto"/>
            <w:gridSpan w:val="3"/>
            <w:shd w:val="clear" w:color="auto" w:fill="FFFFFF"/>
            <w:tcMar>
              <w:top w:w="40" w:type="dxa"/>
              <w:left w:w="380" w:type="dxa"/>
              <w:bottom w:w="40" w:type="dxa"/>
              <w:right w:w="20" w:type="dxa"/>
            </w:tcMar>
            <w:vAlign w:val="bottom"/>
          </w:tcPr>
          <w:p w14:paraId="5CD90646" w14:textId="77777777" w:rsidR="00BA49F5" w:rsidRDefault="007E5E49">
            <w:pPr>
              <w:textAlignment w:val="bottom"/>
            </w:pPr>
            <w:r>
              <w:rPr>
                <w:rFonts w:ascii="Times New Roman" w:eastAsia="宋体" w:hAnsi="Times New Roman"/>
                <w:color w:val="000000"/>
                <w:sz w:val="20"/>
                <w:szCs w:val="20"/>
              </w:rPr>
              <w:t>Deferred tax assets, net of valuation allowance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647" w14:textId="77777777" w:rsidR="00BA49F5" w:rsidRDefault="007E5E49">
            <w:pPr>
              <w:jc w:val="right"/>
              <w:textAlignment w:val="bottom"/>
            </w:pPr>
            <w:r>
              <w:rPr>
                <w:rFonts w:ascii="Times New Roman" w:eastAsia="宋体" w:hAnsi="Times New Roman"/>
                <w:color w:val="000000"/>
                <w:sz w:val="20"/>
                <w:szCs w:val="20"/>
              </w:rPr>
              <w:t>13,797 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648"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49" w14:textId="77777777" w:rsidR="00BA49F5" w:rsidRDefault="00BA49F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CD9064A" w14:textId="77777777" w:rsidR="00BA49F5" w:rsidRDefault="007E5E49">
            <w:pPr>
              <w:jc w:val="right"/>
              <w:textAlignment w:val="bottom"/>
            </w:pPr>
            <w:r>
              <w:rPr>
                <w:rFonts w:ascii="Times New Roman" w:eastAsia="宋体" w:hAnsi="Times New Roman"/>
                <w:color w:val="000000"/>
                <w:sz w:val="20"/>
                <w:szCs w:val="20"/>
              </w:rPr>
              <w:t>8,493 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64B" w14:textId="77777777" w:rsidR="00BA49F5" w:rsidRDefault="00BA49F5">
            <w:pPr>
              <w:jc w:val="right"/>
              <w:rPr>
                <w:rFonts w:ascii="宋体"/>
              </w:rPr>
            </w:pPr>
          </w:p>
        </w:tc>
      </w:tr>
      <w:tr w:rsidR="00BA49F5" w14:paraId="5CD90651" w14:textId="77777777">
        <w:trPr>
          <w:trHeight w:val="300"/>
        </w:trPr>
        <w:tc>
          <w:tcPr>
            <w:tcW w:w="0" w:type="auto"/>
            <w:gridSpan w:val="3"/>
            <w:shd w:val="clear" w:color="auto" w:fill="CCEEFF"/>
            <w:tcMar>
              <w:top w:w="0" w:type="dxa"/>
              <w:left w:w="20" w:type="dxa"/>
              <w:bottom w:w="0" w:type="dxa"/>
              <w:right w:w="20" w:type="dxa"/>
            </w:tcMar>
            <w:vAlign w:val="bottom"/>
          </w:tcPr>
          <w:p w14:paraId="5CD9064D"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64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64F"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650" w14:textId="77777777" w:rsidR="00BA49F5" w:rsidRDefault="00BA49F5">
            <w:pPr>
              <w:rPr>
                <w:rFonts w:ascii="宋体"/>
              </w:rPr>
            </w:pPr>
          </w:p>
        </w:tc>
      </w:tr>
      <w:tr w:rsidR="00BA49F5" w14:paraId="5CD90656" w14:textId="77777777">
        <w:tc>
          <w:tcPr>
            <w:tcW w:w="0" w:type="auto"/>
            <w:gridSpan w:val="3"/>
            <w:shd w:val="clear" w:color="auto" w:fill="FFFFFF"/>
            <w:tcMar>
              <w:top w:w="40" w:type="dxa"/>
              <w:left w:w="20" w:type="dxa"/>
              <w:bottom w:w="40" w:type="dxa"/>
              <w:right w:w="20" w:type="dxa"/>
            </w:tcMar>
            <w:vAlign w:val="bottom"/>
          </w:tcPr>
          <w:p w14:paraId="5CD90652" w14:textId="77777777" w:rsidR="00BA49F5" w:rsidRDefault="007E5E49">
            <w:pPr>
              <w:textAlignment w:val="bottom"/>
            </w:pPr>
            <w:r>
              <w:rPr>
                <w:rFonts w:ascii="Times New Roman" w:eastAsia="宋体" w:hAnsi="Times New Roman"/>
                <w:color w:val="000000"/>
                <w:sz w:val="20"/>
                <w:szCs w:val="20"/>
              </w:rPr>
              <w:t>Deferred tax liabilities:</w:t>
            </w:r>
          </w:p>
        </w:tc>
        <w:tc>
          <w:tcPr>
            <w:tcW w:w="0" w:type="auto"/>
            <w:gridSpan w:val="3"/>
            <w:shd w:val="clear" w:color="auto" w:fill="FFFFFF"/>
            <w:tcMar>
              <w:top w:w="40" w:type="dxa"/>
              <w:left w:w="20" w:type="dxa"/>
              <w:bottom w:w="40" w:type="dxa"/>
              <w:right w:w="20" w:type="dxa"/>
            </w:tcMar>
            <w:vAlign w:val="bottom"/>
          </w:tcPr>
          <w:p w14:paraId="5CD90653" w14:textId="77777777" w:rsidR="00BA49F5" w:rsidRDefault="007E5E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CD90654" w14:textId="77777777" w:rsidR="00BA49F5" w:rsidRDefault="00BA49F5">
            <w:pPr>
              <w:rPr>
                <w:rFonts w:ascii="宋体"/>
              </w:rPr>
            </w:pPr>
          </w:p>
        </w:tc>
        <w:tc>
          <w:tcPr>
            <w:tcW w:w="0" w:type="auto"/>
            <w:gridSpan w:val="3"/>
            <w:shd w:val="clear" w:color="auto" w:fill="FFFFFF"/>
            <w:tcMar>
              <w:top w:w="40" w:type="dxa"/>
              <w:left w:w="20" w:type="dxa"/>
              <w:bottom w:w="40" w:type="dxa"/>
              <w:right w:w="20" w:type="dxa"/>
            </w:tcMar>
            <w:vAlign w:val="bottom"/>
          </w:tcPr>
          <w:p w14:paraId="5CD90655" w14:textId="77777777" w:rsidR="00BA49F5" w:rsidRDefault="007E5E49">
            <w:pPr>
              <w:textAlignment w:val="bottom"/>
            </w:pPr>
            <w:r>
              <w:rPr>
                <w:rFonts w:ascii="Times New Roman" w:eastAsia="宋体" w:hAnsi="Times New Roman"/>
                <w:color w:val="000000"/>
                <w:sz w:val="20"/>
                <w:szCs w:val="20"/>
              </w:rPr>
              <w:t> </w:t>
            </w:r>
          </w:p>
        </w:tc>
      </w:tr>
      <w:tr w:rsidR="00BA49F5" w14:paraId="5CD9065D" w14:textId="77777777">
        <w:tc>
          <w:tcPr>
            <w:tcW w:w="0" w:type="auto"/>
            <w:gridSpan w:val="3"/>
            <w:shd w:val="clear" w:color="auto" w:fill="CCEEFF"/>
            <w:tcMar>
              <w:top w:w="40" w:type="dxa"/>
              <w:left w:w="200" w:type="dxa"/>
              <w:bottom w:w="40" w:type="dxa"/>
              <w:right w:w="20" w:type="dxa"/>
            </w:tcMar>
            <w:vAlign w:val="bottom"/>
          </w:tcPr>
          <w:p w14:paraId="5CD90657" w14:textId="77777777" w:rsidR="00BA49F5" w:rsidRDefault="007E5E49">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5CD90658" w14:textId="77777777" w:rsidR="00BA49F5" w:rsidRDefault="007E5E49">
            <w:pPr>
              <w:jc w:val="right"/>
              <w:textAlignment w:val="bottom"/>
            </w:pPr>
            <w:r>
              <w:rPr>
                <w:rFonts w:ascii="Times New Roman" w:eastAsia="宋体" w:hAnsi="Times New Roman"/>
                <w:color w:val="000000"/>
                <w:sz w:val="20"/>
                <w:szCs w:val="20"/>
              </w:rPr>
              <w:t>(6,296)</w:t>
            </w:r>
          </w:p>
        </w:tc>
        <w:tc>
          <w:tcPr>
            <w:tcW w:w="0" w:type="auto"/>
            <w:shd w:val="clear" w:color="auto" w:fill="CCEEFF"/>
            <w:tcMar>
              <w:top w:w="40" w:type="dxa"/>
              <w:left w:w="0" w:type="dxa"/>
              <w:bottom w:w="40" w:type="dxa"/>
              <w:right w:w="20" w:type="dxa"/>
            </w:tcMar>
            <w:vAlign w:val="bottom"/>
          </w:tcPr>
          <w:p w14:paraId="5CD90659"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5A"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5B" w14:textId="77777777" w:rsidR="00BA49F5" w:rsidRDefault="007E5E49">
            <w:pPr>
              <w:jc w:val="right"/>
              <w:textAlignment w:val="bottom"/>
            </w:pPr>
            <w:r>
              <w:rPr>
                <w:rFonts w:ascii="Times New Roman" w:eastAsia="宋体" w:hAnsi="Times New Roman"/>
                <w:color w:val="000000"/>
                <w:sz w:val="20"/>
                <w:szCs w:val="20"/>
              </w:rPr>
              <w:t>(4,425)</w:t>
            </w:r>
          </w:p>
        </w:tc>
        <w:tc>
          <w:tcPr>
            <w:tcW w:w="0" w:type="auto"/>
            <w:shd w:val="clear" w:color="auto" w:fill="CCEEFF"/>
            <w:tcMar>
              <w:top w:w="40" w:type="dxa"/>
              <w:left w:w="0" w:type="dxa"/>
              <w:bottom w:w="40" w:type="dxa"/>
              <w:right w:w="20" w:type="dxa"/>
            </w:tcMar>
            <w:vAlign w:val="bottom"/>
          </w:tcPr>
          <w:p w14:paraId="5CD9065C" w14:textId="77777777" w:rsidR="00BA49F5" w:rsidRDefault="00BA49F5">
            <w:pPr>
              <w:jc w:val="right"/>
              <w:rPr>
                <w:rFonts w:ascii="宋体"/>
              </w:rPr>
            </w:pPr>
          </w:p>
        </w:tc>
      </w:tr>
      <w:tr w:rsidR="00BA49F5" w14:paraId="5CD90664" w14:textId="77777777">
        <w:tc>
          <w:tcPr>
            <w:tcW w:w="0" w:type="auto"/>
            <w:gridSpan w:val="3"/>
            <w:shd w:val="clear" w:color="auto" w:fill="FFFFFF"/>
            <w:tcMar>
              <w:top w:w="40" w:type="dxa"/>
              <w:left w:w="200" w:type="dxa"/>
              <w:bottom w:w="40" w:type="dxa"/>
              <w:right w:w="20" w:type="dxa"/>
            </w:tcMar>
            <w:vAlign w:val="bottom"/>
          </w:tcPr>
          <w:p w14:paraId="5CD9065E" w14:textId="77777777" w:rsidR="00BA49F5" w:rsidRDefault="007E5E49">
            <w:pPr>
              <w:textAlignment w:val="bottom"/>
            </w:pPr>
            <w:r>
              <w:rPr>
                <w:rFonts w:ascii="Times New Roman" w:eastAsia="宋体" w:hAnsi="Times New Roman"/>
                <w:color w:val="000000"/>
                <w:sz w:val="20"/>
                <w:szCs w:val="20"/>
              </w:rPr>
              <w:t>Right-of-use assets</w:t>
            </w:r>
          </w:p>
        </w:tc>
        <w:tc>
          <w:tcPr>
            <w:tcW w:w="0" w:type="auto"/>
            <w:gridSpan w:val="2"/>
            <w:shd w:val="clear" w:color="auto" w:fill="FFFFFF"/>
            <w:tcMar>
              <w:top w:w="40" w:type="dxa"/>
              <w:left w:w="20" w:type="dxa"/>
              <w:bottom w:w="40" w:type="dxa"/>
              <w:right w:w="0" w:type="dxa"/>
            </w:tcMar>
            <w:vAlign w:val="bottom"/>
          </w:tcPr>
          <w:p w14:paraId="5CD9065F" w14:textId="77777777" w:rsidR="00BA49F5" w:rsidRDefault="007E5E49">
            <w:pPr>
              <w:jc w:val="right"/>
              <w:textAlignment w:val="bottom"/>
            </w:pPr>
            <w:r>
              <w:rPr>
                <w:rFonts w:ascii="Times New Roman" w:eastAsia="宋体" w:hAnsi="Times New Roman"/>
                <w:color w:val="000000"/>
                <w:sz w:val="20"/>
                <w:szCs w:val="20"/>
              </w:rPr>
              <w:t>(2,555)</w:t>
            </w:r>
          </w:p>
        </w:tc>
        <w:tc>
          <w:tcPr>
            <w:tcW w:w="0" w:type="auto"/>
            <w:shd w:val="clear" w:color="auto" w:fill="FFFFFF"/>
            <w:tcMar>
              <w:top w:w="40" w:type="dxa"/>
              <w:left w:w="0" w:type="dxa"/>
              <w:bottom w:w="40" w:type="dxa"/>
              <w:right w:w="20" w:type="dxa"/>
            </w:tcMar>
            <w:vAlign w:val="bottom"/>
          </w:tcPr>
          <w:p w14:paraId="5CD9066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6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62" w14:textId="77777777" w:rsidR="00BA49F5" w:rsidRDefault="007E5E49">
            <w:pPr>
              <w:jc w:val="right"/>
              <w:textAlignment w:val="bottom"/>
            </w:pPr>
            <w:r>
              <w:rPr>
                <w:rFonts w:ascii="Times New Roman" w:eastAsia="宋体" w:hAnsi="Times New Roman"/>
                <w:color w:val="000000"/>
                <w:sz w:val="20"/>
                <w:szCs w:val="20"/>
              </w:rPr>
              <w:t>(2,339)</w:t>
            </w:r>
          </w:p>
        </w:tc>
        <w:tc>
          <w:tcPr>
            <w:tcW w:w="0" w:type="auto"/>
            <w:shd w:val="clear" w:color="auto" w:fill="FFFFFF"/>
            <w:tcMar>
              <w:top w:w="40" w:type="dxa"/>
              <w:left w:w="0" w:type="dxa"/>
              <w:bottom w:w="40" w:type="dxa"/>
              <w:right w:w="20" w:type="dxa"/>
            </w:tcMar>
            <w:vAlign w:val="bottom"/>
          </w:tcPr>
          <w:p w14:paraId="5CD90663" w14:textId="77777777" w:rsidR="00BA49F5" w:rsidRDefault="00BA49F5">
            <w:pPr>
              <w:jc w:val="right"/>
              <w:rPr>
                <w:rFonts w:ascii="宋体"/>
              </w:rPr>
            </w:pPr>
          </w:p>
        </w:tc>
      </w:tr>
      <w:tr w:rsidR="00BA49F5" w14:paraId="5CD9066B" w14:textId="77777777">
        <w:tc>
          <w:tcPr>
            <w:tcW w:w="0" w:type="auto"/>
            <w:gridSpan w:val="3"/>
            <w:shd w:val="clear" w:color="auto" w:fill="CCEEFF"/>
            <w:tcMar>
              <w:top w:w="40" w:type="dxa"/>
              <w:left w:w="20" w:type="dxa"/>
              <w:bottom w:w="40" w:type="dxa"/>
              <w:right w:w="20" w:type="dxa"/>
            </w:tcMar>
            <w:vAlign w:val="bottom"/>
          </w:tcPr>
          <w:p w14:paraId="5CD90665" w14:textId="77777777" w:rsidR="00BA49F5" w:rsidRDefault="007E5E49">
            <w:pPr>
              <w:textAlignment w:val="bottom"/>
            </w:pPr>
            <w:r>
              <w:rPr>
                <w:rFonts w:ascii="Times New Roman" w:eastAsia="宋体" w:hAnsi="Times New Roman"/>
                <w:color w:val="000000"/>
                <w:sz w:val="20"/>
                <w:szCs w:val="20"/>
              </w:rPr>
              <w:t>Total deferred tax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666" w14:textId="77777777" w:rsidR="00BA49F5" w:rsidRDefault="007E5E49">
            <w:pPr>
              <w:jc w:val="right"/>
              <w:textAlignment w:val="bottom"/>
            </w:pPr>
            <w:r>
              <w:rPr>
                <w:rFonts w:ascii="Times New Roman" w:eastAsia="宋体" w:hAnsi="Times New Roman"/>
                <w:color w:val="000000"/>
                <w:sz w:val="20"/>
                <w:szCs w:val="20"/>
              </w:rPr>
              <w:t>(8,851)</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66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68" w14:textId="77777777" w:rsidR="00BA49F5" w:rsidRDefault="00BA49F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D90669" w14:textId="77777777" w:rsidR="00BA49F5" w:rsidRDefault="007E5E49">
            <w:pPr>
              <w:jc w:val="right"/>
              <w:textAlignment w:val="bottom"/>
            </w:pPr>
            <w:r>
              <w:rPr>
                <w:rFonts w:ascii="Times New Roman" w:eastAsia="宋体" w:hAnsi="Times New Roman"/>
                <w:color w:val="000000"/>
                <w:sz w:val="20"/>
                <w:szCs w:val="20"/>
              </w:rPr>
              <w:t>(6,764)</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66A" w14:textId="77777777" w:rsidR="00BA49F5" w:rsidRDefault="00BA49F5">
            <w:pPr>
              <w:jc w:val="right"/>
              <w:rPr>
                <w:rFonts w:ascii="宋体"/>
              </w:rPr>
            </w:pPr>
          </w:p>
        </w:tc>
      </w:tr>
      <w:tr w:rsidR="00BA49F5" w14:paraId="5CD90674" w14:textId="77777777">
        <w:tc>
          <w:tcPr>
            <w:tcW w:w="0" w:type="auto"/>
            <w:gridSpan w:val="3"/>
            <w:shd w:val="clear" w:color="auto" w:fill="FFFFFF"/>
            <w:tcMar>
              <w:top w:w="40" w:type="dxa"/>
              <w:left w:w="380" w:type="dxa"/>
              <w:bottom w:w="40" w:type="dxa"/>
              <w:right w:w="20" w:type="dxa"/>
            </w:tcMar>
            <w:vAlign w:val="bottom"/>
          </w:tcPr>
          <w:p w14:paraId="5CD9066C" w14:textId="77777777" w:rsidR="00BA49F5" w:rsidRDefault="007E5E49">
            <w:pPr>
              <w:textAlignment w:val="bottom"/>
            </w:pPr>
            <w:r>
              <w:rPr>
                <w:rFonts w:ascii="Times New Roman" w:eastAsia="宋体" w:hAnsi="Times New Roman"/>
                <w:color w:val="000000"/>
                <w:sz w:val="20"/>
                <w:szCs w:val="20"/>
              </w:rPr>
              <w:t>Net deferred tax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66D"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66E" w14:textId="77777777" w:rsidR="00BA49F5" w:rsidRDefault="007E5E49">
            <w:pPr>
              <w:jc w:val="right"/>
              <w:textAlignment w:val="bottom"/>
            </w:pPr>
            <w:r>
              <w:rPr>
                <w:rFonts w:ascii="Times New Roman" w:eastAsia="宋体" w:hAnsi="Times New Roman"/>
                <w:color w:val="000000"/>
                <w:sz w:val="20"/>
                <w:szCs w:val="20"/>
              </w:rPr>
              <w:t>4,946 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66F"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70"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671"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672" w14:textId="77777777" w:rsidR="00BA49F5" w:rsidRDefault="007E5E49">
            <w:pPr>
              <w:jc w:val="right"/>
              <w:textAlignment w:val="bottom"/>
            </w:pPr>
            <w:r>
              <w:rPr>
                <w:rFonts w:ascii="Times New Roman" w:eastAsia="宋体" w:hAnsi="Times New Roman"/>
                <w:color w:val="000000"/>
                <w:sz w:val="20"/>
                <w:szCs w:val="20"/>
              </w:rPr>
              <w:t>1,729 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673" w14:textId="77777777" w:rsidR="00BA49F5" w:rsidRDefault="00BA49F5">
            <w:pPr>
              <w:jc w:val="right"/>
              <w:rPr>
                <w:rFonts w:ascii="宋体"/>
              </w:rPr>
            </w:pPr>
          </w:p>
        </w:tc>
      </w:tr>
    </w:tbl>
    <w:p w14:paraId="5CD90675" w14:textId="77777777" w:rsidR="00BA49F5" w:rsidRDefault="00BA49F5">
      <w:pPr>
        <w:ind w:firstLine="540"/>
      </w:pPr>
    </w:p>
    <w:p w14:paraId="5CD90676" w14:textId="77777777" w:rsidR="00BA49F5" w:rsidRDefault="007E5E49">
      <w:pPr>
        <w:ind w:firstLine="540"/>
        <w:jc w:val="both"/>
      </w:pPr>
      <w:r>
        <w:rPr>
          <w:rFonts w:ascii="Times New Roman" w:eastAsia="宋体" w:hAnsi="Times New Roman"/>
          <w:color w:val="000000"/>
          <w:sz w:val="20"/>
          <w:szCs w:val="20"/>
        </w:rPr>
        <w:t xml:space="preserve">The valuation </w:t>
      </w:r>
      <w:r>
        <w:rPr>
          <w:rFonts w:ascii="Times New Roman" w:eastAsia="宋体" w:hAnsi="Times New Roman"/>
          <w:color w:val="000000"/>
          <w:sz w:val="20"/>
          <w:szCs w:val="20"/>
        </w:rPr>
        <w:t>allowance was approximately $2.49 billion and $1.59 billion as of December 31, 2022 and 2021, respectively, primarily related to U.S. state tax credit carryforwards, U.S. foreign tax credits, unrealized losses in securities and investments, and certain for</w:t>
      </w:r>
      <w:r>
        <w:rPr>
          <w:rFonts w:ascii="Times New Roman" w:eastAsia="宋体" w:hAnsi="Times New Roman"/>
          <w:color w:val="000000"/>
          <w:sz w:val="20"/>
          <w:szCs w:val="20"/>
        </w:rPr>
        <w:t>eign tax attributes for which we do not believe a tax benefit is more likely than not to be realized.</w:t>
      </w:r>
    </w:p>
    <w:p w14:paraId="5CD90677" w14:textId="77777777" w:rsidR="00BA49F5" w:rsidRDefault="00BA49F5">
      <w:pPr>
        <w:ind w:firstLine="540"/>
        <w:jc w:val="both"/>
      </w:pPr>
    </w:p>
    <w:p w14:paraId="5CD90678" w14:textId="77777777" w:rsidR="00BA49F5" w:rsidRDefault="007E5E49">
      <w:pPr>
        <w:ind w:firstLine="540"/>
        <w:jc w:val="both"/>
      </w:pPr>
      <w:r>
        <w:rPr>
          <w:rFonts w:ascii="Times New Roman" w:eastAsia="宋体" w:hAnsi="Times New Roman"/>
          <w:color w:val="000000"/>
          <w:sz w:val="20"/>
          <w:szCs w:val="20"/>
        </w:rPr>
        <w:t>As of December 31, 2022, the U.S. federal and state net operating loss carryforwards were $196 million and $1.40 billion, which will begin to expire in 2</w:t>
      </w:r>
      <w:r>
        <w:rPr>
          <w:rFonts w:ascii="Times New Roman" w:eastAsia="宋体" w:hAnsi="Times New Roman"/>
          <w:color w:val="000000"/>
          <w:sz w:val="20"/>
          <w:szCs w:val="20"/>
        </w:rPr>
        <w:t>035 and 2032, respectively, if not utilized. We have federal tax credit carryforwards of $276 million, which will begin to expire in 2029, if not utilized, and state tax credit carryforwards of $3.72 billion, most of which do not expire.</w:t>
      </w:r>
    </w:p>
    <w:p w14:paraId="5CD90679" w14:textId="77777777" w:rsidR="00BA49F5" w:rsidRDefault="00BA49F5">
      <w:pPr>
        <w:ind w:firstLine="540"/>
        <w:jc w:val="both"/>
      </w:pPr>
    </w:p>
    <w:p w14:paraId="5CD9067A" w14:textId="77777777" w:rsidR="00BA49F5" w:rsidRDefault="007E5E49">
      <w:pPr>
        <w:ind w:firstLine="540"/>
        <w:jc w:val="both"/>
      </w:pPr>
      <w:r>
        <w:rPr>
          <w:rFonts w:ascii="Times New Roman" w:eastAsia="宋体" w:hAnsi="Times New Roman"/>
          <w:color w:val="000000"/>
          <w:sz w:val="20"/>
          <w:szCs w:val="20"/>
        </w:rPr>
        <w:t>Utilization of ou</w:t>
      </w:r>
      <w:r>
        <w:rPr>
          <w:rFonts w:ascii="Times New Roman" w:eastAsia="宋体" w:hAnsi="Times New Roman"/>
          <w:color w:val="000000"/>
          <w:sz w:val="20"/>
          <w:szCs w:val="20"/>
        </w:rPr>
        <w:t>r net operating loss and tax credit carryforwards may be subject to substantial annual limitations due to the ownership change limitations provided by the Internal Revenue Code and similar state provisions. Such annual limitations could result in the expir</w:t>
      </w:r>
      <w:r>
        <w:rPr>
          <w:rFonts w:ascii="Times New Roman" w:eastAsia="宋体" w:hAnsi="Times New Roman"/>
          <w:color w:val="000000"/>
          <w:sz w:val="20"/>
          <w:szCs w:val="20"/>
        </w:rPr>
        <w:t>ation of the net operating loss and tax credit carryforwards before their utilization. The events that may cause ownership changes include, but are not limited to, a cumulative stock ownership change of greater than 50% over a three</w:t>
      </w:r>
      <w:r>
        <w:rPr>
          <w:rFonts w:ascii="Times New Roman" w:eastAsia="宋体" w:hAnsi="Times New Roman"/>
          <w:color w:val="000000"/>
          <w:sz w:val="20"/>
          <w:szCs w:val="20"/>
        </w:rPr>
        <w:noBreakHyphen/>
        <w:t>year period.</w:t>
      </w:r>
    </w:p>
    <w:p w14:paraId="5CD9067B" w14:textId="77777777" w:rsidR="00BA49F5" w:rsidRDefault="00BA49F5">
      <w:pPr>
        <w:ind w:firstLine="540"/>
        <w:jc w:val="both"/>
      </w:pPr>
    </w:p>
    <w:p w14:paraId="5CD9067C" w14:textId="77777777" w:rsidR="00BA49F5" w:rsidRDefault="007E5E49">
      <w:pPr>
        <w:ind w:firstLine="540"/>
        <w:jc w:val="both"/>
      </w:pPr>
      <w:r>
        <w:rPr>
          <w:rFonts w:ascii="Times New Roman" w:eastAsia="宋体" w:hAnsi="Times New Roman"/>
          <w:color w:val="000000"/>
          <w:sz w:val="20"/>
          <w:szCs w:val="20"/>
        </w:rPr>
        <w:t>The follo</w:t>
      </w:r>
      <w:r>
        <w:rPr>
          <w:rFonts w:ascii="Times New Roman" w:eastAsia="宋体" w:hAnsi="Times New Roman"/>
          <w:color w:val="000000"/>
          <w:sz w:val="20"/>
          <w:szCs w:val="20"/>
        </w:rPr>
        <w:t>wing table reflects changes in the gross unrecognized tax benefits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A49F5" w14:paraId="5CD9068F" w14:textId="77777777">
        <w:tc>
          <w:tcPr>
            <w:tcW w:w="50" w:type="pct"/>
            <w:shd w:val="clear" w:color="auto" w:fill="auto"/>
            <w:vAlign w:val="bottom"/>
          </w:tcPr>
          <w:p w14:paraId="5CD9067D" w14:textId="77777777" w:rsidR="00BA49F5" w:rsidRDefault="00BA49F5">
            <w:pPr>
              <w:rPr>
                <w:rFonts w:ascii="宋体"/>
              </w:rPr>
            </w:pPr>
          </w:p>
        </w:tc>
        <w:tc>
          <w:tcPr>
            <w:tcW w:w="2928" w:type="pct"/>
            <w:shd w:val="clear" w:color="auto" w:fill="auto"/>
            <w:vAlign w:val="bottom"/>
          </w:tcPr>
          <w:p w14:paraId="5CD9067E" w14:textId="77777777" w:rsidR="00BA49F5" w:rsidRDefault="00BA49F5">
            <w:pPr>
              <w:rPr>
                <w:rFonts w:ascii="宋体"/>
              </w:rPr>
            </w:pPr>
          </w:p>
        </w:tc>
        <w:tc>
          <w:tcPr>
            <w:tcW w:w="5" w:type="pct"/>
            <w:shd w:val="clear" w:color="auto" w:fill="auto"/>
            <w:vAlign w:val="bottom"/>
          </w:tcPr>
          <w:p w14:paraId="5CD9067F" w14:textId="77777777" w:rsidR="00BA49F5" w:rsidRDefault="00BA49F5">
            <w:pPr>
              <w:rPr>
                <w:rFonts w:ascii="宋体"/>
              </w:rPr>
            </w:pPr>
          </w:p>
        </w:tc>
        <w:tc>
          <w:tcPr>
            <w:tcW w:w="50" w:type="pct"/>
            <w:shd w:val="clear" w:color="auto" w:fill="auto"/>
            <w:vAlign w:val="bottom"/>
          </w:tcPr>
          <w:p w14:paraId="5CD90680" w14:textId="77777777" w:rsidR="00BA49F5" w:rsidRDefault="00BA49F5">
            <w:pPr>
              <w:rPr>
                <w:rFonts w:ascii="宋体"/>
              </w:rPr>
            </w:pPr>
          </w:p>
        </w:tc>
        <w:tc>
          <w:tcPr>
            <w:tcW w:w="592" w:type="pct"/>
            <w:shd w:val="clear" w:color="auto" w:fill="auto"/>
            <w:vAlign w:val="bottom"/>
          </w:tcPr>
          <w:p w14:paraId="5CD90681" w14:textId="77777777" w:rsidR="00BA49F5" w:rsidRDefault="00BA49F5">
            <w:pPr>
              <w:rPr>
                <w:rFonts w:ascii="宋体"/>
              </w:rPr>
            </w:pPr>
          </w:p>
        </w:tc>
        <w:tc>
          <w:tcPr>
            <w:tcW w:w="5" w:type="pct"/>
            <w:shd w:val="clear" w:color="auto" w:fill="auto"/>
            <w:vAlign w:val="bottom"/>
          </w:tcPr>
          <w:p w14:paraId="5CD90682" w14:textId="77777777" w:rsidR="00BA49F5" w:rsidRDefault="00BA49F5">
            <w:pPr>
              <w:rPr>
                <w:rFonts w:ascii="宋体"/>
              </w:rPr>
            </w:pPr>
          </w:p>
        </w:tc>
        <w:tc>
          <w:tcPr>
            <w:tcW w:w="5" w:type="pct"/>
            <w:shd w:val="clear" w:color="auto" w:fill="auto"/>
            <w:vAlign w:val="bottom"/>
          </w:tcPr>
          <w:p w14:paraId="5CD90683" w14:textId="77777777" w:rsidR="00BA49F5" w:rsidRDefault="00BA49F5">
            <w:pPr>
              <w:rPr>
                <w:rFonts w:ascii="宋体"/>
              </w:rPr>
            </w:pPr>
          </w:p>
        </w:tc>
        <w:tc>
          <w:tcPr>
            <w:tcW w:w="27" w:type="pct"/>
            <w:shd w:val="clear" w:color="auto" w:fill="auto"/>
            <w:vAlign w:val="bottom"/>
          </w:tcPr>
          <w:p w14:paraId="5CD90684" w14:textId="77777777" w:rsidR="00BA49F5" w:rsidRDefault="00BA49F5">
            <w:pPr>
              <w:rPr>
                <w:rFonts w:ascii="宋体"/>
              </w:rPr>
            </w:pPr>
          </w:p>
        </w:tc>
        <w:tc>
          <w:tcPr>
            <w:tcW w:w="5" w:type="pct"/>
            <w:shd w:val="clear" w:color="auto" w:fill="auto"/>
            <w:vAlign w:val="bottom"/>
          </w:tcPr>
          <w:p w14:paraId="5CD90685" w14:textId="77777777" w:rsidR="00BA49F5" w:rsidRDefault="00BA49F5">
            <w:pPr>
              <w:rPr>
                <w:rFonts w:ascii="宋体"/>
              </w:rPr>
            </w:pPr>
          </w:p>
        </w:tc>
        <w:tc>
          <w:tcPr>
            <w:tcW w:w="50" w:type="pct"/>
            <w:shd w:val="clear" w:color="auto" w:fill="auto"/>
            <w:vAlign w:val="bottom"/>
          </w:tcPr>
          <w:p w14:paraId="5CD90686" w14:textId="77777777" w:rsidR="00BA49F5" w:rsidRDefault="00BA49F5">
            <w:pPr>
              <w:rPr>
                <w:rFonts w:ascii="宋体"/>
              </w:rPr>
            </w:pPr>
          </w:p>
        </w:tc>
        <w:tc>
          <w:tcPr>
            <w:tcW w:w="592" w:type="pct"/>
            <w:shd w:val="clear" w:color="auto" w:fill="auto"/>
            <w:vAlign w:val="bottom"/>
          </w:tcPr>
          <w:p w14:paraId="5CD90687" w14:textId="77777777" w:rsidR="00BA49F5" w:rsidRDefault="00BA49F5">
            <w:pPr>
              <w:rPr>
                <w:rFonts w:ascii="宋体"/>
              </w:rPr>
            </w:pPr>
          </w:p>
        </w:tc>
        <w:tc>
          <w:tcPr>
            <w:tcW w:w="5" w:type="pct"/>
            <w:shd w:val="clear" w:color="auto" w:fill="auto"/>
            <w:vAlign w:val="bottom"/>
          </w:tcPr>
          <w:p w14:paraId="5CD90688" w14:textId="77777777" w:rsidR="00BA49F5" w:rsidRDefault="00BA49F5">
            <w:pPr>
              <w:rPr>
                <w:rFonts w:ascii="宋体"/>
              </w:rPr>
            </w:pPr>
          </w:p>
        </w:tc>
        <w:tc>
          <w:tcPr>
            <w:tcW w:w="5" w:type="pct"/>
            <w:shd w:val="clear" w:color="auto" w:fill="auto"/>
            <w:vAlign w:val="bottom"/>
          </w:tcPr>
          <w:p w14:paraId="5CD90689" w14:textId="77777777" w:rsidR="00BA49F5" w:rsidRDefault="00BA49F5">
            <w:pPr>
              <w:rPr>
                <w:rFonts w:ascii="宋体"/>
              </w:rPr>
            </w:pPr>
          </w:p>
        </w:tc>
        <w:tc>
          <w:tcPr>
            <w:tcW w:w="27" w:type="pct"/>
            <w:shd w:val="clear" w:color="auto" w:fill="auto"/>
            <w:vAlign w:val="bottom"/>
          </w:tcPr>
          <w:p w14:paraId="5CD9068A" w14:textId="77777777" w:rsidR="00BA49F5" w:rsidRDefault="00BA49F5">
            <w:pPr>
              <w:rPr>
                <w:rFonts w:ascii="宋体"/>
              </w:rPr>
            </w:pPr>
          </w:p>
        </w:tc>
        <w:tc>
          <w:tcPr>
            <w:tcW w:w="5" w:type="pct"/>
            <w:shd w:val="clear" w:color="auto" w:fill="auto"/>
            <w:vAlign w:val="bottom"/>
          </w:tcPr>
          <w:p w14:paraId="5CD9068B" w14:textId="77777777" w:rsidR="00BA49F5" w:rsidRDefault="00BA49F5">
            <w:pPr>
              <w:rPr>
                <w:rFonts w:ascii="宋体"/>
              </w:rPr>
            </w:pPr>
          </w:p>
        </w:tc>
        <w:tc>
          <w:tcPr>
            <w:tcW w:w="50" w:type="pct"/>
            <w:shd w:val="clear" w:color="auto" w:fill="auto"/>
            <w:vAlign w:val="bottom"/>
          </w:tcPr>
          <w:p w14:paraId="5CD9068C" w14:textId="77777777" w:rsidR="00BA49F5" w:rsidRDefault="00BA49F5">
            <w:pPr>
              <w:rPr>
                <w:rFonts w:ascii="宋体"/>
              </w:rPr>
            </w:pPr>
          </w:p>
        </w:tc>
        <w:tc>
          <w:tcPr>
            <w:tcW w:w="592" w:type="pct"/>
            <w:shd w:val="clear" w:color="auto" w:fill="auto"/>
            <w:vAlign w:val="bottom"/>
          </w:tcPr>
          <w:p w14:paraId="5CD9068D" w14:textId="77777777" w:rsidR="00BA49F5" w:rsidRDefault="00BA49F5">
            <w:pPr>
              <w:rPr>
                <w:rFonts w:ascii="宋体"/>
              </w:rPr>
            </w:pPr>
          </w:p>
        </w:tc>
        <w:tc>
          <w:tcPr>
            <w:tcW w:w="5" w:type="pct"/>
            <w:shd w:val="clear" w:color="auto" w:fill="auto"/>
            <w:vAlign w:val="bottom"/>
          </w:tcPr>
          <w:p w14:paraId="5CD9068E" w14:textId="77777777" w:rsidR="00BA49F5" w:rsidRDefault="00BA49F5">
            <w:pPr>
              <w:rPr>
                <w:rFonts w:ascii="宋体"/>
              </w:rPr>
            </w:pPr>
          </w:p>
        </w:tc>
      </w:tr>
      <w:tr w:rsidR="00BA49F5" w14:paraId="5CD90692" w14:textId="77777777">
        <w:tc>
          <w:tcPr>
            <w:tcW w:w="0" w:type="auto"/>
            <w:gridSpan w:val="3"/>
            <w:shd w:val="clear" w:color="auto" w:fill="auto"/>
            <w:tcMar>
              <w:top w:w="40" w:type="dxa"/>
              <w:left w:w="20" w:type="dxa"/>
              <w:bottom w:w="40" w:type="dxa"/>
              <w:right w:w="20" w:type="dxa"/>
            </w:tcMar>
            <w:vAlign w:val="bottom"/>
          </w:tcPr>
          <w:p w14:paraId="5CD90690"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90691"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90699" w14:textId="77777777">
        <w:tc>
          <w:tcPr>
            <w:tcW w:w="0" w:type="auto"/>
            <w:gridSpan w:val="3"/>
            <w:shd w:val="clear" w:color="auto" w:fill="auto"/>
            <w:tcMar>
              <w:top w:w="40" w:type="dxa"/>
              <w:left w:w="20" w:type="dxa"/>
              <w:bottom w:w="40" w:type="dxa"/>
              <w:right w:w="20" w:type="dxa"/>
            </w:tcMar>
            <w:vAlign w:val="bottom"/>
          </w:tcPr>
          <w:p w14:paraId="5CD90693"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694"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695"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696"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697"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698"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6A6" w14:textId="77777777">
        <w:tc>
          <w:tcPr>
            <w:tcW w:w="0" w:type="auto"/>
            <w:gridSpan w:val="3"/>
            <w:shd w:val="clear" w:color="auto" w:fill="CCEEFF"/>
            <w:tcMar>
              <w:top w:w="40" w:type="dxa"/>
              <w:left w:w="20" w:type="dxa"/>
              <w:bottom w:w="40" w:type="dxa"/>
              <w:right w:w="20" w:type="dxa"/>
            </w:tcMar>
            <w:vAlign w:val="bottom"/>
          </w:tcPr>
          <w:p w14:paraId="5CD9069A" w14:textId="77777777" w:rsidR="00BA49F5" w:rsidRDefault="007E5E49">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69B"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69C" w14:textId="77777777" w:rsidR="00BA49F5" w:rsidRDefault="007E5E49">
            <w:pPr>
              <w:jc w:val="right"/>
              <w:textAlignment w:val="bottom"/>
            </w:pPr>
            <w:r>
              <w:rPr>
                <w:rFonts w:ascii="Times New Roman" w:eastAsia="宋体" w:hAnsi="Times New Roman"/>
                <w:color w:val="000000"/>
                <w:sz w:val="20"/>
                <w:szCs w:val="20"/>
              </w:rPr>
              <w:t>9,807 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69D"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9E"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69F"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6A0" w14:textId="77777777" w:rsidR="00BA49F5" w:rsidRDefault="007E5E49">
            <w:pPr>
              <w:jc w:val="right"/>
              <w:textAlignment w:val="bottom"/>
            </w:pPr>
            <w:r>
              <w:rPr>
                <w:rFonts w:ascii="Times New Roman" w:eastAsia="宋体" w:hAnsi="Times New Roman"/>
                <w:color w:val="000000"/>
                <w:sz w:val="20"/>
                <w:szCs w:val="20"/>
              </w:rPr>
              <w:t>8,692 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6A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A2"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6A3"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6A4" w14:textId="77777777" w:rsidR="00BA49F5" w:rsidRDefault="007E5E49">
            <w:pPr>
              <w:jc w:val="right"/>
              <w:textAlignment w:val="bottom"/>
            </w:pPr>
            <w:r>
              <w:rPr>
                <w:rFonts w:ascii="Times New Roman" w:eastAsia="宋体" w:hAnsi="Times New Roman"/>
                <w:color w:val="000000"/>
                <w:sz w:val="20"/>
                <w:szCs w:val="20"/>
              </w:rPr>
              <w:t>7,863 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6A5" w14:textId="77777777" w:rsidR="00BA49F5" w:rsidRDefault="00BA49F5">
            <w:pPr>
              <w:jc w:val="right"/>
              <w:rPr>
                <w:rFonts w:ascii="宋体"/>
              </w:rPr>
            </w:pPr>
          </w:p>
        </w:tc>
      </w:tr>
      <w:tr w:rsidR="00BA49F5" w14:paraId="5CD906B0" w14:textId="77777777">
        <w:tc>
          <w:tcPr>
            <w:tcW w:w="0" w:type="auto"/>
            <w:gridSpan w:val="3"/>
            <w:shd w:val="clear" w:color="auto" w:fill="FFFFFF"/>
            <w:tcMar>
              <w:top w:w="40" w:type="dxa"/>
              <w:left w:w="200" w:type="dxa"/>
              <w:bottom w:w="40" w:type="dxa"/>
              <w:right w:w="20" w:type="dxa"/>
            </w:tcMar>
            <w:vAlign w:val="bottom"/>
          </w:tcPr>
          <w:p w14:paraId="5CD906A7" w14:textId="77777777" w:rsidR="00BA49F5" w:rsidRDefault="007E5E49">
            <w:pPr>
              <w:textAlignment w:val="bottom"/>
            </w:pPr>
            <w:r>
              <w:rPr>
                <w:rFonts w:ascii="Times New Roman" w:eastAsia="宋体" w:hAnsi="Times New Roman"/>
                <w:color w:val="000000"/>
                <w:sz w:val="20"/>
                <w:szCs w:val="20"/>
              </w:rPr>
              <w:t>Increases related to prior year tax positions</w:t>
            </w:r>
          </w:p>
        </w:tc>
        <w:tc>
          <w:tcPr>
            <w:tcW w:w="0" w:type="auto"/>
            <w:gridSpan w:val="2"/>
            <w:shd w:val="clear" w:color="auto" w:fill="FFFFFF"/>
            <w:tcMar>
              <w:top w:w="40" w:type="dxa"/>
              <w:left w:w="20" w:type="dxa"/>
              <w:bottom w:w="40" w:type="dxa"/>
              <w:right w:w="0" w:type="dxa"/>
            </w:tcMar>
            <w:vAlign w:val="bottom"/>
          </w:tcPr>
          <w:p w14:paraId="5CD906A8" w14:textId="77777777" w:rsidR="00BA49F5" w:rsidRDefault="007E5E49">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5CD906A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AA"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AB" w14:textId="77777777" w:rsidR="00BA49F5" w:rsidRDefault="007E5E49">
            <w:pPr>
              <w:jc w:val="right"/>
              <w:textAlignment w:val="bottom"/>
            </w:pPr>
            <w:r>
              <w:rPr>
                <w:rFonts w:ascii="Times New Roman" w:eastAsia="宋体" w:hAnsi="Times New Roman"/>
                <w:color w:val="000000"/>
                <w:sz w:val="20"/>
                <w:szCs w:val="20"/>
              </w:rPr>
              <w:t>328 </w:t>
            </w:r>
          </w:p>
        </w:tc>
        <w:tc>
          <w:tcPr>
            <w:tcW w:w="0" w:type="auto"/>
            <w:shd w:val="clear" w:color="auto" w:fill="FFFFFF"/>
            <w:tcMar>
              <w:top w:w="40" w:type="dxa"/>
              <w:left w:w="0" w:type="dxa"/>
              <w:bottom w:w="40" w:type="dxa"/>
              <w:right w:w="20" w:type="dxa"/>
            </w:tcMar>
            <w:vAlign w:val="bottom"/>
          </w:tcPr>
          <w:p w14:paraId="5CD906A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A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AE" w14:textId="77777777" w:rsidR="00BA49F5" w:rsidRDefault="007E5E49">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5CD906AF" w14:textId="77777777" w:rsidR="00BA49F5" w:rsidRDefault="00BA49F5">
            <w:pPr>
              <w:jc w:val="right"/>
              <w:rPr>
                <w:rFonts w:ascii="宋体"/>
              </w:rPr>
            </w:pPr>
          </w:p>
        </w:tc>
      </w:tr>
      <w:tr w:rsidR="00BA49F5" w14:paraId="5CD906BA" w14:textId="77777777">
        <w:tc>
          <w:tcPr>
            <w:tcW w:w="0" w:type="auto"/>
            <w:gridSpan w:val="3"/>
            <w:shd w:val="clear" w:color="auto" w:fill="CCEEFF"/>
            <w:tcMar>
              <w:top w:w="40" w:type="dxa"/>
              <w:left w:w="200" w:type="dxa"/>
              <w:bottom w:w="40" w:type="dxa"/>
              <w:right w:w="20" w:type="dxa"/>
            </w:tcMar>
            <w:vAlign w:val="bottom"/>
          </w:tcPr>
          <w:p w14:paraId="5CD906B1" w14:textId="77777777" w:rsidR="00BA49F5" w:rsidRDefault="007E5E49">
            <w:pPr>
              <w:textAlignment w:val="bottom"/>
            </w:pPr>
            <w:r>
              <w:rPr>
                <w:rFonts w:ascii="Times New Roman" w:eastAsia="宋体" w:hAnsi="Times New Roman"/>
                <w:color w:val="000000"/>
                <w:sz w:val="20"/>
                <w:szCs w:val="20"/>
              </w:rPr>
              <w:t>Decreases related to prior year tax positions</w:t>
            </w:r>
          </w:p>
        </w:tc>
        <w:tc>
          <w:tcPr>
            <w:tcW w:w="0" w:type="auto"/>
            <w:gridSpan w:val="2"/>
            <w:shd w:val="clear" w:color="auto" w:fill="CCEEFF"/>
            <w:tcMar>
              <w:top w:w="40" w:type="dxa"/>
              <w:left w:w="20" w:type="dxa"/>
              <w:bottom w:w="40" w:type="dxa"/>
              <w:right w:w="0" w:type="dxa"/>
            </w:tcMar>
            <w:vAlign w:val="bottom"/>
          </w:tcPr>
          <w:p w14:paraId="5CD906B2" w14:textId="77777777" w:rsidR="00BA49F5" w:rsidRDefault="007E5E49">
            <w:pPr>
              <w:jc w:val="right"/>
              <w:textAlignment w:val="bottom"/>
            </w:pPr>
            <w:r>
              <w:rPr>
                <w:rFonts w:ascii="Times New Roman" w:eastAsia="宋体" w:hAnsi="Times New Roman"/>
                <w:color w:val="000000"/>
                <w:sz w:val="20"/>
                <w:szCs w:val="20"/>
              </w:rPr>
              <w:t>(172)</w:t>
            </w:r>
          </w:p>
        </w:tc>
        <w:tc>
          <w:tcPr>
            <w:tcW w:w="0" w:type="auto"/>
            <w:shd w:val="clear" w:color="auto" w:fill="CCEEFF"/>
            <w:tcMar>
              <w:top w:w="40" w:type="dxa"/>
              <w:left w:w="0" w:type="dxa"/>
              <w:bottom w:w="40" w:type="dxa"/>
              <w:right w:w="20" w:type="dxa"/>
            </w:tcMar>
            <w:vAlign w:val="bottom"/>
          </w:tcPr>
          <w:p w14:paraId="5CD906B3"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B4"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B5" w14:textId="77777777" w:rsidR="00BA49F5" w:rsidRDefault="007E5E49">
            <w:pPr>
              <w:jc w:val="right"/>
              <w:textAlignment w:val="bottom"/>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bottom"/>
          </w:tcPr>
          <w:p w14:paraId="5CD906B6"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B7"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B8" w14:textId="77777777" w:rsidR="00BA49F5" w:rsidRDefault="007E5E49">
            <w:pPr>
              <w:jc w:val="right"/>
              <w:textAlignment w:val="bottom"/>
            </w:pPr>
            <w:r>
              <w:rPr>
                <w:rFonts w:ascii="Times New Roman" w:eastAsia="宋体" w:hAnsi="Times New Roman"/>
                <w:color w:val="000000"/>
                <w:sz w:val="20"/>
                <w:szCs w:val="20"/>
              </w:rPr>
              <w:t>(253)</w:t>
            </w:r>
          </w:p>
        </w:tc>
        <w:tc>
          <w:tcPr>
            <w:tcW w:w="0" w:type="auto"/>
            <w:shd w:val="clear" w:color="auto" w:fill="CCEEFF"/>
            <w:tcMar>
              <w:top w:w="40" w:type="dxa"/>
              <w:left w:w="0" w:type="dxa"/>
              <w:bottom w:w="40" w:type="dxa"/>
              <w:right w:w="20" w:type="dxa"/>
            </w:tcMar>
            <w:vAlign w:val="bottom"/>
          </w:tcPr>
          <w:p w14:paraId="5CD906B9" w14:textId="77777777" w:rsidR="00BA49F5" w:rsidRDefault="00BA49F5">
            <w:pPr>
              <w:jc w:val="right"/>
              <w:rPr>
                <w:rFonts w:ascii="宋体"/>
              </w:rPr>
            </w:pPr>
          </w:p>
        </w:tc>
      </w:tr>
      <w:tr w:rsidR="00BA49F5" w14:paraId="5CD906C4" w14:textId="77777777">
        <w:tc>
          <w:tcPr>
            <w:tcW w:w="0" w:type="auto"/>
            <w:gridSpan w:val="3"/>
            <w:shd w:val="clear" w:color="auto" w:fill="FFFFFF"/>
            <w:tcMar>
              <w:top w:w="40" w:type="dxa"/>
              <w:left w:w="200" w:type="dxa"/>
              <w:bottom w:w="40" w:type="dxa"/>
              <w:right w:w="20" w:type="dxa"/>
            </w:tcMar>
            <w:vAlign w:val="bottom"/>
          </w:tcPr>
          <w:p w14:paraId="5CD906BB" w14:textId="77777777" w:rsidR="00BA49F5" w:rsidRDefault="007E5E49">
            <w:pPr>
              <w:textAlignment w:val="bottom"/>
            </w:pPr>
            <w:r>
              <w:rPr>
                <w:rFonts w:ascii="Times New Roman" w:eastAsia="宋体" w:hAnsi="Times New Roman"/>
                <w:color w:val="000000"/>
                <w:sz w:val="20"/>
                <w:szCs w:val="20"/>
              </w:rPr>
              <w:t>Increases related to current year tax positions</w:t>
            </w:r>
          </w:p>
        </w:tc>
        <w:tc>
          <w:tcPr>
            <w:tcW w:w="0" w:type="auto"/>
            <w:gridSpan w:val="2"/>
            <w:shd w:val="clear" w:color="auto" w:fill="FFFFFF"/>
            <w:tcMar>
              <w:top w:w="40" w:type="dxa"/>
              <w:left w:w="20" w:type="dxa"/>
              <w:bottom w:w="40" w:type="dxa"/>
              <w:right w:w="0" w:type="dxa"/>
            </w:tcMar>
            <w:vAlign w:val="bottom"/>
          </w:tcPr>
          <w:p w14:paraId="5CD906BC" w14:textId="77777777" w:rsidR="00BA49F5" w:rsidRDefault="007E5E49">
            <w:pPr>
              <w:jc w:val="right"/>
              <w:textAlignment w:val="bottom"/>
            </w:pPr>
            <w:r>
              <w:rPr>
                <w:rFonts w:ascii="Times New Roman" w:eastAsia="宋体" w:hAnsi="Times New Roman"/>
                <w:color w:val="000000"/>
                <w:sz w:val="20"/>
                <w:szCs w:val="20"/>
              </w:rPr>
              <w:t>1,166 </w:t>
            </w:r>
          </w:p>
        </w:tc>
        <w:tc>
          <w:tcPr>
            <w:tcW w:w="0" w:type="auto"/>
            <w:shd w:val="clear" w:color="auto" w:fill="FFFFFF"/>
            <w:tcMar>
              <w:top w:w="40" w:type="dxa"/>
              <w:left w:w="0" w:type="dxa"/>
              <w:bottom w:w="40" w:type="dxa"/>
              <w:right w:w="20" w:type="dxa"/>
            </w:tcMar>
            <w:vAlign w:val="bottom"/>
          </w:tcPr>
          <w:p w14:paraId="5CD906BD"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BE"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BF" w14:textId="77777777" w:rsidR="00BA49F5" w:rsidRDefault="007E5E49">
            <w:pPr>
              <w:jc w:val="right"/>
              <w:textAlignment w:val="bottom"/>
            </w:pPr>
            <w:r>
              <w:rPr>
                <w:rFonts w:ascii="Times New Roman" w:eastAsia="宋体" w:hAnsi="Times New Roman"/>
                <w:color w:val="000000"/>
                <w:sz w:val="20"/>
                <w:szCs w:val="20"/>
              </w:rPr>
              <w:t>963 </w:t>
            </w:r>
          </w:p>
        </w:tc>
        <w:tc>
          <w:tcPr>
            <w:tcW w:w="0" w:type="auto"/>
            <w:shd w:val="clear" w:color="auto" w:fill="FFFFFF"/>
            <w:tcMar>
              <w:top w:w="40" w:type="dxa"/>
              <w:left w:w="0" w:type="dxa"/>
              <w:bottom w:w="40" w:type="dxa"/>
              <w:right w:w="20" w:type="dxa"/>
            </w:tcMar>
            <w:vAlign w:val="bottom"/>
          </w:tcPr>
          <w:p w14:paraId="5CD906C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C1"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6C2" w14:textId="77777777" w:rsidR="00BA49F5" w:rsidRDefault="007E5E49">
            <w:pPr>
              <w:jc w:val="right"/>
              <w:textAlignment w:val="bottom"/>
            </w:pPr>
            <w:r>
              <w:rPr>
                <w:rFonts w:ascii="Times New Roman" w:eastAsia="宋体" w:hAnsi="Times New Roman"/>
                <w:color w:val="000000"/>
                <w:sz w:val="20"/>
                <w:szCs w:val="20"/>
              </w:rPr>
              <w:t>1,045 </w:t>
            </w:r>
          </w:p>
        </w:tc>
        <w:tc>
          <w:tcPr>
            <w:tcW w:w="0" w:type="auto"/>
            <w:shd w:val="clear" w:color="auto" w:fill="FFFFFF"/>
            <w:tcMar>
              <w:top w:w="40" w:type="dxa"/>
              <w:left w:w="0" w:type="dxa"/>
              <w:bottom w:w="40" w:type="dxa"/>
              <w:right w:w="20" w:type="dxa"/>
            </w:tcMar>
            <w:vAlign w:val="bottom"/>
          </w:tcPr>
          <w:p w14:paraId="5CD906C3" w14:textId="77777777" w:rsidR="00BA49F5" w:rsidRDefault="00BA49F5">
            <w:pPr>
              <w:jc w:val="right"/>
              <w:rPr>
                <w:rFonts w:ascii="宋体"/>
              </w:rPr>
            </w:pPr>
          </w:p>
        </w:tc>
      </w:tr>
      <w:tr w:rsidR="00BA49F5" w14:paraId="5CD906CE" w14:textId="77777777">
        <w:tc>
          <w:tcPr>
            <w:tcW w:w="0" w:type="auto"/>
            <w:gridSpan w:val="3"/>
            <w:shd w:val="clear" w:color="auto" w:fill="CCEEFF"/>
            <w:tcMar>
              <w:top w:w="40" w:type="dxa"/>
              <w:left w:w="200" w:type="dxa"/>
              <w:bottom w:w="40" w:type="dxa"/>
              <w:right w:w="20" w:type="dxa"/>
            </w:tcMar>
            <w:vAlign w:val="bottom"/>
          </w:tcPr>
          <w:p w14:paraId="5CD906C5" w14:textId="77777777" w:rsidR="00BA49F5" w:rsidRDefault="007E5E49">
            <w:pPr>
              <w:textAlignment w:val="bottom"/>
            </w:pPr>
            <w:r>
              <w:rPr>
                <w:rFonts w:ascii="Times New Roman" w:eastAsia="宋体" w:hAnsi="Times New Roman"/>
                <w:color w:val="000000"/>
                <w:sz w:val="20"/>
                <w:szCs w:val="20"/>
              </w:rPr>
              <w:t>Decreases related to settlements of prior year tax positions</w:t>
            </w:r>
          </w:p>
        </w:tc>
        <w:tc>
          <w:tcPr>
            <w:tcW w:w="0" w:type="auto"/>
            <w:gridSpan w:val="2"/>
            <w:shd w:val="clear" w:color="auto" w:fill="CCEEFF"/>
            <w:tcMar>
              <w:top w:w="40" w:type="dxa"/>
              <w:left w:w="20" w:type="dxa"/>
              <w:bottom w:w="40" w:type="dxa"/>
              <w:right w:w="0" w:type="dxa"/>
            </w:tcMar>
            <w:vAlign w:val="bottom"/>
          </w:tcPr>
          <w:p w14:paraId="5CD906C6" w14:textId="77777777" w:rsidR="00BA49F5" w:rsidRDefault="007E5E49">
            <w:pPr>
              <w:jc w:val="right"/>
              <w:textAlignment w:val="bottom"/>
            </w:pPr>
            <w:r>
              <w:rPr>
                <w:rFonts w:ascii="Times New Roman" w:eastAsia="宋体" w:hAnsi="Times New Roman"/>
                <w:color w:val="000000"/>
                <w:sz w:val="20"/>
                <w:szCs w:val="20"/>
              </w:rPr>
              <w:t>(254)</w:t>
            </w:r>
          </w:p>
        </w:tc>
        <w:tc>
          <w:tcPr>
            <w:tcW w:w="0" w:type="auto"/>
            <w:shd w:val="clear" w:color="auto" w:fill="CCEEFF"/>
            <w:tcMar>
              <w:top w:w="40" w:type="dxa"/>
              <w:left w:w="0" w:type="dxa"/>
              <w:bottom w:w="40" w:type="dxa"/>
              <w:right w:w="20" w:type="dxa"/>
            </w:tcMar>
            <w:vAlign w:val="bottom"/>
          </w:tcPr>
          <w:p w14:paraId="5CD906C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C8"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C9" w14:textId="77777777" w:rsidR="00BA49F5" w:rsidRDefault="007E5E49">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5CD906CA"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6CB"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6CC" w14:textId="77777777" w:rsidR="00BA49F5" w:rsidRDefault="007E5E49">
            <w:pPr>
              <w:jc w:val="right"/>
              <w:textAlignment w:val="bottom"/>
            </w:pPr>
            <w:r>
              <w:rPr>
                <w:rFonts w:ascii="Times New Roman" w:eastAsia="宋体" w:hAnsi="Times New Roman"/>
                <w:color w:val="000000"/>
                <w:sz w:val="20"/>
                <w:szCs w:val="20"/>
              </w:rPr>
              <w:t>(319)</w:t>
            </w:r>
          </w:p>
        </w:tc>
        <w:tc>
          <w:tcPr>
            <w:tcW w:w="0" w:type="auto"/>
            <w:shd w:val="clear" w:color="auto" w:fill="CCEEFF"/>
            <w:tcMar>
              <w:top w:w="40" w:type="dxa"/>
              <w:left w:w="0" w:type="dxa"/>
              <w:bottom w:w="40" w:type="dxa"/>
              <w:right w:w="20" w:type="dxa"/>
            </w:tcMar>
            <w:vAlign w:val="bottom"/>
          </w:tcPr>
          <w:p w14:paraId="5CD906CD" w14:textId="77777777" w:rsidR="00BA49F5" w:rsidRDefault="00BA49F5">
            <w:pPr>
              <w:jc w:val="right"/>
              <w:rPr>
                <w:rFonts w:ascii="宋体"/>
              </w:rPr>
            </w:pPr>
          </w:p>
        </w:tc>
      </w:tr>
      <w:tr w:rsidR="00BA49F5" w14:paraId="5CD906DB" w14:textId="77777777">
        <w:tc>
          <w:tcPr>
            <w:tcW w:w="0" w:type="auto"/>
            <w:gridSpan w:val="3"/>
            <w:shd w:val="clear" w:color="auto" w:fill="FFFFFF"/>
            <w:tcMar>
              <w:top w:w="40" w:type="dxa"/>
              <w:left w:w="20" w:type="dxa"/>
              <w:bottom w:w="40" w:type="dxa"/>
              <w:right w:w="20" w:type="dxa"/>
            </w:tcMar>
            <w:vAlign w:val="bottom"/>
          </w:tcPr>
          <w:p w14:paraId="5CD906CF" w14:textId="77777777" w:rsidR="00BA49F5" w:rsidRDefault="007E5E49">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6D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6D1" w14:textId="77777777" w:rsidR="00BA49F5" w:rsidRDefault="007E5E49">
            <w:pPr>
              <w:jc w:val="right"/>
              <w:textAlignment w:val="bottom"/>
            </w:pPr>
            <w:r>
              <w:rPr>
                <w:rFonts w:ascii="Times New Roman" w:eastAsia="宋体" w:hAnsi="Times New Roman"/>
                <w:color w:val="000000"/>
                <w:sz w:val="20"/>
                <w:szCs w:val="20"/>
              </w:rPr>
              <w:t>10,757 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6D2"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D3"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6D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6D5" w14:textId="77777777" w:rsidR="00BA49F5" w:rsidRDefault="007E5E49">
            <w:pPr>
              <w:jc w:val="right"/>
              <w:textAlignment w:val="bottom"/>
            </w:pPr>
            <w:r>
              <w:rPr>
                <w:rFonts w:ascii="Times New Roman" w:eastAsia="宋体" w:hAnsi="Times New Roman"/>
                <w:color w:val="000000"/>
                <w:sz w:val="20"/>
                <w:szCs w:val="20"/>
              </w:rPr>
              <w:t>9,807 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6D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6D7" w14:textId="77777777" w:rsidR="00BA49F5" w:rsidRDefault="00BA49F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CD906D8"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D906D9" w14:textId="77777777" w:rsidR="00BA49F5" w:rsidRDefault="007E5E49">
            <w:pPr>
              <w:jc w:val="right"/>
              <w:textAlignment w:val="bottom"/>
            </w:pPr>
            <w:r>
              <w:rPr>
                <w:rFonts w:ascii="Times New Roman" w:eastAsia="宋体" w:hAnsi="Times New Roman"/>
                <w:color w:val="000000"/>
                <w:sz w:val="20"/>
                <w:szCs w:val="20"/>
              </w:rPr>
              <w:t>8,692 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CD906DA" w14:textId="77777777" w:rsidR="00BA49F5" w:rsidRDefault="00BA49F5">
            <w:pPr>
              <w:jc w:val="right"/>
              <w:rPr>
                <w:rFonts w:ascii="宋体"/>
              </w:rPr>
            </w:pPr>
          </w:p>
        </w:tc>
      </w:tr>
    </w:tbl>
    <w:p w14:paraId="5CD906DC" w14:textId="77777777" w:rsidR="00BA49F5" w:rsidRDefault="007E5E49">
      <w:pPr>
        <w:jc w:val="center"/>
      </w:pPr>
      <w:r>
        <w:rPr>
          <w:rFonts w:ascii="Times New Roman" w:eastAsia="宋体" w:hAnsi="Times New Roman"/>
          <w:color w:val="000000"/>
          <w:sz w:val="20"/>
          <w:szCs w:val="20"/>
        </w:rPr>
        <w:t>117</w:t>
      </w:r>
    </w:p>
    <w:p w14:paraId="5CD906DD" w14:textId="77777777" w:rsidR="00BA49F5" w:rsidRDefault="007E5E49">
      <w:r>
        <w:pict w14:anchorId="5CD90D6A">
          <v:rect id="_x0000_i1141" style="width:415.3pt;height:1.5pt" o:hralign="center" o:hrstd="t" o:hr="t" fillcolor="#a0a0a0" stroked="f"/>
        </w:pict>
      </w:r>
    </w:p>
    <w:p w14:paraId="5CD906DE" w14:textId="77777777" w:rsidR="00BA49F5" w:rsidRDefault="00BA49F5"/>
    <w:p w14:paraId="5CD906DF" w14:textId="77777777" w:rsidR="00BA49F5" w:rsidRDefault="00BA49F5"/>
    <w:p w14:paraId="5CD906E0" w14:textId="77777777" w:rsidR="00BA49F5" w:rsidRDefault="007E5E49">
      <w:hyperlink r:id="rId329" w:anchor="i6df229dad1864210ab76200083e26819_7" w:history="1">
        <w:r>
          <w:rPr>
            <w:rStyle w:val="a5"/>
            <w:rFonts w:ascii="Times New Roman" w:eastAsia="宋体" w:hAnsi="Times New Roman"/>
            <w:sz w:val="20"/>
            <w:szCs w:val="20"/>
          </w:rPr>
          <w:t>T</w:t>
        </w:r>
      </w:hyperlink>
      <w:hyperlink r:id="rId330" w:anchor="i6df229dad1864210ab76200083e26819_7" w:history="1">
        <w:r>
          <w:rPr>
            <w:rStyle w:val="a5"/>
            <w:rFonts w:ascii="Times New Roman" w:eastAsia="宋体" w:hAnsi="Times New Roman"/>
            <w:sz w:val="20"/>
            <w:szCs w:val="20"/>
          </w:rPr>
          <w:t>able of Contents</w:t>
        </w:r>
      </w:hyperlink>
    </w:p>
    <w:p w14:paraId="5CD906E1" w14:textId="77777777" w:rsidR="00BA49F5" w:rsidRDefault="007E5E49">
      <w:pPr>
        <w:ind w:firstLine="540"/>
        <w:jc w:val="both"/>
      </w:pPr>
      <w:r>
        <w:rPr>
          <w:rFonts w:ascii="Times New Roman" w:eastAsia="宋体" w:hAnsi="Times New Roman"/>
          <w:color w:val="000000"/>
          <w:sz w:val="20"/>
          <w:szCs w:val="20"/>
        </w:rPr>
        <w:t>These unrecognized tax benefits were primarily accrued for the uncertainties related to transfer pricing with our foreign subs</w:t>
      </w:r>
      <w:r>
        <w:rPr>
          <w:rFonts w:ascii="Times New Roman" w:eastAsia="宋体" w:hAnsi="Times New Roman"/>
          <w:color w:val="000000"/>
          <w:sz w:val="20"/>
          <w:szCs w:val="20"/>
        </w:rPr>
        <w:t xml:space="preserve">idiaries, which include licensing of intellectual property, providing services and other transactions, as well as for the uncertainties with our research tax credits. During all years presented, we recognized interest and penalties related to unrecognized </w:t>
      </w:r>
      <w:r>
        <w:rPr>
          <w:rFonts w:ascii="Times New Roman" w:eastAsia="宋体" w:hAnsi="Times New Roman"/>
          <w:color w:val="000000"/>
          <w:sz w:val="20"/>
          <w:szCs w:val="20"/>
        </w:rPr>
        <w:t>tax benefits within the provision for income taxes on the consolidated statements of income. The amount of interest and penalties accrued as of December 31, 2022 and 2021 were $1.07 billion and $960 million, respectively.</w:t>
      </w:r>
    </w:p>
    <w:p w14:paraId="5CD906E2" w14:textId="77777777" w:rsidR="00BA49F5" w:rsidRDefault="00BA49F5">
      <w:pPr>
        <w:ind w:firstLine="540"/>
        <w:jc w:val="both"/>
      </w:pPr>
    </w:p>
    <w:p w14:paraId="5CD906E3" w14:textId="77777777" w:rsidR="00BA49F5" w:rsidRDefault="007E5E49">
      <w:pPr>
        <w:ind w:firstLine="540"/>
        <w:jc w:val="both"/>
      </w:pPr>
      <w:r>
        <w:rPr>
          <w:rFonts w:ascii="Times New Roman" w:eastAsia="宋体" w:hAnsi="Times New Roman"/>
          <w:color w:val="000000"/>
          <w:sz w:val="20"/>
          <w:szCs w:val="20"/>
        </w:rPr>
        <w:t>If the balance of gross unrecogni</w:t>
      </w:r>
      <w:r>
        <w:rPr>
          <w:rFonts w:ascii="Times New Roman" w:eastAsia="宋体" w:hAnsi="Times New Roman"/>
          <w:color w:val="000000"/>
          <w:sz w:val="20"/>
          <w:szCs w:val="20"/>
        </w:rPr>
        <w:t>zed tax benefits of $10.76 billion as of December 31, 2022 were realized in a future period, this would result in a tax benefit of $6.49 billion within our provision of income taxes at such time.</w:t>
      </w:r>
    </w:p>
    <w:p w14:paraId="5CD906E4" w14:textId="77777777" w:rsidR="00BA49F5" w:rsidRDefault="00BA49F5">
      <w:pPr>
        <w:ind w:firstLine="540"/>
        <w:jc w:val="both"/>
      </w:pPr>
    </w:p>
    <w:p w14:paraId="5CD906E5" w14:textId="77777777" w:rsidR="00BA49F5" w:rsidRDefault="007E5E49">
      <w:pPr>
        <w:ind w:firstLine="540"/>
        <w:jc w:val="both"/>
      </w:pPr>
      <w:r>
        <w:rPr>
          <w:rFonts w:ascii="Times New Roman" w:eastAsia="宋体" w:hAnsi="Times New Roman"/>
          <w:color w:val="000000"/>
          <w:sz w:val="20"/>
          <w:szCs w:val="20"/>
        </w:rPr>
        <w:t xml:space="preserve">We are subject to taxation in the United States and </w:t>
      </w:r>
      <w:r>
        <w:rPr>
          <w:rFonts w:ascii="Times New Roman" w:eastAsia="宋体" w:hAnsi="Times New Roman"/>
          <w:color w:val="000000"/>
          <w:sz w:val="20"/>
          <w:szCs w:val="20"/>
        </w:rPr>
        <w:t>various other state and foreign jurisdictions. The material jurisdictions in which we are subject to potential examination include the United States and Ireland. We are under examination by the Internal Revenue Service (IRS) for our 2014 through 2019 tax y</w:t>
      </w:r>
      <w:r>
        <w:rPr>
          <w:rFonts w:ascii="Times New Roman" w:eastAsia="宋体" w:hAnsi="Times New Roman"/>
          <w:color w:val="000000"/>
          <w:sz w:val="20"/>
          <w:szCs w:val="20"/>
        </w:rPr>
        <w:t>ears. Our 2020 and subsequent tax years remain open to examination by the IRS and the Irish Revenue Commissioners.</w:t>
      </w:r>
    </w:p>
    <w:p w14:paraId="5CD906E6" w14:textId="77777777" w:rsidR="00BA49F5" w:rsidRDefault="00BA49F5">
      <w:pPr>
        <w:ind w:firstLine="540"/>
        <w:jc w:val="both"/>
      </w:pPr>
    </w:p>
    <w:p w14:paraId="5CD906E7" w14:textId="77777777" w:rsidR="00BA49F5" w:rsidRDefault="007E5E49">
      <w:pPr>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subsidiaries i</w:t>
      </w:r>
      <w:r>
        <w:rPr>
          <w:rFonts w:ascii="Times New Roman" w:eastAsia="宋体" w:hAnsi="Times New Roman"/>
          <w:color w:val="000000"/>
          <w:sz w:val="20"/>
          <w:szCs w:val="20"/>
        </w:rPr>
        <w:t>n conjunction with the examination of the 2010 tax year. While the Notice applies only to the 2010 tax year, the IRS stated that it will also apply its position for tax years subsequent to 2010 and has done so in years covered by the second Notice describe</w:t>
      </w:r>
      <w:r>
        <w:rPr>
          <w:rFonts w:ascii="Times New Roman" w:eastAsia="宋体" w:hAnsi="Times New Roman"/>
          <w:color w:val="000000"/>
          <w:sz w:val="20"/>
          <w:szCs w:val="20"/>
        </w:rPr>
        <w:t>d below. We do not agree with the position of the IRS and have filed a petition in the Tax Court challenging the Notice. On January 15, 2020, the IRS's amendment to answer was filed stating that it planned to assert at trial an adjustment that is higher th</w:t>
      </w:r>
      <w:r>
        <w:rPr>
          <w:rFonts w:ascii="Times New Roman" w:eastAsia="宋体" w:hAnsi="Times New Roman"/>
          <w:color w:val="000000"/>
          <w:sz w:val="20"/>
          <w:szCs w:val="20"/>
        </w:rPr>
        <w:t xml:space="preserve">an the adjustment stated in the Notice. The first session of the trial was completed in March 2020 and the final trial session was completed in August 2022. We expect the Tax Court to issue an opinion in 2024. Based on the information provided, we believe </w:t>
      </w:r>
      <w:r>
        <w:rPr>
          <w:rFonts w:ascii="Times New Roman" w:eastAsia="宋体" w:hAnsi="Times New Roman"/>
          <w:color w:val="000000"/>
          <w:sz w:val="20"/>
          <w:szCs w:val="20"/>
        </w:rPr>
        <w:t>that, if the IRS prevails in its updated position, this could result in an additional federal tax liability of an estimated, aggregate amount of up to approximately $9.0 billion in excess of the amounts in our originally filed U.S. return, plus interest an</w:t>
      </w:r>
      <w:r>
        <w:rPr>
          <w:rFonts w:ascii="Times New Roman" w:eastAsia="宋体" w:hAnsi="Times New Roman"/>
          <w:color w:val="000000"/>
          <w:sz w:val="20"/>
          <w:szCs w:val="20"/>
        </w:rPr>
        <w:t xml:space="preserve">d any penalties asserted. </w:t>
      </w:r>
    </w:p>
    <w:p w14:paraId="5CD906E8" w14:textId="77777777" w:rsidR="00BA49F5" w:rsidRDefault="00BA49F5">
      <w:pPr>
        <w:ind w:firstLine="540"/>
        <w:jc w:val="both"/>
      </w:pPr>
    </w:p>
    <w:p w14:paraId="5CD906E9" w14:textId="77777777" w:rsidR="00BA49F5" w:rsidRDefault="007E5E49">
      <w:pPr>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also proposed new adj</w:t>
      </w:r>
      <w:r>
        <w:rPr>
          <w:rFonts w:ascii="Times New Roman" w:eastAsia="宋体" w:hAnsi="Times New Roman"/>
          <w:color w:val="000000"/>
          <w:sz w:val="20"/>
          <w:szCs w:val="20"/>
        </w:rPr>
        <w:t>ustments related to other transfer pricing with our foreign subsidiaries and certain tax credits that we claimed. If the IRS prevails in its position for these new adjustments, this could result in an additional federal tax liability of up to approximately</w:t>
      </w:r>
      <w:r>
        <w:rPr>
          <w:rFonts w:ascii="Times New Roman" w:eastAsia="宋体" w:hAnsi="Times New Roman"/>
          <w:color w:val="000000"/>
          <w:sz w:val="20"/>
          <w:szCs w:val="20"/>
        </w:rPr>
        <w:t xml:space="preserve"> $680 million in excess of the amounts in our originally filed U.S. returns, plus interest and any penalties asserted. We do not agree with the positions of the IRS in the second Notice and have filed a petition in the Tax Court challenging the second Noti</w:t>
      </w:r>
      <w:r>
        <w:rPr>
          <w:rFonts w:ascii="Times New Roman" w:eastAsia="宋体" w:hAnsi="Times New Roman"/>
          <w:color w:val="000000"/>
          <w:sz w:val="20"/>
          <w:szCs w:val="20"/>
        </w:rPr>
        <w:t xml:space="preserve">ce. </w:t>
      </w:r>
    </w:p>
    <w:p w14:paraId="5CD906EA" w14:textId="77777777" w:rsidR="00BA49F5" w:rsidRDefault="00BA49F5">
      <w:pPr>
        <w:ind w:firstLine="540"/>
        <w:jc w:val="both"/>
      </w:pPr>
    </w:p>
    <w:p w14:paraId="5CD906EB" w14:textId="77777777" w:rsidR="00BA49F5" w:rsidRDefault="007E5E49">
      <w:pPr>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Income Taxes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(ASC 740), that is lower than the potential additional federal tax liability from the positions taken by the IRS in the two Notices</w:t>
      </w:r>
      <w:r>
        <w:rPr>
          <w:rFonts w:ascii="Times New Roman" w:eastAsia="宋体" w:hAnsi="Times New Roman"/>
          <w:color w:val="000000"/>
          <w:sz w:val="20"/>
          <w:szCs w:val="20"/>
        </w:rPr>
        <w:t xml:space="preserve"> and its Pretrial Memorandum. In addition, if the IRS prevails in its positions related to transfer pricing with our foreign subsidiaries, the additional tax that we would owe would be partially offset by a reduction in the tax that we owe under the mandat</w:t>
      </w:r>
      <w:r>
        <w:rPr>
          <w:rFonts w:ascii="Times New Roman" w:eastAsia="宋体" w:hAnsi="Times New Roman"/>
          <w:color w:val="000000"/>
          <w:sz w:val="20"/>
          <w:szCs w:val="20"/>
        </w:rPr>
        <w:t>ory transition tax on accumulated foreign earnings from the 2017 Tax Cuts and Jobs Act. As of December 31, 2022, we have not resolved these matters and proceedings continue in the Tax Court.</w:t>
      </w:r>
    </w:p>
    <w:p w14:paraId="5CD906EC" w14:textId="77777777" w:rsidR="00BA49F5" w:rsidRDefault="00BA49F5">
      <w:pPr>
        <w:ind w:firstLine="540"/>
        <w:jc w:val="both"/>
      </w:pPr>
    </w:p>
    <w:p w14:paraId="5CD906ED" w14:textId="77777777" w:rsidR="00BA49F5" w:rsidRDefault="007E5E49">
      <w:pPr>
        <w:ind w:firstLine="540"/>
        <w:jc w:val="both"/>
      </w:pPr>
      <w:r>
        <w:rPr>
          <w:rFonts w:ascii="Times New Roman" w:eastAsia="宋体" w:hAnsi="Times New Roman"/>
          <w:color w:val="000000"/>
          <w:sz w:val="20"/>
          <w:szCs w:val="20"/>
        </w:rPr>
        <w:t>We believe that adequate amounts have been reserved in accordanc</w:t>
      </w:r>
      <w:r>
        <w:rPr>
          <w:rFonts w:ascii="Times New Roman" w:eastAsia="宋体" w:hAnsi="Times New Roman"/>
          <w:color w:val="000000"/>
          <w:sz w:val="20"/>
          <w:szCs w:val="20"/>
        </w:rPr>
        <w:t>e with ASC 740 for any adjustments to the provision for income taxes or other tax items that may ultimately result from these examinations. The timing of the resolution, settlement, and closure of any audits is highly uncertain, and it is reasonably possib</w:t>
      </w:r>
      <w:r>
        <w:rPr>
          <w:rFonts w:ascii="Times New Roman" w:eastAsia="宋体" w:hAnsi="Times New Roman"/>
          <w:color w:val="000000"/>
          <w:sz w:val="20"/>
          <w:szCs w:val="20"/>
        </w:rPr>
        <w:t>le that the balance of gross unrecognized tax benefits could significantly change in the next 12 months. Given the number of years remaining that are subject to examination, we are unable to estimate the full range of possible adjustments to the balance of</w:t>
      </w:r>
      <w:r>
        <w:rPr>
          <w:rFonts w:ascii="Times New Roman" w:eastAsia="宋体" w:hAnsi="Times New Roman"/>
          <w:color w:val="000000"/>
          <w:sz w:val="20"/>
          <w:szCs w:val="20"/>
        </w:rPr>
        <w:t xml:space="preserve"> gross unrecognized tax benefits. If the tax authorities prevail in the assessment of additional tax due, the assessed tax, interest, and penalties, if any, could have a material adverse impact on our financial position, results of operations, and cash flo</w:t>
      </w:r>
      <w:r>
        <w:rPr>
          <w:rFonts w:ascii="Times New Roman" w:eastAsia="宋体" w:hAnsi="Times New Roman"/>
          <w:color w:val="000000"/>
          <w:sz w:val="20"/>
          <w:szCs w:val="20"/>
        </w:rPr>
        <w:t>ws.</w:t>
      </w:r>
    </w:p>
    <w:p w14:paraId="5CD906EE" w14:textId="77777777" w:rsidR="00BA49F5" w:rsidRDefault="00BA49F5">
      <w:pPr>
        <w:ind w:firstLine="540"/>
        <w:jc w:val="both"/>
      </w:pPr>
    </w:p>
    <w:p w14:paraId="5CD906EF" w14:textId="77777777" w:rsidR="00BA49F5" w:rsidRDefault="00BA49F5">
      <w:pPr>
        <w:ind w:firstLine="540"/>
        <w:jc w:val="both"/>
      </w:pPr>
    </w:p>
    <w:p w14:paraId="5CD906F0" w14:textId="77777777" w:rsidR="00BA49F5" w:rsidRDefault="007E5E49">
      <w:pPr>
        <w:jc w:val="center"/>
      </w:pPr>
      <w:r>
        <w:rPr>
          <w:rFonts w:ascii="Times New Roman" w:eastAsia="宋体" w:hAnsi="Times New Roman"/>
          <w:color w:val="000000"/>
          <w:sz w:val="20"/>
          <w:szCs w:val="20"/>
        </w:rPr>
        <w:t>118</w:t>
      </w:r>
    </w:p>
    <w:p w14:paraId="5CD906F1" w14:textId="77777777" w:rsidR="00BA49F5" w:rsidRDefault="007E5E49">
      <w:r>
        <w:pict w14:anchorId="5CD90D6B">
          <v:rect id="_x0000_i1142" style="width:415.3pt;height:1.5pt" o:hralign="center" o:hrstd="t" o:hr="t" fillcolor="#a0a0a0" stroked="f"/>
        </w:pict>
      </w:r>
    </w:p>
    <w:p w14:paraId="5CD906F2" w14:textId="77777777" w:rsidR="00BA49F5" w:rsidRDefault="00BA49F5"/>
    <w:p w14:paraId="5CD906F3" w14:textId="77777777" w:rsidR="00BA49F5" w:rsidRDefault="00BA49F5"/>
    <w:p w14:paraId="5CD906F4" w14:textId="77777777" w:rsidR="00BA49F5" w:rsidRDefault="007E5E49">
      <w:hyperlink r:id="rId331" w:anchor="i6df229dad1864210ab76200083e26819_7" w:history="1">
        <w:r>
          <w:rPr>
            <w:rStyle w:val="a5"/>
            <w:rFonts w:ascii="Times New Roman" w:eastAsia="宋体" w:hAnsi="Times New Roman"/>
            <w:sz w:val="20"/>
            <w:szCs w:val="20"/>
          </w:rPr>
          <w:t>T</w:t>
        </w:r>
      </w:hyperlink>
      <w:hyperlink r:id="rId332" w:anchor="i6df229dad1864210ab76200083e26819_7" w:history="1">
        <w:r>
          <w:rPr>
            <w:rStyle w:val="a5"/>
            <w:rFonts w:ascii="Times New Roman" w:eastAsia="宋体" w:hAnsi="Times New Roman"/>
            <w:sz w:val="20"/>
            <w:szCs w:val="20"/>
          </w:rPr>
          <w:t>able of Contents</w:t>
        </w:r>
      </w:hyperlink>
    </w:p>
    <w:p w14:paraId="5CD906F5" w14:textId="77777777" w:rsidR="00BA49F5" w:rsidRDefault="007E5E49">
      <w:pPr>
        <w:spacing w:before="180"/>
      </w:pPr>
      <w:r>
        <w:rPr>
          <w:rFonts w:ascii="Times New Roman" w:eastAsia="宋体" w:hAnsi="Times New Roman"/>
          <w:b/>
          <w:bCs/>
          <w:color w:val="000000"/>
          <w:sz w:val="20"/>
          <w:szCs w:val="20"/>
        </w:rPr>
        <w:t>Note 17. Segment and Geographical Information</w:t>
      </w:r>
    </w:p>
    <w:p w14:paraId="5CD906F6" w14:textId="77777777" w:rsidR="00BA49F5" w:rsidRDefault="00BA49F5">
      <w:pPr>
        <w:ind w:firstLine="540"/>
        <w:jc w:val="both"/>
      </w:pPr>
    </w:p>
    <w:p w14:paraId="5CD906F7" w14:textId="77777777" w:rsidR="00BA49F5" w:rsidRDefault="007E5E49">
      <w:pPr>
        <w:ind w:firstLine="540"/>
        <w:jc w:val="both"/>
      </w:pPr>
      <w:r>
        <w:rPr>
          <w:rFonts w:ascii="Times New Roman" w:eastAsia="宋体" w:hAnsi="Times New Roman"/>
          <w:color w:val="000000"/>
          <w:sz w:val="20"/>
          <w:szCs w:val="20"/>
          <w:shd w:val="clear" w:color="auto" w:fill="FFFFFF"/>
        </w:rPr>
        <w:t>Beginning in the fourth quarter of 2021, we report our financial results for our two reportable segments: Family of Apps (FoA) and Reality La</w:t>
      </w:r>
      <w:r>
        <w:rPr>
          <w:rFonts w:ascii="Times New Roman" w:eastAsia="宋体" w:hAnsi="Times New Roman"/>
          <w:color w:val="000000"/>
          <w:sz w:val="20"/>
          <w:szCs w:val="20"/>
          <w:shd w:val="clear" w:color="auto" w:fill="FFFFFF"/>
        </w:rPr>
        <w:t>bs (RL). FoA includes Facebook, Instagram, Messenger, WhatsApp, and other services. RL includes augmented and virtual reality related consumer hardware, software, and content. Our operating segments are the same as our reportable segments.</w:t>
      </w:r>
    </w:p>
    <w:p w14:paraId="5CD906F8" w14:textId="77777777" w:rsidR="00BA49F5" w:rsidRDefault="00BA49F5">
      <w:pPr>
        <w:ind w:firstLine="540"/>
        <w:jc w:val="both"/>
      </w:pPr>
    </w:p>
    <w:p w14:paraId="5CD906F9" w14:textId="77777777" w:rsidR="00BA49F5" w:rsidRDefault="007E5E49">
      <w:pPr>
        <w:ind w:firstLine="540"/>
        <w:jc w:val="both"/>
      </w:pPr>
      <w:r>
        <w:rPr>
          <w:rFonts w:ascii="Times New Roman" w:eastAsia="宋体" w:hAnsi="Times New Roman"/>
          <w:color w:val="000000"/>
          <w:sz w:val="20"/>
          <w:szCs w:val="20"/>
        </w:rPr>
        <w:t>Our Chief Execu</w:t>
      </w:r>
      <w:r>
        <w:rPr>
          <w:rFonts w:ascii="Times New Roman" w:eastAsia="宋体" w:hAnsi="Times New Roman"/>
          <w:color w:val="000000"/>
          <w:sz w:val="20"/>
          <w:szCs w:val="20"/>
        </w:rPr>
        <w:t>tive Officer is our chief operating decision maker (CODM)</w:t>
      </w:r>
      <w:r>
        <w:rPr>
          <w:rFonts w:ascii="Times New Roman" w:eastAsia="宋体" w:hAnsi="Times New Roman"/>
          <w:color w:val="000000"/>
          <w:sz w:val="20"/>
          <w:szCs w:val="20"/>
          <w:shd w:val="clear" w:color="auto" w:fill="FFFFFF"/>
        </w:rPr>
        <w:t>, who allocates resources to and assesses the performance of each operating segment using information about the operating segment's revenue and income (loss) from operations. Our CODM does not evalua</w:t>
      </w:r>
      <w:r>
        <w:rPr>
          <w:rFonts w:ascii="Times New Roman" w:eastAsia="宋体" w:hAnsi="Times New Roman"/>
          <w:color w:val="000000"/>
          <w:sz w:val="20"/>
          <w:szCs w:val="20"/>
          <w:shd w:val="clear" w:color="auto" w:fill="FFFFFF"/>
        </w:rPr>
        <w:t>te operating segments using asset or liability information.</w:t>
      </w:r>
    </w:p>
    <w:p w14:paraId="5CD906FA" w14:textId="77777777" w:rsidR="00BA49F5" w:rsidRDefault="00BA49F5">
      <w:pPr>
        <w:ind w:firstLine="540"/>
        <w:jc w:val="both"/>
      </w:pPr>
    </w:p>
    <w:p w14:paraId="5CD906FB" w14:textId="77777777" w:rsidR="00BA49F5" w:rsidRDefault="007E5E49">
      <w:pPr>
        <w:ind w:firstLine="540"/>
        <w:jc w:val="both"/>
      </w:pPr>
      <w:r>
        <w:rPr>
          <w:rFonts w:ascii="Times New Roman" w:eastAsia="宋体" w:hAnsi="Times New Roman"/>
          <w:color w:val="000000"/>
          <w:sz w:val="20"/>
          <w:szCs w:val="20"/>
          <w:shd w:val="clear" w:color="auto" w:fill="FFFFFF"/>
        </w:rPr>
        <w:t>Revenue and costs and expenses are generally directly attributed to our segments. These costs and expenses include certain product development related operating expenses, costs associated with pa</w:t>
      </w:r>
      <w:r>
        <w:rPr>
          <w:rFonts w:ascii="Times New Roman" w:eastAsia="宋体" w:hAnsi="Times New Roman"/>
          <w:color w:val="000000"/>
          <w:sz w:val="20"/>
          <w:szCs w:val="20"/>
          <w:shd w:val="clear" w:color="auto" w:fill="FFFFFF"/>
        </w:rPr>
        <w:t>rtnership arrangements, consumer hardware product costs, content costs, and legal-related costs. Indirect costs are allocated to segments based on a reasonable allocation methodology, when such costs are significant to the performance measures of the opera</w:t>
      </w:r>
      <w:r>
        <w:rPr>
          <w:rFonts w:ascii="Times New Roman" w:eastAsia="宋体" w:hAnsi="Times New Roman"/>
          <w:color w:val="000000"/>
          <w:sz w:val="20"/>
          <w:szCs w:val="20"/>
          <w:shd w:val="clear" w:color="auto" w:fill="FFFFFF"/>
        </w:rPr>
        <w:t>ting segments. Indirect cost of revenue is allocated to our segments based on usage, such as costs related to the operation of our data centers and technical infrastructure. Indirect operating expenses, such as facilities, information technology, certain s</w:t>
      </w:r>
      <w:r>
        <w:rPr>
          <w:rFonts w:ascii="Times New Roman" w:eastAsia="宋体" w:hAnsi="Times New Roman"/>
          <w:color w:val="000000"/>
          <w:sz w:val="20"/>
          <w:szCs w:val="20"/>
          <w:shd w:val="clear" w:color="auto" w:fill="FFFFFF"/>
        </w:rPr>
        <w:t>hared research and development activities, recruiting, and physical security expenses, are mostly allocated based on headcount.</w:t>
      </w:r>
    </w:p>
    <w:p w14:paraId="5CD906FC" w14:textId="77777777" w:rsidR="00BA49F5" w:rsidRDefault="00BA49F5">
      <w:pPr>
        <w:ind w:firstLine="540"/>
        <w:jc w:val="both"/>
      </w:pPr>
    </w:p>
    <w:p w14:paraId="5CD906FD" w14:textId="77777777" w:rsidR="00BA49F5" w:rsidRDefault="007E5E49">
      <w:pPr>
        <w:ind w:firstLine="540"/>
        <w:jc w:val="both"/>
      </w:pPr>
      <w:r>
        <w:rPr>
          <w:rFonts w:ascii="Times New Roman" w:eastAsia="宋体" w:hAnsi="Times New Roman"/>
          <w:color w:val="000000"/>
          <w:sz w:val="20"/>
          <w:szCs w:val="20"/>
          <w:shd w:val="clear" w:color="auto" w:fill="FFFFFF"/>
        </w:rPr>
        <w:t>The following table sets forth our segment information of revenue and income (loss) from operations (in millions). For comparat</w:t>
      </w:r>
      <w:r>
        <w:rPr>
          <w:rFonts w:ascii="Times New Roman" w:eastAsia="宋体" w:hAnsi="Times New Roman"/>
          <w:color w:val="000000"/>
          <w:sz w:val="20"/>
          <w:szCs w:val="20"/>
          <w:shd w:val="clear" w:color="auto" w:fill="FFFFFF"/>
        </w:rPr>
        <w:t xml:space="preserve">ive purposes, </w:t>
      </w:r>
      <w:r>
        <w:rPr>
          <w:rFonts w:ascii="Times New Roman" w:eastAsia="宋体" w:hAnsi="Times New Roman"/>
          <w:color w:val="000000"/>
          <w:sz w:val="20"/>
          <w:szCs w:val="20"/>
        </w:rPr>
        <w:t>amounts for the year ended December 31, 2020</w:t>
      </w:r>
      <w:r>
        <w:rPr>
          <w:rFonts w:ascii="Times New Roman" w:eastAsia="宋体" w:hAnsi="Times New Roman"/>
          <w:color w:val="000000"/>
          <w:sz w:val="20"/>
          <w:szCs w:val="20"/>
          <w:shd w:val="clear" w:color="auto" w:fill="FFFFFF"/>
        </w:rPr>
        <w:t xml:space="preserve">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9"/>
        <w:gridCol w:w="4332"/>
        <w:gridCol w:w="38"/>
        <w:gridCol w:w="120"/>
        <w:gridCol w:w="1081"/>
        <w:gridCol w:w="36"/>
        <w:gridCol w:w="36"/>
        <w:gridCol w:w="36"/>
        <w:gridCol w:w="36"/>
        <w:gridCol w:w="120"/>
        <w:gridCol w:w="1081"/>
        <w:gridCol w:w="36"/>
        <w:gridCol w:w="36"/>
        <w:gridCol w:w="36"/>
        <w:gridCol w:w="36"/>
        <w:gridCol w:w="120"/>
        <w:gridCol w:w="1081"/>
        <w:gridCol w:w="36"/>
      </w:tblGrid>
      <w:tr w:rsidR="00BA49F5" w14:paraId="5CD90710" w14:textId="77777777">
        <w:tc>
          <w:tcPr>
            <w:tcW w:w="50" w:type="pct"/>
            <w:shd w:val="clear" w:color="auto" w:fill="auto"/>
            <w:vAlign w:val="bottom"/>
          </w:tcPr>
          <w:p w14:paraId="5CD906FE" w14:textId="77777777" w:rsidR="00BA49F5" w:rsidRDefault="00BA49F5">
            <w:pPr>
              <w:rPr>
                <w:rFonts w:ascii="宋体"/>
              </w:rPr>
            </w:pPr>
          </w:p>
        </w:tc>
        <w:tc>
          <w:tcPr>
            <w:tcW w:w="2653" w:type="pct"/>
            <w:shd w:val="clear" w:color="auto" w:fill="auto"/>
            <w:vAlign w:val="bottom"/>
          </w:tcPr>
          <w:p w14:paraId="5CD906FF" w14:textId="77777777" w:rsidR="00BA49F5" w:rsidRDefault="00BA49F5">
            <w:pPr>
              <w:rPr>
                <w:rFonts w:ascii="宋体"/>
              </w:rPr>
            </w:pPr>
          </w:p>
        </w:tc>
        <w:tc>
          <w:tcPr>
            <w:tcW w:w="5" w:type="pct"/>
            <w:shd w:val="clear" w:color="auto" w:fill="auto"/>
            <w:vAlign w:val="bottom"/>
          </w:tcPr>
          <w:p w14:paraId="5CD90700" w14:textId="77777777" w:rsidR="00BA49F5" w:rsidRDefault="00BA49F5">
            <w:pPr>
              <w:rPr>
                <w:rFonts w:ascii="宋体"/>
              </w:rPr>
            </w:pPr>
          </w:p>
        </w:tc>
        <w:tc>
          <w:tcPr>
            <w:tcW w:w="50" w:type="pct"/>
            <w:shd w:val="clear" w:color="auto" w:fill="auto"/>
            <w:vAlign w:val="bottom"/>
          </w:tcPr>
          <w:p w14:paraId="5CD90701" w14:textId="77777777" w:rsidR="00BA49F5" w:rsidRDefault="00BA49F5">
            <w:pPr>
              <w:rPr>
                <w:rFonts w:ascii="宋体"/>
              </w:rPr>
            </w:pPr>
          </w:p>
        </w:tc>
        <w:tc>
          <w:tcPr>
            <w:tcW w:w="689" w:type="pct"/>
            <w:shd w:val="clear" w:color="auto" w:fill="auto"/>
            <w:vAlign w:val="bottom"/>
          </w:tcPr>
          <w:p w14:paraId="5CD90702" w14:textId="77777777" w:rsidR="00BA49F5" w:rsidRDefault="00BA49F5">
            <w:pPr>
              <w:rPr>
                <w:rFonts w:ascii="宋体"/>
              </w:rPr>
            </w:pPr>
          </w:p>
        </w:tc>
        <w:tc>
          <w:tcPr>
            <w:tcW w:w="5" w:type="pct"/>
            <w:shd w:val="clear" w:color="auto" w:fill="auto"/>
            <w:vAlign w:val="bottom"/>
          </w:tcPr>
          <w:p w14:paraId="5CD90703" w14:textId="77777777" w:rsidR="00BA49F5" w:rsidRDefault="00BA49F5">
            <w:pPr>
              <w:rPr>
                <w:rFonts w:ascii="宋体"/>
              </w:rPr>
            </w:pPr>
          </w:p>
        </w:tc>
        <w:tc>
          <w:tcPr>
            <w:tcW w:w="5" w:type="pct"/>
            <w:shd w:val="clear" w:color="auto" w:fill="auto"/>
            <w:vAlign w:val="bottom"/>
          </w:tcPr>
          <w:p w14:paraId="5CD90704" w14:textId="77777777" w:rsidR="00BA49F5" w:rsidRDefault="00BA49F5">
            <w:pPr>
              <w:rPr>
                <w:rFonts w:ascii="宋体"/>
              </w:rPr>
            </w:pPr>
          </w:p>
        </w:tc>
        <w:tc>
          <w:tcPr>
            <w:tcW w:w="19" w:type="pct"/>
            <w:shd w:val="clear" w:color="auto" w:fill="auto"/>
            <w:vAlign w:val="bottom"/>
          </w:tcPr>
          <w:p w14:paraId="5CD90705" w14:textId="77777777" w:rsidR="00BA49F5" w:rsidRDefault="00BA49F5">
            <w:pPr>
              <w:rPr>
                <w:rFonts w:ascii="宋体"/>
              </w:rPr>
            </w:pPr>
          </w:p>
        </w:tc>
        <w:tc>
          <w:tcPr>
            <w:tcW w:w="5" w:type="pct"/>
            <w:shd w:val="clear" w:color="auto" w:fill="auto"/>
            <w:vAlign w:val="bottom"/>
          </w:tcPr>
          <w:p w14:paraId="5CD90706" w14:textId="77777777" w:rsidR="00BA49F5" w:rsidRDefault="00BA49F5">
            <w:pPr>
              <w:rPr>
                <w:rFonts w:ascii="宋体"/>
              </w:rPr>
            </w:pPr>
          </w:p>
        </w:tc>
        <w:tc>
          <w:tcPr>
            <w:tcW w:w="50" w:type="pct"/>
            <w:shd w:val="clear" w:color="auto" w:fill="auto"/>
            <w:vAlign w:val="bottom"/>
          </w:tcPr>
          <w:p w14:paraId="5CD90707" w14:textId="77777777" w:rsidR="00BA49F5" w:rsidRDefault="00BA49F5">
            <w:pPr>
              <w:rPr>
                <w:rFonts w:ascii="宋体"/>
              </w:rPr>
            </w:pPr>
          </w:p>
        </w:tc>
        <w:tc>
          <w:tcPr>
            <w:tcW w:w="689" w:type="pct"/>
            <w:shd w:val="clear" w:color="auto" w:fill="auto"/>
            <w:vAlign w:val="bottom"/>
          </w:tcPr>
          <w:p w14:paraId="5CD90708" w14:textId="77777777" w:rsidR="00BA49F5" w:rsidRDefault="00BA49F5">
            <w:pPr>
              <w:rPr>
                <w:rFonts w:ascii="宋体"/>
              </w:rPr>
            </w:pPr>
          </w:p>
        </w:tc>
        <w:tc>
          <w:tcPr>
            <w:tcW w:w="5" w:type="pct"/>
            <w:shd w:val="clear" w:color="auto" w:fill="auto"/>
            <w:vAlign w:val="bottom"/>
          </w:tcPr>
          <w:p w14:paraId="5CD90709" w14:textId="77777777" w:rsidR="00BA49F5" w:rsidRDefault="00BA49F5">
            <w:pPr>
              <w:rPr>
                <w:rFonts w:ascii="宋体"/>
              </w:rPr>
            </w:pPr>
          </w:p>
        </w:tc>
        <w:tc>
          <w:tcPr>
            <w:tcW w:w="5" w:type="pct"/>
            <w:shd w:val="clear" w:color="auto" w:fill="auto"/>
            <w:vAlign w:val="bottom"/>
          </w:tcPr>
          <w:p w14:paraId="5CD9070A" w14:textId="77777777" w:rsidR="00BA49F5" w:rsidRDefault="00BA49F5">
            <w:pPr>
              <w:rPr>
                <w:rFonts w:ascii="宋体"/>
              </w:rPr>
            </w:pPr>
          </w:p>
        </w:tc>
        <w:tc>
          <w:tcPr>
            <w:tcW w:w="19" w:type="pct"/>
            <w:shd w:val="clear" w:color="auto" w:fill="auto"/>
            <w:vAlign w:val="bottom"/>
          </w:tcPr>
          <w:p w14:paraId="5CD9070B" w14:textId="77777777" w:rsidR="00BA49F5" w:rsidRDefault="00BA49F5">
            <w:pPr>
              <w:rPr>
                <w:rFonts w:ascii="宋体"/>
              </w:rPr>
            </w:pPr>
          </w:p>
        </w:tc>
        <w:tc>
          <w:tcPr>
            <w:tcW w:w="5" w:type="pct"/>
            <w:shd w:val="clear" w:color="auto" w:fill="auto"/>
            <w:vAlign w:val="bottom"/>
          </w:tcPr>
          <w:p w14:paraId="5CD9070C" w14:textId="77777777" w:rsidR="00BA49F5" w:rsidRDefault="00BA49F5">
            <w:pPr>
              <w:rPr>
                <w:rFonts w:ascii="宋体"/>
              </w:rPr>
            </w:pPr>
          </w:p>
        </w:tc>
        <w:tc>
          <w:tcPr>
            <w:tcW w:w="50" w:type="pct"/>
            <w:shd w:val="clear" w:color="auto" w:fill="auto"/>
            <w:vAlign w:val="bottom"/>
          </w:tcPr>
          <w:p w14:paraId="5CD9070D" w14:textId="77777777" w:rsidR="00BA49F5" w:rsidRDefault="00BA49F5">
            <w:pPr>
              <w:rPr>
                <w:rFonts w:ascii="宋体"/>
              </w:rPr>
            </w:pPr>
          </w:p>
        </w:tc>
        <w:tc>
          <w:tcPr>
            <w:tcW w:w="689" w:type="pct"/>
            <w:shd w:val="clear" w:color="auto" w:fill="auto"/>
            <w:vAlign w:val="bottom"/>
          </w:tcPr>
          <w:p w14:paraId="5CD9070E" w14:textId="77777777" w:rsidR="00BA49F5" w:rsidRDefault="00BA49F5">
            <w:pPr>
              <w:rPr>
                <w:rFonts w:ascii="宋体"/>
              </w:rPr>
            </w:pPr>
          </w:p>
        </w:tc>
        <w:tc>
          <w:tcPr>
            <w:tcW w:w="5" w:type="pct"/>
            <w:shd w:val="clear" w:color="auto" w:fill="auto"/>
            <w:vAlign w:val="bottom"/>
          </w:tcPr>
          <w:p w14:paraId="5CD9070F" w14:textId="77777777" w:rsidR="00BA49F5" w:rsidRDefault="00BA49F5">
            <w:pPr>
              <w:rPr>
                <w:rFonts w:ascii="宋体"/>
              </w:rPr>
            </w:pPr>
          </w:p>
        </w:tc>
      </w:tr>
      <w:tr w:rsidR="00BA49F5" w14:paraId="5CD90713" w14:textId="77777777">
        <w:tc>
          <w:tcPr>
            <w:tcW w:w="0" w:type="auto"/>
            <w:gridSpan w:val="3"/>
            <w:shd w:val="clear" w:color="auto" w:fill="auto"/>
            <w:tcMar>
              <w:top w:w="40" w:type="dxa"/>
              <w:left w:w="20" w:type="dxa"/>
              <w:bottom w:w="40" w:type="dxa"/>
              <w:right w:w="20" w:type="dxa"/>
            </w:tcMar>
            <w:vAlign w:val="bottom"/>
          </w:tcPr>
          <w:p w14:paraId="5CD90711" w14:textId="77777777" w:rsidR="00BA49F5" w:rsidRDefault="007E5E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5CD90712" w14:textId="77777777" w:rsidR="00BA49F5" w:rsidRDefault="007E5E49">
            <w:pPr>
              <w:jc w:val="center"/>
              <w:textAlignment w:val="bottom"/>
            </w:pPr>
            <w:r>
              <w:rPr>
                <w:rFonts w:ascii="Times New Roman" w:eastAsia="宋体" w:hAnsi="Times New Roman"/>
                <w:b/>
                <w:bCs/>
                <w:color w:val="000000"/>
                <w:sz w:val="16"/>
                <w:szCs w:val="16"/>
              </w:rPr>
              <w:t>Year Ended December 31, </w:t>
            </w:r>
          </w:p>
        </w:tc>
      </w:tr>
      <w:tr w:rsidR="00BA49F5" w14:paraId="5CD9071A" w14:textId="77777777">
        <w:tc>
          <w:tcPr>
            <w:tcW w:w="0" w:type="auto"/>
            <w:gridSpan w:val="3"/>
            <w:shd w:val="clear" w:color="auto" w:fill="auto"/>
            <w:tcMar>
              <w:top w:w="40" w:type="dxa"/>
              <w:left w:w="20" w:type="dxa"/>
              <w:bottom w:w="40" w:type="dxa"/>
              <w:right w:w="20" w:type="dxa"/>
            </w:tcMar>
            <w:vAlign w:val="bottom"/>
          </w:tcPr>
          <w:p w14:paraId="5CD90714"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715"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716"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717" w14:textId="77777777" w:rsidR="00BA49F5" w:rsidRDefault="007E5E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718"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719" w14:textId="77777777" w:rsidR="00BA49F5" w:rsidRDefault="007E5E49">
            <w:pPr>
              <w:jc w:val="center"/>
              <w:textAlignment w:val="bottom"/>
            </w:pPr>
            <w:r>
              <w:rPr>
                <w:rFonts w:ascii="Times New Roman" w:eastAsia="宋体" w:hAnsi="Times New Roman"/>
                <w:b/>
                <w:bCs/>
                <w:color w:val="000000"/>
                <w:sz w:val="16"/>
                <w:szCs w:val="16"/>
              </w:rPr>
              <w:t>2020</w:t>
            </w:r>
          </w:p>
        </w:tc>
      </w:tr>
      <w:tr w:rsidR="00BA49F5" w14:paraId="5CD90721" w14:textId="77777777">
        <w:tc>
          <w:tcPr>
            <w:tcW w:w="0" w:type="auto"/>
            <w:gridSpan w:val="3"/>
            <w:shd w:val="clear" w:color="auto" w:fill="CCEEFF"/>
            <w:tcMar>
              <w:top w:w="40" w:type="dxa"/>
              <w:left w:w="20" w:type="dxa"/>
              <w:bottom w:w="40" w:type="dxa"/>
              <w:right w:w="20" w:type="dxa"/>
            </w:tcMar>
            <w:vAlign w:val="bottom"/>
          </w:tcPr>
          <w:p w14:paraId="5CD9071B" w14:textId="77777777" w:rsidR="00BA49F5" w:rsidRDefault="007E5E49">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71C"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71D"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71E"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71F" w14:textId="77777777" w:rsidR="00BA49F5" w:rsidRDefault="00BA49F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CD90720" w14:textId="77777777" w:rsidR="00BA49F5" w:rsidRDefault="00BA49F5">
            <w:pPr>
              <w:rPr>
                <w:rFonts w:ascii="宋体"/>
              </w:rPr>
            </w:pPr>
          </w:p>
        </w:tc>
      </w:tr>
      <w:tr w:rsidR="00BA49F5" w14:paraId="5CD9072E" w14:textId="77777777">
        <w:tc>
          <w:tcPr>
            <w:tcW w:w="0" w:type="auto"/>
            <w:gridSpan w:val="3"/>
            <w:shd w:val="clear" w:color="auto" w:fill="FFFFFF"/>
            <w:tcMar>
              <w:top w:w="40" w:type="dxa"/>
              <w:left w:w="200" w:type="dxa"/>
              <w:bottom w:w="40" w:type="dxa"/>
              <w:right w:w="20" w:type="dxa"/>
            </w:tcMar>
            <w:vAlign w:val="bottom"/>
          </w:tcPr>
          <w:p w14:paraId="5CD90722" w14:textId="77777777" w:rsidR="00BA49F5" w:rsidRDefault="007E5E49">
            <w:pPr>
              <w:textAlignment w:val="bottom"/>
            </w:pPr>
            <w:r>
              <w:rPr>
                <w:rFonts w:ascii="Times New Roman" w:eastAsia="宋体" w:hAnsi="Times New Roman"/>
                <w:color w:val="000000"/>
                <w:sz w:val="20"/>
                <w:szCs w:val="20"/>
              </w:rPr>
              <w:t>Family of Apps</w:t>
            </w:r>
          </w:p>
        </w:tc>
        <w:tc>
          <w:tcPr>
            <w:tcW w:w="0" w:type="auto"/>
            <w:shd w:val="clear" w:color="auto" w:fill="FFFFFF"/>
            <w:tcMar>
              <w:top w:w="40" w:type="dxa"/>
              <w:left w:w="20" w:type="dxa"/>
              <w:bottom w:w="40" w:type="dxa"/>
              <w:right w:w="0" w:type="dxa"/>
            </w:tcMar>
            <w:vAlign w:val="bottom"/>
          </w:tcPr>
          <w:p w14:paraId="5CD90723"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724" w14:textId="77777777" w:rsidR="00BA49F5" w:rsidRDefault="007E5E49">
            <w:pPr>
              <w:jc w:val="right"/>
              <w:textAlignment w:val="bottom"/>
            </w:pPr>
            <w:r>
              <w:rPr>
                <w:rFonts w:ascii="Times New Roman" w:eastAsia="宋体" w:hAnsi="Times New Roman"/>
                <w:color w:val="000000"/>
                <w:sz w:val="20"/>
                <w:szCs w:val="20"/>
              </w:rPr>
              <w:t>114,450 </w:t>
            </w:r>
          </w:p>
        </w:tc>
        <w:tc>
          <w:tcPr>
            <w:tcW w:w="0" w:type="auto"/>
            <w:shd w:val="clear" w:color="auto" w:fill="FFFFFF"/>
            <w:tcMar>
              <w:top w:w="40" w:type="dxa"/>
              <w:left w:w="0" w:type="dxa"/>
              <w:bottom w:w="40" w:type="dxa"/>
              <w:right w:w="20" w:type="dxa"/>
            </w:tcMar>
            <w:vAlign w:val="bottom"/>
          </w:tcPr>
          <w:p w14:paraId="5CD90725"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26"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727"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728" w14:textId="77777777" w:rsidR="00BA49F5" w:rsidRDefault="007E5E49">
            <w:pPr>
              <w:jc w:val="right"/>
              <w:textAlignment w:val="bottom"/>
            </w:pPr>
            <w:r>
              <w:rPr>
                <w:rFonts w:ascii="Times New Roman" w:eastAsia="宋体" w:hAnsi="Times New Roman"/>
                <w:color w:val="000000"/>
                <w:sz w:val="20"/>
                <w:szCs w:val="20"/>
              </w:rPr>
              <w:t>115,655 </w:t>
            </w:r>
          </w:p>
        </w:tc>
        <w:tc>
          <w:tcPr>
            <w:tcW w:w="0" w:type="auto"/>
            <w:shd w:val="clear" w:color="auto" w:fill="FFFFFF"/>
            <w:tcMar>
              <w:top w:w="40" w:type="dxa"/>
              <w:left w:w="0" w:type="dxa"/>
              <w:bottom w:w="40" w:type="dxa"/>
              <w:right w:w="20" w:type="dxa"/>
            </w:tcMar>
            <w:vAlign w:val="bottom"/>
          </w:tcPr>
          <w:p w14:paraId="5CD90729"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2A" w14:textId="77777777" w:rsidR="00BA49F5" w:rsidRDefault="00BA49F5">
            <w:pPr>
              <w:rPr>
                <w:rFonts w:ascii="宋体"/>
              </w:rPr>
            </w:pPr>
          </w:p>
        </w:tc>
        <w:tc>
          <w:tcPr>
            <w:tcW w:w="0" w:type="auto"/>
            <w:shd w:val="clear" w:color="auto" w:fill="FFFFFF"/>
            <w:tcMar>
              <w:top w:w="40" w:type="dxa"/>
              <w:left w:w="20" w:type="dxa"/>
              <w:bottom w:w="40" w:type="dxa"/>
              <w:right w:w="0" w:type="dxa"/>
            </w:tcMar>
            <w:vAlign w:val="bottom"/>
          </w:tcPr>
          <w:p w14:paraId="5CD9072B"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CD9072C" w14:textId="77777777" w:rsidR="00BA49F5" w:rsidRDefault="007E5E49">
            <w:pPr>
              <w:jc w:val="right"/>
              <w:textAlignment w:val="bottom"/>
            </w:pPr>
            <w:r>
              <w:rPr>
                <w:rFonts w:ascii="Times New Roman" w:eastAsia="宋体" w:hAnsi="Times New Roman"/>
                <w:color w:val="000000"/>
                <w:sz w:val="20"/>
                <w:szCs w:val="20"/>
              </w:rPr>
              <w:t>84,826 </w:t>
            </w:r>
          </w:p>
        </w:tc>
        <w:tc>
          <w:tcPr>
            <w:tcW w:w="0" w:type="auto"/>
            <w:shd w:val="clear" w:color="auto" w:fill="FFFFFF"/>
            <w:tcMar>
              <w:top w:w="40" w:type="dxa"/>
              <w:left w:w="0" w:type="dxa"/>
              <w:bottom w:w="40" w:type="dxa"/>
              <w:right w:w="20" w:type="dxa"/>
            </w:tcMar>
            <w:vAlign w:val="bottom"/>
          </w:tcPr>
          <w:p w14:paraId="5CD9072D" w14:textId="77777777" w:rsidR="00BA49F5" w:rsidRDefault="00BA49F5">
            <w:pPr>
              <w:jc w:val="right"/>
              <w:rPr>
                <w:rFonts w:ascii="宋体"/>
              </w:rPr>
            </w:pPr>
          </w:p>
        </w:tc>
      </w:tr>
      <w:tr w:rsidR="00BA49F5" w14:paraId="5CD90738" w14:textId="77777777">
        <w:tc>
          <w:tcPr>
            <w:tcW w:w="0" w:type="auto"/>
            <w:gridSpan w:val="3"/>
            <w:shd w:val="clear" w:color="auto" w:fill="CCEEFF"/>
            <w:tcMar>
              <w:top w:w="40" w:type="dxa"/>
              <w:left w:w="200" w:type="dxa"/>
              <w:bottom w:w="40" w:type="dxa"/>
              <w:right w:w="20" w:type="dxa"/>
            </w:tcMar>
            <w:vAlign w:val="bottom"/>
          </w:tcPr>
          <w:p w14:paraId="5CD9072F" w14:textId="77777777" w:rsidR="00BA49F5" w:rsidRDefault="007E5E49">
            <w:pPr>
              <w:textAlignment w:val="bottom"/>
            </w:pPr>
            <w:r>
              <w:rPr>
                <w:rFonts w:ascii="Times New Roman" w:eastAsia="宋体" w:hAnsi="Times New Roman"/>
                <w:color w:val="000000"/>
                <w:sz w:val="20"/>
                <w:szCs w:val="20"/>
              </w:rPr>
              <w:t>Reality Labs</w:t>
            </w:r>
          </w:p>
        </w:tc>
        <w:tc>
          <w:tcPr>
            <w:tcW w:w="0" w:type="auto"/>
            <w:gridSpan w:val="2"/>
            <w:shd w:val="clear" w:color="auto" w:fill="CCEEFF"/>
            <w:tcMar>
              <w:top w:w="40" w:type="dxa"/>
              <w:left w:w="20" w:type="dxa"/>
              <w:bottom w:w="40" w:type="dxa"/>
              <w:right w:w="0" w:type="dxa"/>
            </w:tcMar>
            <w:vAlign w:val="bottom"/>
          </w:tcPr>
          <w:p w14:paraId="5CD90730" w14:textId="77777777" w:rsidR="00BA49F5" w:rsidRDefault="007E5E49">
            <w:pPr>
              <w:jc w:val="right"/>
              <w:textAlignment w:val="bottom"/>
            </w:pPr>
            <w:r>
              <w:rPr>
                <w:rFonts w:ascii="Times New Roman" w:eastAsia="宋体" w:hAnsi="Times New Roman"/>
                <w:color w:val="000000"/>
                <w:sz w:val="20"/>
                <w:szCs w:val="20"/>
              </w:rPr>
              <w:t>2,159 </w:t>
            </w:r>
          </w:p>
        </w:tc>
        <w:tc>
          <w:tcPr>
            <w:tcW w:w="0" w:type="auto"/>
            <w:shd w:val="clear" w:color="auto" w:fill="CCEEFF"/>
            <w:tcMar>
              <w:top w:w="40" w:type="dxa"/>
              <w:left w:w="0" w:type="dxa"/>
              <w:bottom w:w="40" w:type="dxa"/>
              <w:right w:w="20" w:type="dxa"/>
            </w:tcMar>
            <w:vAlign w:val="bottom"/>
          </w:tcPr>
          <w:p w14:paraId="5CD90731"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32"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733" w14:textId="77777777" w:rsidR="00BA49F5" w:rsidRDefault="007E5E49">
            <w:pPr>
              <w:jc w:val="right"/>
              <w:textAlignment w:val="bottom"/>
            </w:pPr>
            <w:r>
              <w:rPr>
                <w:rFonts w:ascii="Times New Roman" w:eastAsia="宋体" w:hAnsi="Times New Roman"/>
                <w:color w:val="000000"/>
                <w:sz w:val="20"/>
                <w:szCs w:val="20"/>
              </w:rPr>
              <w:t>2,274 </w:t>
            </w:r>
          </w:p>
        </w:tc>
        <w:tc>
          <w:tcPr>
            <w:tcW w:w="0" w:type="auto"/>
            <w:shd w:val="clear" w:color="auto" w:fill="CCEEFF"/>
            <w:tcMar>
              <w:top w:w="40" w:type="dxa"/>
              <w:left w:w="0" w:type="dxa"/>
              <w:bottom w:w="40" w:type="dxa"/>
              <w:right w:w="20" w:type="dxa"/>
            </w:tcMar>
            <w:vAlign w:val="bottom"/>
          </w:tcPr>
          <w:p w14:paraId="5CD9073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35" w14:textId="77777777" w:rsidR="00BA49F5" w:rsidRDefault="00BA49F5">
            <w:pPr>
              <w:rPr>
                <w:rFonts w:ascii="宋体"/>
              </w:rPr>
            </w:pPr>
          </w:p>
        </w:tc>
        <w:tc>
          <w:tcPr>
            <w:tcW w:w="0" w:type="auto"/>
            <w:gridSpan w:val="2"/>
            <w:shd w:val="clear" w:color="auto" w:fill="CCEEFF"/>
            <w:tcMar>
              <w:top w:w="40" w:type="dxa"/>
              <w:left w:w="20" w:type="dxa"/>
              <w:bottom w:w="40" w:type="dxa"/>
              <w:right w:w="0" w:type="dxa"/>
            </w:tcMar>
            <w:vAlign w:val="bottom"/>
          </w:tcPr>
          <w:p w14:paraId="5CD90736" w14:textId="77777777" w:rsidR="00BA49F5" w:rsidRDefault="007E5E49">
            <w:pPr>
              <w:jc w:val="right"/>
              <w:textAlignment w:val="bottom"/>
            </w:pPr>
            <w:r>
              <w:rPr>
                <w:rFonts w:ascii="Times New Roman" w:eastAsia="宋体" w:hAnsi="Times New Roman"/>
                <w:color w:val="000000"/>
                <w:sz w:val="20"/>
                <w:szCs w:val="20"/>
              </w:rPr>
              <w:t>1,139 </w:t>
            </w:r>
          </w:p>
        </w:tc>
        <w:tc>
          <w:tcPr>
            <w:tcW w:w="0" w:type="auto"/>
            <w:shd w:val="clear" w:color="auto" w:fill="CCEEFF"/>
            <w:tcMar>
              <w:top w:w="40" w:type="dxa"/>
              <w:left w:w="0" w:type="dxa"/>
              <w:bottom w:w="40" w:type="dxa"/>
              <w:right w:w="20" w:type="dxa"/>
            </w:tcMar>
            <w:vAlign w:val="bottom"/>
          </w:tcPr>
          <w:p w14:paraId="5CD90737" w14:textId="77777777" w:rsidR="00BA49F5" w:rsidRDefault="00BA49F5">
            <w:pPr>
              <w:jc w:val="right"/>
              <w:rPr>
                <w:rFonts w:ascii="宋体"/>
              </w:rPr>
            </w:pPr>
          </w:p>
        </w:tc>
      </w:tr>
      <w:tr w:rsidR="00BA49F5" w14:paraId="5CD90745" w14:textId="77777777">
        <w:tc>
          <w:tcPr>
            <w:tcW w:w="0" w:type="auto"/>
            <w:gridSpan w:val="3"/>
            <w:shd w:val="clear" w:color="auto" w:fill="FFFFFF"/>
            <w:tcMar>
              <w:top w:w="40" w:type="dxa"/>
              <w:left w:w="380" w:type="dxa"/>
              <w:bottom w:w="40" w:type="dxa"/>
              <w:right w:w="20" w:type="dxa"/>
            </w:tcMar>
            <w:vAlign w:val="bottom"/>
          </w:tcPr>
          <w:p w14:paraId="5CD90739" w14:textId="77777777" w:rsidR="00BA49F5" w:rsidRDefault="007E5E49">
            <w:pPr>
              <w:textAlignment w:val="bottom"/>
            </w:pPr>
            <w:r>
              <w:rPr>
                <w:rFonts w:ascii="Times New Roman" w:eastAsia="宋体" w:hAnsi="Times New Roman"/>
                <w:color w:val="000000"/>
                <w:sz w:val="20"/>
                <w:szCs w:val="20"/>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5CD9073A"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9073B" w14:textId="77777777" w:rsidR="00BA49F5" w:rsidRDefault="007E5E49">
            <w:pPr>
              <w:jc w:val="right"/>
              <w:textAlignment w:val="bottom"/>
            </w:pPr>
            <w:r>
              <w:rPr>
                <w:rFonts w:ascii="Times New Roman" w:eastAsia="宋体" w:hAnsi="Times New Roman"/>
                <w:color w:val="000000"/>
                <w:sz w:val="20"/>
                <w:szCs w:val="20"/>
              </w:rPr>
              <w:t>116,609 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73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3D"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9073E"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9073F" w14:textId="77777777" w:rsidR="00BA49F5" w:rsidRDefault="007E5E49">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740"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41" w14:textId="77777777" w:rsidR="00BA49F5" w:rsidRDefault="00BA49F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CD9074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CD90743" w14:textId="77777777" w:rsidR="00BA49F5" w:rsidRDefault="007E5E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D90744" w14:textId="77777777" w:rsidR="00BA49F5" w:rsidRDefault="00BA49F5">
            <w:pPr>
              <w:jc w:val="right"/>
              <w:rPr>
                <w:rFonts w:ascii="宋体"/>
              </w:rPr>
            </w:pPr>
          </w:p>
        </w:tc>
      </w:tr>
      <w:tr w:rsidR="00BA49F5" w14:paraId="5CD9074C" w14:textId="77777777">
        <w:trPr>
          <w:trHeight w:val="300"/>
        </w:trPr>
        <w:tc>
          <w:tcPr>
            <w:tcW w:w="0" w:type="auto"/>
            <w:gridSpan w:val="3"/>
            <w:shd w:val="clear" w:color="auto" w:fill="CCEEFF"/>
            <w:tcMar>
              <w:top w:w="0" w:type="dxa"/>
              <w:left w:w="20" w:type="dxa"/>
              <w:bottom w:w="0" w:type="dxa"/>
              <w:right w:w="20" w:type="dxa"/>
            </w:tcMar>
            <w:vAlign w:val="bottom"/>
          </w:tcPr>
          <w:p w14:paraId="5CD90746"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90747"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748"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90749" w14:textId="77777777" w:rsidR="00BA49F5" w:rsidRDefault="00BA49F5">
            <w:pPr>
              <w:rPr>
                <w:rFonts w:ascii="宋体"/>
              </w:rPr>
            </w:pPr>
          </w:p>
        </w:tc>
        <w:tc>
          <w:tcPr>
            <w:tcW w:w="0" w:type="auto"/>
            <w:gridSpan w:val="3"/>
            <w:shd w:val="clear" w:color="auto" w:fill="CCEEFF"/>
            <w:tcMar>
              <w:top w:w="0" w:type="dxa"/>
              <w:left w:w="20" w:type="dxa"/>
              <w:bottom w:w="0" w:type="dxa"/>
              <w:right w:w="20" w:type="dxa"/>
            </w:tcMar>
            <w:vAlign w:val="bottom"/>
          </w:tcPr>
          <w:p w14:paraId="5CD9074A" w14:textId="77777777" w:rsidR="00BA49F5" w:rsidRDefault="00BA49F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CD9074B" w14:textId="77777777" w:rsidR="00BA49F5" w:rsidRDefault="00BA49F5">
            <w:pPr>
              <w:rPr>
                <w:rFonts w:ascii="宋体"/>
              </w:rPr>
            </w:pPr>
          </w:p>
        </w:tc>
      </w:tr>
      <w:tr w:rsidR="00BA49F5" w14:paraId="5CD90753" w14:textId="77777777">
        <w:tc>
          <w:tcPr>
            <w:tcW w:w="0" w:type="auto"/>
            <w:gridSpan w:val="3"/>
            <w:shd w:val="clear" w:color="auto" w:fill="FFFFFF"/>
            <w:tcMar>
              <w:top w:w="40" w:type="dxa"/>
              <w:left w:w="20" w:type="dxa"/>
              <w:bottom w:w="40" w:type="dxa"/>
              <w:right w:w="20" w:type="dxa"/>
            </w:tcMar>
            <w:vAlign w:val="bottom"/>
          </w:tcPr>
          <w:p w14:paraId="5CD9074D" w14:textId="77777777" w:rsidR="00BA49F5" w:rsidRDefault="007E5E49">
            <w:pPr>
              <w:textAlignment w:val="bottom"/>
            </w:pPr>
            <w:r>
              <w:rPr>
                <w:rFonts w:ascii="Times New Roman" w:eastAsia="宋体" w:hAnsi="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bottom"/>
          </w:tcPr>
          <w:p w14:paraId="5CD9074E"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74F"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750"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751" w14:textId="77777777" w:rsidR="00BA49F5" w:rsidRDefault="00BA49F5">
            <w:pPr>
              <w:rPr>
                <w:rFonts w:ascii="宋体"/>
              </w:rPr>
            </w:pPr>
          </w:p>
        </w:tc>
        <w:tc>
          <w:tcPr>
            <w:tcW w:w="0" w:type="auto"/>
            <w:gridSpan w:val="3"/>
            <w:shd w:val="clear" w:color="auto" w:fill="FFFFFF"/>
            <w:tcMar>
              <w:top w:w="0" w:type="dxa"/>
              <w:left w:w="20" w:type="dxa"/>
              <w:bottom w:w="0" w:type="dxa"/>
              <w:right w:w="20" w:type="dxa"/>
            </w:tcMar>
            <w:vAlign w:val="bottom"/>
          </w:tcPr>
          <w:p w14:paraId="5CD90752" w14:textId="77777777" w:rsidR="00BA49F5" w:rsidRDefault="00BA49F5">
            <w:pPr>
              <w:rPr>
                <w:rFonts w:ascii="宋体"/>
              </w:rPr>
            </w:pPr>
          </w:p>
        </w:tc>
      </w:tr>
      <w:tr w:rsidR="00BA49F5" w14:paraId="5CD90760" w14:textId="77777777">
        <w:tc>
          <w:tcPr>
            <w:tcW w:w="0" w:type="auto"/>
            <w:gridSpan w:val="3"/>
            <w:shd w:val="clear" w:color="auto" w:fill="CCEEFF"/>
            <w:tcMar>
              <w:top w:w="40" w:type="dxa"/>
              <w:left w:w="200" w:type="dxa"/>
              <w:bottom w:w="40" w:type="dxa"/>
              <w:right w:w="20" w:type="dxa"/>
            </w:tcMar>
            <w:vAlign w:val="bottom"/>
          </w:tcPr>
          <w:p w14:paraId="5CD90754" w14:textId="77777777" w:rsidR="00BA49F5" w:rsidRDefault="007E5E49">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5CD90755"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756" w14:textId="77777777" w:rsidR="00BA49F5" w:rsidRDefault="007E5E49">
            <w:pPr>
              <w:jc w:val="right"/>
              <w:textAlignment w:val="bottom"/>
            </w:pPr>
            <w:r>
              <w:rPr>
                <w:rFonts w:ascii="Times New Roman" w:eastAsia="宋体" w:hAnsi="Times New Roman"/>
                <w:color w:val="000000"/>
                <w:sz w:val="20"/>
                <w:szCs w:val="20"/>
              </w:rPr>
              <w:t>42,661 </w:t>
            </w:r>
          </w:p>
        </w:tc>
        <w:tc>
          <w:tcPr>
            <w:tcW w:w="0" w:type="auto"/>
            <w:shd w:val="clear" w:color="auto" w:fill="CCEEFF"/>
            <w:tcMar>
              <w:top w:w="40" w:type="dxa"/>
              <w:left w:w="0" w:type="dxa"/>
              <w:bottom w:w="40" w:type="dxa"/>
              <w:right w:w="20" w:type="dxa"/>
            </w:tcMar>
            <w:vAlign w:val="bottom"/>
          </w:tcPr>
          <w:p w14:paraId="5CD90757"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58"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759"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75A" w14:textId="77777777" w:rsidR="00BA49F5" w:rsidRDefault="007E5E49">
            <w:pPr>
              <w:jc w:val="right"/>
              <w:textAlignment w:val="bottom"/>
            </w:pPr>
            <w:r>
              <w:rPr>
                <w:rFonts w:ascii="Times New Roman" w:eastAsia="宋体" w:hAnsi="Times New Roman"/>
                <w:color w:val="000000"/>
                <w:sz w:val="20"/>
                <w:szCs w:val="20"/>
              </w:rPr>
              <w:t>56,946 </w:t>
            </w:r>
          </w:p>
        </w:tc>
        <w:tc>
          <w:tcPr>
            <w:tcW w:w="0" w:type="auto"/>
            <w:shd w:val="clear" w:color="auto" w:fill="CCEEFF"/>
            <w:tcMar>
              <w:top w:w="40" w:type="dxa"/>
              <w:left w:w="0" w:type="dxa"/>
              <w:bottom w:w="40" w:type="dxa"/>
              <w:right w:w="20" w:type="dxa"/>
            </w:tcMar>
            <w:vAlign w:val="bottom"/>
          </w:tcPr>
          <w:p w14:paraId="5CD9075B"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5C" w14:textId="77777777" w:rsidR="00BA49F5" w:rsidRDefault="00BA49F5">
            <w:pPr>
              <w:rPr>
                <w:rFonts w:ascii="宋体"/>
              </w:rPr>
            </w:pPr>
          </w:p>
        </w:tc>
        <w:tc>
          <w:tcPr>
            <w:tcW w:w="0" w:type="auto"/>
            <w:shd w:val="clear" w:color="auto" w:fill="CCEEFF"/>
            <w:tcMar>
              <w:top w:w="40" w:type="dxa"/>
              <w:left w:w="20" w:type="dxa"/>
              <w:bottom w:w="40" w:type="dxa"/>
              <w:right w:w="0" w:type="dxa"/>
            </w:tcMar>
            <w:vAlign w:val="bottom"/>
          </w:tcPr>
          <w:p w14:paraId="5CD9075D" w14:textId="77777777" w:rsidR="00BA49F5" w:rsidRDefault="007E5E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CD9075E" w14:textId="77777777" w:rsidR="00BA49F5" w:rsidRDefault="007E5E49">
            <w:pPr>
              <w:jc w:val="right"/>
              <w:textAlignment w:val="bottom"/>
            </w:pPr>
            <w:r>
              <w:rPr>
                <w:rFonts w:ascii="Times New Roman" w:eastAsia="宋体" w:hAnsi="Times New Roman"/>
                <w:color w:val="000000"/>
                <w:sz w:val="20"/>
                <w:szCs w:val="20"/>
              </w:rPr>
              <w:t>39,294 </w:t>
            </w:r>
          </w:p>
        </w:tc>
        <w:tc>
          <w:tcPr>
            <w:tcW w:w="0" w:type="auto"/>
            <w:shd w:val="clear" w:color="auto" w:fill="CCEEFF"/>
            <w:tcMar>
              <w:top w:w="40" w:type="dxa"/>
              <w:left w:w="0" w:type="dxa"/>
              <w:bottom w:w="40" w:type="dxa"/>
              <w:right w:w="20" w:type="dxa"/>
            </w:tcMar>
            <w:vAlign w:val="bottom"/>
          </w:tcPr>
          <w:p w14:paraId="5CD9075F" w14:textId="77777777" w:rsidR="00BA49F5" w:rsidRDefault="00BA49F5">
            <w:pPr>
              <w:jc w:val="right"/>
              <w:rPr>
                <w:rFonts w:ascii="宋体"/>
              </w:rPr>
            </w:pPr>
          </w:p>
        </w:tc>
      </w:tr>
      <w:tr w:rsidR="00BA49F5" w14:paraId="5CD9076A" w14:textId="77777777">
        <w:tc>
          <w:tcPr>
            <w:tcW w:w="0" w:type="auto"/>
            <w:gridSpan w:val="3"/>
            <w:shd w:val="clear" w:color="auto" w:fill="FFFFFF"/>
            <w:tcMar>
              <w:top w:w="40" w:type="dxa"/>
              <w:left w:w="200" w:type="dxa"/>
              <w:bottom w:w="40" w:type="dxa"/>
              <w:right w:w="20" w:type="dxa"/>
            </w:tcMar>
            <w:vAlign w:val="bottom"/>
          </w:tcPr>
          <w:p w14:paraId="5CD90761" w14:textId="77777777" w:rsidR="00BA49F5" w:rsidRDefault="007E5E49">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5CD90762" w14:textId="77777777" w:rsidR="00BA49F5" w:rsidRDefault="007E5E49">
            <w:pPr>
              <w:jc w:val="right"/>
              <w:textAlignment w:val="bottom"/>
            </w:pPr>
            <w:r>
              <w:rPr>
                <w:rFonts w:ascii="Times New Roman" w:eastAsia="宋体" w:hAnsi="Times New Roman"/>
                <w:color w:val="000000"/>
                <w:sz w:val="20"/>
                <w:szCs w:val="20"/>
              </w:rPr>
              <w:t>(13,717)</w:t>
            </w:r>
          </w:p>
        </w:tc>
        <w:tc>
          <w:tcPr>
            <w:tcW w:w="0" w:type="auto"/>
            <w:shd w:val="clear" w:color="auto" w:fill="FFFFFF"/>
            <w:tcMar>
              <w:top w:w="40" w:type="dxa"/>
              <w:left w:w="0" w:type="dxa"/>
              <w:bottom w:w="40" w:type="dxa"/>
              <w:right w:w="20" w:type="dxa"/>
            </w:tcMar>
            <w:vAlign w:val="bottom"/>
          </w:tcPr>
          <w:p w14:paraId="5CD90763"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64"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765" w14:textId="77777777" w:rsidR="00BA49F5" w:rsidRDefault="007E5E49">
            <w:pPr>
              <w:jc w:val="right"/>
              <w:textAlignment w:val="bottom"/>
            </w:pPr>
            <w:r>
              <w:rPr>
                <w:rFonts w:ascii="Times New Roman" w:eastAsia="宋体" w:hAnsi="Times New Roman"/>
                <w:color w:val="000000"/>
                <w:sz w:val="20"/>
                <w:szCs w:val="20"/>
              </w:rPr>
              <w:t>(10,193)</w:t>
            </w:r>
          </w:p>
        </w:tc>
        <w:tc>
          <w:tcPr>
            <w:tcW w:w="0" w:type="auto"/>
            <w:shd w:val="clear" w:color="auto" w:fill="FFFFFF"/>
            <w:tcMar>
              <w:top w:w="40" w:type="dxa"/>
              <w:left w:w="0" w:type="dxa"/>
              <w:bottom w:w="40" w:type="dxa"/>
              <w:right w:w="20" w:type="dxa"/>
            </w:tcMar>
            <w:vAlign w:val="bottom"/>
          </w:tcPr>
          <w:p w14:paraId="5CD90766"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67"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768" w14:textId="77777777" w:rsidR="00BA49F5" w:rsidRDefault="007E5E49">
            <w:pPr>
              <w:jc w:val="right"/>
              <w:textAlignment w:val="bottom"/>
            </w:pPr>
            <w:r>
              <w:rPr>
                <w:rFonts w:ascii="Times New Roman" w:eastAsia="宋体" w:hAnsi="Times New Roman"/>
                <w:color w:val="000000"/>
                <w:sz w:val="20"/>
                <w:szCs w:val="20"/>
              </w:rPr>
              <w:t>(6,623)</w:t>
            </w:r>
          </w:p>
        </w:tc>
        <w:tc>
          <w:tcPr>
            <w:tcW w:w="0" w:type="auto"/>
            <w:shd w:val="clear" w:color="auto" w:fill="FFFFFF"/>
            <w:tcMar>
              <w:top w:w="40" w:type="dxa"/>
              <w:left w:w="0" w:type="dxa"/>
              <w:bottom w:w="40" w:type="dxa"/>
              <w:right w:w="20" w:type="dxa"/>
            </w:tcMar>
            <w:vAlign w:val="bottom"/>
          </w:tcPr>
          <w:p w14:paraId="5CD90769" w14:textId="77777777" w:rsidR="00BA49F5" w:rsidRDefault="00BA49F5">
            <w:pPr>
              <w:jc w:val="right"/>
              <w:rPr>
                <w:rFonts w:ascii="宋体"/>
              </w:rPr>
            </w:pPr>
          </w:p>
        </w:tc>
      </w:tr>
      <w:tr w:rsidR="00BA49F5" w14:paraId="5CD90777" w14:textId="77777777">
        <w:tc>
          <w:tcPr>
            <w:tcW w:w="0" w:type="auto"/>
            <w:gridSpan w:val="3"/>
            <w:shd w:val="clear" w:color="auto" w:fill="CCEEFF"/>
            <w:tcMar>
              <w:top w:w="40" w:type="dxa"/>
              <w:left w:w="380" w:type="dxa"/>
              <w:bottom w:w="40" w:type="dxa"/>
              <w:right w:w="20" w:type="dxa"/>
            </w:tcMar>
            <w:vAlign w:val="bottom"/>
          </w:tcPr>
          <w:p w14:paraId="5CD9076B" w14:textId="77777777" w:rsidR="00BA49F5" w:rsidRDefault="007E5E49">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76C"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76D" w14:textId="77777777" w:rsidR="00BA49F5" w:rsidRDefault="007E5E49">
            <w:pPr>
              <w:jc w:val="right"/>
              <w:textAlignment w:val="bottom"/>
            </w:pPr>
            <w:r>
              <w:rPr>
                <w:rFonts w:ascii="Times New Roman" w:eastAsia="宋体" w:hAnsi="Times New Roman"/>
                <w:color w:val="000000"/>
                <w:sz w:val="20"/>
                <w:szCs w:val="20"/>
              </w:rPr>
              <w:t>28,944 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76E"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6F"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770"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771" w14:textId="77777777" w:rsidR="00BA49F5" w:rsidRDefault="007E5E49">
            <w:pPr>
              <w:jc w:val="right"/>
              <w:textAlignment w:val="bottom"/>
            </w:pPr>
            <w:r>
              <w:rPr>
                <w:rFonts w:ascii="Times New Roman" w:eastAsia="宋体" w:hAnsi="Times New Roman"/>
                <w:color w:val="000000"/>
                <w:sz w:val="20"/>
                <w:szCs w:val="20"/>
              </w:rPr>
              <w:t>46,753 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772"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73"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774"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775" w14:textId="77777777" w:rsidR="00BA49F5" w:rsidRDefault="007E5E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776" w14:textId="77777777" w:rsidR="00BA49F5" w:rsidRDefault="00BA49F5">
            <w:pPr>
              <w:jc w:val="right"/>
              <w:rPr>
                <w:rFonts w:ascii="宋体"/>
              </w:rPr>
            </w:pPr>
          </w:p>
        </w:tc>
      </w:tr>
    </w:tbl>
    <w:p w14:paraId="5CD90778" w14:textId="77777777" w:rsidR="00BA49F5" w:rsidRDefault="00BA49F5">
      <w:pPr>
        <w:ind w:firstLine="540"/>
        <w:jc w:val="both"/>
      </w:pPr>
    </w:p>
    <w:p w14:paraId="5CD90779" w14:textId="77777777" w:rsidR="00BA49F5" w:rsidRDefault="007E5E49">
      <w:pPr>
        <w:ind w:firstLine="540"/>
        <w:jc w:val="both"/>
      </w:pPr>
      <w:r>
        <w:rPr>
          <w:rFonts w:ascii="Times New Roman" w:eastAsia="宋体" w:hAnsi="Times New Roman"/>
          <w:color w:val="000000"/>
          <w:sz w:val="20"/>
          <w:szCs w:val="20"/>
          <w:shd w:val="clear" w:color="auto" w:fill="FFFFFF"/>
        </w:rPr>
        <w:t xml:space="preserve">For information regarding revenue disaggregated by geography, see </w:t>
      </w:r>
      <w:r>
        <w:rPr>
          <w:rFonts w:ascii="Times New Roman" w:eastAsia="宋体" w:hAnsi="Times New Roman"/>
          <w:color w:val="000000"/>
          <w:sz w:val="20"/>
          <w:szCs w:val="20"/>
        </w:rPr>
        <w:t>Note 2 — Revenue</w:t>
      </w:r>
      <w:r>
        <w:rPr>
          <w:rFonts w:ascii="Times New Roman" w:eastAsia="宋体" w:hAnsi="Times New Roman"/>
          <w:color w:val="000000"/>
          <w:sz w:val="20"/>
          <w:szCs w:val="20"/>
          <w:shd w:val="clear" w:color="auto" w:fill="FFFFFF"/>
        </w:rPr>
        <w:t>.</w:t>
      </w:r>
    </w:p>
    <w:p w14:paraId="5CD9077A" w14:textId="77777777" w:rsidR="00BA49F5" w:rsidRDefault="00BA49F5">
      <w:pPr>
        <w:ind w:firstLine="540"/>
        <w:jc w:val="both"/>
      </w:pPr>
    </w:p>
    <w:p w14:paraId="5CD9077B" w14:textId="77777777" w:rsidR="00BA49F5" w:rsidRDefault="007E5E49">
      <w:pPr>
        <w:ind w:firstLine="540"/>
        <w:jc w:val="both"/>
      </w:pPr>
      <w:r>
        <w:rPr>
          <w:rFonts w:ascii="Times New Roman" w:eastAsia="宋体" w:hAnsi="Times New Roman"/>
          <w:color w:val="000000"/>
          <w:sz w:val="20"/>
          <w:szCs w:val="20"/>
        </w:rPr>
        <w:t>The following table sets forth our long-lived assets by geographic area, which consist of property and equipmen</w:t>
      </w:r>
      <w:r>
        <w:rPr>
          <w:rFonts w:ascii="Times New Roman" w:eastAsia="宋体" w:hAnsi="Times New Roman"/>
          <w:color w:val="000000"/>
          <w:sz w:val="20"/>
          <w:szCs w:val="20"/>
        </w:rPr>
        <w:t>t, net and operating lease right-of-use assets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BA49F5" w14:paraId="5CD90788" w14:textId="77777777">
        <w:tc>
          <w:tcPr>
            <w:tcW w:w="50" w:type="pct"/>
            <w:shd w:val="clear" w:color="auto" w:fill="auto"/>
            <w:vAlign w:val="bottom"/>
          </w:tcPr>
          <w:p w14:paraId="5CD9077C" w14:textId="77777777" w:rsidR="00BA49F5" w:rsidRDefault="00BA49F5">
            <w:pPr>
              <w:rPr>
                <w:rFonts w:ascii="宋体"/>
              </w:rPr>
            </w:pPr>
          </w:p>
        </w:tc>
        <w:tc>
          <w:tcPr>
            <w:tcW w:w="3419" w:type="pct"/>
            <w:shd w:val="clear" w:color="auto" w:fill="auto"/>
            <w:vAlign w:val="bottom"/>
          </w:tcPr>
          <w:p w14:paraId="5CD9077D" w14:textId="77777777" w:rsidR="00BA49F5" w:rsidRDefault="00BA49F5">
            <w:pPr>
              <w:rPr>
                <w:rFonts w:ascii="宋体"/>
              </w:rPr>
            </w:pPr>
          </w:p>
        </w:tc>
        <w:tc>
          <w:tcPr>
            <w:tcW w:w="5" w:type="pct"/>
            <w:shd w:val="clear" w:color="auto" w:fill="auto"/>
            <w:vAlign w:val="bottom"/>
          </w:tcPr>
          <w:p w14:paraId="5CD9077E" w14:textId="77777777" w:rsidR="00BA49F5" w:rsidRDefault="00BA49F5">
            <w:pPr>
              <w:rPr>
                <w:rFonts w:ascii="宋体"/>
              </w:rPr>
            </w:pPr>
          </w:p>
        </w:tc>
        <w:tc>
          <w:tcPr>
            <w:tcW w:w="50" w:type="pct"/>
            <w:shd w:val="clear" w:color="auto" w:fill="auto"/>
            <w:vAlign w:val="bottom"/>
          </w:tcPr>
          <w:p w14:paraId="5CD9077F" w14:textId="77777777" w:rsidR="00BA49F5" w:rsidRDefault="00BA49F5">
            <w:pPr>
              <w:rPr>
                <w:rFonts w:ascii="宋体"/>
              </w:rPr>
            </w:pPr>
          </w:p>
        </w:tc>
        <w:tc>
          <w:tcPr>
            <w:tcW w:w="689" w:type="pct"/>
            <w:shd w:val="clear" w:color="auto" w:fill="auto"/>
            <w:vAlign w:val="bottom"/>
          </w:tcPr>
          <w:p w14:paraId="5CD90780" w14:textId="77777777" w:rsidR="00BA49F5" w:rsidRDefault="00BA49F5">
            <w:pPr>
              <w:rPr>
                <w:rFonts w:ascii="宋体"/>
              </w:rPr>
            </w:pPr>
          </w:p>
        </w:tc>
        <w:tc>
          <w:tcPr>
            <w:tcW w:w="5" w:type="pct"/>
            <w:shd w:val="clear" w:color="auto" w:fill="auto"/>
            <w:vAlign w:val="bottom"/>
          </w:tcPr>
          <w:p w14:paraId="5CD90781" w14:textId="77777777" w:rsidR="00BA49F5" w:rsidRDefault="00BA49F5">
            <w:pPr>
              <w:rPr>
                <w:rFonts w:ascii="宋体"/>
              </w:rPr>
            </w:pPr>
          </w:p>
        </w:tc>
        <w:tc>
          <w:tcPr>
            <w:tcW w:w="5" w:type="pct"/>
            <w:shd w:val="clear" w:color="auto" w:fill="auto"/>
            <w:vAlign w:val="bottom"/>
          </w:tcPr>
          <w:p w14:paraId="5CD90782" w14:textId="77777777" w:rsidR="00BA49F5" w:rsidRDefault="00BA49F5">
            <w:pPr>
              <w:rPr>
                <w:rFonts w:ascii="宋体"/>
              </w:rPr>
            </w:pPr>
          </w:p>
        </w:tc>
        <w:tc>
          <w:tcPr>
            <w:tcW w:w="27" w:type="pct"/>
            <w:shd w:val="clear" w:color="auto" w:fill="auto"/>
            <w:vAlign w:val="bottom"/>
          </w:tcPr>
          <w:p w14:paraId="5CD90783" w14:textId="77777777" w:rsidR="00BA49F5" w:rsidRDefault="00BA49F5">
            <w:pPr>
              <w:rPr>
                <w:rFonts w:ascii="宋体"/>
              </w:rPr>
            </w:pPr>
          </w:p>
        </w:tc>
        <w:tc>
          <w:tcPr>
            <w:tcW w:w="5" w:type="pct"/>
            <w:shd w:val="clear" w:color="auto" w:fill="auto"/>
            <w:vAlign w:val="bottom"/>
          </w:tcPr>
          <w:p w14:paraId="5CD90784" w14:textId="77777777" w:rsidR="00BA49F5" w:rsidRDefault="00BA49F5">
            <w:pPr>
              <w:rPr>
                <w:rFonts w:ascii="宋体"/>
              </w:rPr>
            </w:pPr>
          </w:p>
        </w:tc>
        <w:tc>
          <w:tcPr>
            <w:tcW w:w="50" w:type="pct"/>
            <w:shd w:val="clear" w:color="auto" w:fill="auto"/>
            <w:vAlign w:val="bottom"/>
          </w:tcPr>
          <w:p w14:paraId="5CD90785" w14:textId="77777777" w:rsidR="00BA49F5" w:rsidRDefault="00BA49F5">
            <w:pPr>
              <w:rPr>
                <w:rFonts w:ascii="宋体"/>
              </w:rPr>
            </w:pPr>
          </w:p>
        </w:tc>
        <w:tc>
          <w:tcPr>
            <w:tcW w:w="689" w:type="pct"/>
            <w:shd w:val="clear" w:color="auto" w:fill="auto"/>
            <w:vAlign w:val="bottom"/>
          </w:tcPr>
          <w:p w14:paraId="5CD90786" w14:textId="77777777" w:rsidR="00BA49F5" w:rsidRDefault="00BA49F5">
            <w:pPr>
              <w:rPr>
                <w:rFonts w:ascii="宋体"/>
              </w:rPr>
            </w:pPr>
          </w:p>
        </w:tc>
        <w:tc>
          <w:tcPr>
            <w:tcW w:w="5" w:type="pct"/>
            <w:shd w:val="clear" w:color="auto" w:fill="auto"/>
            <w:vAlign w:val="bottom"/>
          </w:tcPr>
          <w:p w14:paraId="5CD90787" w14:textId="77777777" w:rsidR="00BA49F5" w:rsidRDefault="00BA49F5">
            <w:pPr>
              <w:rPr>
                <w:rFonts w:ascii="宋体"/>
              </w:rPr>
            </w:pPr>
          </w:p>
        </w:tc>
      </w:tr>
      <w:tr w:rsidR="00BA49F5" w14:paraId="5CD9078B" w14:textId="77777777">
        <w:tc>
          <w:tcPr>
            <w:tcW w:w="0" w:type="auto"/>
            <w:gridSpan w:val="3"/>
            <w:shd w:val="clear" w:color="auto" w:fill="auto"/>
            <w:tcMar>
              <w:top w:w="40" w:type="dxa"/>
              <w:left w:w="20" w:type="dxa"/>
              <w:bottom w:w="40" w:type="dxa"/>
              <w:right w:w="20" w:type="dxa"/>
            </w:tcMar>
            <w:vAlign w:val="bottom"/>
          </w:tcPr>
          <w:p w14:paraId="5CD90789" w14:textId="77777777" w:rsidR="00BA49F5" w:rsidRDefault="007E5E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5CD9078A" w14:textId="77777777" w:rsidR="00BA49F5" w:rsidRDefault="007E5E49">
            <w:pPr>
              <w:jc w:val="center"/>
              <w:textAlignment w:val="bottom"/>
            </w:pPr>
            <w:r>
              <w:rPr>
                <w:rFonts w:ascii="Times New Roman" w:eastAsia="宋体" w:hAnsi="Times New Roman"/>
                <w:b/>
                <w:bCs/>
                <w:color w:val="000000"/>
                <w:sz w:val="16"/>
                <w:szCs w:val="16"/>
              </w:rPr>
              <w:t>December 31,</w:t>
            </w:r>
          </w:p>
        </w:tc>
      </w:tr>
      <w:tr w:rsidR="00BA49F5" w14:paraId="5CD90790" w14:textId="77777777">
        <w:tc>
          <w:tcPr>
            <w:tcW w:w="0" w:type="auto"/>
            <w:gridSpan w:val="3"/>
            <w:shd w:val="clear" w:color="auto" w:fill="auto"/>
            <w:tcMar>
              <w:top w:w="40" w:type="dxa"/>
              <w:left w:w="20" w:type="dxa"/>
              <w:bottom w:w="40" w:type="dxa"/>
              <w:right w:w="20" w:type="dxa"/>
            </w:tcMar>
            <w:vAlign w:val="bottom"/>
          </w:tcPr>
          <w:p w14:paraId="5CD9078C" w14:textId="77777777" w:rsidR="00BA49F5" w:rsidRDefault="007E5E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78D" w14:textId="77777777" w:rsidR="00BA49F5" w:rsidRDefault="007E5E49">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78E"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78F" w14:textId="77777777" w:rsidR="00BA49F5" w:rsidRDefault="007E5E49">
            <w:pPr>
              <w:jc w:val="center"/>
              <w:textAlignment w:val="bottom"/>
            </w:pPr>
            <w:r>
              <w:rPr>
                <w:rFonts w:ascii="Times New Roman" w:eastAsia="宋体" w:hAnsi="Times New Roman"/>
                <w:b/>
                <w:bCs/>
                <w:color w:val="000000"/>
                <w:sz w:val="16"/>
                <w:szCs w:val="16"/>
              </w:rPr>
              <w:t>2021</w:t>
            </w:r>
          </w:p>
        </w:tc>
      </w:tr>
      <w:tr w:rsidR="00BA49F5" w14:paraId="5CD90799" w14:textId="77777777">
        <w:tc>
          <w:tcPr>
            <w:tcW w:w="0" w:type="auto"/>
            <w:gridSpan w:val="3"/>
            <w:shd w:val="clear" w:color="auto" w:fill="CCEEFF"/>
            <w:tcMar>
              <w:top w:w="40" w:type="dxa"/>
              <w:left w:w="20" w:type="dxa"/>
              <w:bottom w:w="40" w:type="dxa"/>
              <w:right w:w="20" w:type="dxa"/>
            </w:tcMar>
            <w:vAlign w:val="bottom"/>
          </w:tcPr>
          <w:p w14:paraId="5CD90791" w14:textId="77777777" w:rsidR="00BA49F5" w:rsidRDefault="007E5E49">
            <w:pPr>
              <w:textAlignment w:val="bottom"/>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5CD9079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793" w14:textId="77777777" w:rsidR="00BA49F5" w:rsidRDefault="007E5E49">
            <w:pPr>
              <w:jc w:val="right"/>
              <w:textAlignment w:val="bottom"/>
            </w:pPr>
            <w:r>
              <w:rPr>
                <w:rFonts w:ascii="Times New Roman" w:eastAsia="宋体" w:hAnsi="Times New Roman"/>
                <w:color w:val="000000"/>
                <w:sz w:val="20"/>
                <w:szCs w:val="20"/>
              </w:rPr>
              <w:t>76,334 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79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95" w14:textId="77777777" w:rsidR="00BA49F5" w:rsidRDefault="00BA49F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CD9079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CD90797" w14:textId="77777777" w:rsidR="00BA49F5" w:rsidRDefault="007E5E49">
            <w:pPr>
              <w:jc w:val="right"/>
              <w:textAlignment w:val="bottom"/>
            </w:pPr>
            <w:r>
              <w:rPr>
                <w:rFonts w:ascii="Times New Roman" w:eastAsia="宋体" w:hAnsi="Times New Roman"/>
                <w:color w:val="000000"/>
                <w:sz w:val="20"/>
                <w:szCs w:val="20"/>
              </w:rPr>
              <w:t>55,497 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CD90798" w14:textId="77777777" w:rsidR="00BA49F5" w:rsidRDefault="00BA49F5">
            <w:pPr>
              <w:jc w:val="right"/>
              <w:rPr>
                <w:rFonts w:ascii="宋体"/>
              </w:rPr>
            </w:pPr>
          </w:p>
        </w:tc>
      </w:tr>
      <w:tr w:rsidR="00BA49F5" w14:paraId="5CD907A0" w14:textId="77777777">
        <w:tc>
          <w:tcPr>
            <w:tcW w:w="0" w:type="auto"/>
            <w:gridSpan w:val="3"/>
            <w:shd w:val="clear" w:color="auto" w:fill="FFFFFF"/>
            <w:tcMar>
              <w:top w:w="40" w:type="dxa"/>
              <w:left w:w="20" w:type="dxa"/>
              <w:bottom w:w="40" w:type="dxa"/>
              <w:right w:w="20" w:type="dxa"/>
            </w:tcMar>
            <w:vAlign w:val="bottom"/>
          </w:tcPr>
          <w:p w14:paraId="5CD9079A" w14:textId="77777777" w:rsidR="00BA49F5" w:rsidRDefault="007E5E49">
            <w:pPr>
              <w:textAlignment w:val="bottom"/>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5CD9079B" w14:textId="77777777" w:rsidR="00BA49F5" w:rsidRDefault="007E5E49">
            <w:pPr>
              <w:jc w:val="right"/>
              <w:textAlignment w:val="bottom"/>
            </w:pPr>
            <w:r>
              <w:rPr>
                <w:rFonts w:ascii="Times New Roman" w:eastAsia="宋体" w:hAnsi="Times New Roman"/>
                <w:color w:val="000000"/>
                <w:sz w:val="20"/>
                <w:szCs w:val="20"/>
              </w:rPr>
              <w:t>15,857 </w:t>
            </w:r>
          </w:p>
        </w:tc>
        <w:tc>
          <w:tcPr>
            <w:tcW w:w="0" w:type="auto"/>
            <w:shd w:val="clear" w:color="auto" w:fill="FFFFFF"/>
            <w:tcMar>
              <w:top w:w="40" w:type="dxa"/>
              <w:left w:w="0" w:type="dxa"/>
              <w:bottom w:w="40" w:type="dxa"/>
              <w:right w:w="20" w:type="dxa"/>
            </w:tcMar>
            <w:vAlign w:val="bottom"/>
          </w:tcPr>
          <w:p w14:paraId="5CD9079C" w14:textId="77777777" w:rsidR="00BA49F5" w:rsidRDefault="00BA49F5">
            <w:pPr>
              <w:jc w:val="right"/>
              <w:rPr>
                <w:rFonts w:ascii="宋体"/>
              </w:rPr>
            </w:pPr>
          </w:p>
        </w:tc>
        <w:tc>
          <w:tcPr>
            <w:tcW w:w="0" w:type="auto"/>
            <w:gridSpan w:val="3"/>
            <w:shd w:val="clear" w:color="auto" w:fill="FFFFFF"/>
            <w:tcMar>
              <w:top w:w="0" w:type="dxa"/>
              <w:left w:w="20" w:type="dxa"/>
              <w:bottom w:w="0" w:type="dxa"/>
              <w:right w:w="20" w:type="dxa"/>
            </w:tcMar>
            <w:vAlign w:val="bottom"/>
          </w:tcPr>
          <w:p w14:paraId="5CD9079D" w14:textId="77777777" w:rsidR="00BA49F5" w:rsidRDefault="00BA49F5">
            <w:pPr>
              <w:rPr>
                <w:rFonts w:ascii="宋体"/>
              </w:rPr>
            </w:pPr>
          </w:p>
        </w:tc>
        <w:tc>
          <w:tcPr>
            <w:tcW w:w="0" w:type="auto"/>
            <w:gridSpan w:val="2"/>
            <w:shd w:val="clear" w:color="auto" w:fill="FFFFFF"/>
            <w:tcMar>
              <w:top w:w="40" w:type="dxa"/>
              <w:left w:w="20" w:type="dxa"/>
              <w:bottom w:w="40" w:type="dxa"/>
              <w:right w:w="0" w:type="dxa"/>
            </w:tcMar>
            <w:vAlign w:val="bottom"/>
          </w:tcPr>
          <w:p w14:paraId="5CD9079E" w14:textId="77777777" w:rsidR="00BA49F5" w:rsidRDefault="007E5E49">
            <w:pPr>
              <w:jc w:val="right"/>
              <w:textAlignment w:val="bottom"/>
            </w:pPr>
            <w:r>
              <w:rPr>
                <w:rFonts w:ascii="Times New Roman" w:eastAsia="宋体" w:hAnsi="Times New Roman"/>
                <w:color w:val="000000"/>
                <w:sz w:val="20"/>
                <w:szCs w:val="20"/>
              </w:rPr>
              <w:t>14,467 </w:t>
            </w:r>
          </w:p>
        </w:tc>
        <w:tc>
          <w:tcPr>
            <w:tcW w:w="0" w:type="auto"/>
            <w:shd w:val="clear" w:color="auto" w:fill="FFFFFF"/>
            <w:tcMar>
              <w:top w:w="40" w:type="dxa"/>
              <w:left w:w="0" w:type="dxa"/>
              <w:bottom w:w="40" w:type="dxa"/>
              <w:right w:w="20" w:type="dxa"/>
            </w:tcMar>
            <w:vAlign w:val="bottom"/>
          </w:tcPr>
          <w:p w14:paraId="5CD9079F" w14:textId="77777777" w:rsidR="00BA49F5" w:rsidRDefault="00BA49F5">
            <w:pPr>
              <w:jc w:val="right"/>
              <w:rPr>
                <w:rFonts w:ascii="宋体"/>
              </w:rPr>
            </w:pPr>
          </w:p>
        </w:tc>
      </w:tr>
      <w:tr w:rsidR="00BA49F5" w14:paraId="5CD907A9" w14:textId="77777777">
        <w:tc>
          <w:tcPr>
            <w:tcW w:w="0" w:type="auto"/>
            <w:gridSpan w:val="3"/>
            <w:shd w:val="clear" w:color="auto" w:fill="CCEEFF"/>
            <w:tcMar>
              <w:top w:w="40" w:type="dxa"/>
              <w:left w:w="380" w:type="dxa"/>
              <w:bottom w:w="40" w:type="dxa"/>
              <w:right w:w="20" w:type="dxa"/>
            </w:tcMar>
            <w:vAlign w:val="bottom"/>
          </w:tcPr>
          <w:p w14:paraId="5CD907A1" w14:textId="77777777" w:rsidR="00BA49F5" w:rsidRDefault="007E5E49">
            <w:pPr>
              <w:textAlignment w:val="bottom"/>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7A2"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7A3" w14:textId="77777777" w:rsidR="00BA49F5" w:rsidRDefault="007E5E49">
            <w:pPr>
              <w:jc w:val="right"/>
              <w:textAlignment w:val="bottom"/>
            </w:pPr>
            <w:r>
              <w:rPr>
                <w:rFonts w:ascii="Times New Roman" w:eastAsia="宋体" w:hAnsi="Times New Roman"/>
                <w:color w:val="000000"/>
                <w:sz w:val="20"/>
                <w:szCs w:val="20"/>
              </w:rPr>
              <w:t>92,191 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7A4" w14:textId="77777777" w:rsidR="00BA49F5" w:rsidRDefault="00BA49F5">
            <w:pPr>
              <w:jc w:val="right"/>
              <w:rPr>
                <w:rFonts w:ascii="宋体"/>
              </w:rPr>
            </w:pPr>
          </w:p>
        </w:tc>
        <w:tc>
          <w:tcPr>
            <w:tcW w:w="0" w:type="auto"/>
            <w:gridSpan w:val="3"/>
            <w:shd w:val="clear" w:color="auto" w:fill="CCEEFF"/>
            <w:tcMar>
              <w:top w:w="0" w:type="dxa"/>
              <w:left w:w="20" w:type="dxa"/>
              <w:bottom w:w="0" w:type="dxa"/>
              <w:right w:w="20" w:type="dxa"/>
            </w:tcMar>
            <w:vAlign w:val="bottom"/>
          </w:tcPr>
          <w:p w14:paraId="5CD907A5" w14:textId="77777777" w:rsidR="00BA49F5" w:rsidRDefault="00BA49F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CD907A6" w14:textId="77777777" w:rsidR="00BA49F5" w:rsidRDefault="007E5E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CD907A7" w14:textId="77777777" w:rsidR="00BA49F5" w:rsidRDefault="007E5E49">
            <w:pPr>
              <w:jc w:val="right"/>
              <w:textAlignment w:val="bottom"/>
            </w:pPr>
            <w:r>
              <w:rPr>
                <w:rFonts w:ascii="Times New Roman" w:eastAsia="宋体" w:hAnsi="Times New Roman"/>
                <w:color w:val="000000"/>
                <w:sz w:val="20"/>
                <w:szCs w:val="20"/>
              </w:rPr>
              <w:t>69,964 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CD907A8" w14:textId="77777777" w:rsidR="00BA49F5" w:rsidRDefault="00BA49F5">
            <w:pPr>
              <w:jc w:val="right"/>
              <w:rPr>
                <w:rFonts w:ascii="宋体"/>
              </w:rPr>
            </w:pPr>
          </w:p>
        </w:tc>
      </w:tr>
    </w:tbl>
    <w:p w14:paraId="5CD907AA" w14:textId="77777777" w:rsidR="00BA49F5" w:rsidRDefault="007E5E49">
      <w:r>
        <w:rPr>
          <w:rFonts w:ascii="Times New Roman" w:eastAsia="宋体" w:hAnsi="Times New Roman"/>
          <w:color w:val="000000"/>
          <w:sz w:val="12"/>
          <w:szCs w:val="12"/>
        </w:rPr>
        <w:t>_________________________</w:t>
      </w:r>
    </w:p>
    <w:p w14:paraId="5CD907AB" w14:textId="77777777" w:rsidR="00BA49F5" w:rsidRDefault="007E5E49">
      <w:pPr>
        <w:ind w:hanging="360"/>
        <w:jc w:val="both"/>
      </w:pPr>
      <w:r>
        <w:rPr>
          <w:rFonts w:ascii="Times New Roman" w:eastAsia="宋体" w:hAnsi="Times New Roman"/>
          <w:color w:val="000000"/>
          <w:sz w:val="18"/>
          <w:szCs w:val="18"/>
        </w:rPr>
        <w:t>(1)No individual country, other than disclosed above, exceeded 10% of our total long-lived assets for any period presented.</w:t>
      </w:r>
    </w:p>
    <w:p w14:paraId="5CD907AC" w14:textId="77777777" w:rsidR="00BA49F5" w:rsidRDefault="00BA49F5">
      <w:pPr>
        <w:ind w:hanging="315"/>
      </w:pPr>
    </w:p>
    <w:p w14:paraId="5CD907AD" w14:textId="77777777" w:rsidR="00BA49F5" w:rsidRDefault="00BA49F5">
      <w:pPr>
        <w:jc w:val="both"/>
      </w:pPr>
    </w:p>
    <w:p w14:paraId="5CD907AE" w14:textId="77777777" w:rsidR="00BA49F5" w:rsidRDefault="007E5E49">
      <w:pPr>
        <w:jc w:val="center"/>
      </w:pPr>
      <w:r>
        <w:rPr>
          <w:rFonts w:ascii="Times New Roman" w:eastAsia="宋体" w:hAnsi="Times New Roman"/>
          <w:color w:val="000000"/>
          <w:sz w:val="20"/>
          <w:szCs w:val="20"/>
        </w:rPr>
        <w:t>119</w:t>
      </w:r>
    </w:p>
    <w:p w14:paraId="5CD907AF" w14:textId="77777777" w:rsidR="00BA49F5" w:rsidRDefault="007E5E49">
      <w:r>
        <w:pict w14:anchorId="5CD90D6C">
          <v:rect id="_x0000_i1143" style="width:415.3pt;height:1.5pt" o:hralign="center" o:hrstd="t" o:hr="t" fillcolor="#a0a0a0" stroked="f"/>
        </w:pict>
      </w:r>
    </w:p>
    <w:p w14:paraId="5CD907B0" w14:textId="77777777" w:rsidR="00BA49F5" w:rsidRDefault="00BA49F5"/>
    <w:p w14:paraId="5CD907B1" w14:textId="77777777" w:rsidR="00BA49F5" w:rsidRDefault="00BA49F5"/>
    <w:p w14:paraId="5CD907B2" w14:textId="77777777" w:rsidR="00BA49F5" w:rsidRDefault="007E5E49">
      <w:hyperlink r:id="rId333" w:anchor="i6df229dad1864210ab76200083e26819_7" w:history="1">
        <w:r>
          <w:rPr>
            <w:rStyle w:val="a5"/>
            <w:rFonts w:ascii="Times New Roman" w:eastAsia="宋体" w:hAnsi="Times New Roman"/>
            <w:sz w:val="20"/>
            <w:szCs w:val="20"/>
          </w:rPr>
          <w:t>T</w:t>
        </w:r>
      </w:hyperlink>
      <w:hyperlink r:id="rId334" w:anchor="i6df229dad1864210ab76200083e26819_7" w:history="1">
        <w:r>
          <w:rPr>
            <w:rStyle w:val="a5"/>
            <w:rFonts w:ascii="Times New Roman" w:eastAsia="宋体" w:hAnsi="Times New Roman"/>
            <w:sz w:val="20"/>
            <w:szCs w:val="20"/>
          </w:rPr>
          <w:t>able of Contents</w:t>
        </w:r>
      </w:hyperlink>
    </w:p>
    <w:p w14:paraId="5CD907B3" w14:textId="77777777" w:rsidR="00BA49F5" w:rsidRDefault="007E5E49">
      <w:pPr>
        <w:ind w:hanging="720"/>
        <w:jc w:val="both"/>
      </w:pPr>
      <w:r>
        <w:rPr>
          <w:rFonts w:ascii="Times New Roman" w:eastAsia="宋体" w:hAnsi="Times New Roman"/>
          <w:b/>
          <w:bCs/>
          <w:color w:val="000000"/>
          <w:sz w:val="20"/>
          <w:szCs w:val="20"/>
        </w:rPr>
        <w:t>Item 9.Changes in and Disagreements with Accountants on Accounting and Financial Disclosure</w:t>
      </w:r>
    </w:p>
    <w:p w14:paraId="5CD907B4" w14:textId="77777777" w:rsidR="00BA49F5" w:rsidRDefault="00BA49F5"/>
    <w:p w14:paraId="5CD907B5" w14:textId="77777777" w:rsidR="00BA49F5" w:rsidRDefault="007E5E49">
      <w:pPr>
        <w:ind w:firstLine="540"/>
      </w:pPr>
      <w:r>
        <w:rPr>
          <w:rFonts w:ascii="Times New Roman" w:eastAsia="宋体" w:hAnsi="Times New Roman"/>
          <w:color w:val="000000"/>
          <w:sz w:val="20"/>
          <w:szCs w:val="20"/>
        </w:rPr>
        <w:t>None.</w:t>
      </w:r>
    </w:p>
    <w:p w14:paraId="5CD907B6" w14:textId="77777777" w:rsidR="00BA49F5" w:rsidRDefault="00BA49F5"/>
    <w:p w14:paraId="5CD907B7" w14:textId="77777777" w:rsidR="00BA49F5" w:rsidRDefault="007E5E49">
      <w:pPr>
        <w:ind w:hanging="810"/>
        <w:jc w:val="both"/>
      </w:pPr>
      <w:r>
        <w:rPr>
          <w:rFonts w:ascii="Times New Roman" w:eastAsia="宋体" w:hAnsi="Times New Roman"/>
          <w:b/>
          <w:bCs/>
          <w:color w:val="000000"/>
          <w:sz w:val="20"/>
          <w:szCs w:val="20"/>
        </w:rPr>
        <w:t>Item 9A.Controls and Procedures</w:t>
      </w:r>
    </w:p>
    <w:p w14:paraId="5CD907B8" w14:textId="77777777" w:rsidR="00BA49F5" w:rsidRDefault="00BA49F5"/>
    <w:p w14:paraId="5CD907B9" w14:textId="77777777" w:rsidR="00BA49F5" w:rsidRDefault="007E5E49">
      <w:r>
        <w:rPr>
          <w:rFonts w:ascii="Times New Roman" w:eastAsia="宋体" w:hAnsi="Times New Roman"/>
          <w:b/>
          <w:bCs/>
          <w:color w:val="000000"/>
          <w:sz w:val="20"/>
          <w:szCs w:val="20"/>
        </w:rPr>
        <w:t xml:space="preserve">Evaluation of Disclosure Controls and </w:t>
      </w:r>
      <w:r>
        <w:rPr>
          <w:rFonts w:ascii="Times New Roman" w:eastAsia="宋体" w:hAnsi="Times New Roman"/>
          <w:b/>
          <w:bCs/>
          <w:color w:val="000000"/>
          <w:sz w:val="20"/>
          <w:szCs w:val="20"/>
        </w:rPr>
        <w:t>Procedures</w:t>
      </w:r>
    </w:p>
    <w:p w14:paraId="5CD907BA" w14:textId="77777777" w:rsidR="00BA49F5" w:rsidRDefault="00BA49F5">
      <w:pPr>
        <w:ind w:firstLine="540"/>
        <w:jc w:val="both"/>
      </w:pPr>
    </w:p>
    <w:p w14:paraId="5CD907BB" w14:textId="77777777" w:rsidR="00BA49F5" w:rsidRDefault="007E5E49">
      <w:pPr>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disclosure controls and procedures (as defined in Rules 13a- 15(e) and 15d- 15(e) under the Se</w:t>
      </w:r>
      <w:r>
        <w:rPr>
          <w:rFonts w:ascii="Times New Roman" w:eastAsia="宋体" w:hAnsi="Times New Roman"/>
          <w:color w:val="000000"/>
          <w:sz w:val="20"/>
          <w:szCs w:val="20"/>
        </w:rPr>
        <w:t>curities Exchange Act of 1934, as amended (Exchange Act)), as of the end of the period covered by this Annual Report on Form 10-K. Based on such evaluation, our CEO and CFO have concluded that as of December 31, 2022, our disclosure controls and procedures</w:t>
      </w:r>
      <w:r>
        <w:rPr>
          <w:rFonts w:ascii="Times New Roman" w:eastAsia="宋体" w:hAnsi="Times New Roman"/>
          <w:color w:val="000000"/>
          <w:sz w:val="20"/>
          <w:szCs w:val="20"/>
        </w:rPr>
        <w:t xml:space="preserve"> are designed at a reasonable assurance level and are effective to provide reasonable assurance that information we are required to disclose in reports that we file or submit under the Exchange Act is recorded, processed, summarized, and reported within th</w:t>
      </w:r>
      <w:r>
        <w:rPr>
          <w:rFonts w:ascii="Times New Roman" w:eastAsia="宋体" w:hAnsi="Times New Roman"/>
          <w:color w:val="000000"/>
          <w:sz w:val="20"/>
          <w:szCs w:val="20"/>
        </w:rPr>
        <w:t xml:space="preserve">e time periods specified in the rules and forms of the Securities and Exchange Commission, and that such information is accumulated and communicated to our management, including our CEO and CFO, as appropriate, to allow timely decisions regarding required </w:t>
      </w:r>
      <w:r>
        <w:rPr>
          <w:rFonts w:ascii="Times New Roman" w:eastAsia="宋体" w:hAnsi="Times New Roman"/>
          <w:color w:val="000000"/>
          <w:sz w:val="20"/>
          <w:szCs w:val="20"/>
        </w:rPr>
        <w:t>disclosure.</w:t>
      </w:r>
    </w:p>
    <w:p w14:paraId="5CD907BC" w14:textId="77777777" w:rsidR="00BA49F5" w:rsidRDefault="00BA49F5"/>
    <w:p w14:paraId="5CD907BD" w14:textId="77777777" w:rsidR="00BA49F5" w:rsidRDefault="007E5E49">
      <w:r>
        <w:rPr>
          <w:rFonts w:ascii="Times New Roman" w:eastAsia="宋体" w:hAnsi="Times New Roman"/>
          <w:b/>
          <w:bCs/>
          <w:color w:val="000000"/>
          <w:sz w:val="20"/>
          <w:szCs w:val="20"/>
        </w:rPr>
        <w:t>Management's Report on Internal Control over Financial Reporting</w:t>
      </w:r>
    </w:p>
    <w:p w14:paraId="5CD907BE" w14:textId="77777777" w:rsidR="00BA49F5" w:rsidRDefault="00BA49F5">
      <w:pPr>
        <w:ind w:firstLine="540"/>
        <w:jc w:val="both"/>
      </w:pPr>
    </w:p>
    <w:p w14:paraId="5CD907BF" w14:textId="77777777" w:rsidR="00BA49F5" w:rsidRDefault="007E5E49">
      <w:pPr>
        <w:ind w:firstLine="540"/>
        <w:jc w:val="both"/>
      </w:pPr>
      <w:r>
        <w:rPr>
          <w:rFonts w:ascii="Times New Roman" w:eastAsia="宋体" w:hAnsi="Times New Roman"/>
          <w:color w:val="000000"/>
          <w:sz w:val="20"/>
          <w:szCs w:val="20"/>
        </w:rPr>
        <w:t>Our management is responsible for establishing and maintaining adequate internal control over financial reporting (as defined in Rule 13a-15(f) under the Exchange Act). Manageme</w:t>
      </w:r>
      <w:r>
        <w:rPr>
          <w:rFonts w:ascii="Times New Roman" w:eastAsia="宋体" w:hAnsi="Times New Roman"/>
          <w:color w:val="000000"/>
          <w:sz w:val="20"/>
          <w:szCs w:val="20"/>
        </w:rPr>
        <w:t>nt conducted an assessment of the effectiveness of our internal control over financial reporting based on the criteria set forth in Internal Control—Integrated Framework issued by the Committee of Sponsoring Organizations of the Treadway Commission (2013 f</w:t>
      </w:r>
      <w:r>
        <w:rPr>
          <w:rFonts w:ascii="Times New Roman" w:eastAsia="宋体" w:hAnsi="Times New Roman"/>
          <w:color w:val="000000"/>
          <w:sz w:val="20"/>
          <w:szCs w:val="20"/>
        </w:rPr>
        <w:t>ramework). Based on the assessment, management has concluded that its internal control over financial reporting was effective as of December 31, 2022 to provide reasonable assurance regarding the reliability of financial reporting and the preparation of fi</w:t>
      </w:r>
      <w:r>
        <w:rPr>
          <w:rFonts w:ascii="Times New Roman" w:eastAsia="宋体" w:hAnsi="Times New Roman"/>
          <w:color w:val="000000"/>
          <w:sz w:val="20"/>
          <w:szCs w:val="20"/>
        </w:rPr>
        <w:t>nancial statements in accordance with U.S. GAAP. Our independent registered public accounting firm, Ernst &amp; Young LLP, has issued an audit report with respect to our internal control over financial reporting, which appears in Part II, Item 8 of this Annual</w:t>
      </w:r>
      <w:r>
        <w:rPr>
          <w:rFonts w:ascii="Times New Roman" w:eastAsia="宋体" w:hAnsi="Times New Roman"/>
          <w:color w:val="000000"/>
          <w:sz w:val="20"/>
          <w:szCs w:val="20"/>
        </w:rPr>
        <w:t xml:space="preserve"> Report on Form 10-K.</w:t>
      </w:r>
    </w:p>
    <w:p w14:paraId="5CD907C0" w14:textId="77777777" w:rsidR="00BA49F5" w:rsidRDefault="00BA49F5"/>
    <w:p w14:paraId="5CD907C1" w14:textId="77777777" w:rsidR="00BA49F5" w:rsidRDefault="007E5E49">
      <w:r>
        <w:rPr>
          <w:rFonts w:ascii="Times New Roman" w:eastAsia="宋体" w:hAnsi="Times New Roman"/>
          <w:b/>
          <w:bCs/>
          <w:color w:val="000000"/>
          <w:sz w:val="20"/>
          <w:szCs w:val="20"/>
        </w:rPr>
        <w:t>Changes in Internal Control</w:t>
      </w:r>
    </w:p>
    <w:p w14:paraId="5CD907C2" w14:textId="77777777" w:rsidR="00BA49F5" w:rsidRDefault="00BA49F5">
      <w:pPr>
        <w:ind w:firstLine="540"/>
        <w:jc w:val="both"/>
      </w:pPr>
    </w:p>
    <w:p w14:paraId="5CD907C3" w14:textId="77777777" w:rsidR="00BA49F5" w:rsidRDefault="007E5E49">
      <w:pPr>
        <w:ind w:firstLine="540"/>
        <w:jc w:val="both"/>
      </w:pPr>
      <w:r>
        <w:rPr>
          <w:rFonts w:ascii="Times New Roman" w:eastAsia="宋体" w:hAnsi="Times New Roman"/>
          <w:color w:val="000000"/>
          <w:sz w:val="20"/>
          <w:szCs w:val="20"/>
        </w:rPr>
        <w:t xml:space="preserve">There were no changes in our internal control over financial reporting identified in management's evaluation pursuant to Rules 13a-15(d) or 15d-15(d) of the Exchange Act during the fourth quarter of </w:t>
      </w:r>
      <w:r>
        <w:rPr>
          <w:rFonts w:ascii="Times New Roman" w:eastAsia="宋体" w:hAnsi="Times New Roman"/>
          <w:color w:val="000000"/>
          <w:sz w:val="20"/>
          <w:szCs w:val="20"/>
        </w:rPr>
        <w:t>2022 that materially affected, or are reasonably likely to materially affect, our internal control over financial reporting.</w:t>
      </w:r>
    </w:p>
    <w:p w14:paraId="5CD907C4" w14:textId="77777777" w:rsidR="00BA49F5" w:rsidRDefault="00BA49F5"/>
    <w:p w14:paraId="5CD907C5" w14:textId="77777777" w:rsidR="00BA49F5" w:rsidRDefault="007E5E49">
      <w:r>
        <w:rPr>
          <w:rFonts w:ascii="Times New Roman" w:eastAsia="宋体" w:hAnsi="Times New Roman"/>
          <w:b/>
          <w:bCs/>
          <w:color w:val="000000"/>
          <w:sz w:val="20"/>
          <w:szCs w:val="20"/>
        </w:rPr>
        <w:t>Limitations on Effectiveness of Controls and Procedures and Internal Control over Financial Reporting</w:t>
      </w:r>
    </w:p>
    <w:p w14:paraId="5CD907C6" w14:textId="77777777" w:rsidR="00BA49F5" w:rsidRDefault="00BA49F5">
      <w:pPr>
        <w:ind w:firstLine="540"/>
        <w:jc w:val="both"/>
      </w:pPr>
    </w:p>
    <w:p w14:paraId="5CD907C7" w14:textId="77777777" w:rsidR="00BA49F5" w:rsidRDefault="007E5E49">
      <w:pPr>
        <w:ind w:firstLine="540"/>
        <w:jc w:val="both"/>
      </w:pPr>
      <w:r>
        <w:rPr>
          <w:rFonts w:ascii="Times New Roman" w:eastAsia="宋体" w:hAnsi="Times New Roman"/>
          <w:color w:val="000000"/>
          <w:sz w:val="20"/>
          <w:szCs w:val="20"/>
        </w:rPr>
        <w:t>In designing and evaluating</w:t>
      </w:r>
      <w:r>
        <w:rPr>
          <w:rFonts w:ascii="Times New Roman" w:eastAsia="宋体" w:hAnsi="Times New Roman"/>
          <w:color w:val="000000"/>
          <w:sz w:val="20"/>
          <w:szCs w:val="20"/>
        </w:rPr>
        <w:t xml:space="preserve"> the disclosure controls and procedures and internal control over financial reporting, management recognizes that any controls and procedures, no matter how well designed and operated, can provide only reasonable assurance of achieving the desired control </w:t>
      </w:r>
      <w:r>
        <w:rPr>
          <w:rFonts w:ascii="Times New Roman" w:eastAsia="宋体" w:hAnsi="Times New Roman"/>
          <w:color w:val="000000"/>
          <w:sz w:val="20"/>
          <w:szCs w:val="20"/>
        </w:rPr>
        <w:t>objectives. In addition, the design of disclosure controls and procedures and internal control over financial reporting must reflect the fact that there are resource constraints and that management is required to apply judgment in evaluating the benefits o</w:t>
      </w:r>
      <w:r>
        <w:rPr>
          <w:rFonts w:ascii="Times New Roman" w:eastAsia="宋体" w:hAnsi="Times New Roman"/>
          <w:color w:val="000000"/>
          <w:sz w:val="20"/>
          <w:szCs w:val="20"/>
        </w:rPr>
        <w:t>f possible controls and procedures relative to their costs.</w:t>
      </w:r>
    </w:p>
    <w:p w14:paraId="5CD907C8" w14:textId="77777777" w:rsidR="00BA49F5" w:rsidRDefault="00BA49F5">
      <w:pPr>
        <w:ind w:firstLine="540"/>
        <w:jc w:val="both"/>
      </w:pPr>
    </w:p>
    <w:p w14:paraId="5CD907C9" w14:textId="77777777" w:rsidR="00BA49F5" w:rsidRDefault="007E5E49">
      <w:pPr>
        <w:ind w:hanging="810"/>
      </w:pPr>
      <w:r>
        <w:rPr>
          <w:rFonts w:ascii="Times New Roman" w:eastAsia="宋体" w:hAnsi="Times New Roman"/>
          <w:b/>
          <w:bCs/>
          <w:color w:val="000000"/>
          <w:sz w:val="20"/>
          <w:szCs w:val="20"/>
        </w:rPr>
        <w:t>Item 9B.Other Information</w:t>
      </w:r>
    </w:p>
    <w:p w14:paraId="5CD907CA" w14:textId="77777777" w:rsidR="00BA49F5" w:rsidRDefault="00BA49F5">
      <w:pPr>
        <w:ind w:firstLine="540"/>
        <w:jc w:val="both"/>
      </w:pPr>
    </w:p>
    <w:p w14:paraId="5CD907CB" w14:textId="77777777" w:rsidR="00BA49F5" w:rsidRDefault="007E5E49">
      <w:pPr>
        <w:ind w:firstLine="540"/>
        <w:jc w:val="both"/>
      </w:pPr>
      <w:r>
        <w:rPr>
          <w:rFonts w:ascii="Times New Roman" w:eastAsia="宋体" w:hAnsi="Times New Roman"/>
          <w:color w:val="000000"/>
          <w:sz w:val="20"/>
          <w:szCs w:val="20"/>
        </w:rPr>
        <w:t>None.</w:t>
      </w:r>
    </w:p>
    <w:p w14:paraId="5CD907CC" w14:textId="77777777" w:rsidR="00BA49F5" w:rsidRDefault="00BA49F5">
      <w:pPr>
        <w:ind w:firstLine="540"/>
        <w:jc w:val="both"/>
      </w:pPr>
    </w:p>
    <w:p w14:paraId="5CD907CD" w14:textId="77777777" w:rsidR="00BA49F5" w:rsidRDefault="007E5E49">
      <w:pPr>
        <w:ind w:hanging="810"/>
      </w:pPr>
      <w:r>
        <w:rPr>
          <w:rFonts w:ascii="Times New Roman" w:eastAsia="宋体" w:hAnsi="Times New Roman"/>
          <w:b/>
          <w:bCs/>
          <w:color w:val="000000"/>
          <w:sz w:val="20"/>
          <w:szCs w:val="20"/>
        </w:rPr>
        <w:t>Item 9C.Disclosure Regarding Foreign Jurisdictions that Prevent Inspections</w:t>
      </w:r>
    </w:p>
    <w:p w14:paraId="5CD907CE" w14:textId="77777777" w:rsidR="00BA49F5" w:rsidRDefault="00BA49F5">
      <w:pPr>
        <w:ind w:firstLine="450"/>
      </w:pPr>
    </w:p>
    <w:p w14:paraId="5CD907CF" w14:textId="77777777" w:rsidR="00BA49F5" w:rsidRDefault="007E5E49">
      <w:pPr>
        <w:ind w:firstLine="540"/>
      </w:pPr>
      <w:r>
        <w:rPr>
          <w:rFonts w:ascii="Times New Roman" w:eastAsia="宋体" w:hAnsi="Times New Roman"/>
          <w:color w:val="000000"/>
          <w:sz w:val="20"/>
          <w:szCs w:val="20"/>
        </w:rPr>
        <w:t>Not Applicable.</w:t>
      </w:r>
    </w:p>
    <w:p w14:paraId="5CD907D0" w14:textId="77777777" w:rsidR="00BA49F5" w:rsidRDefault="007E5E49">
      <w:pPr>
        <w:jc w:val="center"/>
      </w:pPr>
      <w:r>
        <w:rPr>
          <w:rFonts w:ascii="Times New Roman" w:eastAsia="宋体" w:hAnsi="Times New Roman"/>
          <w:color w:val="000000"/>
          <w:sz w:val="20"/>
          <w:szCs w:val="20"/>
        </w:rPr>
        <w:t>120</w:t>
      </w:r>
    </w:p>
    <w:p w14:paraId="5CD907D1" w14:textId="77777777" w:rsidR="00BA49F5" w:rsidRDefault="007E5E49">
      <w:r>
        <w:pict w14:anchorId="5CD90D6D">
          <v:rect id="_x0000_i1144" style="width:415.3pt;height:1.5pt" o:hralign="center" o:hrstd="t" o:hr="t" fillcolor="#a0a0a0" stroked="f"/>
        </w:pict>
      </w:r>
    </w:p>
    <w:p w14:paraId="5CD907D2" w14:textId="77777777" w:rsidR="00BA49F5" w:rsidRDefault="00BA49F5"/>
    <w:p w14:paraId="5CD907D3" w14:textId="77777777" w:rsidR="00BA49F5" w:rsidRDefault="00BA49F5"/>
    <w:p w14:paraId="5CD907D4" w14:textId="77777777" w:rsidR="00BA49F5" w:rsidRDefault="007E5E49">
      <w:hyperlink r:id="rId335" w:anchor="i6df229dad1864210ab76200083e26819_7" w:history="1">
        <w:r>
          <w:rPr>
            <w:rStyle w:val="a5"/>
            <w:rFonts w:ascii="Times New Roman" w:eastAsia="宋体" w:hAnsi="Times New Roman"/>
            <w:sz w:val="20"/>
            <w:szCs w:val="20"/>
          </w:rPr>
          <w:t>T</w:t>
        </w:r>
      </w:hyperlink>
      <w:hyperlink r:id="rId336" w:anchor="i6df229dad1864210ab76200083e26819_7" w:history="1">
        <w:r>
          <w:rPr>
            <w:rStyle w:val="a5"/>
            <w:rFonts w:ascii="Times New Roman" w:eastAsia="宋体" w:hAnsi="Times New Roman"/>
            <w:sz w:val="20"/>
            <w:szCs w:val="20"/>
          </w:rPr>
          <w:t>able of Cont</w:t>
        </w:r>
        <w:r>
          <w:rPr>
            <w:rStyle w:val="a5"/>
            <w:rFonts w:ascii="Times New Roman" w:eastAsia="宋体" w:hAnsi="Times New Roman"/>
            <w:sz w:val="20"/>
            <w:szCs w:val="20"/>
          </w:rPr>
          <w:t>ents</w:t>
        </w:r>
      </w:hyperlink>
    </w:p>
    <w:p w14:paraId="5CD907D5" w14:textId="77777777" w:rsidR="00BA49F5" w:rsidRDefault="007E5E49">
      <w:pPr>
        <w:jc w:val="both"/>
      </w:pPr>
      <w:r>
        <w:rPr>
          <w:rFonts w:ascii="Times New Roman" w:eastAsia="宋体" w:hAnsi="Times New Roman"/>
          <w:b/>
          <w:bCs/>
          <w:color w:val="000000"/>
          <w:sz w:val="22"/>
          <w:szCs w:val="22"/>
        </w:rPr>
        <w:t>PART III</w:t>
      </w:r>
    </w:p>
    <w:p w14:paraId="5CD907D6" w14:textId="77777777" w:rsidR="00BA49F5" w:rsidRDefault="00BA49F5">
      <w:pPr>
        <w:jc w:val="both"/>
      </w:pPr>
    </w:p>
    <w:p w14:paraId="5CD907D7" w14:textId="77777777" w:rsidR="00BA49F5" w:rsidRDefault="007E5E49">
      <w:pPr>
        <w:ind w:hanging="810"/>
      </w:pPr>
      <w:r>
        <w:rPr>
          <w:rFonts w:ascii="Times New Roman" w:eastAsia="宋体" w:hAnsi="Times New Roman"/>
          <w:b/>
          <w:bCs/>
          <w:color w:val="000000"/>
          <w:sz w:val="20"/>
          <w:szCs w:val="20"/>
        </w:rPr>
        <w:t>Item 10.Directors, Executive Officers and Corporate Governance</w:t>
      </w:r>
    </w:p>
    <w:p w14:paraId="5CD907D8" w14:textId="77777777" w:rsidR="00BA49F5" w:rsidRDefault="00BA49F5">
      <w:pPr>
        <w:ind w:firstLine="540"/>
        <w:jc w:val="both"/>
      </w:pPr>
    </w:p>
    <w:p w14:paraId="5CD907D9" w14:textId="77777777" w:rsidR="00BA49F5" w:rsidRDefault="007E5E49">
      <w:pPr>
        <w:ind w:firstLine="540"/>
        <w:jc w:val="both"/>
      </w:pPr>
      <w:r>
        <w:rPr>
          <w:rFonts w:ascii="Times New Roman" w:eastAsia="宋体" w:hAnsi="Times New Roman"/>
          <w:color w:val="000000"/>
          <w:sz w:val="20"/>
          <w:szCs w:val="20"/>
        </w:rPr>
        <w:t xml:space="preserve">The information required by this item is incorporated by reference to our Proxy Statement for the 2023 Annual Meeting of Stockholders to be filed with the SEC within </w:t>
      </w:r>
      <w:r>
        <w:rPr>
          <w:rFonts w:ascii="Times New Roman" w:eastAsia="宋体" w:hAnsi="Times New Roman"/>
          <w:color w:val="000000"/>
          <w:sz w:val="20"/>
          <w:szCs w:val="20"/>
        </w:rPr>
        <w:t>120 days of the fiscal year ended December 31, 2022.</w:t>
      </w:r>
    </w:p>
    <w:p w14:paraId="5CD907DA" w14:textId="77777777" w:rsidR="00BA49F5" w:rsidRDefault="00BA49F5">
      <w:pPr>
        <w:ind w:firstLine="540"/>
        <w:jc w:val="both"/>
      </w:pPr>
    </w:p>
    <w:p w14:paraId="5CD907DB" w14:textId="77777777" w:rsidR="00BA49F5" w:rsidRDefault="007E5E49">
      <w:pPr>
        <w:ind w:firstLine="540"/>
        <w:jc w:val="both"/>
      </w:pPr>
      <w:r>
        <w:rPr>
          <w:rFonts w:ascii="Times New Roman" w:eastAsia="宋体" w:hAnsi="Times New Roman"/>
          <w:color w:val="000000"/>
          <w:sz w:val="20"/>
          <w:szCs w:val="20"/>
        </w:rPr>
        <w:t xml:space="preserve">Our board of directors has adopted a Code of Conduct applicable to all officers, directors, and employees, which is available on our website (investor.fb.com) under "Leadership &amp; </w:t>
      </w:r>
      <w:r>
        <w:rPr>
          <w:rFonts w:ascii="Times New Roman" w:eastAsia="宋体" w:hAnsi="Times New Roman"/>
          <w:color w:val="000000"/>
          <w:sz w:val="20"/>
          <w:szCs w:val="20"/>
        </w:rPr>
        <w:t>Governance." We intend to satisfy the disclosure requirement under Item 5.05 of Form 8-K regarding amendment to, or waiver from, a provision of our Code of Conduct by posting such information on the website address and location specified above.</w:t>
      </w:r>
    </w:p>
    <w:p w14:paraId="5CD907DC" w14:textId="77777777" w:rsidR="00BA49F5" w:rsidRDefault="00BA49F5">
      <w:pPr>
        <w:ind w:firstLine="540"/>
        <w:jc w:val="both"/>
      </w:pPr>
    </w:p>
    <w:p w14:paraId="5CD907DD" w14:textId="77777777" w:rsidR="00BA49F5" w:rsidRDefault="007E5E49">
      <w:pPr>
        <w:ind w:hanging="810"/>
      </w:pPr>
      <w:r>
        <w:rPr>
          <w:rFonts w:ascii="Times New Roman" w:eastAsia="宋体" w:hAnsi="Times New Roman"/>
          <w:b/>
          <w:bCs/>
          <w:color w:val="000000"/>
          <w:sz w:val="20"/>
          <w:szCs w:val="20"/>
        </w:rPr>
        <w:t>Item 11.Ex</w:t>
      </w:r>
      <w:r>
        <w:rPr>
          <w:rFonts w:ascii="Times New Roman" w:eastAsia="宋体" w:hAnsi="Times New Roman"/>
          <w:b/>
          <w:bCs/>
          <w:color w:val="000000"/>
          <w:sz w:val="20"/>
          <w:szCs w:val="20"/>
        </w:rPr>
        <w:t>ecutive Compensation</w:t>
      </w:r>
    </w:p>
    <w:p w14:paraId="5CD907DE" w14:textId="77777777" w:rsidR="00BA49F5" w:rsidRDefault="00BA49F5">
      <w:pPr>
        <w:ind w:firstLine="540"/>
        <w:jc w:val="both"/>
      </w:pPr>
    </w:p>
    <w:p w14:paraId="5CD907DF" w14:textId="77777777" w:rsidR="00BA49F5" w:rsidRDefault="007E5E49">
      <w:pPr>
        <w:ind w:firstLine="540"/>
        <w:jc w:val="both"/>
      </w:pPr>
      <w:r>
        <w:rPr>
          <w:rFonts w:ascii="Times New Roman" w:eastAsia="宋体" w:hAnsi="Times New Roman"/>
          <w:color w:val="000000"/>
          <w:sz w:val="20"/>
          <w:szCs w:val="20"/>
        </w:rPr>
        <w:t>The information required by this item is incorporated by reference to our Proxy Statement for the 2023 Annual Meeting of Stockholders to be filed with the SEC within 120 days of the fiscal year ended December 31, 2022.</w:t>
      </w:r>
    </w:p>
    <w:p w14:paraId="5CD907E0" w14:textId="77777777" w:rsidR="00BA49F5" w:rsidRDefault="00BA49F5">
      <w:pPr>
        <w:ind w:firstLine="540"/>
        <w:jc w:val="both"/>
      </w:pPr>
    </w:p>
    <w:p w14:paraId="5CD907E1" w14:textId="77777777" w:rsidR="00BA49F5" w:rsidRDefault="007E5E49">
      <w:pPr>
        <w:ind w:hanging="810"/>
      </w:pPr>
      <w:r>
        <w:rPr>
          <w:rFonts w:ascii="Times New Roman" w:eastAsia="宋体" w:hAnsi="Times New Roman"/>
          <w:b/>
          <w:bCs/>
          <w:color w:val="000000"/>
          <w:sz w:val="20"/>
          <w:szCs w:val="20"/>
        </w:rPr>
        <w:t>Item 12.Securi</w:t>
      </w:r>
      <w:r>
        <w:rPr>
          <w:rFonts w:ascii="Times New Roman" w:eastAsia="宋体" w:hAnsi="Times New Roman"/>
          <w:b/>
          <w:bCs/>
          <w:color w:val="000000"/>
          <w:sz w:val="20"/>
          <w:szCs w:val="20"/>
        </w:rPr>
        <w:t>ty Ownership of Certain Beneficial Owners and Management and Related Stockholder Matters</w:t>
      </w:r>
    </w:p>
    <w:p w14:paraId="5CD907E2" w14:textId="77777777" w:rsidR="00BA49F5" w:rsidRDefault="00BA49F5">
      <w:pPr>
        <w:ind w:firstLine="540"/>
        <w:jc w:val="both"/>
      </w:pPr>
    </w:p>
    <w:p w14:paraId="5CD907E3" w14:textId="77777777" w:rsidR="00BA49F5" w:rsidRDefault="007E5E49">
      <w:pPr>
        <w:ind w:firstLine="540"/>
        <w:jc w:val="both"/>
      </w:pPr>
      <w:r>
        <w:rPr>
          <w:rFonts w:ascii="Times New Roman" w:eastAsia="宋体" w:hAnsi="Times New Roman"/>
          <w:color w:val="000000"/>
          <w:sz w:val="20"/>
          <w:szCs w:val="20"/>
        </w:rPr>
        <w:t xml:space="preserve">The information required by this item is incorporated by reference to our Proxy Statement for the 2023 Annual Meeting of Stockholders to be filed with the SEC within </w:t>
      </w:r>
      <w:r>
        <w:rPr>
          <w:rFonts w:ascii="Times New Roman" w:eastAsia="宋体" w:hAnsi="Times New Roman"/>
          <w:color w:val="000000"/>
          <w:sz w:val="20"/>
          <w:szCs w:val="20"/>
        </w:rPr>
        <w:t>120 days of the fiscal year ended December 31, 2022.</w:t>
      </w:r>
    </w:p>
    <w:p w14:paraId="5CD907E4" w14:textId="77777777" w:rsidR="00BA49F5" w:rsidRDefault="00BA49F5">
      <w:pPr>
        <w:ind w:firstLine="540"/>
        <w:jc w:val="both"/>
      </w:pPr>
    </w:p>
    <w:p w14:paraId="5CD907E5" w14:textId="77777777" w:rsidR="00BA49F5" w:rsidRDefault="007E5E49">
      <w:pPr>
        <w:ind w:hanging="810"/>
      </w:pPr>
      <w:r>
        <w:rPr>
          <w:rFonts w:ascii="Times New Roman" w:eastAsia="宋体" w:hAnsi="Times New Roman"/>
          <w:b/>
          <w:bCs/>
          <w:color w:val="000000"/>
          <w:sz w:val="20"/>
          <w:szCs w:val="20"/>
        </w:rPr>
        <w:t>Item 13.Certain Relationships and Related Transactions, and Director Independence</w:t>
      </w:r>
    </w:p>
    <w:p w14:paraId="5CD907E6" w14:textId="77777777" w:rsidR="00BA49F5" w:rsidRDefault="00BA49F5">
      <w:pPr>
        <w:ind w:firstLine="540"/>
        <w:jc w:val="both"/>
      </w:pPr>
    </w:p>
    <w:p w14:paraId="5CD907E7" w14:textId="77777777" w:rsidR="00BA49F5" w:rsidRDefault="007E5E49">
      <w:pPr>
        <w:ind w:firstLine="540"/>
        <w:jc w:val="both"/>
      </w:pPr>
      <w:r>
        <w:rPr>
          <w:rFonts w:ascii="Times New Roman" w:eastAsia="宋体" w:hAnsi="Times New Roman"/>
          <w:color w:val="000000"/>
          <w:sz w:val="20"/>
          <w:szCs w:val="20"/>
        </w:rPr>
        <w:t>The information required by this item is incorporated by reference to our Proxy Statement for the 2023 Annual Meeting o</w:t>
      </w:r>
      <w:r>
        <w:rPr>
          <w:rFonts w:ascii="Times New Roman" w:eastAsia="宋体" w:hAnsi="Times New Roman"/>
          <w:color w:val="000000"/>
          <w:sz w:val="20"/>
          <w:szCs w:val="20"/>
        </w:rPr>
        <w:t>f Stockholders to be filed with the SEC within 120 days of the fiscal year ended December 31, 2022.</w:t>
      </w:r>
    </w:p>
    <w:p w14:paraId="5CD907E8" w14:textId="77777777" w:rsidR="00BA49F5" w:rsidRDefault="00BA49F5">
      <w:pPr>
        <w:ind w:firstLine="540"/>
        <w:jc w:val="both"/>
      </w:pPr>
    </w:p>
    <w:p w14:paraId="5CD907E9" w14:textId="77777777" w:rsidR="00BA49F5" w:rsidRDefault="007E5E49">
      <w:pPr>
        <w:ind w:hanging="810"/>
      </w:pPr>
      <w:r>
        <w:rPr>
          <w:rFonts w:ascii="Times New Roman" w:eastAsia="宋体" w:hAnsi="Times New Roman"/>
          <w:b/>
          <w:bCs/>
          <w:color w:val="000000"/>
          <w:sz w:val="20"/>
          <w:szCs w:val="20"/>
        </w:rPr>
        <w:t>Item 14.Principal Accountant Fees and Services</w:t>
      </w:r>
    </w:p>
    <w:p w14:paraId="5CD907EA" w14:textId="77777777" w:rsidR="00BA49F5" w:rsidRDefault="00BA49F5">
      <w:pPr>
        <w:ind w:firstLine="540"/>
        <w:jc w:val="both"/>
      </w:pPr>
    </w:p>
    <w:p w14:paraId="5CD907EB" w14:textId="77777777" w:rsidR="00BA49F5" w:rsidRDefault="007E5E49">
      <w:pPr>
        <w:ind w:firstLine="540"/>
        <w:jc w:val="both"/>
      </w:pPr>
      <w:r>
        <w:rPr>
          <w:rFonts w:ascii="Times New Roman" w:eastAsia="宋体" w:hAnsi="Times New Roman"/>
          <w:color w:val="000000"/>
          <w:sz w:val="20"/>
          <w:szCs w:val="20"/>
        </w:rPr>
        <w:t>The information required by this item is incorporated by reference to our Proxy Statement for the 2023 Annu</w:t>
      </w:r>
      <w:r>
        <w:rPr>
          <w:rFonts w:ascii="Times New Roman" w:eastAsia="宋体" w:hAnsi="Times New Roman"/>
          <w:color w:val="000000"/>
          <w:sz w:val="20"/>
          <w:szCs w:val="20"/>
        </w:rPr>
        <w:t>al Meeting of Stockholders to be filed with the SEC within 120 days of the fiscal year ended December 31, 2022.</w:t>
      </w:r>
    </w:p>
    <w:p w14:paraId="5CD907EC" w14:textId="77777777" w:rsidR="00BA49F5" w:rsidRDefault="007E5E49">
      <w:pPr>
        <w:jc w:val="center"/>
      </w:pPr>
      <w:r>
        <w:rPr>
          <w:rFonts w:ascii="Times New Roman" w:eastAsia="宋体" w:hAnsi="Times New Roman"/>
          <w:color w:val="000000"/>
          <w:sz w:val="20"/>
          <w:szCs w:val="20"/>
        </w:rPr>
        <w:t>121</w:t>
      </w:r>
    </w:p>
    <w:p w14:paraId="5CD907ED" w14:textId="77777777" w:rsidR="00BA49F5" w:rsidRDefault="007E5E49">
      <w:r>
        <w:pict w14:anchorId="5CD90D6E">
          <v:rect id="_x0000_i1145" style="width:415.3pt;height:1.5pt" o:hralign="center" o:hrstd="t" o:hr="t" fillcolor="#a0a0a0" stroked="f"/>
        </w:pict>
      </w:r>
    </w:p>
    <w:p w14:paraId="5CD907EE" w14:textId="77777777" w:rsidR="00BA49F5" w:rsidRDefault="00BA49F5"/>
    <w:p w14:paraId="5CD907EF" w14:textId="77777777" w:rsidR="00BA49F5" w:rsidRDefault="00BA49F5"/>
    <w:p w14:paraId="5CD907F0" w14:textId="77777777" w:rsidR="00BA49F5" w:rsidRDefault="007E5E49">
      <w:hyperlink r:id="rId337" w:anchor="i6df229dad1864210ab76200083e26819_7" w:history="1">
        <w:r>
          <w:rPr>
            <w:rStyle w:val="a5"/>
            <w:rFonts w:ascii="Times New Roman" w:eastAsia="宋体" w:hAnsi="Times New Roman"/>
            <w:sz w:val="20"/>
            <w:szCs w:val="20"/>
          </w:rPr>
          <w:t>T</w:t>
        </w:r>
      </w:hyperlink>
      <w:hyperlink r:id="rId338" w:anchor="i6df229dad1864210ab76200083e26819_7" w:history="1">
        <w:r>
          <w:rPr>
            <w:rStyle w:val="a5"/>
            <w:rFonts w:ascii="Times New Roman" w:eastAsia="宋体" w:hAnsi="Times New Roman"/>
            <w:sz w:val="20"/>
            <w:szCs w:val="20"/>
          </w:rPr>
          <w:t>able of Contents</w:t>
        </w:r>
      </w:hyperlink>
    </w:p>
    <w:p w14:paraId="5CD907F1" w14:textId="77777777" w:rsidR="00BA49F5" w:rsidRDefault="007E5E49">
      <w:pPr>
        <w:jc w:val="both"/>
      </w:pPr>
      <w:r>
        <w:rPr>
          <w:rFonts w:ascii="Times New Roman" w:eastAsia="宋体" w:hAnsi="Times New Roman"/>
          <w:b/>
          <w:bCs/>
          <w:color w:val="000000"/>
          <w:sz w:val="22"/>
          <w:szCs w:val="22"/>
        </w:rPr>
        <w:t>PART IV</w:t>
      </w:r>
    </w:p>
    <w:p w14:paraId="5CD907F2" w14:textId="77777777" w:rsidR="00BA49F5" w:rsidRDefault="00BA49F5">
      <w:pPr>
        <w:jc w:val="both"/>
      </w:pPr>
    </w:p>
    <w:p w14:paraId="5CD907F3" w14:textId="77777777" w:rsidR="00BA49F5" w:rsidRDefault="007E5E49">
      <w:pPr>
        <w:ind w:hanging="720"/>
      </w:pPr>
      <w:r>
        <w:rPr>
          <w:rFonts w:ascii="Times New Roman" w:eastAsia="宋体" w:hAnsi="Times New Roman"/>
          <w:b/>
          <w:bCs/>
          <w:color w:val="000000"/>
          <w:sz w:val="20"/>
          <w:szCs w:val="20"/>
        </w:rPr>
        <w:t>Item 15. Exhibit and Financial Statement Schedules</w:t>
      </w:r>
    </w:p>
    <w:p w14:paraId="5CD907F4" w14:textId="77777777" w:rsidR="00BA49F5" w:rsidRDefault="00BA49F5">
      <w:pPr>
        <w:jc w:val="both"/>
      </w:pPr>
    </w:p>
    <w:p w14:paraId="5CD907F5" w14:textId="77777777" w:rsidR="00BA49F5" w:rsidRDefault="007E5E49">
      <w:pPr>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have filed the following documents as part of this Form 10-K:</w:t>
      </w:r>
    </w:p>
    <w:p w14:paraId="5CD907F6" w14:textId="77777777" w:rsidR="00BA49F5" w:rsidRDefault="00BA49F5">
      <w:pPr>
        <w:jc w:val="both"/>
      </w:pPr>
    </w:p>
    <w:p w14:paraId="5CD907F7" w14:textId="77777777" w:rsidR="00BA49F5" w:rsidRDefault="007E5E49">
      <w:r>
        <w:rPr>
          <w:rFonts w:ascii="Times New Roman" w:eastAsia="宋体" w:hAnsi="Times New Roman"/>
          <w:color w:val="000000"/>
          <w:sz w:val="20"/>
          <w:szCs w:val="20"/>
        </w:rPr>
        <w:t>1.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152"/>
        <w:gridCol w:w="38"/>
        <w:gridCol w:w="69"/>
        <w:gridCol w:w="973"/>
        <w:gridCol w:w="36"/>
      </w:tblGrid>
      <w:tr w:rsidR="00BA49F5" w14:paraId="5CD907FE" w14:textId="77777777">
        <w:tc>
          <w:tcPr>
            <w:tcW w:w="50" w:type="pct"/>
            <w:shd w:val="clear" w:color="auto" w:fill="auto"/>
            <w:vAlign w:val="bottom"/>
          </w:tcPr>
          <w:p w14:paraId="5CD907F8" w14:textId="77777777" w:rsidR="00BA49F5" w:rsidRDefault="00BA49F5">
            <w:pPr>
              <w:rPr>
                <w:rFonts w:ascii="宋体"/>
              </w:rPr>
            </w:pPr>
          </w:p>
        </w:tc>
        <w:tc>
          <w:tcPr>
            <w:tcW w:w="4297" w:type="pct"/>
            <w:shd w:val="clear" w:color="auto" w:fill="auto"/>
            <w:vAlign w:val="bottom"/>
          </w:tcPr>
          <w:p w14:paraId="5CD907F9" w14:textId="77777777" w:rsidR="00BA49F5" w:rsidRDefault="00BA49F5">
            <w:pPr>
              <w:rPr>
                <w:rFonts w:ascii="宋体"/>
              </w:rPr>
            </w:pPr>
          </w:p>
        </w:tc>
        <w:tc>
          <w:tcPr>
            <w:tcW w:w="5" w:type="pct"/>
            <w:shd w:val="clear" w:color="auto" w:fill="auto"/>
            <w:vAlign w:val="bottom"/>
          </w:tcPr>
          <w:p w14:paraId="5CD907FA" w14:textId="77777777" w:rsidR="00BA49F5" w:rsidRDefault="00BA49F5">
            <w:pPr>
              <w:rPr>
                <w:rFonts w:ascii="宋体"/>
              </w:rPr>
            </w:pPr>
          </w:p>
        </w:tc>
        <w:tc>
          <w:tcPr>
            <w:tcW w:w="50" w:type="pct"/>
            <w:shd w:val="clear" w:color="auto" w:fill="auto"/>
            <w:vAlign w:val="bottom"/>
          </w:tcPr>
          <w:p w14:paraId="5CD907FB" w14:textId="77777777" w:rsidR="00BA49F5" w:rsidRDefault="00BA49F5">
            <w:pPr>
              <w:rPr>
                <w:rFonts w:ascii="宋体"/>
              </w:rPr>
            </w:pPr>
          </w:p>
        </w:tc>
        <w:tc>
          <w:tcPr>
            <w:tcW w:w="592" w:type="pct"/>
            <w:shd w:val="clear" w:color="auto" w:fill="auto"/>
            <w:vAlign w:val="bottom"/>
          </w:tcPr>
          <w:p w14:paraId="5CD907FC" w14:textId="77777777" w:rsidR="00BA49F5" w:rsidRDefault="00BA49F5">
            <w:pPr>
              <w:rPr>
                <w:rFonts w:ascii="宋体"/>
              </w:rPr>
            </w:pPr>
          </w:p>
        </w:tc>
        <w:tc>
          <w:tcPr>
            <w:tcW w:w="5" w:type="pct"/>
            <w:shd w:val="clear" w:color="auto" w:fill="auto"/>
            <w:vAlign w:val="bottom"/>
          </w:tcPr>
          <w:p w14:paraId="5CD907FD" w14:textId="77777777" w:rsidR="00BA49F5" w:rsidRDefault="00BA49F5">
            <w:pPr>
              <w:rPr>
                <w:rFonts w:ascii="宋体"/>
              </w:rPr>
            </w:pPr>
          </w:p>
        </w:tc>
      </w:tr>
      <w:tr w:rsidR="00BA49F5" w14:paraId="5CD90801" w14:textId="77777777">
        <w:tc>
          <w:tcPr>
            <w:tcW w:w="0" w:type="auto"/>
            <w:gridSpan w:val="3"/>
            <w:shd w:val="clear" w:color="auto" w:fill="auto"/>
            <w:tcMar>
              <w:top w:w="0" w:type="dxa"/>
              <w:left w:w="20" w:type="dxa"/>
              <w:bottom w:w="0" w:type="dxa"/>
              <w:right w:w="20" w:type="dxa"/>
            </w:tcMar>
            <w:vAlign w:val="bottom"/>
          </w:tcPr>
          <w:p w14:paraId="5CD907F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00" w14:textId="77777777" w:rsidR="00BA49F5" w:rsidRDefault="007E5E49">
            <w:pPr>
              <w:ind w:firstLine="135"/>
              <w:jc w:val="center"/>
              <w:textAlignment w:val="top"/>
            </w:pPr>
            <w:r>
              <w:rPr>
                <w:rFonts w:ascii="Times New Roman" w:eastAsia="宋体" w:hAnsi="Times New Roman"/>
                <w:color w:val="000000"/>
                <w:sz w:val="20"/>
                <w:szCs w:val="20"/>
              </w:rPr>
              <w:t>Page</w:t>
            </w:r>
          </w:p>
        </w:tc>
      </w:tr>
      <w:tr w:rsidR="00BA49F5" w14:paraId="5CD90804" w14:textId="77777777">
        <w:tc>
          <w:tcPr>
            <w:tcW w:w="0" w:type="auto"/>
            <w:gridSpan w:val="3"/>
            <w:shd w:val="clear" w:color="auto" w:fill="auto"/>
            <w:tcMar>
              <w:top w:w="40" w:type="dxa"/>
              <w:left w:w="20" w:type="dxa"/>
              <w:bottom w:w="40" w:type="dxa"/>
              <w:right w:w="20" w:type="dxa"/>
            </w:tcMar>
            <w:vAlign w:val="bottom"/>
          </w:tcPr>
          <w:p w14:paraId="5CD90802" w14:textId="77777777" w:rsidR="00BA49F5" w:rsidRDefault="007E5E49">
            <w:pPr>
              <w:textAlignment w:val="bottom"/>
            </w:pPr>
            <w:hyperlink r:id="rId339" w:anchor="i6df229dad1864210ab76200083e26819_82" w:history="1">
              <w:r>
                <w:rPr>
                  <w:rStyle w:val="a5"/>
                  <w:rFonts w:ascii="Times New Roman" w:eastAsia="宋体" w:hAnsi="Times New Roman"/>
                  <w:sz w:val="20"/>
                  <w:szCs w:val="20"/>
                </w:rPr>
                <w:t>Reports of Independent Registered Public Accounting Firm (PCAOB ID No. 42)</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803" w14:textId="77777777" w:rsidR="00BA49F5" w:rsidRDefault="007E5E49">
            <w:pPr>
              <w:jc w:val="center"/>
              <w:textAlignment w:val="bottom"/>
            </w:pPr>
            <w:hyperlink r:id="rId340" w:anchor="i6df229dad1864210ab76200083e26819_82" w:history="1">
              <w:r>
                <w:rPr>
                  <w:rStyle w:val="a5"/>
                  <w:rFonts w:ascii="Times New Roman" w:eastAsia="宋体" w:hAnsi="Times New Roman"/>
                  <w:sz w:val="20"/>
                  <w:szCs w:val="20"/>
                </w:rPr>
                <w:t>81</w:t>
              </w:r>
            </w:hyperlink>
          </w:p>
        </w:tc>
      </w:tr>
      <w:tr w:rsidR="00BA49F5" w14:paraId="5CD90807" w14:textId="77777777">
        <w:tc>
          <w:tcPr>
            <w:tcW w:w="0" w:type="auto"/>
            <w:gridSpan w:val="3"/>
            <w:shd w:val="clear" w:color="auto" w:fill="auto"/>
            <w:tcMar>
              <w:top w:w="40" w:type="dxa"/>
              <w:left w:w="20" w:type="dxa"/>
              <w:bottom w:w="40" w:type="dxa"/>
              <w:right w:w="20" w:type="dxa"/>
            </w:tcMar>
            <w:vAlign w:val="bottom"/>
          </w:tcPr>
          <w:p w14:paraId="5CD90805" w14:textId="77777777" w:rsidR="00BA49F5" w:rsidRDefault="007E5E49">
            <w:pPr>
              <w:textAlignment w:val="bottom"/>
            </w:pPr>
            <w:hyperlink r:id="rId341" w:anchor="i6df229dad1864210ab76200083e26819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5CD90806" w14:textId="77777777" w:rsidR="00BA49F5" w:rsidRDefault="007E5E49">
            <w:pPr>
              <w:jc w:val="center"/>
              <w:textAlignment w:val="bottom"/>
            </w:pPr>
            <w:hyperlink r:id="rId342" w:anchor="i6df229dad1864210ab76200083e26819_85" w:history="1">
              <w:r>
                <w:rPr>
                  <w:rStyle w:val="a5"/>
                  <w:rFonts w:ascii="Times New Roman" w:eastAsia="宋体" w:hAnsi="Times New Roman"/>
                  <w:sz w:val="20"/>
                  <w:szCs w:val="20"/>
                </w:rPr>
                <w:t>85</w:t>
              </w:r>
            </w:hyperlink>
          </w:p>
        </w:tc>
      </w:tr>
      <w:tr w:rsidR="00BA49F5" w14:paraId="5CD9080A" w14:textId="77777777">
        <w:tc>
          <w:tcPr>
            <w:tcW w:w="0" w:type="auto"/>
            <w:gridSpan w:val="3"/>
            <w:shd w:val="clear" w:color="auto" w:fill="auto"/>
            <w:tcMar>
              <w:top w:w="40" w:type="dxa"/>
              <w:left w:w="20" w:type="dxa"/>
              <w:bottom w:w="40" w:type="dxa"/>
              <w:right w:w="20" w:type="dxa"/>
            </w:tcMar>
            <w:vAlign w:val="bottom"/>
          </w:tcPr>
          <w:p w14:paraId="5CD90808" w14:textId="77777777" w:rsidR="00BA49F5" w:rsidRDefault="007E5E49">
            <w:pPr>
              <w:textAlignment w:val="bottom"/>
            </w:pPr>
            <w:hyperlink r:id="rId343" w:anchor="i6df229dad1864210ab76200083e26819_88" w:history="1">
              <w:r>
                <w:rPr>
                  <w:rStyle w:val="a5"/>
                  <w:rFonts w:ascii="Times New Roman" w:eastAsia="宋体" w:hAnsi="Times New Roman"/>
                  <w:sz w:val="20"/>
                  <w:szCs w:val="20"/>
                </w:rPr>
                <w:t>Consolidated Statements of Income</w:t>
              </w:r>
            </w:hyperlink>
          </w:p>
        </w:tc>
        <w:tc>
          <w:tcPr>
            <w:tcW w:w="0" w:type="auto"/>
            <w:gridSpan w:val="3"/>
            <w:shd w:val="clear" w:color="auto" w:fill="auto"/>
            <w:tcMar>
              <w:top w:w="40" w:type="dxa"/>
              <w:left w:w="20" w:type="dxa"/>
              <w:bottom w:w="40" w:type="dxa"/>
              <w:right w:w="20" w:type="dxa"/>
            </w:tcMar>
            <w:vAlign w:val="bottom"/>
          </w:tcPr>
          <w:p w14:paraId="5CD90809" w14:textId="77777777" w:rsidR="00BA49F5" w:rsidRDefault="007E5E49">
            <w:pPr>
              <w:jc w:val="center"/>
              <w:textAlignment w:val="bottom"/>
            </w:pPr>
            <w:hyperlink r:id="rId344" w:anchor="i6df229dad1864210ab76200083e26819_88" w:history="1">
              <w:r>
                <w:rPr>
                  <w:rStyle w:val="a5"/>
                  <w:rFonts w:ascii="Times New Roman" w:eastAsia="宋体" w:hAnsi="Times New Roman"/>
                  <w:sz w:val="20"/>
                  <w:szCs w:val="20"/>
                </w:rPr>
                <w:t>86</w:t>
              </w:r>
            </w:hyperlink>
          </w:p>
        </w:tc>
      </w:tr>
      <w:tr w:rsidR="00BA49F5" w14:paraId="5CD9080D" w14:textId="77777777">
        <w:tc>
          <w:tcPr>
            <w:tcW w:w="0" w:type="auto"/>
            <w:gridSpan w:val="3"/>
            <w:shd w:val="clear" w:color="auto" w:fill="auto"/>
            <w:tcMar>
              <w:top w:w="40" w:type="dxa"/>
              <w:left w:w="20" w:type="dxa"/>
              <w:bottom w:w="40" w:type="dxa"/>
              <w:right w:w="20" w:type="dxa"/>
            </w:tcMar>
            <w:vAlign w:val="bottom"/>
          </w:tcPr>
          <w:p w14:paraId="5CD9080B" w14:textId="77777777" w:rsidR="00BA49F5" w:rsidRDefault="007E5E49">
            <w:pPr>
              <w:textAlignment w:val="bottom"/>
            </w:pPr>
            <w:hyperlink r:id="rId345" w:anchor="i6df229dad1864210ab76200083e26819_91" w:history="1">
              <w:r>
                <w:rPr>
                  <w:rStyle w:val="a5"/>
                  <w:rFonts w:ascii="Times New Roman" w:eastAsia="宋体" w:hAnsi="Times New Roman"/>
                  <w:sz w:val="20"/>
                  <w:szCs w:val="20"/>
                </w:rPr>
                <w:t>Consolidated St</w:t>
              </w:r>
              <w:r>
                <w:rPr>
                  <w:rStyle w:val="a5"/>
                  <w:rFonts w:ascii="Times New Roman" w:eastAsia="宋体" w:hAnsi="Times New Roman"/>
                  <w:sz w:val="20"/>
                  <w:szCs w:val="20"/>
                </w:rPr>
                <w:t>atements of Comprehensive Income</w:t>
              </w:r>
            </w:hyperlink>
          </w:p>
        </w:tc>
        <w:tc>
          <w:tcPr>
            <w:tcW w:w="0" w:type="auto"/>
            <w:gridSpan w:val="3"/>
            <w:shd w:val="clear" w:color="auto" w:fill="auto"/>
            <w:tcMar>
              <w:top w:w="40" w:type="dxa"/>
              <w:left w:w="20" w:type="dxa"/>
              <w:bottom w:w="40" w:type="dxa"/>
              <w:right w:w="20" w:type="dxa"/>
            </w:tcMar>
            <w:vAlign w:val="bottom"/>
          </w:tcPr>
          <w:p w14:paraId="5CD9080C" w14:textId="77777777" w:rsidR="00BA49F5" w:rsidRDefault="007E5E49">
            <w:pPr>
              <w:jc w:val="center"/>
              <w:textAlignment w:val="bottom"/>
            </w:pPr>
            <w:hyperlink r:id="rId346" w:anchor="i6df229dad1864210ab76200083e26819_91" w:history="1">
              <w:r>
                <w:rPr>
                  <w:rStyle w:val="a5"/>
                  <w:rFonts w:ascii="Times New Roman" w:eastAsia="宋体" w:hAnsi="Times New Roman"/>
                  <w:sz w:val="20"/>
                  <w:szCs w:val="20"/>
                </w:rPr>
                <w:t>87</w:t>
              </w:r>
            </w:hyperlink>
          </w:p>
        </w:tc>
      </w:tr>
      <w:tr w:rsidR="00BA49F5" w14:paraId="5CD90810" w14:textId="77777777">
        <w:tc>
          <w:tcPr>
            <w:tcW w:w="0" w:type="auto"/>
            <w:gridSpan w:val="3"/>
            <w:shd w:val="clear" w:color="auto" w:fill="auto"/>
            <w:tcMar>
              <w:top w:w="40" w:type="dxa"/>
              <w:left w:w="20" w:type="dxa"/>
              <w:bottom w:w="40" w:type="dxa"/>
              <w:right w:w="20" w:type="dxa"/>
            </w:tcMar>
            <w:vAlign w:val="bottom"/>
          </w:tcPr>
          <w:p w14:paraId="5CD9080E" w14:textId="77777777" w:rsidR="00BA49F5" w:rsidRDefault="007E5E49">
            <w:pPr>
              <w:textAlignment w:val="bottom"/>
            </w:pPr>
            <w:hyperlink r:id="rId347" w:anchor="i6df229dad1864210ab76200083e26819_94" w:history="1">
              <w:r>
                <w:rPr>
                  <w:rStyle w:val="a5"/>
                  <w:rFonts w:ascii="Times New Roman" w:eastAsia="宋体" w:hAnsi="Times New Roman"/>
                  <w:sz w:val="20"/>
                  <w:szCs w:val="20"/>
                </w:rPr>
                <w:t>Consolidated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5CD9080F" w14:textId="77777777" w:rsidR="00BA49F5" w:rsidRDefault="007E5E49">
            <w:pPr>
              <w:jc w:val="center"/>
              <w:textAlignment w:val="bottom"/>
            </w:pPr>
            <w:hyperlink r:id="rId348" w:anchor="i6df229dad1864210ab76200083e26819_94" w:history="1">
              <w:r>
                <w:rPr>
                  <w:rStyle w:val="a5"/>
                  <w:rFonts w:ascii="Times New Roman" w:eastAsia="宋体" w:hAnsi="Times New Roman"/>
                  <w:sz w:val="20"/>
                  <w:szCs w:val="20"/>
                </w:rPr>
                <w:t>88</w:t>
              </w:r>
            </w:hyperlink>
          </w:p>
        </w:tc>
      </w:tr>
      <w:tr w:rsidR="00BA49F5" w14:paraId="5CD90813" w14:textId="77777777">
        <w:tc>
          <w:tcPr>
            <w:tcW w:w="0" w:type="auto"/>
            <w:gridSpan w:val="3"/>
            <w:shd w:val="clear" w:color="auto" w:fill="auto"/>
            <w:tcMar>
              <w:top w:w="40" w:type="dxa"/>
              <w:left w:w="20" w:type="dxa"/>
              <w:bottom w:w="40" w:type="dxa"/>
              <w:right w:w="20" w:type="dxa"/>
            </w:tcMar>
            <w:vAlign w:val="bottom"/>
          </w:tcPr>
          <w:p w14:paraId="5CD90811" w14:textId="77777777" w:rsidR="00BA49F5" w:rsidRDefault="007E5E49">
            <w:pPr>
              <w:textAlignment w:val="bottom"/>
            </w:pPr>
            <w:hyperlink r:id="rId349" w:anchor="i6df229dad1864210ab76200083e26819_97"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5CD90812" w14:textId="77777777" w:rsidR="00BA49F5" w:rsidRDefault="007E5E49">
            <w:pPr>
              <w:jc w:val="center"/>
              <w:textAlignment w:val="bottom"/>
            </w:pPr>
            <w:hyperlink r:id="rId350" w:anchor="i6df229dad1864210ab76200083e26819_97" w:history="1">
              <w:r>
                <w:rPr>
                  <w:rStyle w:val="a5"/>
                  <w:rFonts w:ascii="Times New Roman" w:eastAsia="宋体" w:hAnsi="Times New Roman"/>
                  <w:sz w:val="20"/>
                  <w:szCs w:val="20"/>
                </w:rPr>
                <w:t>89</w:t>
              </w:r>
            </w:hyperlink>
          </w:p>
        </w:tc>
      </w:tr>
      <w:tr w:rsidR="00BA49F5" w14:paraId="5CD90816" w14:textId="77777777">
        <w:tc>
          <w:tcPr>
            <w:tcW w:w="0" w:type="auto"/>
            <w:gridSpan w:val="3"/>
            <w:shd w:val="clear" w:color="auto" w:fill="auto"/>
            <w:tcMar>
              <w:top w:w="40" w:type="dxa"/>
              <w:left w:w="20" w:type="dxa"/>
              <w:bottom w:w="40" w:type="dxa"/>
              <w:right w:w="20" w:type="dxa"/>
            </w:tcMar>
            <w:vAlign w:val="bottom"/>
          </w:tcPr>
          <w:p w14:paraId="5CD90814" w14:textId="77777777" w:rsidR="00BA49F5" w:rsidRDefault="007E5E49">
            <w:pPr>
              <w:textAlignment w:val="bottom"/>
            </w:pPr>
            <w:hyperlink r:id="rId351" w:anchor="i6df229dad1864210ab76200083e26819_100"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5CD90815" w14:textId="77777777" w:rsidR="00BA49F5" w:rsidRDefault="007E5E49">
            <w:pPr>
              <w:jc w:val="center"/>
              <w:textAlignment w:val="bottom"/>
            </w:pPr>
            <w:hyperlink r:id="rId352" w:anchor="i6df229dad1864210ab76200083e26819_100" w:history="1">
              <w:r>
                <w:rPr>
                  <w:rStyle w:val="a5"/>
                  <w:rFonts w:ascii="Times New Roman" w:eastAsia="宋体" w:hAnsi="Times New Roman"/>
                  <w:sz w:val="20"/>
                  <w:szCs w:val="20"/>
                </w:rPr>
                <w:t>91</w:t>
              </w:r>
            </w:hyperlink>
          </w:p>
        </w:tc>
      </w:tr>
    </w:tbl>
    <w:p w14:paraId="5CD90817" w14:textId="77777777" w:rsidR="00BA49F5" w:rsidRDefault="007E5E49">
      <w:r>
        <w:rPr>
          <w:rFonts w:ascii="Times New Roman" w:eastAsia="宋体" w:hAnsi="Times New Roman"/>
          <w:color w:val="000000"/>
          <w:sz w:val="20"/>
          <w:szCs w:val="20"/>
        </w:rPr>
        <w:t>    </w:t>
      </w:r>
    </w:p>
    <w:p w14:paraId="5CD90818" w14:textId="77777777" w:rsidR="00BA49F5" w:rsidRDefault="007E5E49">
      <w:pPr>
        <w:jc w:val="both"/>
      </w:pPr>
      <w:r>
        <w:rPr>
          <w:rFonts w:ascii="Times New Roman" w:eastAsia="宋体" w:hAnsi="Times New Roman"/>
          <w:color w:val="000000"/>
          <w:sz w:val="20"/>
          <w:szCs w:val="20"/>
        </w:rPr>
        <w:t>2. Financial S</w:t>
      </w:r>
      <w:r>
        <w:rPr>
          <w:rFonts w:ascii="Times New Roman" w:eastAsia="宋体" w:hAnsi="Times New Roman"/>
          <w:color w:val="000000"/>
          <w:sz w:val="20"/>
          <w:szCs w:val="20"/>
        </w:rPr>
        <w:t>tatement Schedules</w:t>
      </w:r>
    </w:p>
    <w:p w14:paraId="5CD90819" w14:textId="77777777" w:rsidR="00BA49F5" w:rsidRDefault="00BA49F5">
      <w:pPr>
        <w:jc w:val="both"/>
      </w:pPr>
    </w:p>
    <w:p w14:paraId="5CD9081A" w14:textId="77777777" w:rsidR="00BA49F5" w:rsidRDefault="007E5E49">
      <w:pPr>
        <w:jc w:val="both"/>
      </w:pPr>
      <w:r>
        <w:rPr>
          <w:rFonts w:ascii="Times New Roman" w:eastAsia="宋体" w:hAnsi="Times New Roman"/>
          <w:color w:val="000000"/>
          <w:sz w:val="20"/>
          <w:szCs w:val="20"/>
        </w:rPr>
        <w:t>All schedules have been omitted because they are not required, not applicable, not present in amounts sufficient to require submission of the schedule, or the required information is otherwise included.</w:t>
      </w:r>
    </w:p>
    <w:p w14:paraId="5CD9081B" w14:textId="77777777" w:rsidR="00BA49F5" w:rsidRDefault="00BA49F5">
      <w:pPr>
        <w:jc w:val="both"/>
      </w:pPr>
    </w:p>
    <w:p w14:paraId="5CD9081C" w14:textId="77777777" w:rsidR="00BA49F5" w:rsidRDefault="007E5E49">
      <w:pPr>
        <w:jc w:val="both"/>
      </w:pPr>
      <w:r>
        <w:rPr>
          <w:rFonts w:ascii="Times New Roman" w:eastAsia="宋体" w:hAnsi="Times New Roman"/>
          <w:color w:val="000000"/>
          <w:sz w:val="20"/>
          <w:szCs w:val="20"/>
        </w:rPr>
        <w:t>3. Exhibits</w:t>
      </w:r>
    </w:p>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2"/>
        <w:gridCol w:w="36"/>
        <w:gridCol w:w="36"/>
        <w:gridCol w:w="36"/>
        <w:gridCol w:w="36"/>
        <w:gridCol w:w="39"/>
        <w:gridCol w:w="2713"/>
        <w:gridCol w:w="38"/>
        <w:gridCol w:w="36"/>
        <w:gridCol w:w="36"/>
        <w:gridCol w:w="36"/>
        <w:gridCol w:w="54"/>
        <w:gridCol w:w="470"/>
        <w:gridCol w:w="37"/>
        <w:gridCol w:w="37"/>
        <w:gridCol w:w="37"/>
        <w:gridCol w:w="36"/>
        <w:gridCol w:w="93"/>
        <w:gridCol w:w="905"/>
        <w:gridCol w:w="37"/>
        <w:gridCol w:w="36"/>
        <w:gridCol w:w="36"/>
        <w:gridCol w:w="36"/>
        <w:gridCol w:w="70"/>
        <w:gridCol w:w="471"/>
        <w:gridCol w:w="36"/>
        <w:gridCol w:w="36"/>
        <w:gridCol w:w="36"/>
        <w:gridCol w:w="36"/>
        <w:gridCol w:w="52"/>
        <w:gridCol w:w="1068"/>
        <w:gridCol w:w="36"/>
        <w:gridCol w:w="36"/>
        <w:gridCol w:w="36"/>
        <w:gridCol w:w="36"/>
        <w:gridCol w:w="86"/>
        <w:gridCol w:w="586"/>
        <w:gridCol w:w="36"/>
      </w:tblGrid>
      <w:tr w:rsidR="00BA49F5" w14:paraId="5CD90844" w14:textId="77777777">
        <w:trPr>
          <w:jc w:val="center"/>
        </w:trPr>
        <w:tc>
          <w:tcPr>
            <w:tcW w:w="50" w:type="pct"/>
            <w:shd w:val="clear" w:color="auto" w:fill="auto"/>
            <w:vAlign w:val="bottom"/>
          </w:tcPr>
          <w:p w14:paraId="5CD9081D" w14:textId="77777777" w:rsidR="00BA49F5" w:rsidRDefault="00BA49F5">
            <w:pPr>
              <w:rPr>
                <w:rFonts w:ascii="宋体"/>
              </w:rPr>
            </w:pPr>
          </w:p>
        </w:tc>
        <w:tc>
          <w:tcPr>
            <w:tcW w:w="431" w:type="pct"/>
            <w:shd w:val="clear" w:color="auto" w:fill="auto"/>
            <w:vAlign w:val="bottom"/>
          </w:tcPr>
          <w:p w14:paraId="5CD9081E" w14:textId="77777777" w:rsidR="00BA49F5" w:rsidRDefault="00BA49F5">
            <w:pPr>
              <w:rPr>
                <w:rFonts w:ascii="宋体"/>
              </w:rPr>
            </w:pPr>
          </w:p>
        </w:tc>
        <w:tc>
          <w:tcPr>
            <w:tcW w:w="5" w:type="pct"/>
            <w:shd w:val="clear" w:color="auto" w:fill="auto"/>
            <w:vAlign w:val="bottom"/>
          </w:tcPr>
          <w:p w14:paraId="5CD9081F" w14:textId="77777777" w:rsidR="00BA49F5" w:rsidRDefault="00BA49F5">
            <w:pPr>
              <w:rPr>
                <w:rFonts w:ascii="宋体"/>
              </w:rPr>
            </w:pPr>
          </w:p>
        </w:tc>
        <w:tc>
          <w:tcPr>
            <w:tcW w:w="5" w:type="pct"/>
            <w:shd w:val="clear" w:color="auto" w:fill="auto"/>
            <w:vAlign w:val="bottom"/>
          </w:tcPr>
          <w:p w14:paraId="5CD90820" w14:textId="77777777" w:rsidR="00BA49F5" w:rsidRDefault="00BA49F5">
            <w:pPr>
              <w:rPr>
                <w:rFonts w:ascii="宋体"/>
              </w:rPr>
            </w:pPr>
          </w:p>
        </w:tc>
        <w:tc>
          <w:tcPr>
            <w:tcW w:w="27" w:type="pct"/>
            <w:shd w:val="clear" w:color="auto" w:fill="auto"/>
            <w:vAlign w:val="bottom"/>
          </w:tcPr>
          <w:p w14:paraId="5CD90821" w14:textId="77777777" w:rsidR="00BA49F5" w:rsidRDefault="00BA49F5">
            <w:pPr>
              <w:rPr>
                <w:rFonts w:ascii="宋体"/>
              </w:rPr>
            </w:pPr>
          </w:p>
        </w:tc>
        <w:tc>
          <w:tcPr>
            <w:tcW w:w="5" w:type="pct"/>
            <w:shd w:val="clear" w:color="auto" w:fill="auto"/>
            <w:vAlign w:val="bottom"/>
          </w:tcPr>
          <w:p w14:paraId="5CD90822" w14:textId="77777777" w:rsidR="00BA49F5" w:rsidRDefault="00BA49F5">
            <w:pPr>
              <w:rPr>
                <w:rFonts w:ascii="宋体"/>
              </w:rPr>
            </w:pPr>
          </w:p>
        </w:tc>
        <w:tc>
          <w:tcPr>
            <w:tcW w:w="50" w:type="pct"/>
            <w:shd w:val="clear" w:color="auto" w:fill="auto"/>
            <w:vAlign w:val="bottom"/>
          </w:tcPr>
          <w:p w14:paraId="5CD90823" w14:textId="77777777" w:rsidR="00BA49F5" w:rsidRDefault="00BA49F5">
            <w:pPr>
              <w:rPr>
                <w:rFonts w:ascii="宋体"/>
              </w:rPr>
            </w:pPr>
          </w:p>
        </w:tc>
        <w:tc>
          <w:tcPr>
            <w:tcW w:w="1718" w:type="pct"/>
            <w:shd w:val="clear" w:color="auto" w:fill="auto"/>
            <w:vAlign w:val="bottom"/>
          </w:tcPr>
          <w:p w14:paraId="5CD90824" w14:textId="77777777" w:rsidR="00BA49F5" w:rsidRDefault="00BA49F5">
            <w:pPr>
              <w:rPr>
                <w:rFonts w:ascii="宋体"/>
              </w:rPr>
            </w:pPr>
          </w:p>
        </w:tc>
        <w:tc>
          <w:tcPr>
            <w:tcW w:w="5" w:type="pct"/>
            <w:shd w:val="clear" w:color="auto" w:fill="auto"/>
            <w:vAlign w:val="bottom"/>
          </w:tcPr>
          <w:p w14:paraId="5CD90825" w14:textId="77777777" w:rsidR="00BA49F5" w:rsidRDefault="00BA49F5">
            <w:pPr>
              <w:rPr>
                <w:rFonts w:ascii="宋体"/>
              </w:rPr>
            </w:pPr>
          </w:p>
        </w:tc>
        <w:tc>
          <w:tcPr>
            <w:tcW w:w="5" w:type="pct"/>
            <w:shd w:val="clear" w:color="auto" w:fill="auto"/>
            <w:vAlign w:val="bottom"/>
          </w:tcPr>
          <w:p w14:paraId="5CD90826" w14:textId="77777777" w:rsidR="00BA49F5" w:rsidRDefault="00BA49F5">
            <w:pPr>
              <w:rPr>
                <w:rFonts w:ascii="宋体"/>
              </w:rPr>
            </w:pPr>
          </w:p>
        </w:tc>
        <w:tc>
          <w:tcPr>
            <w:tcW w:w="27" w:type="pct"/>
            <w:shd w:val="clear" w:color="auto" w:fill="auto"/>
            <w:vAlign w:val="bottom"/>
          </w:tcPr>
          <w:p w14:paraId="5CD90827" w14:textId="77777777" w:rsidR="00BA49F5" w:rsidRDefault="00BA49F5">
            <w:pPr>
              <w:rPr>
                <w:rFonts w:ascii="宋体"/>
              </w:rPr>
            </w:pPr>
          </w:p>
        </w:tc>
        <w:tc>
          <w:tcPr>
            <w:tcW w:w="5" w:type="pct"/>
            <w:shd w:val="clear" w:color="auto" w:fill="auto"/>
            <w:vAlign w:val="bottom"/>
          </w:tcPr>
          <w:p w14:paraId="5CD90828" w14:textId="77777777" w:rsidR="00BA49F5" w:rsidRDefault="00BA49F5">
            <w:pPr>
              <w:rPr>
                <w:rFonts w:ascii="宋体"/>
              </w:rPr>
            </w:pPr>
          </w:p>
        </w:tc>
        <w:tc>
          <w:tcPr>
            <w:tcW w:w="50" w:type="pct"/>
            <w:shd w:val="clear" w:color="auto" w:fill="auto"/>
            <w:vAlign w:val="bottom"/>
          </w:tcPr>
          <w:p w14:paraId="5CD90829" w14:textId="77777777" w:rsidR="00BA49F5" w:rsidRDefault="00BA49F5">
            <w:pPr>
              <w:rPr>
                <w:rFonts w:ascii="宋体"/>
              </w:rPr>
            </w:pPr>
          </w:p>
        </w:tc>
        <w:tc>
          <w:tcPr>
            <w:tcW w:w="341" w:type="pct"/>
            <w:shd w:val="clear" w:color="auto" w:fill="auto"/>
            <w:vAlign w:val="bottom"/>
          </w:tcPr>
          <w:p w14:paraId="5CD9082A" w14:textId="77777777" w:rsidR="00BA49F5" w:rsidRDefault="00BA49F5">
            <w:pPr>
              <w:rPr>
                <w:rFonts w:ascii="宋体"/>
              </w:rPr>
            </w:pPr>
          </w:p>
        </w:tc>
        <w:tc>
          <w:tcPr>
            <w:tcW w:w="5" w:type="pct"/>
            <w:shd w:val="clear" w:color="auto" w:fill="auto"/>
            <w:vAlign w:val="bottom"/>
          </w:tcPr>
          <w:p w14:paraId="5CD9082B" w14:textId="77777777" w:rsidR="00BA49F5" w:rsidRDefault="00BA49F5">
            <w:pPr>
              <w:rPr>
                <w:rFonts w:ascii="宋体"/>
              </w:rPr>
            </w:pPr>
          </w:p>
        </w:tc>
        <w:tc>
          <w:tcPr>
            <w:tcW w:w="5" w:type="pct"/>
            <w:shd w:val="clear" w:color="auto" w:fill="auto"/>
            <w:vAlign w:val="bottom"/>
          </w:tcPr>
          <w:p w14:paraId="5CD9082C" w14:textId="77777777" w:rsidR="00BA49F5" w:rsidRDefault="00BA49F5">
            <w:pPr>
              <w:rPr>
                <w:rFonts w:ascii="宋体"/>
              </w:rPr>
            </w:pPr>
          </w:p>
        </w:tc>
        <w:tc>
          <w:tcPr>
            <w:tcW w:w="27" w:type="pct"/>
            <w:shd w:val="clear" w:color="auto" w:fill="auto"/>
            <w:vAlign w:val="bottom"/>
          </w:tcPr>
          <w:p w14:paraId="5CD9082D" w14:textId="77777777" w:rsidR="00BA49F5" w:rsidRDefault="00BA49F5">
            <w:pPr>
              <w:rPr>
                <w:rFonts w:ascii="宋体"/>
              </w:rPr>
            </w:pPr>
          </w:p>
        </w:tc>
        <w:tc>
          <w:tcPr>
            <w:tcW w:w="5" w:type="pct"/>
            <w:shd w:val="clear" w:color="auto" w:fill="auto"/>
            <w:vAlign w:val="bottom"/>
          </w:tcPr>
          <w:p w14:paraId="5CD9082E" w14:textId="77777777" w:rsidR="00BA49F5" w:rsidRDefault="00BA49F5">
            <w:pPr>
              <w:rPr>
                <w:rFonts w:ascii="宋体"/>
              </w:rPr>
            </w:pPr>
          </w:p>
        </w:tc>
        <w:tc>
          <w:tcPr>
            <w:tcW w:w="50" w:type="pct"/>
            <w:shd w:val="clear" w:color="auto" w:fill="auto"/>
            <w:vAlign w:val="bottom"/>
          </w:tcPr>
          <w:p w14:paraId="5CD9082F" w14:textId="77777777" w:rsidR="00BA49F5" w:rsidRDefault="00BA49F5">
            <w:pPr>
              <w:rPr>
                <w:rFonts w:ascii="宋体"/>
              </w:rPr>
            </w:pPr>
          </w:p>
        </w:tc>
        <w:tc>
          <w:tcPr>
            <w:tcW w:w="491" w:type="pct"/>
            <w:shd w:val="clear" w:color="auto" w:fill="auto"/>
            <w:vAlign w:val="bottom"/>
          </w:tcPr>
          <w:p w14:paraId="5CD90830" w14:textId="77777777" w:rsidR="00BA49F5" w:rsidRDefault="00BA49F5">
            <w:pPr>
              <w:rPr>
                <w:rFonts w:ascii="宋体"/>
              </w:rPr>
            </w:pPr>
          </w:p>
        </w:tc>
        <w:tc>
          <w:tcPr>
            <w:tcW w:w="5" w:type="pct"/>
            <w:shd w:val="clear" w:color="auto" w:fill="auto"/>
            <w:vAlign w:val="bottom"/>
          </w:tcPr>
          <w:p w14:paraId="5CD90831" w14:textId="77777777" w:rsidR="00BA49F5" w:rsidRDefault="00BA49F5">
            <w:pPr>
              <w:rPr>
                <w:rFonts w:ascii="宋体"/>
              </w:rPr>
            </w:pPr>
          </w:p>
        </w:tc>
        <w:tc>
          <w:tcPr>
            <w:tcW w:w="5" w:type="pct"/>
            <w:shd w:val="clear" w:color="auto" w:fill="auto"/>
            <w:vAlign w:val="bottom"/>
          </w:tcPr>
          <w:p w14:paraId="5CD90832" w14:textId="77777777" w:rsidR="00BA49F5" w:rsidRDefault="00BA49F5">
            <w:pPr>
              <w:rPr>
                <w:rFonts w:ascii="宋体"/>
              </w:rPr>
            </w:pPr>
          </w:p>
        </w:tc>
        <w:tc>
          <w:tcPr>
            <w:tcW w:w="27" w:type="pct"/>
            <w:shd w:val="clear" w:color="auto" w:fill="auto"/>
            <w:vAlign w:val="bottom"/>
          </w:tcPr>
          <w:p w14:paraId="5CD90833" w14:textId="77777777" w:rsidR="00BA49F5" w:rsidRDefault="00BA49F5">
            <w:pPr>
              <w:rPr>
                <w:rFonts w:ascii="宋体"/>
              </w:rPr>
            </w:pPr>
          </w:p>
        </w:tc>
        <w:tc>
          <w:tcPr>
            <w:tcW w:w="5" w:type="pct"/>
            <w:shd w:val="clear" w:color="auto" w:fill="auto"/>
            <w:vAlign w:val="bottom"/>
          </w:tcPr>
          <w:p w14:paraId="5CD90834" w14:textId="77777777" w:rsidR="00BA49F5" w:rsidRDefault="00BA49F5">
            <w:pPr>
              <w:rPr>
                <w:rFonts w:ascii="宋体"/>
              </w:rPr>
            </w:pPr>
          </w:p>
        </w:tc>
        <w:tc>
          <w:tcPr>
            <w:tcW w:w="50" w:type="pct"/>
            <w:shd w:val="clear" w:color="auto" w:fill="auto"/>
            <w:vAlign w:val="bottom"/>
          </w:tcPr>
          <w:p w14:paraId="5CD90835" w14:textId="77777777" w:rsidR="00BA49F5" w:rsidRDefault="00BA49F5">
            <w:pPr>
              <w:rPr>
                <w:rFonts w:ascii="宋体"/>
              </w:rPr>
            </w:pPr>
          </w:p>
        </w:tc>
        <w:tc>
          <w:tcPr>
            <w:tcW w:w="341" w:type="pct"/>
            <w:shd w:val="clear" w:color="auto" w:fill="auto"/>
            <w:vAlign w:val="bottom"/>
          </w:tcPr>
          <w:p w14:paraId="5CD90836" w14:textId="77777777" w:rsidR="00BA49F5" w:rsidRDefault="00BA49F5">
            <w:pPr>
              <w:rPr>
                <w:rFonts w:ascii="宋体"/>
              </w:rPr>
            </w:pPr>
          </w:p>
        </w:tc>
        <w:tc>
          <w:tcPr>
            <w:tcW w:w="5" w:type="pct"/>
            <w:shd w:val="clear" w:color="auto" w:fill="auto"/>
            <w:vAlign w:val="bottom"/>
          </w:tcPr>
          <w:p w14:paraId="5CD90837" w14:textId="77777777" w:rsidR="00BA49F5" w:rsidRDefault="00BA49F5">
            <w:pPr>
              <w:rPr>
                <w:rFonts w:ascii="宋体"/>
              </w:rPr>
            </w:pPr>
          </w:p>
        </w:tc>
        <w:tc>
          <w:tcPr>
            <w:tcW w:w="5" w:type="pct"/>
            <w:shd w:val="clear" w:color="auto" w:fill="auto"/>
            <w:vAlign w:val="bottom"/>
          </w:tcPr>
          <w:p w14:paraId="5CD90838" w14:textId="77777777" w:rsidR="00BA49F5" w:rsidRDefault="00BA49F5">
            <w:pPr>
              <w:rPr>
                <w:rFonts w:ascii="宋体"/>
              </w:rPr>
            </w:pPr>
          </w:p>
        </w:tc>
        <w:tc>
          <w:tcPr>
            <w:tcW w:w="27" w:type="pct"/>
            <w:shd w:val="clear" w:color="auto" w:fill="auto"/>
            <w:vAlign w:val="bottom"/>
          </w:tcPr>
          <w:p w14:paraId="5CD90839" w14:textId="77777777" w:rsidR="00BA49F5" w:rsidRDefault="00BA49F5">
            <w:pPr>
              <w:rPr>
                <w:rFonts w:ascii="宋体"/>
              </w:rPr>
            </w:pPr>
          </w:p>
        </w:tc>
        <w:tc>
          <w:tcPr>
            <w:tcW w:w="5" w:type="pct"/>
            <w:shd w:val="clear" w:color="auto" w:fill="auto"/>
            <w:vAlign w:val="bottom"/>
          </w:tcPr>
          <w:p w14:paraId="5CD9083A" w14:textId="77777777" w:rsidR="00BA49F5" w:rsidRDefault="00BA49F5">
            <w:pPr>
              <w:rPr>
                <w:rFonts w:ascii="宋体"/>
              </w:rPr>
            </w:pPr>
          </w:p>
        </w:tc>
        <w:tc>
          <w:tcPr>
            <w:tcW w:w="50" w:type="pct"/>
            <w:shd w:val="clear" w:color="auto" w:fill="auto"/>
            <w:vAlign w:val="bottom"/>
          </w:tcPr>
          <w:p w14:paraId="5CD9083B" w14:textId="77777777" w:rsidR="00BA49F5" w:rsidRDefault="00BA49F5">
            <w:pPr>
              <w:rPr>
                <w:rFonts w:ascii="宋体"/>
              </w:rPr>
            </w:pPr>
          </w:p>
        </w:tc>
        <w:tc>
          <w:tcPr>
            <w:tcW w:w="723" w:type="pct"/>
            <w:shd w:val="clear" w:color="auto" w:fill="auto"/>
            <w:vAlign w:val="bottom"/>
          </w:tcPr>
          <w:p w14:paraId="5CD9083C" w14:textId="77777777" w:rsidR="00BA49F5" w:rsidRDefault="00BA49F5">
            <w:pPr>
              <w:rPr>
                <w:rFonts w:ascii="宋体"/>
              </w:rPr>
            </w:pPr>
          </w:p>
        </w:tc>
        <w:tc>
          <w:tcPr>
            <w:tcW w:w="5" w:type="pct"/>
            <w:shd w:val="clear" w:color="auto" w:fill="auto"/>
            <w:vAlign w:val="bottom"/>
          </w:tcPr>
          <w:p w14:paraId="5CD9083D" w14:textId="77777777" w:rsidR="00BA49F5" w:rsidRDefault="00BA49F5">
            <w:pPr>
              <w:rPr>
                <w:rFonts w:ascii="宋体"/>
              </w:rPr>
            </w:pPr>
          </w:p>
        </w:tc>
        <w:tc>
          <w:tcPr>
            <w:tcW w:w="5" w:type="pct"/>
            <w:shd w:val="clear" w:color="auto" w:fill="auto"/>
            <w:vAlign w:val="bottom"/>
          </w:tcPr>
          <w:p w14:paraId="5CD9083E" w14:textId="77777777" w:rsidR="00BA49F5" w:rsidRDefault="00BA49F5">
            <w:pPr>
              <w:rPr>
                <w:rFonts w:ascii="宋体"/>
              </w:rPr>
            </w:pPr>
          </w:p>
        </w:tc>
        <w:tc>
          <w:tcPr>
            <w:tcW w:w="27" w:type="pct"/>
            <w:shd w:val="clear" w:color="auto" w:fill="auto"/>
            <w:vAlign w:val="bottom"/>
          </w:tcPr>
          <w:p w14:paraId="5CD9083F" w14:textId="77777777" w:rsidR="00BA49F5" w:rsidRDefault="00BA49F5">
            <w:pPr>
              <w:rPr>
                <w:rFonts w:ascii="宋体"/>
              </w:rPr>
            </w:pPr>
          </w:p>
        </w:tc>
        <w:tc>
          <w:tcPr>
            <w:tcW w:w="5" w:type="pct"/>
            <w:shd w:val="clear" w:color="auto" w:fill="auto"/>
            <w:vAlign w:val="bottom"/>
          </w:tcPr>
          <w:p w14:paraId="5CD90840" w14:textId="77777777" w:rsidR="00BA49F5" w:rsidRDefault="00BA49F5">
            <w:pPr>
              <w:rPr>
                <w:rFonts w:ascii="宋体"/>
              </w:rPr>
            </w:pPr>
          </w:p>
        </w:tc>
        <w:tc>
          <w:tcPr>
            <w:tcW w:w="50" w:type="pct"/>
            <w:shd w:val="clear" w:color="auto" w:fill="auto"/>
            <w:vAlign w:val="bottom"/>
          </w:tcPr>
          <w:p w14:paraId="5CD90841" w14:textId="77777777" w:rsidR="00BA49F5" w:rsidRDefault="00BA49F5">
            <w:pPr>
              <w:rPr>
                <w:rFonts w:ascii="宋体"/>
              </w:rPr>
            </w:pPr>
          </w:p>
        </w:tc>
        <w:tc>
          <w:tcPr>
            <w:tcW w:w="341" w:type="pct"/>
            <w:shd w:val="clear" w:color="auto" w:fill="auto"/>
            <w:vAlign w:val="bottom"/>
          </w:tcPr>
          <w:p w14:paraId="5CD90842" w14:textId="77777777" w:rsidR="00BA49F5" w:rsidRDefault="00BA49F5">
            <w:pPr>
              <w:rPr>
                <w:rFonts w:ascii="宋体"/>
              </w:rPr>
            </w:pPr>
          </w:p>
        </w:tc>
        <w:tc>
          <w:tcPr>
            <w:tcW w:w="5" w:type="pct"/>
            <w:shd w:val="clear" w:color="auto" w:fill="auto"/>
            <w:vAlign w:val="bottom"/>
          </w:tcPr>
          <w:p w14:paraId="5CD90843" w14:textId="77777777" w:rsidR="00BA49F5" w:rsidRDefault="00BA49F5">
            <w:pPr>
              <w:rPr>
                <w:rFonts w:ascii="宋体"/>
              </w:rPr>
            </w:pPr>
          </w:p>
        </w:tc>
      </w:tr>
      <w:tr w:rsidR="00BA49F5" w14:paraId="5CD9084C"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845"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5CD9084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4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48" w14:textId="77777777" w:rsidR="00BA49F5" w:rsidRDefault="00BA49F5">
            <w:pPr>
              <w:rPr>
                <w:rFonts w:ascii="宋体"/>
              </w:rPr>
            </w:pPr>
          </w:p>
        </w:tc>
        <w:tc>
          <w:tcPr>
            <w:tcW w:w="0" w:type="auto"/>
            <w:gridSpan w:val="21"/>
            <w:shd w:val="clear" w:color="auto" w:fill="auto"/>
            <w:tcMar>
              <w:top w:w="40" w:type="dxa"/>
              <w:left w:w="20" w:type="dxa"/>
              <w:bottom w:w="40" w:type="dxa"/>
              <w:right w:w="20" w:type="dxa"/>
            </w:tcMar>
            <w:vAlign w:val="bottom"/>
          </w:tcPr>
          <w:p w14:paraId="5CD90849" w14:textId="77777777" w:rsidR="00BA49F5" w:rsidRDefault="007E5E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5CD9084A" w14:textId="77777777" w:rsidR="00BA49F5" w:rsidRDefault="00BA49F5">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5CD9084B" w14:textId="77777777" w:rsidR="00BA49F5" w:rsidRDefault="007E5E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A49F5" w14:paraId="5CD9085A"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84D" w14:textId="77777777" w:rsidR="00BA49F5" w:rsidRDefault="007E5E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5CD9084E" w14:textId="77777777" w:rsidR="00BA49F5" w:rsidRDefault="00BA49F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CD9084F" w14:textId="77777777" w:rsidR="00BA49F5" w:rsidRDefault="007E5E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5CD90850"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851" w14:textId="77777777" w:rsidR="00BA49F5" w:rsidRDefault="007E5E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852"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853" w14:textId="77777777" w:rsidR="00BA49F5" w:rsidRDefault="007E5E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854"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855"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856"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857" w14:textId="77777777" w:rsidR="00BA49F5" w:rsidRDefault="007E5E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5CD90858" w14:textId="77777777" w:rsidR="00BA49F5" w:rsidRDefault="00BA49F5">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5CD90859" w14:textId="77777777" w:rsidR="00BA49F5" w:rsidRDefault="00BA49F5">
            <w:pPr>
              <w:jc w:val="center"/>
              <w:rPr>
                <w:rFonts w:ascii="宋体"/>
              </w:rPr>
            </w:pPr>
          </w:p>
        </w:tc>
      </w:tr>
      <w:tr w:rsidR="00BA49F5" w14:paraId="5CD90862"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85B"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5C"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5D"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5E"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5F"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60"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861" w14:textId="77777777" w:rsidR="00BA49F5" w:rsidRDefault="00BA49F5">
            <w:pPr>
              <w:rPr>
                <w:rFonts w:ascii="宋体"/>
              </w:rPr>
            </w:pPr>
          </w:p>
        </w:tc>
      </w:tr>
      <w:tr w:rsidR="00BA49F5" w14:paraId="5CD90870" w14:textId="77777777">
        <w:trPr>
          <w:jc w:val="center"/>
        </w:trPr>
        <w:tc>
          <w:tcPr>
            <w:tcW w:w="0" w:type="auto"/>
            <w:gridSpan w:val="3"/>
            <w:shd w:val="clear" w:color="auto" w:fill="auto"/>
            <w:tcMar>
              <w:top w:w="40" w:type="dxa"/>
              <w:left w:w="20" w:type="dxa"/>
              <w:bottom w:w="40" w:type="dxa"/>
              <w:right w:w="20" w:type="dxa"/>
            </w:tcMar>
          </w:tcPr>
          <w:p w14:paraId="5CD90863" w14:textId="77777777" w:rsidR="00BA49F5" w:rsidRDefault="007E5E49">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5CD9086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65" w14:textId="77777777" w:rsidR="00BA49F5" w:rsidRDefault="007E5E49">
            <w:pPr>
              <w:textAlignment w:val="top"/>
            </w:pPr>
            <w:hyperlink r:id="rId353" w:history="1">
              <w:r>
                <w:rPr>
                  <w:rStyle w:val="a5"/>
                  <w:rFonts w:ascii="Times New Roman" w:eastAsia="宋体" w:hAnsi="Times New Roman"/>
                  <w:sz w:val="20"/>
                  <w:szCs w:val="20"/>
                </w:rPr>
                <w:t>Amended and Restated Certificate of Incorporation.</w:t>
              </w:r>
            </w:hyperlink>
          </w:p>
        </w:tc>
        <w:tc>
          <w:tcPr>
            <w:tcW w:w="0" w:type="auto"/>
            <w:gridSpan w:val="3"/>
            <w:shd w:val="clear" w:color="auto" w:fill="auto"/>
            <w:tcMar>
              <w:top w:w="0" w:type="dxa"/>
              <w:left w:w="20" w:type="dxa"/>
              <w:bottom w:w="0" w:type="dxa"/>
              <w:right w:w="20" w:type="dxa"/>
            </w:tcMar>
            <w:vAlign w:val="bottom"/>
          </w:tcPr>
          <w:p w14:paraId="5CD9086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67" w14:textId="77777777" w:rsidR="00BA49F5" w:rsidRDefault="007E5E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5CD9086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69"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6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6B" w14:textId="77777777" w:rsidR="00BA49F5" w:rsidRDefault="007E5E49">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5CD9086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6D" w14:textId="77777777" w:rsidR="00BA49F5" w:rsidRDefault="007E5E49">
            <w:pPr>
              <w:textAlignment w:val="top"/>
            </w:pPr>
            <w:r>
              <w:rPr>
                <w:rFonts w:ascii="Times New Roman" w:eastAsia="宋体" w:hAnsi="Times New Roman"/>
                <w:color w:val="000000"/>
                <w:sz w:val="20"/>
                <w:szCs w:val="20"/>
              </w:rPr>
              <w:t>October 28, 2021</w:t>
            </w:r>
          </w:p>
        </w:tc>
        <w:tc>
          <w:tcPr>
            <w:tcW w:w="0" w:type="auto"/>
            <w:gridSpan w:val="3"/>
            <w:shd w:val="clear" w:color="auto" w:fill="auto"/>
            <w:tcMar>
              <w:top w:w="0" w:type="dxa"/>
              <w:left w:w="20" w:type="dxa"/>
              <w:bottom w:w="0" w:type="dxa"/>
              <w:right w:w="20" w:type="dxa"/>
            </w:tcMar>
            <w:vAlign w:val="bottom"/>
          </w:tcPr>
          <w:p w14:paraId="5CD9086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6F" w14:textId="77777777" w:rsidR="00BA49F5" w:rsidRDefault="00BA49F5">
            <w:pPr>
              <w:rPr>
                <w:rFonts w:ascii="宋体"/>
              </w:rPr>
            </w:pPr>
          </w:p>
        </w:tc>
      </w:tr>
      <w:tr w:rsidR="00BA49F5" w14:paraId="5CD9087E" w14:textId="77777777">
        <w:trPr>
          <w:jc w:val="center"/>
        </w:trPr>
        <w:tc>
          <w:tcPr>
            <w:tcW w:w="0" w:type="auto"/>
            <w:gridSpan w:val="3"/>
            <w:shd w:val="clear" w:color="auto" w:fill="auto"/>
            <w:tcMar>
              <w:top w:w="40" w:type="dxa"/>
              <w:left w:w="20" w:type="dxa"/>
              <w:bottom w:w="40" w:type="dxa"/>
              <w:right w:w="20" w:type="dxa"/>
            </w:tcMar>
          </w:tcPr>
          <w:p w14:paraId="5CD90871" w14:textId="77777777" w:rsidR="00BA49F5" w:rsidRDefault="007E5E49">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5CD9087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73" w14:textId="77777777" w:rsidR="00BA49F5" w:rsidRDefault="007E5E49">
            <w:pPr>
              <w:textAlignment w:val="top"/>
            </w:pPr>
            <w:hyperlink r:id="rId354" w:history="1">
              <w:r>
                <w:rPr>
                  <w:rStyle w:val="a5"/>
                  <w:rFonts w:ascii="Times New Roman" w:eastAsia="宋体" w:hAnsi="Times New Roman"/>
                  <w:sz w:val="20"/>
                  <w:szCs w:val="20"/>
                </w:rPr>
                <w:t>Amended and Restated Bylaws.</w:t>
              </w:r>
            </w:hyperlink>
          </w:p>
        </w:tc>
        <w:tc>
          <w:tcPr>
            <w:tcW w:w="0" w:type="auto"/>
            <w:gridSpan w:val="3"/>
            <w:shd w:val="clear" w:color="auto" w:fill="auto"/>
            <w:tcMar>
              <w:top w:w="0" w:type="dxa"/>
              <w:left w:w="20" w:type="dxa"/>
              <w:bottom w:w="0" w:type="dxa"/>
              <w:right w:w="20" w:type="dxa"/>
            </w:tcMar>
            <w:vAlign w:val="bottom"/>
          </w:tcPr>
          <w:p w14:paraId="5CD9087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75" w14:textId="77777777" w:rsidR="00BA49F5" w:rsidRDefault="007E5E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5CD9087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77"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7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79" w14:textId="77777777" w:rsidR="00BA49F5" w:rsidRDefault="007E5E49">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5CD9087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7B" w14:textId="77777777" w:rsidR="00BA49F5" w:rsidRDefault="007E5E49">
            <w:pPr>
              <w:textAlignment w:val="top"/>
            </w:pPr>
            <w:r>
              <w:rPr>
                <w:rFonts w:ascii="Times New Roman" w:eastAsia="宋体" w:hAnsi="Times New Roman"/>
                <w:color w:val="000000"/>
                <w:sz w:val="20"/>
                <w:szCs w:val="20"/>
              </w:rPr>
              <w:t>October 28, 2021</w:t>
            </w:r>
          </w:p>
        </w:tc>
        <w:tc>
          <w:tcPr>
            <w:tcW w:w="0" w:type="auto"/>
            <w:gridSpan w:val="3"/>
            <w:shd w:val="clear" w:color="auto" w:fill="auto"/>
            <w:tcMar>
              <w:top w:w="0" w:type="dxa"/>
              <w:left w:w="20" w:type="dxa"/>
              <w:bottom w:w="0" w:type="dxa"/>
              <w:right w:w="20" w:type="dxa"/>
            </w:tcMar>
            <w:vAlign w:val="bottom"/>
          </w:tcPr>
          <w:p w14:paraId="5CD9087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7D" w14:textId="77777777" w:rsidR="00BA49F5" w:rsidRDefault="00BA49F5">
            <w:pPr>
              <w:rPr>
                <w:rFonts w:ascii="宋体"/>
              </w:rPr>
            </w:pPr>
          </w:p>
        </w:tc>
      </w:tr>
      <w:tr w:rsidR="00BA49F5" w14:paraId="5CD9088C" w14:textId="77777777">
        <w:trPr>
          <w:jc w:val="center"/>
        </w:trPr>
        <w:tc>
          <w:tcPr>
            <w:tcW w:w="0" w:type="auto"/>
            <w:gridSpan w:val="3"/>
            <w:shd w:val="clear" w:color="auto" w:fill="auto"/>
            <w:tcMar>
              <w:top w:w="40" w:type="dxa"/>
              <w:left w:w="20" w:type="dxa"/>
              <w:bottom w:w="40" w:type="dxa"/>
              <w:right w:w="20" w:type="dxa"/>
            </w:tcMar>
          </w:tcPr>
          <w:p w14:paraId="5CD9087F" w14:textId="77777777" w:rsidR="00BA49F5" w:rsidRDefault="007E5E49">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5CD9088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1" w14:textId="77777777" w:rsidR="00BA49F5" w:rsidRDefault="007E5E49">
            <w:pPr>
              <w:textAlignment w:val="top"/>
            </w:pPr>
            <w:hyperlink r:id="rId355" w:history="1">
              <w:r>
                <w:rPr>
                  <w:rStyle w:val="a5"/>
                  <w:rFonts w:ascii="Times New Roman" w:eastAsia="宋体" w:hAnsi="Times New Roman"/>
                  <w:sz w:val="20"/>
                  <w:szCs w:val="20"/>
                </w:rPr>
                <w:t>Form of Class A Common Stock Certificate.</w:t>
              </w:r>
            </w:hyperlink>
          </w:p>
        </w:tc>
        <w:tc>
          <w:tcPr>
            <w:tcW w:w="0" w:type="auto"/>
            <w:gridSpan w:val="3"/>
            <w:shd w:val="clear" w:color="auto" w:fill="auto"/>
            <w:tcMar>
              <w:top w:w="0" w:type="dxa"/>
              <w:left w:w="20" w:type="dxa"/>
              <w:bottom w:w="0" w:type="dxa"/>
              <w:right w:w="20" w:type="dxa"/>
            </w:tcMar>
            <w:vAlign w:val="bottom"/>
          </w:tcPr>
          <w:p w14:paraId="5CD9088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3" w14:textId="77777777" w:rsidR="00BA49F5" w:rsidRDefault="007E5E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5CD9088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5"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8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7" w14:textId="77777777" w:rsidR="00BA49F5" w:rsidRDefault="007E5E49">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5CD9088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9" w14:textId="77777777" w:rsidR="00BA49F5" w:rsidRDefault="007E5E49">
            <w:pPr>
              <w:textAlignment w:val="top"/>
            </w:pPr>
            <w:r>
              <w:rPr>
                <w:rFonts w:ascii="Times New Roman" w:eastAsia="宋体" w:hAnsi="Times New Roman"/>
                <w:color w:val="000000"/>
                <w:sz w:val="20"/>
                <w:szCs w:val="20"/>
              </w:rPr>
              <w:t>February 3, 2022</w:t>
            </w:r>
          </w:p>
        </w:tc>
        <w:tc>
          <w:tcPr>
            <w:tcW w:w="0" w:type="auto"/>
            <w:gridSpan w:val="3"/>
            <w:shd w:val="clear" w:color="auto" w:fill="auto"/>
            <w:tcMar>
              <w:top w:w="0" w:type="dxa"/>
              <w:left w:w="20" w:type="dxa"/>
              <w:bottom w:w="0" w:type="dxa"/>
              <w:right w:w="20" w:type="dxa"/>
            </w:tcMar>
            <w:vAlign w:val="bottom"/>
          </w:tcPr>
          <w:p w14:paraId="5CD9088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8B" w14:textId="77777777" w:rsidR="00BA49F5" w:rsidRDefault="00BA49F5">
            <w:pPr>
              <w:rPr>
                <w:rFonts w:ascii="宋体"/>
              </w:rPr>
            </w:pPr>
          </w:p>
        </w:tc>
      </w:tr>
      <w:tr w:rsidR="00BA49F5" w14:paraId="5CD9089A" w14:textId="77777777">
        <w:trPr>
          <w:jc w:val="center"/>
        </w:trPr>
        <w:tc>
          <w:tcPr>
            <w:tcW w:w="0" w:type="auto"/>
            <w:gridSpan w:val="3"/>
            <w:shd w:val="clear" w:color="auto" w:fill="auto"/>
            <w:tcMar>
              <w:top w:w="40" w:type="dxa"/>
              <w:left w:w="20" w:type="dxa"/>
              <w:bottom w:w="40" w:type="dxa"/>
              <w:right w:w="20" w:type="dxa"/>
            </w:tcMar>
          </w:tcPr>
          <w:p w14:paraId="5CD9088D" w14:textId="77777777" w:rsidR="00BA49F5" w:rsidRDefault="007E5E49">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5CD9088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8F" w14:textId="77777777" w:rsidR="00BA49F5" w:rsidRDefault="007E5E49">
            <w:pPr>
              <w:textAlignment w:val="top"/>
            </w:pPr>
            <w:hyperlink r:id="rId356" w:history="1">
              <w:r>
                <w:rPr>
                  <w:rStyle w:val="a5"/>
                  <w:rFonts w:ascii="Times New Roman" w:eastAsia="宋体" w:hAnsi="Times New Roman"/>
                  <w:sz w:val="20"/>
                  <w:szCs w:val="20"/>
                </w:rPr>
                <w:t>Form of Class B Common Stock Certificate.</w:t>
              </w:r>
            </w:hyperlink>
          </w:p>
        </w:tc>
        <w:tc>
          <w:tcPr>
            <w:tcW w:w="0" w:type="auto"/>
            <w:gridSpan w:val="3"/>
            <w:shd w:val="clear" w:color="auto" w:fill="auto"/>
            <w:tcMar>
              <w:top w:w="0" w:type="dxa"/>
              <w:left w:w="20" w:type="dxa"/>
              <w:bottom w:w="0" w:type="dxa"/>
              <w:right w:w="20" w:type="dxa"/>
            </w:tcMar>
            <w:vAlign w:val="bottom"/>
          </w:tcPr>
          <w:p w14:paraId="5CD9089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1" w14:textId="77777777" w:rsidR="00BA49F5" w:rsidRDefault="007E5E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5CD9089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3"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9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5" w14:textId="77777777" w:rsidR="00BA49F5" w:rsidRDefault="007E5E49">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5CD9089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7" w14:textId="77777777" w:rsidR="00BA49F5" w:rsidRDefault="007E5E49">
            <w:pPr>
              <w:textAlignment w:val="top"/>
            </w:pPr>
            <w:r>
              <w:rPr>
                <w:rFonts w:ascii="Times New Roman" w:eastAsia="宋体" w:hAnsi="Times New Roman"/>
                <w:color w:val="000000"/>
                <w:sz w:val="20"/>
                <w:szCs w:val="20"/>
              </w:rPr>
              <w:t>February 3, 2022</w:t>
            </w:r>
          </w:p>
        </w:tc>
        <w:tc>
          <w:tcPr>
            <w:tcW w:w="0" w:type="auto"/>
            <w:gridSpan w:val="3"/>
            <w:shd w:val="clear" w:color="auto" w:fill="auto"/>
            <w:tcMar>
              <w:top w:w="0" w:type="dxa"/>
              <w:left w:w="20" w:type="dxa"/>
              <w:bottom w:w="0" w:type="dxa"/>
              <w:right w:w="20" w:type="dxa"/>
            </w:tcMar>
            <w:vAlign w:val="bottom"/>
          </w:tcPr>
          <w:p w14:paraId="5CD9089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99" w14:textId="77777777" w:rsidR="00BA49F5" w:rsidRDefault="00BA49F5">
            <w:pPr>
              <w:rPr>
                <w:rFonts w:ascii="宋体"/>
              </w:rPr>
            </w:pPr>
          </w:p>
        </w:tc>
      </w:tr>
      <w:tr w:rsidR="00BA49F5" w14:paraId="5CD908A8" w14:textId="77777777">
        <w:trPr>
          <w:jc w:val="center"/>
        </w:trPr>
        <w:tc>
          <w:tcPr>
            <w:tcW w:w="0" w:type="auto"/>
            <w:gridSpan w:val="3"/>
            <w:shd w:val="clear" w:color="auto" w:fill="auto"/>
            <w:tcMar>
              <w:top w:w="40" w:type="dxa"/>
              <w:left w:w="20" w:type="dxa"/>
              <w:bottom w:w="40" w:type="dxa"/>
              <w:right w:w="20" w:type="dxa"/>
            </w:tcMar>
          </w:tcPr>
          <w:p w14:paraId="5CD9089B" w14:textId="77777777" w:rsidR="00BA49F5" w:rsidRDefault="007E5E49">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5CD9089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D" w14:textId="77777777" w:rsidR="00BA49F5" w:rsidRDefault="007E5E49">
            <w:pPr>
              <w:textAlignment w:val="top"/>
            </w:pPr>
            <w:hyperlink r:id="rId357" w:history="1">
              <w:r>
                <w:rPr>
                  <w:rStyle w:val="a5"/>
                  <w:rFonts w:ascii="Times New Roman" w:eastAsia="宋体" w:hAnsi="Times New Roman"/>
                  <w:sz w:val="20"/>
                  <w:szCs w:val="20"/>
                </w:rPr>
                <w:t>Form of "Type 1" Holder Voting Agreement, between Registrant, Mark Zuckerberg, and certain parties thereto.</w:t>
              </w:r>
            </w:hyperlink>
          </w:p>
        </w:tc>
        <w:tc>
          <w:tcPr>
            <w:tcW w:w="0" w:type="auto"/>
            <w:gridSpan w:val="3"/>
            <w:shd w:val="clear" w:color="auto" w:fill="auto"/>
            <w:tcMar>
              <w:top w:w="0" w:type="dxa"/>
              <w:left w:w="20" w:type="dxa"/>
              <w:bottom w:w="0" w:type="dxa"/>
              <w:right w:w="20" w:type="dxa"/>
            </w:tcMar>
            <w:vAlign w:val="bottom"/>
          </w:tcPr>
          <w:p w14:paraId="5CD9089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9F" w14:textId="77777777" w:rsidR="00BA49F5" w:rsidRDefault="007E5E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5CD908A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1" w14:textId="77777777" w:rsidR="00BA49F5" w:rsidRDefault="007E5E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5CD908A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3" w14:textId="77777777" w:rsidR="00BA49F5" w:rsidRDefault="007E5E49">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5CD908A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5" w14:textId="77777777" w:rsidR="00BA49F5" w:rsidRDefault="007E5E49">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5CD908A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A7" w14:textId="77777777" w:rsidR="00BA49F5" w:rsidRDefault="00BA49F5">
            <w:pPr>
              <w:rPr>
                <w:rFonts w:ascii="宋体"/>
              </w:rPr>
            </w:pPr>
          </w:p>
        </w:tc>
      </w:tr>
      <w:tr w:rsidR="00BA49F5" w14:paraId="5CD908B6" w14:textId="77777777">
        <w:trPr>
          <w:jc w:val="center"/>
        </w:trPr>
        <w:tc>
          <w:tcPr>
            <w:tcW w:w="0" w:type="auto"/>
            <w:gridSpan w:val="3"/>
            <w:shd w:val="clear" w:color="auto" w:fill="auto"/>
            <w:tcMar>
              <w:top w:w="40" w:type="dxa"/>
              <w:left w:w="20" w:type="dxa"/>
              <w:bottom w:w="40" w:type="dxa"/>
              <w:right w:w="20" w:type="dxa"/>
            </w:tcMar>
          </w:tcPr>
          <w:p w14:paraId="5CD908A9" w14:textId="77777777" w:rsidR="00BA49F5" w:rsidRDefault="007E5E49">
            <w:pPr>
              <w:textAlignment w:val="top"/>
            </w:pPr>
            <w:r>
              <w:rPr>
                <w:rFonts w:ascii="Times New Roman" w:eastAsia="宋体" w:hAnsi="Times New Roman"/>
                <w:color w:val="000000"/>
                <w:sz w:val="20"/>
                <w:szCs w:val="20"/>
              </w:rPr>
              <w:t>4.4</w:t>
            </w:r>
          </w:p>
        </w:tc>
        <w:tc>
          <w:tcPr>
            <w:tcW w:w="0" w:type="auto"/>
            <w:gridSpan w:val="3"/>
            <w:shd w:val="clear" w:color="auto" w:fill="auto"/>
            <w:tcMar>
              <w:top w:w="0" w:type="dxa"/>
              <w:left w:w="20" w:type="dxa"/>
              <w:bottom w:w="0" w:type="dxa"/>
              <w:right w:w="20" w:type="dxa"/>
            </w:tcMar>
            <w:vAlign w:val="bottom"/>
          </w:tcPr>
          <w:p w14:paraId="5CD908A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B" w14:textId="77777777" w:rsidR="00BA49F5" w:rsidRDefault="007E5E49">
            <w:pPr>
              <w:textAlignment w:val="top"/>
            </w:pPr>
            <w:hyperlink r:id="rId358" w:history="1">
              <w:r>
                <w:rPr>
                  <w:rStyle w:val="a5"/>
                  <w:rFonts w:ascii="Times New Roman" w:eastAsia="宋体" w:hAnsi="Times New Roman"/>
                  <w:sz w:val="20"/>
                  <w:szCs w:val="20"/>
                </w:rPr>
                <w:t>Indenture, dated as of August 9, 2022, between Meta Platforms, Inc. and U.S. Bank Trust Company, National Association, as trustee.</w:t>
              </w:r>
            </w:hyperlink>
          </w:p>
        </w:tc>
        <w:tc>
          <w:tcPr>
            <w:tcW w:w="0" w:type="auto"/>
            <w:gridSpan w:val="3"/>
            <w:shd w:val="clear" w:color="auto" w:fill="auto"/>
            <w:tcMar>
              <w:top w:w="0" w:type="dxa"/>
              <w:left w:w="20" w:type="dxa"/>
              <w:bottom w:w="0" w:type="dxa"/>
              <w:right w:w="20" w:type="dxa"/>
            </w:tcMar>
            <w:vAlign w:val="bottom"/>
          </w:tcPr>
          <w:p w14:paraId="5CD908A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D" w14:textId="77777777" w:rsidR="00BA49F5" w:rsidRDefault="007E5E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5CD908A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AF" w14:textId="77777777" w:rsidR="00BA49F5" w:rsidRDefault="007E5E49">
            <w:pPr>
              <w:textAlignment w:val="top"/>
            </w:pPr>
            <w:r>
              <w:rPr>
                <w:rFonts w:ascii="Times New Roman" w:eastAsia="宋体" w:hAnsi="Times New Roman"/>
                <w:color w:val="000000"/>
                <w:sz w:val="20"/>
                <w:szCs w:val="20"/>
              </w:rPr>
              <w:t>0</w:t>
            </w:r>
            <w:r>
              <w:rPr>
                <w:rFonts w:ascii="Times New Roman" w:eastAsia="宋体" w:hAnsi="Times New Roman"/>
                <w:color w:val="000000"/>
                <w:sz w:val="20"/>
                <w:szCs w:val="20"/>
              </w:rPr>
              <w:t>01-35551</w:t>
            </w:r>
          </w:p>
        </w:tc>
        <w:tc>
          <w:tcPr>
            <w:tcW w:w="0" w:type="auto"/>
            <w:gridSpan w:val="3"/>
            <w:shd w:val="clear" w:color="auto" w:fill="auto"/>
            <w:tcMar>
              <w:top w:w="0" w:type="dxa"/>
              <w:left w:w="20" w:type="dxa"/>
              <w:bottom w:w="0" w:type="dxa"/>
              <w:right w:w="20" w:type="dxa"/>
            </w:tcMar>
            <w:vAlign w:val="bottom"/>
          </w:tcPr>
          <w:p w14:paraId="5CD908B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1" w14:textId="77777777" w:rsidR="00BA49F5" w:rsidRDefault="007E5E49">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5CD908B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3" w14:textId="77777777" w:rsidR="00BA49F5" w:rsidRDefault="007E5E49">
            <w:pPr>
              <w:textAlignment w:val="top"/>
            </w:pPr>
            <w:r>
              <w:rPr>
                <w:rFonts w:ascii="Times New Roman" w:eastAsia="宋体" w:hAnsi="Times New Roman"/>
                <w:color w:val="000000"/>
                <w:sz w:val="20"/>
                <w:szCs w:val="20"/>
              </w:rPr>
              <w:t>August 9, 2022</w:t>
            </w:r>
          </w:p>
        </w:tc>
        <w:tc>
          <w:tcPr>
            <w:tcW w:w="0" w:type="auto"/>
            <w:gridSpan w:val="3"/>
            <w:shd w:val="clear" w:color="auto" w:fill="auto"/>
            <w:tcMar>
              <w:top w:w="0" w:type="dxa"/>
              <w:left w:w="20" w:type="dxa"/>
              <w:bottom w:w="0" w:type="dxa"/>
              <w:right w:w="20" w:type="dxa"/>
            </w:tcMar>
            <w:vAlign w:val="bottom"/>
          </w:tcPr>
          <w:p w14:paraId="5CD908B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B5" w14:textId="77777777" w:rsidR="00BA49F5" w:rsidRDefault="00BA49F5">
            <w:pPr>
              <w:rPr>
                <w:rFonts w:ascii="宋体"/>
              </w:rPr>
            </w:pPr>
          </w:p>
        </w:tc>
      </w:tr>
      <w:tr w:rsidR="00BA49F5" w14:paraId="5CD908C4" w14:textId="77777777">
        <w:trPr>
          <w:jc w:val="center"/>
        </w:trPr>
        <w:tc>
          <w:tcPr>
            <w:tcW w:w="0" w:type="auto"/>
            <w:gridSpan w:val="3"/>
            <w:shd w:val="clear" w:color="auto" w:fill="auto"/>
            <w:tcMar>
              <w:top w:w="40" w:type="dxa"/>
              <w:left w:w="20" w:type="dxa"/>
              <w:bottom w:w="40" w:type="dxa"/>
              <w:right w:w="20" w:type="dxa"/>
            </w:tcMar>
          </w:tcPr>
          <w:p w14:paraId="5CD908B7" w14:textId="77777777" w:rsidR="00BA49F5" w:rsidRDefault="007E5E49">
            <w:pPr>
              <w:textAlignment w:val="top"/>
            </w:pPr>
            <w:r>
              <w:rPr>
                <w:rFonts w:ascii="Times New Roman" w:eastAsia="宋体" w:hAnsi="Times New Roman"/>
                <w:color w:val="000000"/>
                <w:sz w:val="20"/>
                <w:szCs w:val="20"/>
              </w:rPr>
              <w:t>4.5</w:t>
            </w:r>
          </w:p>
        </w:tc>
        <w:tc>
          <w:tcPr>
            <w:tcW w:w="0" w:type="auto"/>
            <w:gridSpan w:val="3"/>
            <w:shd w:val="clear" w:color="auto" w:fill="auto"/>
            <w:tcMar>
              <w:top w:w="0" w:type="dxa"/>
              <w:left w:w="20" w:type="dxa"/>
              <w:bottom w:w="0" w:type="dxa"/>
              <w:right w:w="20" w:type="dxa"/>
            </w:tcMar>
            <w:vAlign w:val="bottom"/>
          </w:tcPr>
          <w:p w14:paraId="5CD908B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9" w14:textId="77777777" w:rsidR="00BA49F5" w:rsidRDefault="007E5E49">
            <w:pPr>
              <w:textAlignment w:val="top"/>
            </w:pPr>
            <w:hyperlink r:id="rId359" w:history="1">
              <w:r>
                <w:rPr>
                  <w:rStyle w:val="a5"/>
                  <w:rFonts w:ascii="Times New Roman" w:eastAsia="宋体" w:hAnsi="Times New Roman"/>
                  <w:sz w:val="20"/>
                  <w:szCs w:val="20"/>
                </w:rPr>
                <w:t>First Supplemental Indenture, dated as of August 9, 2022, between Meta Platforms, Inc. and U.S. Bank Trust Co</w:t>
              </w:r>
              <w:r>
                <w:rPr>
                  <w:rStyle w:val="a5"/>
                  <w:rFonts w:ascii="Times New Roman" w:eastAsia="宋体" w:hAnsi="Times New Roman"/>
                  <w:sz w:val="20"/>
                  <w:szCs w:val="20"/>
                </w:rPr>
                <w:t>mpany, National Association, as trustee.</w:t>
              </w:r>
            </w:hyperlink>
          </w:p>
        </w:tc>
        <w:tc>
          <w:tcPr>
            <w:tcW w:w="0" w:type="auto"/>
            <w:gridSpan w:val="3"/>
            <w:shd w:val="clear" w:color="auto" w:fill="auto"/>
            <w:tcMar>
              <w:top w:w="0" w:type="dxa"/>
              <w:left w:w="20" w:type="dxa"/>
              <w:bottom w:w="0" w:type="dxa"/>
              <w:right w:w="20" w:type="dxa"/>
            </w:tcMar>
            <w:vAlign w:val="bottom"/>
          </w:tcPr>
          <w:p w14:paraId="5CD908B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B" w14:textId="77777777" w:rsidR="00BA49F5" w:rsidRDefault="007E5E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5CD908B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D"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B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BF" w14:textId="77777777" w:rsidR="00BA49F5" w:rsidRDefault="007E5E49">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5CD908C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C1" w14:textId="77777777" w:rsidR="00BA49F5" w:rsidRDefault="007E5E49">
            <w:pPr>
              <w:textAlignment w:val="top"/>
            </w:pPr>
            <w:r>
              <w:rPr>
                <w:rFonts w:ascii="Times New Roman" w:eastAsia="宋体" w:hAnsi="Times New Roman"/>
                <w:color w:val="000000"/>
                <w:sz w:val="20"/>
                <w:szCs w:val="20"/>
              </w:rPr>
              <w:t>August 9, 2022</w:t>
            </w:r>
          </w:p>
        </w:tc>
        <w:tc>
          <w:tcPr>
            <w:tcW w:w="0" w:type="auto"/>
            <w:gridSpan w:val="3"/>
            <w:shd w:val="clear" w:color="auto" w:fill="auto"/>
            <w:tcMar>
              <w:top w:w="0" w:type="dxa"/>
              <w:left w:w="20" w:type="dxa"/>
              <w:bottom w:w="0" w:type="dxa"/>
              <w:right w:w="20" w:type="dxa"/>
            </w:tcMar>
            <w:vAlign w:val="bottom"/>
          </w:tcPr>
          <w:p w14:paraId="5CD908C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3" w14:textId="77777777" w:rsidR="00BA49F5" w:rsidRDefault="00BA49F5">
            <w:pPr>
              <w:rPr>
                <w:rFonts w:ascii="宋体"/>
              </w:rPr>
            </w:pPr>
          </w:p>
        </w:tc>
      </w:tr>
      <w:tr w:rsidR="00BA49F5" w14:paraId="5CD908D2" w14:textId="77777777">
        <w:trPr>
          <w:jc w:val="center"/>
        </w:trPr>
        <w:tc>
          <w:tcPr>
            <w:tcW w:w="0" w:type="auto"/>
            <w:gridSpan w:val="3"/>
            <w:shd w:val="clear" w:color="auto" w:fill="auto"/>
            <w:tcMar>
              <w:top w:w="40" w:type="dxa"/>
              <w:left w:w="20" w:type="dxa"/>
              <w:bottom w:w="40" w:type="dxa"/>
              <w:right w:w="20" w:type="dxa"/>
            </w:tcMar>
          </w:tcPr>
          <w:p w14:paraId="5CD908C5" w14:textId="77777777" w:rsidR="00BA49F5" w:rsidRDefault="007E5E49">
            <w:pPr>
              <w:textAlignment w:val="top"/>
            </w:pPr>
            <w:r>
              <w:rPr>
                <w:rFonts w:ascii="Times New Roman" w:eastAsia="宋体" w:hAnsi="Times New Roman"/>
                <w:color w:val="000000"/>
                <w:sz w:val="20"/>
                <w:szCs w:val="20"/>
              </w:rPr>
              <w:t>4.6</w:t>
            </w:r>
          </w:p>
        </w:tc>
        <w:tc>
          <w:tcPr>
            <w:tcW w:w="0" w:type="auto"/>
            <w:gridSpan w:val="3"/>
            <w:shd w:val="clear" w:color="auto" w:fill="auto"/>
            <w:tcMar>
              <w:top w:w="0" w:type="dxa"/>
              <w:left w:w="20" w:type="dxa"/>
              <w:bottom w:w="0" w:type="dxa"/>
              <w:right w:w="20" w:type="dxa"/>
            </w:tcMar>
            <w:vAlign w:val="bottom"/>
          </w:tcPr>
          <w:p w14:paraId="5CD908C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C7" w14:textId="77777777" w:rsidR="00BA49F5" w:rsidRDefault="007E5E49">
            <w:pPr>
              <w:textAlignment w:val="top"/>
            </w:pPr>
            <w:hyperlink r:id="rId360" w:history="1">
              <w:r>
                <w:rPr>
                  <w:rStyle w:val="a5"/>
                  <w:rFonts w:ascii="Times New Roman" w:eastAsia="宋体" w:hAnsi="Times New Roman"/>
                  <w:sz w:val="20"/>
                  <w:szCs w:val="20"/>
                </w:rPr>
                <w:t>Description of Registrant's Capital Stock.</w:t>
              </w:r>
            </w:hyperlink>
          </w:p>
        </w:tc>
        <w:tc>
          <w:tcPr>
            <w:tcW w:w="0" w:type="auto"/>
            <w:gridSpan w:val="3"/>
            <w:shd w:val="clear" w:color="auto" w:fill="auto"/>
            <w:tcMar>
              <w:top w:w="0" w:type="dxa"/>
              <w:left w:w="20" w:type="dxa"/>
              <w:bottom w:w="0" w:type="dxa"/>
              <w:right w:w="20" w:type="dxa"/>
            </w:tcMar>
            <w:vAlign w:val="bottom"/>
          </w:tcPr>
          <w:p w14:paraId="5CD908C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C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D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8D1" w14:textId="77777777" w:rsidR="00BA49F5" w:rsidRDefault="007E5E49">
            <w:pPr>
              <w:jc w:val="center"/>
              <w:textAlignment w:val="bottom"/>
            </w:pPr>
            <w:r>
              <w:rPr>
                <w:rFonts w:ascii="Times New Roman" w:eastAsia="宋体" w:hAnsi="Times New Roman"/>
                <w:color w:val="000000"/>
                <w:sz w:val="20"/>
                <w:szCs w:val="20"/>
              </w:rPr>
              <w:t>X</w:t>
            </w:r>
          </w:p>
        </w:tc>
      </w:tr>
      <w:tr w:rsidR="00BA49F5" w14:paraId="5CD908E0" w14:textId="77777777">
        <w:trPr>
          <w:jc w:val="center"/>
        </w:trPr>
        <w:tc>
          <w:tcPr>
            <w:tcW w:w="0" w:type="auto"/>
            <w:gridSpan w:val="3"/>
            <w:shd w:val="clear" w:color="auto" w:fill="auto"/>
            <w:tcMar>
              <w:top w:w="40" w:type="dxa"/>
              <w:left w:w="20" w:type="dxa"/>
              <w:bottom w:w="40" w:type="dxa"/>
              <w:right w:w="20" w:type="dxa"/>
            </w:tcMar>
          </w:tcPr>
          <w:p w14:paraId="5CD908D3"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8D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D5" w14:textId="77777777" w:rsidR="00BA49F5" w:rsidRDefault="007E5E49">
            <w:pPr>
              <w:textAlignment w:val="top"/>
            </w:pPr>
            <w:hyperlink r:id="rId361" w:history="1">
              <w:r>
                <w:rPr>
                  <w:rStyle w:val="a5"/>
                  <w:rFonts w:ascii="Times New Roman" w:eastAsia="宋体" w:hAnsi="Times New Roman"/>
                  <w:sz w:val="20"/>
                  <w:szCs w:val="20"/>
                </w:rPr>
                <w:t>Form of Indemnification Agreement.</w:t>
              </w:r>
            </w:hyperlink>
          </w:p>
        </w:tc>
        <w:tc>
          <w:tcPr>
            <w:tcW w:w="0" w:type="auto"/>
            <w:gridSpan w:val="3"/>
            <w:shd w:val="clear" w:color="auto" w:fill="auto"/>
            <w:tcMar>
              <w:top w:w="0" w:type="dxa"/>
              <w:left w:w="20" w:type="dxa"/>
              <w:bottom w:w="0" w:type="dxa"/>
              <w:right w:w="20" w:type="dxa"/>
            </w:tcMar>
            <w:vAlign w:val="bottom"/>
          </w:tcPr>
          <w:p w14:paraId="5CD908D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D7" w14:textId="77777777" w:rsidR="00BA49F5" w:rsidRDefault="007E5E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5CD908D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D9"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8D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DB"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8D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DD" w14:textId="77777777" w:rsidR="00BA49F5" w:rsidRDefault="007E5E49">
            <w:pPr>
              <w:textAlignment w:val="top"/>
            </w:pPr>
            <w:r>
              <w:rPr>
                <w:rFonts w:ascii="Times New Roman" w:eastAsia="宋体" w:hAnsi="Times New Roman"/>
                <w:color w:val="000000"/>
                <w:sz w:val="20"/>
                <w:szCs w:val="20"/>
              </w:rPr>
              <w:t>April 15, 2019</w:t>
            </w:r>
          </w:p>
        </w:tc>
        <w:tc>
          <w:tcPr>
            <w:tcW w:w="0" w:type="auto"/>
            <w:gridSpan w:val="3"/>
            <w:shd w:val="clear" w:color="auto" w:fill="auto"/>
            <w:tcMar>
              <w:top w:w="0" w:type="dxa"/>
              <w:left w:w="20" w:type="dxa"/>
              <w:bottom w:w="0" w:type="dxa"/>
              <w:right w:w="20" w:type="dxa"/>
            </w:tcMar>
            <w:vAlign w:val="bottom"/>
          </w:tcPr>
          <w:p w14:paraId="5CD908D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DF" w14:textId="77777777" w:rsidR="00BA49F5" w:rsidRDefault="00BA49F5">
            <w:pPr>
              <w:rPr>
                <w:rFonts w:ascii="宋体"/>
              </w:rPr>
            </w:pPr>
          </w:p>
        </w:tc>
      </w:tr>
      <w:tr w:rsidR="00BA49F5" w14:paraId="5CD908EE" w14:textId="77777777">
        <w:trPr>
          <w:jc w:val="center"/>
        </w:trPr>
        <w:tc>
          <w:tcPr>
            <w:tcW w:w="0" w:type="auto"/>
            <w:gridSpan w:val="3"/>
            <w:shd w:val="clear" w:color="auto" w:fill="auto"/>
            <w:tcMar>
              <w:top w:w="40" w:type="dxa"/>
              <w:left w:w="20" w:type="dxa"/>
              <w:bottom w:w="40" w:type="dxa"/>
              <w:right w:w="20" w:type="dxa"/>
            </w:tcMar>
          </w:tcPr>
          <w:p w14:paraId="5CD908E1" w14:textId="77777777" w:rsidR="00BA49F5" w:rsidRDefault="007E5E49">
            <w:pPr>
              <w:textAlignment w:val="top"/>
            </w:pPr>
            <w:r>
              <w:rPr>
                <w:rFonts w:ascii="Times New Roman" w:eastAsia="宋体" w:hAnsi="Times New Roman"/>
                <w:color w:val="000000"/>
                <w:sz w:val="20"/>
                <w:szCs w:val="20"/>
              </w:rPr>
              <w:t>10.2(A)+</w:t>
            </w:r>
          </w:p>
        </w:tc>
        <w:tc>
          <w:tcPr>
            <w:tcW w:w="0" w:type="auto"/>
            <w:gridSpan w:val="3"/>
            <w:shd w:val="clear" w:color="auto" w:fill="auto"/>
            <w:tcMar>
              <w:top w:w="0" w:type="dxa"/>
              <w:left w:w="20" w:type="dxa"/>
              <w:bottom w:w="0" w:type="dxa"/>
              <w:right w:w="20" w:type="dxa"/>
            </w:tcMar>
            <w:vAlign w:val="bottom"/>
          </w:tcPr>
          <w:p w14:paraId="5CD908E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E3" w14:textId="77777777" w:rsidR="00BA49F5" w:rsidRDefault="007E5E49">
            <w:pPr>
              <w:textAlignment w:val="top"/>
            </w:pPr>
            <w:hyperlink r:id="rId362" w:history="1">
              <w:r>
                <w:rPr>
                  <w:rStyle w:val="a5"/>
                  <w:rFonts w:ascii="Times New Roman" w:eastAsia="宋体" w:hAnsi="Times New Roman"/>
                  <w:sz w:val="20"/>
                  <w:szCs w:val="20"/>
                </w:rPr>
                <w:t>2012 Equity Incentive Plan, as amended.</w:t>
              </w:r>
            </w:hyperlink>
          </w:p>
        </w:tc>
        <w:tc>
          <w:tcPr>
            <w:tcW w:w="0" w:type="auto"/>
            <w:gridSpan w:val="3"/>
            <w:shd w:val="clear" w:color="auto" w:fill="auto"/>
            <w:tcMar>
              <w:top w:w="0" w:type="dxa"/>
              <w:left w:w="20" w:type="dxa"/>
              <w:bottom w:w="0" w:type="dxa"/>
              <w:right w:w="20" w:type="dxa"/>
            </w:tcMar>
            <w:vAlign w:val="bottom"/>
          </w:tcPr>
          <w:p w14:paraId="5CD908E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E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8ED" w14:textId="77777777" w:rsidR="00BA49F5" w:rsidRDefault="007E5E49">
            <w:pPr>
              <w:jc w:val="center"/>
              <w:textAlignment w:val="bottom"/>
            </w:pPr>
            <w:r>
              <w:rPr>
                <w:rFonts w:ascii="Times New Roman" w:eastAsia="宋体" w:hAnsi="Times New Roman"/>
                <w:color w:val="000000"/>
                <w:sz w:val="20"/>
                <w:szCs w:val="20"/>
              </w:rPr>
              <w:t>X</w:t>
            </w:r>
          </w:p>
        </w:tc>
      </w:tr>
      <w:tr w:rsidR="00BA49F5" w14:paraId="5CD908FC" w14:textId="77777777">
        <w:trPr>
          <w:jc w:val="center"/>
        </w:trPr>
        <w:tc>
          <w:tcPr>
            <w:tcW w:w="0" w:type="auto"/>
            <w:gridSpan w:val="3"/>
            <w:shd w:val="clear" w:color="auto" w:fill="auto"/>
            <w:tcMar>
              <w:top w:w="40" w:type="dxa"/>
              <w:left w:w="20" w:type="dxa"/>
              <w:bottom w:w="40" w:type="dxa"/>
              <w:right w:w="20" w:type="dxa"/>
            </w:tcMar>
          </w:tcPr>
          <w:p w14:paraId="5CD908EF" w14:textId="77777777" w:rsidR="00BA49F5" w:rsidRDefault="007E5E49">
            <w:pPr>
              <w:textAlignment w:val="top"/>
            </w:pPr>
            <w:r>
              <w:rPr>
                <w:rFonts w:ascii="Times New Roman" w:eastAsia="宋体" w:hAnsi="Times New Roman"/>
                <w:color w:val="000000"/>
                <w:sz w:val="20"/>
                <w:szCs w:val="20"/>
              </w:rPr>
              <w:t>10.2(B)+</w:t>
            </w:r>
          </w:p>
        </w:tc>
        <w:tc>
          <w:tcPr>
            <w:tcW w:w="0" w:type="auto"/>
            <w:gridSpan w:val="3"/>
            <w:shd w:val="clear" w:color="auto" w:fill="auto"/>
            <w:tcMar>
              <w:top w:w="0" w:type="dxa"/>
              <w:left w:w="20" w:type="dxa"/>
              <w:bottom w:w="0" w:type="dxa"/>
              <w:right w:w="20" w:type="dxa"/>
            </w:tcMar>
            <w:vAlign w:val="bottom"/>
          </w:tcPr>
          <w:p w14:paraId="5CD908F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F1" w14:textId="77777777" w:rsidR="00BA49F5" w:rsidRDefault="007E5E49">
            <w:pPr>
              <w:textAlignment w:val="top"/>
            </w:pPr>
            <w:hyperlink r:id="rId363" w:history="1">
              <w:r>
                <w:rPr>
                  <w:rStyle w:val="a5"/>
                  <w:rFonts w:ascii="Times New Roman" w:eastAsia="宋体" w:hAnsi="Times New Roman"/>
                  <w:sz w:val="20"/>
                  <w:szCs w:val="20"/>
                </w:rPr>
                <w:t>Third Amendment to the 2012 Equity Incentive Plan</w:t>
              </w:r>
            </w:hyperlink>
            <w:hyperlink r:id="rId364" w:history="1">
              <w:r>
                <w:rPr>
                  <w:rStyle w:val="a5"/>
                  <w:rFonts w:ascii="Times New Roman" w:eastAsia="宋体" w:hAnsi="Times New Roman"/>
                  <w:sz w:val="20"/>
                  <w:szCs w:val="20"/>
                </w:rPr>
                <w:t xml:space="preserve">. </w:t>
              </w:r>
            </w:hyperlink>
          </w:p>
        </w:tc>
        <w:tc>
          <w:tcPr>
            <w:tcW w:w="0" w:type="auto"/>
            <w:gridSpan w:val="3"/>
            <w:shd w:val="clear" w:color="auto" w:fill="auto"/>
            <w:tcMar>
              <w:top w:w="0" w:type="dxa"/>
              <w:left w:w="20" w:type="dxa"/>
              <w:bottom w:w="0" w:type="dxa"/>
              <w:right w:w="20" w:type="dxa"/>
            </w:tcMar>
            <w:vAlign w:val="bottom"/>
          </w:tcPr>
          <w:p w14:paraId="5CD908F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8F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8FB" w14:textId="77777777" w:rsidR="00BA49F5" w:rsidRDefault="007E5E49">
            <w:pPr>
              <w:jc w:val="center"/>
              <w:textAlignment w:val="bottom"/>
            </w:pPr>
            <w:r>
              <w:rPr>
                <w:rFonts w:ascii="Times New Roman" w:eastAsia="宋体" w:hAnsi="Times New Roman"/>
                <w:color w:val="000000"/>
                <w:sz w:val="20"/>
                <w:szCs w:val="20"/>
              </w:rPr>
              <w:t>X</w:t>
            </w:r>
          </w:p>
        </w:tc>
      </w:tr>
      <w:tr w:rsidR="00BA49F5" w14:paraId="5CD9090A" w14:textId="77777777">
        <w:trPr>
          <w:jc w:val="center"/>
        </w:trPr>
        <w:tc>
          <w:tcPr>
            <w:tcW w:w="0" w:type="auto"/>
            <w:gridSpan w:val="3"/>
            <w:shd w:val="clear" w:color="auto" w:fill="auto"/>
            <w:tcMar>
              <w:top w:w="40" w:type="dxa"/>
              <w:left w:w="20" w:type="dxa"/>
              <w:bottom w:w="40" w:type="dxa"/>
              <w:right w:w="20" w:type="dxa"/>
            </w:tcMar>
          </w:tcPr>
          <w:p w14:paraId="5CD908FD" w14:textId="77777777" w:rsidR="00BA49F5" w:rsidRDefault="007E5E49">
            <w:pPr>
              <w:textAlignment w:val="top"/>
            </w:pPr>
            <w:r>
              <w:rPr>
                <w:rFonts w:ascii="Times New Roman" w:eastAsia="宋体" w:hAnsi="Times New Roman"/>
                <w:color w:val="000000"/>
                <w:sz w:val="20"/>
                <w:szCs w:val="20"/>
              </w:rPr>
              <w:t>10.2(C)+</w:t>
            </w:r>
          </w:p>
        </w:tc>
        <w:tc>
          <w:tcPr>
            <w:tcW w:w="0" w:type="auto"/>
            <w:gridSpan w:val="3"/>
            <w:shd w:val="clear" w:color="auto" w:fill="auto"/>
            <w:tcMar>
              <w:top w:w="0" w:type="dxa"/>
              <w:left w:w="20" w:type="dxa"/>
              <w:bottom w:w="0" w:type="dxa"/>
              <w:right w:w="20" w:type="dxa"/>
            </w:tcMar>
            <w:vAlign w:val="bottom"/>
          </w:tcPr>
          <w:p w14:paraId="5CD908F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8FF" w14:textId="77777777" w:rsidR="00BA49F5" w:rsidRDefault="007E5E49">
            <w:pPr>
              <w:textAlignment w:val="top"/>
            </w:pPr>
            <w:hyperlink r:id="rId365" w:history="1">
              <w:r>
                <w:rPr>
                  <w:rStyle w:val="a5"/>
                  <w:rFonts w:ascii="Times New Roman" w:eastAsia="宋体" w:hAnsi="Times New Roman"/>
                  <w:sz w:val="20"/>
                  <w:szCs w:val="20"/>
                </w:rPr>
                <w:t xml:space="preserve">2012 Equity Incentive Plan forms of award agreements. </w:t>
              </w:r>
            </w:hyperlink>
          </w:p>
        </w:tc>
        <w:tc>
          <w:tcPr>
            <w:tcW w:w="0" w:type="auto"/>
            <w:gridSpan w:val="3"/>
            <w:shd w:val="clear" w:color="auto" w:fill="auto"/>
            <w:tcMar>
              <w:top w:w="0" w:type="dxa"/>
              <w:left w:w="20" w:type="dxa"/>
              <w:bottom w:w="0" w:type="dxa"/>
              <w:right w:w="20" w:type="dxa"/>
            </w:tcMar>
            <w:vAlign w:val="bottom"/>
          </w:tcPr>
          <w:p w14:paraId="5CD9090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1"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0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3"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0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5"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90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7" w14:textId="77777777" w:rsidR="00BA49F5" w:rsidRDefault="007E5E49">
            <w:pPr>
              <w:textAlignment w:val="top"/>
            </w:pPr>
            <w:r>
              <w:rPr>
                <w:rFonts w:ascii="Times New Roman" w:eastAsia="宋体" w:hAnsi="Times New Roman"/>
                <w:color w:val="000000"/>
                <w:sz w:val="20"/>
                <w:szCs w:val="20"/>
              </w:rPr>
              <w:t>July 31, 2012</w:t>
            </w:r>
          </w:p>
        </w:tc>
        <w:tc>
          <w:tcPr>
            <w:tcW w:w="0" w:type="auto"/>
            <w:gridSpan w:val="3"/>
            <w:shd w:val="clear" w:color="auto" w:fill="auto"/>
            <w:tcMar>
              <w:top w:w="0" w:type="dxa"/>
              <w:left w:w="20" w:type="dxa"/>
              <w:bottom w:w="0" w:type="dxa"/>
              <w:right w:w="20" w:type="dxa"/>
            </w:tcMar>
            <w:vAlign w:val="bottom"/>
          </w:tcPr>
          <w:p w14:paraId="5CD9090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09" w14:textId="77777777" w:rsidR="00BA49F5" w:rsidRDefault="00BA49F5">
            <w:pPr>
              <w:rPr>
                <w:rFonts w:ascii="宋体"/>
              </w:rPr>
            </w:pPr>
          </w:p>
        </w:tc>
      </w:tr>
      <w:tr w:rsidR="00BA49F5" w14:paraId="5CD90918" w14:textId="77777777">
        <w:trPr>
          <w:jc w:val="center"/>
        </w:trPr>
        <w:tc>
          <w:tcPr>
            <w:tcW w:w="0" w:type="auto"/>
            <w:gridSpan w:val="3"/>
            <w:shd w:val="clear" w:color="auto" w:fill="auto"/>
            <w:tcMar>
              <w:top w:w="40" w:type="dxa"/>
              <w:left w:w="20" w:type="dxa"/>
              <w:bottom w:w="40" w:type="dxa"/>
              <w:right w:w="20" w:type="dxa"/>
            </w:tcMar>
          </w:tcPr>
          <w:p w14:paraId="5CD9090B" w14:textId="77777777" w:rsidR="00BA49F5" w:rsidRDefault="007E5E49">
            <w:pPr>
              <w:textAlignment w:val="top"/>
            </w:pPr>
            <w:r>
              <w:rPr>
                <w:rFonts w:ascii="Times New Roman" w:eastAsia="宋体" w:hAnsi="Times New Roman"/>
                <w:color w:val="000000"/>
                <w:sz w:val="20"/>
                <w:szCs w:val="20"/>
              </w:rPr>
              <w:t>10.2(D)+</w:t>
            </w:r>
          </w:p>
        </w:tc>
        <w:tc>
          <w:tcPr>
            <w:tcW w:w="0" w:type="auto"/>
            <w:gridSpan w:val="3"/>
            <w:shd w:val="clear" w:color="auto" w:fill="auto"/>
            <w:tcMar>
              <w:top w:w="0" w:type="dxa"/>
              <w:left w:w="20" w:type="dxa"/>
              <w:bottom w:w="0" w:type="dxa"/>
              <w:right w:w="20" w:type="dxa"/>
            </w:tcMar>
            <w:vAlign w:val="bottom"/>
          </w:tcPr>
          <w:p w14:paraId="5CD9090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D" w14:textId="77777777" w:rsidR="00BA49F5" w:rsidRDefault="007E5E49">
            <w:pPr>
              <w:textAlignment w:val="top"/>
            </w:pPr>
            <w:hyperlink r:id="rId366"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0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0F"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1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1"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1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3"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91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5" w14:textId="77777777" w:rsidR="00BA49F5" w:rsidRDefault="007E5E49">
            <w:pPr>
              <w:textAlignment w:val="top"/>
            </w:pPr>
            <w:r>
              <w:rPr>
                <w:rFonts w:ascii="Times New Roman" w:eastAsia="宋体" w:hAnsi="Times New Roman"/>
                <w:color w:val="000000"/>
                <w:sz w:val="20"/>
                <w:szCs w:val="20"/>
              </w:rPr>
              <w:t>May 4, 2017</w:t>
            </w:r>
          </w:p>
        </w:tc>
        <w:tc>
          <w:tcPr>
            <w:tcW w:w="0" w:type="auto"/>
            <w:gridSpan w:val="3"/>
            <w:shd w:val="clear" w:color="auto" w:fill="auto"/>
            <w:tcMar>
              <w:top w:w="0" w:type="dxa"/>
              <w:left w:w="20" w:type="dxa"/>
              <w:bottom w:w="0" w:type="dxa"/>
              <w:right w:w="20" w:type="dxa"/>
            </w:tcMar>
            <w:vAlign w:val="bottom"/>
          </w:tcPr>
          <w:p w14:paraId="5CD9091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17" w14:textId="77777777" w:rsidR="00BA49F5" w:rsidRDefault="00BA49F5">
            <w:pPr>
              <w:rPr>
                <w:rFonts w:ascii="宋体"/>
              </w:rPr>
            </w:pPr>
          </w:p>
        </w:tc>
      </w:tr>
      <w:tr w:rsidR="00BA49F5" w14:paraId="5CD90926" w14:textId="77777777">
        <w:trPr>
          <w:jc w:val="center"/>
        </w:trPr>
        <w:tc>
          <w:tcPr>
            <w:tcW w:w="0" w:type="auto"/>
            <w:gridSpan w:val="3"/>
            <w:shd w:val="clear" w:color="auto" w:fill="auto"/>
            <w:tcMar>
              <w:top w:w="40" w:type="dxa"/>
              <w:left w:w="20" w:type="dxa"/>
              <w:bottom w:w="40" w:type="dxa"/>
              <w:right w:w="20" w:type="dxa"/>
            </w:tcMar>
          </w:tcPr>
          <w:p w14:paraId="5CD90919" w14:textId="77777777" w:rsidR="00BA49F5" w:rsidRDefault="007E5E49">
            <w:pPr>
              <w:textAlignment w:val="top"/>
            </w:pPr>
            <w:r>
              <w:rPr>
                <w:rFonts w:ascii="Times New Roman" w:eastAsia="宋体" w:hAnsi="Times New Roman"/>
                <w:color w:val="000000"/>
                <w:sz w:val="20"/>
                <w:szCs w:val="20"/>
              </w:rPr>
              <w:t>10.2(E)+</w:t>
            </w:r>
          </w:p>
        </w:tc>
        <w:tc>
          <w:tcPr>
            <w:tcW w:w="0" w:type="auto"/>
            <w:gridSpan w:val="3"/>
            <w:shd w:val="clear" w:color="auto" w:fill="auto"/>
            <w:tcMar>
              <w:top w:w="0" w:type="dxa"/>
              <w:left w:w="20" w:type="dxa"/>
              <w:bottom w:w="0" w:type="dxa"/>
              <w:right w:w="20" w:type="dxa"/>
            </w:tcMar>
            <w:vAlign w:val="bottom"/>
          </w:tcPr>
          <w:p w14:paraId="5CD9091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B" w14:textId="77777777" w:rsidR="00BA49F5" w:rsidRDefault="007E5E49">
            <w:pPr>
              <w:textAlignment w:val="top"/>
            </w:pPr>
            <w:hyperlink r:id="rId367"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1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D"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1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1F"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2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21"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92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23" w14:textId="77777777" w:rsidR="00BA49F5" w:rsidRDefault="007E5E49">
            <w:pPr>
              <w:textAlignment w:val="top"/>
            </w:pPr>
            <w:r>
              <w:rPr>
                <w:rFonts w:ascii="Times New Roman" w:eastAsia="宋体" w:hAnsi="Times New Roman"/>
                <w:color w:val="000000"/>
                <w:sz w:val="20"/>
                <w:szCs w:val="20"/>
              </w:rPr>
              <w:t>July 27, 2017</w:t>
            </w:r>
          </w:p>
        </w:tc>
        <w:tc>
          <w:tcPr>
            <w:tcW w:w="0" w:type="auto"/>
            <w:gridSpan w:val="3"/>
            <w:shd w:val="clear" w:color="auto" w:fill="auto"/>
            <w:tcMar>
              <w:top w:w="0" w:type="dxa"/>
              <w:left w:w="20" w:type="dxa"/>
              <w:bottom w:w="0" w:type="dxa"/>
              <w:right w:w="20" w:type="dxa"/>
            </w:tcMar>
            <w:vAlign w:val="bottom"/>
          </w:tcPr>
          <w:p w14:paraId="5CD9092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25" w14:textId="77777777" w:rsidR="00BA49F5" w:rsidRDefault="00BA49F5">
            <w:pPr>
              <w:rPr>
                <w:rFonts w:ascii="宋体"/>
              </w:rPr>
            </w:pPr>
          </w:p>
        </w:tc>
      </w:tr>
    </w:tbl>
    <w:p w14:paraId="5CD90927" w14:textId="77777777" w:rsidR="00BA49F5" w:rsidRDefault="007E5E49">
      <w:pPr>
        <w:jc w:val="center"/>
      </w:pPr>
      <w:r>
        <w:rPr>
          <w:rFonts w:ascii="Times New Roman" w:eastAsia="宋体" w:hAnsi="Times New Roman"/>
          <w:color w:val="000000"/>
          <w:sz w:val="20"/>
          <w:szCs w:val="20"/>
        </w:rPr>
        <w:t>122</w:t>
      </w:r>
    </w:p>
    <w:p w14:paraId="5CD90928" w14:textId="77777777" w:rsidR="00BA49F5" w:rsidRDefault="007E5E49">
      <w:r>
        <w:pict w14:anchorId="5CD90D6F">
          <v:rect id="_x0000_i1146" style="width:415.3pt;height:1.5pt" o:hralign="center" o:hrstd="t" o:hr="t" fillcolor="#a0a0a0" stroked="f"/>
        </w:pict>
      </w:r>
    </w:p>
    <w:p w14:paraId="5CD90929" w14:textId="77777777" w:rsidR="00BA49F5" w:rsidRDefault="00BA49F5"/>
    <w:p w14:paraId="5CD9092A" w14:textId="77777777" w:rsidR="00BA49F5" w:rsidRDefault="00BA49F5"/>
    <w:p w14:paraId="5CD9092B" w14:textId="77777777" w:rsidR="00BA49F5" w:rsidRDefault="007E5E49">
      <w:hyperlink r:id="rId368" w:anchor="i6df229dad1864210ab76200083e26819_7" w:history="1">
        <w:r>
          <w:rPr>
            <w:rStyle w:val="a5"/>
            <w:rFonts w:ascii="Times New Roman" w:eastAsia="宋体" w:hAnsi="Times New Roman"/>
            <w:sz w:val="20"/>
            <w:szCs w:val="20"/>
          </w:rPr>
          <w:t>T</w:t>
        </w:r>
      </w:hyperlink>
      <w:hyperlink r:id="rId369" w:anchor="i6df229dad1864210ab76200083e26819_7" w:history="1">
        <w:r>
          <w:rPr>
            <w:rStyle w:val="a5"/>
            <w:rFonts w:ascii="Times New Roman" w:eastAsia="宋体" w:hAnsi="Times New Roman"/>
            <w:sz w:val="20"/>
            <w:szCs w:val="20"/>
          </w:rPr>
          <w:t>able of Contents</w:t>
        </w:r>
      </w:hyperlink>
    </w:p>
    <w:tbl>
      <w:tblPr>
        <w:tblW w:w="4970" w:type="pct"/>
        <w:jc w:val="center"/>
        <w:tblCellMar>
          <w:top w:w="15" w:type="dxa"/>
          <w:left w:w="15" w:type="dxa"/>
          <w:bottom w:w="15" w:type="dxa"/>
          <w:right w:w="15" w:type="dxa"/>
        </w:tblCellMar>
        <w:tblLook w:val="04A0" w:firstRow="1" w:lastRow="0" w:firstColumn="1" w:lastColumn="0" w:noHBand="0" w:noVBand="1"/>
      </w:tblPr>
      <w:tblGrid>
        <w:gridCol w:w="77"/>
        <w:gridCol w:w="664"/>
        <w:gridCol w:w="36"/>
        <w:gridCol w:w="36"/>
        <w:gridCol w:w="36"/>
        <w:gridCol w:w="36"/>
        <w:gridCol w:w="49"/>
        <w:gridCol w:w="2698"/>
        <w:gridCol w:w="42"/>
        <w:gridCol w:w="36"/>
        <w:gridCol w:w="36"/>
        <w:gridCol w:w="36"/>
        <w:gridCol w:w="54"/>
        <w:gridCol w:w="446"/>
        <w:gridCol w:w="37"/>
        <w:gridCol w:w="37"/>
        <w:gridCol w:w="37"/>
        <w:gridCol w:w="36"/>
        <w:gridCol w:w="93"/>
        <w:gridCol w:w="905"/>
        <w:gridCol w:w="37"/>
        <w:gridCol w:w="36"/>
        <w:gridCol w:w="36"/>
        <w:gridCol w:w="36"/>
        <w:gridCol w:w="85"/>
        <w:gridCol w:w="575"/>
        <w:gridCol w:w="36"/>
        <w:gridCol w:w="36"/>
        <w:gridCol w:w="36"/>
        <w:gridCol w:w="36"/>
        <w:gridCol w:w="52"/>
        <w:gridCol w:w="1006"/>
        <w:gridCol w:w="36"/>
        <w:gridCol w:w="36"/>
        <w:gridCol w:w="36"/>
        <w:gridCol w:w="36"/>
        <w:gridCol w:w="86"/>
        <w:gridCol w:w="586"/>
        <w:gridCol w:w="36"/>
      </w:tblGrid>
      <w:tr w:rsidR="00BA49F5" w14:paraId="5CD90953" w14:textId="77777777">
        <w:trPr>
          <w:jc w:val="center"/>
        </w:trPr>
        <w:tc>
          <w:tcPr>
            <w:tcW w:w="50" w:type="pct"/>
            <w:shd w:val="clear" w:color="auto" w:fill="auto"/>
            <w:vAlign w:val="bottom"/>
          </w:tcPr>
          <w:p w14:paraId="5CD9092C" w14:textId="77777777" w:rsidR="00BA49F5" w:rsidRDefault="00BA49F5">
            <w:pPr>
              <w:rPr>
                <w:rFonts w:ascii="宋体"/>
              </w:rPr>
            </w:pPr>
          </w:p>
        </w:tc>
        <w:tc>
          <w:tcPr>
            <w:tcW w:w="431" w:type="pct"/>
            <w:shd w:val="clear" w:color="auto" w:fill="auto"/>
            <w:vAlign w:val="bottom"/>
          </w:tcPr>
          <w:p w14:paraId="5CD9092D" w14:textId="77777777" w:rsidR="00BA49F5" w:rsidRDefault="00BA49F5">
            <w:pPr>
              <w:rPr>
                <w:rFonts w:ascii="宋体"/>
              </w:rPr>
            </w:pPr>
          </w:p>
        </w:tc>
        <w:tc>
          <w:tcPr>
            <w:tcW w:w="5" w:type="pct"/>
            <w:shd w:val="clear" w:color="auto" w:fill="auto"/>
            <w:vAlign w:val="bottom"/>
          </w:tcPr>
          <w:p w14:paraId="5CD9092E" w14:textId="77777777" w:rsidR="00BA49F5" w:rsidRDefault="00BA49F5">
            <w:pPr>
              <w:rPr>
                <w:rFonts w:ascii="宋体"/>
              </w:rPr>
            </w:pPr>
          </w:p>
        </w:tc>
        <w:tc>
          <w:tcPr>
            <w:tcW w:w="5" w:type="pct"/>
            <w:shd w:val="clear" w:color="auto" w:fill="auto"/>
            <w:vAlign w:val="bottom"/>
          </w:tcPr>
          <w:p w14:paraId="5CD9092F" w14:textId="77777777" w:rsidR="00BA49F5" w:rsidRDefault="00BA49F5">
            <w:pPr>
              <w:rPr>
                <w:rFonts w:ascii="宋体"/>
              </w:rPr>
            </w:pPr>
          </w:p>
        </w:tc>
        <w:tc>
          <w:tcPr>
            <w:tcW w:w="27" w:type="pct"/>
            <w:shd w:val="clear" w:color="auto" w:fill="auto"/>
            <w:vAlign w:val="bottom"/>
          </w:tcPr>
          <w:p w14:paraId="5CD90930" w14:textId="77777777" w:rsidR="00BA49F5" w:rsidRDefault="00BA49F5">
            <w:pPr>
              <w:rPr>
                <w:rFonts w:ascii="宋体"/>
              </w:rPr>
            </w:pPr>
          </w:p>
        </w:tc>
        <w:tc>
          <w:tcPr>
            <w:tcW w:w="5" w:type="pct"/>
            <w:shd w:val="clear" w:color="auto" w:fill="auto"/>
            <w:vAlign w:val="bottom"/>
          </w:tcPr>
          <w:p w14:paraId="5CD90931" w14:textId="77777777" w:rsidR="00BA49F5" w:rsidRDefault="00BA49F5">
            <w:pPr>
              <w:rPr>
                <w:rFonts w:ascii="宋体"/>
              </w:rPr>
            </w:pPr>
          </w:p>
        </w:tc>
        <w:tc>
          <w:tcPr>
            <w:tcW w:w="50" w:type="pct"/>
            <w:shd w:val="clear" w:color="auto" w:fill="auto"/>
            <w:vAlign w:val="bottom"/>
          </w:tcPr>
          <w:p w14:paraId="5CD90932" w14:textId="77777777" w:rsidR="00BA49F5" w:rsidRDefault="00BA49F5">
            <w:pPr>
              <w:rPr>
                <w:rFonts w:ascii="宋体"/>
              </w:rPr>
            </w:pPr>
          </w:p>
        </w:tc>
        <w:tc>
          <w:tcPr>
            <w:tcW w:w="1718" w:type="pct"/>
            <w:shd w:val="clear" w:color="auto" w:fill="auto"/>
            <w:vAlign w:val="bottom"/>
          </w:tcPr>
          <w:p w14:paraId="5CD90933" w14:textId="77777777" w:rsidR="00BA49F5" w:rsidRDefault="00BA49F5">
            <w:pPr>
              <w:rPr>
                <w:rFonts w:ascii="宋体"/>
              </w:rPr>
            </w:pPr>
          </w:p>
        </w:tc>
        <w:tc>
          <w:tcPr>
            <w:tcW w:w="5" w:type="pct"/>
            <w:shd w:val="clear" w:color="auto" w:fill="auto"/>
            <w:vAlign w:val="bottom"/>
          </w:tcPr>
          <w:p w14:paraId="5CD90934" w14:textId="77777777" w:rsidR="00BA49F5" w:rsidRDefault="00BA49F5">
            <w:pPr>
              <w:rPr>
                <w:rFonts w:ascii="宋体"/>
              </w:rPr>
            </w:pPr>
          </w:p>
        </w:tc>
        <w:tc>
          <w:tcPr>
            <w:tcW w:w="5" w:type="pct"/>
            <w:shd w:val="clear" w:color="auto" w:fill="auto"/>
            <w:vAlign w:val="bottom"/>
          </w:tcPr>
          <w:p w14:paraId="5CD90935" w14:textId="77777777" w:rsidR="00BA49F5" w:rsidRDefault="00BA49F5">
            <w:pPr>
              <w:rPr>
                <w:rFonts w:ascii="宋体"/>
              </w:rPr>
            </w:pPr>
          </w:p>
        </w:tc>
        <w:tc>
          <w:tcPr>
            <w:tcW w:w="27" w:type="pct"/>
            <w:shd w:val="clear" w:color="auto" w:fill="auto"/>
            <w:vAlign w:val="bottom"/>
          </w:tcPr>
          <w:p w14:paraId="5CD90936" w14:textId="77777777" w:rsidR="00BA49F5" w:rsidRDefault="00BA49F5">
            <w:pPr>
              <w:rPr>
                <w:rFonts w:ascii="宋体"/>
              </w:rPr>
            </w:pPr>
          </w:p>
        </w:tc>
        <w:tc>
          <w:tcPr>
            <w:tcW w:w="5" w:type="pct"/>
            <w:shd w:val="clear" w:color="auto" w:fill="auto"/>
            <w:vAlign w:val="bottom"/>
          </w:tcPr>
          <w:p w14:paraId="5CD90937" w14:textId="77777777" w:rsidR="00BA49F5" w:rsidRDefault="00BA49F5">
            <w:pPr>
              <w:rPr>
                <w:rFonts w:ascii="宋体"/>
              </w:rPr>
            </w:pPr>
          </w:p>
        </w:tc>
        <w:tc>
          <w:tcPr>
            <w:tcW w:w="50" w:type="pct"/>
            <w:shd w:val="clear" w:color="auto" w:fill="auto"/>
            <w:vAlign w:val="bottom"/>
          </w:tcPr>
          <w:p w14:paraId="5CD90938" w14:textId="77777777" w:rsidR="00BA49F5" w:rsidRDefault="00BA49F5">
            <w:pPr>
              <w:rPr>
                <w:rFonts w:ascii="宋体"/>
              </w:rPr>
            </w:pPr>
          </w:p>
        </w:tc>
        <w:tc>
          <w:tcPr>
            <w:tcW w:w="341" w:type="pct"/>
            <w:shd w:val="clear" w:color="auto" w:fill="auto"/>
            <w:vAlign w:val="bottom"/>
          </w:tcPr>
          <w:p w14:paraId="5CD90939" w14:textId="77777777" w:rsidR="00BA49F5" w:rsidRDefault="00BA49F5">
            <w:pPr>
              <w:rPr>
                <w:rFonts w:ascii="宋体"/>
              </w:rPr>
            </w:pPr>
          </w:p>
        </w:tc>
        <w:tc>
          <w:tcPr>
            <w:tcW w:w="5" w:type="pct"/>
            <w:shd w:val="clear" w:color="auto" w:fill="auto"/>
            <w:vAlign w:val="bottom"/>
          </w:tcPr>
          <w:p w14:paraId="5CD9093A" w14:textId="77777777" w:rsidR="00BA49F5" w:rsidRDefault="00BA49F5">
            <w:pPr>
              <w:rPr>
                <w:rFonts w:ascii="宋体"/>
              </w:rPr>
            </w:pPr>
          </w:p>
        </w:tc>
        <w:tc>
          <w:tcPr>
            <w:tcW w:w="5" w:type="pct"/>
            <w:shd w:val="clear" w:color="auto" w:fill="auto"/>
            <w:vAlign w:val="bottom"/>
          </w:tcPr>
          <w:p w14:paraId="5CD9093B" w14:textId="77777777" w:rsidR="00BA49F5" w:rsidRDefault="00BA49F5">
            <w:pPr>
              <w:rPr>
                <w:rFonts w:ascii="宋体"/>
              </w:rPr>
            </w:pPr>
          </w:p>
        </w:tc>
        <w:tc>
          <w:tcPr>
            <w:tcW w:w="27" w:type="pct"/>
            <w:shd w:val="clear" w:color="auto" w:fill="auto"/>
            <w:vAlign w:val="bottom"/>
          </w:tcPr>
          <w:p w14:paraId="5CD9093C" w14:textId="77777777" w:rsidR="00BA49F5" w:rsidRDefault="00BA49F5">
            <w:pPr>
              <w:rPr>
                <w:rFonts w:ascii="宋体"/>
              </w:rPr>
            </w:pPr>
          </w:p>
        </w:tc>
        <w:tc>
          <w:tcPr>
            <w:tcW w:w="5" w:type="pct"/>
            <w:shd w:val="clear" w:color="auto" w:fill="auto"/>
            <w:vAlign w:val="bottom"/>
          </w:tcPr>
          <w:p w14:paraId="5CD9093D" w14:textId="77777777" w:rsidR="00BA49F5" w:rsidRDefault="00BA49F5">
            <w:pPr>
              <w:rPr>
                <w:rFonts w:ascii="宋体"/>
              </w:rPr>
            </w:pPr>
          </w:p>
        </w:tc>
        <w:tc>
          <w:tcPr>
            <w:tcW w:w="50" w:type="pct"/>
            <w:shd w:val="clear" w:color="auto" w:fill="auto"/>
            <w:vAlign w:val="bottom"/>
          </w:tcPr>
          <w:p w14:paraId="5CD9093E" w14:textId="77777777" w:rsidR="00BA49F5" w:rsidRDefault="00BA49F5">
            <w:pPr>
              <w:rPr>
                <w:rFonts w:ascii="宋体"/>
              </w:rPr>
            </w:pPr>
          </w:p>
        </w:tc>
        <w:tc>
          <w:tcPr>
            <w:tcW w:w="491" w:type="pct"/>
            <w:shd w:val="clear" w:color="auto" w:fill="auto"/>
            <w:vAlign w:val="bottom"/>
          </w:tcPr>
          <w:p w14:paraId="5CD9093F" w14:textId="77777777" w:rsidR="00BA49F5" w:rsidRDefault="00BA49F5">
            <w:pPr>
              <w:rPr>
                <w:rFonts w:ascii="宋体"/>
              </w:rPr>
            </w:pPr>
          </w:p>
        </w:tc>
        <w:tc>
          <w:tcPr>
            <w:tcW w:w="5" w:type="pct"/>
            <w:shd w:val="clear" w:color="auto" w:fill="auto"/>
            <w:vAlign w:val="bottom"/>
          </w:tcPr>
          <w:p w14:paraId="5CD90940" w14:textId="77777777" w:rsidR="00BA49F5" w:rsidRDefault="00BA49F5">
            <w:pPr>
              <w:rPr>
                <w:rFonts w:ascii="宋体"/>
              </w:rPr>
            </w:pPr>
          </w:p>
        </w:tc>
        <w:tc>
          <w:tcPr>
            <w:tcW w:w="5" w:type="pct"/>
            <w:shd w:val="clear" w:color="auto" w:fill="auto"/>
            <w:vAlign w:val="bottom"/>
          </w:tcPr>
          <w:p w14:paraId="5CD90941" w14:textId="77777777" w:rsidR="00BA49F5" w:rsidRDefault="00BA49F5">
            <w:pPr>
              <w:rPr>
                <w:rFonts w:ascii="宋体"/>
              </w:rPr>
            </w:pPr>
          </w:p>
        </w:tc>
        <w:tc>
          <w:tcPr>
            <w:tcW w:w="27" w:type="pct"/>
            <w:shd w:val="clear" w:color="auto" w:fill="auto"/>
            <w:vAlign w:val="bottom"/>
          </w:tcPr>
          <w:p w14:paraId="5CD90942" w14:textId="77777777" w:rsidR="00BA49F5" w:rsidRDefault="00BA49F5">
            <w:pPr>
              <w:rPr>
                <w:rFonts w:ascii="宋体"/>
              </w:rPr>
            </w:pPr>
          </w:p>
        </w:tc>
        <w:tc>
          <w:tcPr>
            <w:tcW w:w="5" w:type="pct"/>
            <w:shd w:val="clear" w:color="auto" w:fill="auto"/>
            <w:vAlign w:val="bottom"/>
          </w:tcPr>
          <w:p w14:paraId="5CD90943" w14:textId="77777777" w:rsidR="00BA49F5" w:rsidRDefault="00BA49F5">
            <w:pPr>
              <w:rPr>
                <w:rFonts w:ascii="宋体"/>
              </w:rPr>
            </w:pPr>
          </w:p>
        </w:tc>
        <w:tc>
          <w:tcPr>
            <w:tcW w:w="50" w:type="pct"/>
            <w:shd w:val="clear" w:color="auto" w:fill="auto"/>
            <w:vAlign w:val="bottom"/>
          </w:tcPr>
          <w:p w14:paraId="5CD90944" w14:textId="77777777" w:rsidR="00BA49F5" w:rsidRDefault="00BA49F5">
            <w:pPr>
              <w:rPr>
                <w:rFonts w:ascii="宋体"/>
              </w:rPr>
            </w:pPr>
          </w:p>
        </w:tc>
        <w:tc>
          <w:tcPr>
            <w:tcW w:w="341" w:type="pct"/>
            <w:shd w:val="clear" w:color="auto" w:fill="auto"/>
            <w:vAlign w:val="bottom"/>
          </w:tcPr>
          <w:p w14:paraId="5CD90945" w14:textId="77777777" w:rsidR="00BA49F5" w:rsidRDefault="00BA49F5">
            <w:pPr>
              <w:rPr>
                <w:rFonts w:ascii="宋体"/>
              </w:rPr>
            </w:pPr>
          </w:p>
        </w:tc>
        <w:tc>
          <w:tcPr>
            <w:tcW w:w="5" w:type="pct"/>
            <w:shd w:val="clear" w:color="auto" w:fill="auto"/>
            <w:vAlign w:val="bottom"/>
          </w:tcPr>
          <w:p w14:paraId="5CD90946" w14:textId="77777777" w:rsidR="00BA49F5" w:rsidRDefault="00BA49F5">
            <w:pPr>
              <w:rPr>
                <w:rFonts w:ascii="宋体"/>
              </w:rPr>
            </w:pPr>
          </w:p>
        </w:tc>
        <w:tc>
          <w:tcPr>
            <w:tcW w:w="5" w:type="pct"/>
            <w:shd w:val="clear" w:color="auto" w:fill="auto"/>
            <w:vAlign w:val="bottom"/>
          </w:tcPr>
          <w:p w14:paraId="5CD90947" w14:textId="77777777" w:rsidR="00BA49F5" w:rsidRDefault="00BA49F5">
            <w:pPr>
              <w:rPr>
                <w:rFonts w:ascii="宋体"/>
              </w:rPr>
            </w:pPr>
          </w:p>
        </w:tc>
        <w:tc>
          <w:tcPr>
            <w:tcW w:w="27" w:type="pct"/>
            <w:shd w:val="clear" w:color="auto" w:fill="auto"/>
            <w:vAlign w:val="bottom"/>
          </w:tcPr>
          <w:p w14:paraId="5CD90948" w14:textId="77777777" w:rsidR="00BA49F5" w:rsidRDefault="00BA49F5">
            <w:pPr>
              <w:rPr>
                <w:rFonts w:ascii="宋体"/>
              </w:rPr>
            </w:pPr>
          </w:p>
        </w:tc>
        <w:tc>
          <w:tcPr>
            <w:tcW w:w="5" w:type="pct"/>
            <w:shd w:val="clear" w:color="auto" w:fill="auto"/>
            <w:vAlign w:val="bottom"/>
          </w:tcPr>
          <w:p w14:paraId="5CD90949" w14:textId="77777777" w:rsidR="00BA49F5" w:rsidRDefault="00BA49F5">
            <w:pPr>
              <w:rPr>
                <w:rFonts w:ascii="宋体"/>
              </w:rPr>
            </w:pPr>
          </w:p>
        </w:tc>
        <w:tc>
          <w:tcPr>
            <w:tcW w:w="50" w:type="pct"/>
            <w:shd w:val="clear" w:color="auto" w:fill="auto"/>
            <w:vAlign w:val="bottom"/>
          </w:tcPr>
          <w:p w14:paraId="5CD9094A" w14:textId="77777777" w:rsidR="00BA49F5" w:rsidRDefault="00BA49F5">
            <w:pPr>
              <w:rPr>
                <w:rFonts w:ascii="宋体"/>
              </w:rPr>
            </w:pPr>
          </w:p>
        </w:tc>
        <w:tc>
          <w:tcPr>
            <w:tcW w:w="723" w:type="pct"/>
            <w:shd w:val="clear" w:color="auto" w:fill="auto"/>
            <w:vAlign w:val="bottom"/>
          </w:tcPr>
          <w:p w14:paraId="5CD9094B" w14:textId="77777777" w:rsidR="00BA49F5" w:rsidRDefault="00BA49F5">
            <w:pPr>
              <w:rPr>
                <w:rFonts w:ascii="宋体"/>
              </w:rPr>
            </w:pPr>
          </w:p>
        </w:tc>
        <w:tc>
          <w:tcPr>
            <w:tcW w:w="5" w:type="pct"/>
            <w:shd w:val="clear" w:color="auto" w:fill="auto"/>
            <w:vAlign w:val="bottom"/>
          </w:tcPr>
          <w:p w14:paraId="5CD9094C" w14:textId="77777777" w:rsidR="00BA49F5" w:rsidRDefault="00BA49F5">
            <w:pPr>
              <w:rPr>
                <w:rFonts w:ascii="宋体"/>
              </w:rPr>
            </w:pPr>
          </w:p>
        </w:tc>
        <w:tc>
          <w:tcPr>
            <w:tcW w:w="5" w:type="pct"/>
            <w:shd w:val="clear" w:color="auto" w:fill="auto"/>
            <w:vAlign w:val="bottom"/>
          </w:tcPr>
          <w:p w14:paraId="5CD9094D" w14:textId="77777777" w:rsidR="00BA49F5" w:rsidRDefault="00BA49F5">
            <w:pPr>
              <w:rPr>
                <w:rFonts w:ascii="宋体"/>
              </w:rPr>
            </w:pPr>
          </w:p>
        </w:tc>
        <w:tc>
          <w:tcPr>
            <w:tcW w:w="27" w:type="pct"/>
            <w:shd w:val="clear" w:color="auto" w:fill="auto"/>
            <w:vAlign w:val="bottom"/>
          </w:tcPr>
          <w:p w14:paraId="5CD9094E" w14:textId="77777777" w:rsidR="00BA49F5" w:rsidRDefault="00BA49F5">
            <w:pPr>
              <w:rPr>
                <w:rFonts w:ascii="宋体"/>
              </w:rPr>
            </w:pPr>
          </w:p>
        </w:tc>
        <w:tc>
          <w:tcPr>
            <w:tcW w:w="5" w:type="pct"/>
            <w:shd w:val="clear" w:color="auto" w:fill="auto"/>
            <w:vAlign w:val="bottom"/>
          </w:tcPr>
          <w:p w14:paraId="5CD9094F" w14:textId="77777777" w:rsidR="00BA49F5" w:rsidRDefault="00BA49F5">
            <w:pPr>
              <w:rPr>
                <w:rFonts w:ascii="宋体"/>
              </w:rPr>
            </w:pPr>
          </w:p>
        </w:tc>
        <w:tc>
          <w:tcPr>
            <w:tcW w:w="50" w:type="pct"/>
            <w:shd w:val="clear" w:color="auto" w:fill="auto"/>
            <w:vAlign w:val="bottom"/>
          </w:tcPr>
          <w:p w14:paraId="5CD90950" w14:textId="77777777" w:rsidR="00BA49F5" w:rsidRDefault="00BA49F5">
            <w:pPr>
              <w:rPr>
                <w:rFonts w:ascii="宋体"/>
              </w:rPr>
            </w:pPr>
          </w:p>
        </w:tc>
        <w:tc>
          <w:tcPr>
            <w:tcW w:w="341" w:type="pct"/>
            <w:shd w:val="clear" w:color="auto" w:fill="auto"/>
            <w:vAlign w:val="bottom"/>
          </w:tcPr>
          <w:p w14:paraId="5CD90951" w14:textId="77777777" w:rsidR="00BA49F5" w:rsidRDefault="00BA49F5">
            <w:pPr>
              <w:rPr>
                <w:rFonts w:ascii="宋体"/>
              </w:rPr>
            </w:pPr>
          </w:p>
        </w:tc>
        <w:tc>
          <w:tcPr>
            <w:tcW w:w="5" w:type="pct"/>
            <w:shd w:val="clear" w:color="auto" w:fill="auto"/>
            <w:vAlign w:val="bottom"/>
          </w:tcPr>
          <w:p w14:paraId="5CD90952" w14:textId="77777777" w:rsidR="00BA49F5" w:rsidRDefault="00BA49F5">
            <w:pPr>
              <w:rPr>
                <w:rFonts w:ascii="宋体"/>
              </w:rPr>
            </w:pPr>
          </w:p>
        </w:tc>
      </w:tr>
      <w:tr w:rsidR="00BA49F5" w14:paraId="5CD9095B"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954"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5CD9095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5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57" w14:textId="77777777" w:rsidR="00BA49F5" w:rsidRDefault="00BA49F5">
            <w:pPr>
              <w:rPr>
                <w:rFonts w:ascii="宋体"/>
              </w:rPr>
            </w:pPr>
          </w:p>
        </w:tc>
        <w:tc>
          <w:tcPr>
            <w:tcW w:w="0" w:type="auto"/>
            <w:gridSpan w:val="21"/>
            <w:shd w:val="clear" w:color="auto" w:fill="auto"/>
            <w:tcMar>
              <w:top w:w="40" w:type="dxa"/>
              <w:left w:w="20" w:type="dxa"/>
              <w:bottom w:w="40" w:type="dxa"/>
              <w:right w:w="20" w:type="dxa"/>
            </w:tcMar>
            <w:vAlign w:val="bottom"/>
          </w:tcPr>
          <w:p w14:paraId="5CD90958" w14:textId="77777777" w:rsidR="00BA49F5" w:rsidRDefault="007E5E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5CD90959" w14:textId="77777777" w:rsidR="00BA49F5" w:rsidRDefault="00BA49F5">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5CD9095A" w14:textId="77777777" w:rsidR="00BA49F5" w:rsidRDefault="007E5E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A49F5" w14:paraId="5CD90969"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95C" w14:textId="77777777" w:rsidR="00BA49F5" w:rsidRDefault="007E5E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5CD9095D" w14:textId="77777777" w:rsidR="00BA49F5" w:rsidRDefault="00BA49F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CD9095E" w14:textId="77777777" w:rsidR="00BA49F5" w:rsidRDefault="007E5E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5CD9095F"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960" w14:textId="77777777" w:rsidR="00BA49F5" w:rsidRDefault="007E5E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961"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962" w14:textId="77777777" w:rsidR="00BA49F5" w:rsidRDefault="007E5E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963"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964"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965"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966" w14:textId="77777777" w:rsidR="00BA49F5" w:rsidRDefault="007E5E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5CD90967" w14:textId="77777777" w:rsidR="00BA49F5" w:rsidRDefault="00BA49F5">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5CD90968" w14:textId="77777777" w:rsidR="00BA49F5" w:rsidRDefault="00BA49F5">
            <w:pPr>
              <w:jc w:val="center"/>
              <w:rPr>
                <w:rFonts w:ascii="宋体"/>
              </w:rPr>
            </w:pPr>
          </w:p>
        </w:tc>
      </w:tr>
      <w:tr w:rsidR="00BA49F5" w14:paraId="5CD90971"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96A"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6B"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6C"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6D"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6E"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6F"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970" w14:textId="77777777" w:rsidR="00BA49F5" w:rsidRDefault="00BA49F5">
            <w:pPr>
              <w:rPr>
                <w:rFonts w:ascii="宋体"/>
              </w:rPr>
            </w:pPr>
          </w:p>
        </w:tc>
      </w:tr>
      <w:tr w:rsidR="00BA49F5" w14:paraId="5CD9097F" w14:textId="77777777">
        <w:trPr>
          <w:jc w:val="center"/>
        </w:trPr>
        <w:tc>
          <w:tcPr>
            <w:tcW w:w="0" w:type="auto"/>
            <w:gridSpan w:val="3"/>
            <w:shd w:val="clear" w:color="auto" w:fill="auto"/>
            <w:tcMar>
              <w:top w:w="40" w:type="dxa"/>
              <w:left w:w="20" w:type="dxa"/>
              <w:bottom w:w="40" w:type="dxa"/>
              <w:right w:w="20" w:type="dxa"/>
            </w:tcMar>
          </w:tcPr>
          <w:p w14:paraId="5CD90972" w14:textId="77777777" w:rsidR="00BA49F5" w:rsidRDefault="007E5E49">
            <w:pPr>
              <w:textAlignment w:val="top"/>
            </w:pPr>
            <w:r>
              <w:rPr>
                <w:rFonts w:ascii="Times New Roman" w:eastAsia="宋体" w:hAnsi="Times New Roman"/>
                <w:color w:val="000000"/>
                <w:sz w:val="20"/>
                <w:szCs w:val="20"/>
              </w:rPr>
              <w:t>10.2(F)+</w:t>
            </w:r>
          </w:p>
        </w:tc>
        <w:tc>
          <w:tcPr>
            <w:tcW w:w="0" w:type="auto"/>
            <w:gridSpan w:val="3"/>
            <w:shd w:val="clear" w:color="auto" w:fill="auto"/>
            <w:tcMar>
              <w:top w:w="0" w:type="dxa"/>
              <w:left w:w="20" w:type="dxa"/>
              <w:bottom w:w="0" w:type="dxa"/>
              <w:right w:w="20" w:type="dxa"/>
            </w:tcMar>
            <w:vAlign w:val="bottom"/>
          </w:tcPr>
          <w:p w14:paraId="5CD9097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74" w14:textId="77777777" w:rsidR="00BA49F5" w:rsidRDefault="007E5E49">
            <w:pPr>
              <w:textAlignment w:val="top"/>
            </w:pPr>
            <w:hyperlink r:id="rId370"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7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76"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7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78"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7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7A"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97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7C" w14:textId="77777777" w:rsidR="00BA49F5" w:rsidRDefault="007E5E49">
            <w:pPr>
              <w:textAlignment w:val="top"/>
            </w:pPr>
            <w:r>
              <w:rPr>
                <w:rFonts w:ascii="Times New Roman" w:eastAsia="宋体" w:hAnsi="Times New Roman"/>
                <w:color w:val="000000"/>
                <w:sz w:val="20"/>
                <w:szCs w:val="20"/>
              </w:rPr>
              <w:t>April 26, 2018</w:t>
            </w:r>
          </w:p>
        </w:tc>
        <w:tc>
          <w:tcPr>
            <w:tcW w:w="0" w:type="auto"/>
            <w:gridSpan w:val="3"/>
            <w:shd w:val="clear" w:color="auto" w:fill="auto"/>
            <w:tcMar>
              <w:top w:w="0" w:type="dxa"/>
              <w:left w:w="20" w:type="dxa"/>
              <w:bottom w:w="0" w:type="dxa"/>
              <w:right w:w="20" w:type="dxa"/>
            </w:tcMar>
            <w:vAlign w:val="bottom"/>
          </w:tcPr>
          <w:p w14:paraId="5CD9097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7E" w14:textId="77777777" w:rsidR="00BA49F5" w:rsidRDefault="00BA49F5">
            <w:pPr>
              <w:rPr>
                <w:rFonts w:ascii="宋体"/>
              </w:rPr>
            </w:pPr>
          </w:p>
        </w:tc>
      </w:tr>
      <w:tr w:rsidR="00BA49F5" w14:paraId="5CD9098D" w14:textId="77777777">
        <w:trPr>
          <w:jc w:val="center"/>
        </w:trPr>
        <w:tc>
          <w:tcPr>
            <w:tcW w:w="0" w:type="auto"/>
            <w:gridSpan w:val="3"/>
            <w:shd w:val="clear" w:color="auto" w:fill="auto"/>
            <w:tcMar>
              <w:top w:w="40" w:type="dxa"/>
              <w:left w:w="20" w:type="dxa"/>
              <w:bottom w:w="40" w:type="dxa"/>
              <w:right w:w="20" w:type="dxa"/>
            </w:tcMar>
          </w:tcPr>
          <w:p w14:paraId="5CD90980" w14:textId="77777777" w:rsidR="00BA49F5" w:rsidRDefault="007E5E49">
            <w:pPr>
              <w:textAlignment w:val="top"/>
            </w:pPr>
            <w:r>
              <w:rPr>
                <w:rFonts w:ascii="Times New Roman" w:eastAsia="宋体" w:hAnsi="Times New Roman"/>
                <w:color w:val="000000"/>
                <w:sz w:val="20"/>
                <w:szCs w:val="20"/>
              </w:rPr>
              <w:t>10.2(G)+</w:t>
            </w:r>
          </w:p>
        </w:tc>
        <w:tc>
          <w:tcPr>
            <w:tcW w:w="0" w:type="auto"/>
            <w:gridSpan w:val="3"/>
            <w:shd w:val="clear" w:color="auto" w:fill="auto"/>
            <w:tcMar>
              <w:top w:w="0" w:type="dxa"/>
              <w:left w:w="20" w:type="dxa"/>
              <w:bottom w:w="0" w:type="dxa"/>
              <w:right w:w="20" w:type="dxa"/>
            </w:tcMar>
            <w:vAlign w:val="bottom"/>
          </w:tcPr>
          <w:p w14:paraId="5CD9098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82" w14:textId="77777777" w:rsidR="00BA49F5" w:rsidRDefault="007E5E49">
            <w:pPr>
              <w:textAlignment w:val="top"/>
            </w:pPr>
            <w:hyperlink r:id="rId371"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8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84" w14:textId="77777777" w:rsidR="00BA49F5" w:rsidRDefault="007E5E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5CD9098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86"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8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88" w14:textId="77777777" w:rsidR="00BA49F5" w:rsidRDefault="007E5E49">
            <w:pPr>
              <w:textAlignment w:val="top"/>
            </w:pPr>
            <w:r>
              <w:rPr>
                <w:rFonts w:ascii="Times New Roman" w:eastAsia="宋体" w:hAnsi="Times New Roman"/>
                <w:color w:val="000000"/>
                <w:sz w:val="20"/>
                <w:szCs w:val="20"/>
              </w:rPr>
              <w:t>10.3(G)</w:t>
            </w:r>
          </w:p>
        </w:tc>
        <w:tc>
          <w:tcPr>
            <w:tcW w:w="0" w:type="auto"/>
            <w:gridSpan w:val="3"/>
            <w:shd w:val="clear" w:color="auto" w:fill="auto"/>
            <w:tcMar>
              <w:top w:w="0" w:type="dxa"/>
              <w:left w:w="20" w:type="dxa"/>
              <w:bottom w:w="0" w:type="dxa"/>
              <w:right w:w="20" w:type="dxa"/>
            </w:tcMar>
            <w:vAlign w:val="bottom"/>
          </w:tcPr>
          <w:p w14:paraId="5CD9098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8A" w14:textId="77777777" w:rsidR="00BA49F5" w:rsidRDefault="007E5E49">
            <w:pPr>
              <w:textAlignment w:val="top"/>
            </w:pPr>
            <w:r>
              <w:rPr>
                <w:rFonts w:ascii="Times New Roman" w:eastAsia="宋体" w:hAnsi="Times New Roman"/>
                <w:color w:val="000000"/>
                <w:sz w:val="20"/>
                <w:szCs w:val="20"/>
              </w:rPr>
              <w:t>January 31, 2019</w:t>
            </w:r>
          </w:p>
        </w:tc>
        <w:tc>
          <w:tcPr>
            <w:tcW w:w="0" w:type="auto"/>
            <w:gridSpan w:val="3"/>
            <w:shd w:val="clear" w:color="auto" w:fill="auto"/>
            <w:tcMar>
              <w:top w:w="0" w:type="dxa"/>
              <w:left w:w="20" w:type="dxa"/>
              <w:bottom w:w="0" w:type="dxa"/>
              <w:right w:w="20" w:type="dxa"/>
            </w:tcMar>
            <w:vAlign w:val="bottom"/>
          </w:tcPr>
          <w:p w14:paraId="5CD9098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8C" w14:textId="77777777" w:rsidR="00BA49F5" w:rsidRDefault="00BA49F5">
            <w:pPr>
              <w:rPr>
                <w:rFonts w:ascii="宋体"/>
              </w:rPr>
            </w:pPr>
          </w:p>
        </w:tc>
      </w:tr>
      <w:tr w:rsidR="00BA49F5" w14:paraId="5CD9099B" w14:textId="77777777">
        <w:trPr>
          <w:jc w:val="center"/>
        </w:trPr>
        <w:tc>
          <w:tcPr>
            <w:tcW w:w="0" w:type="auto"/>
            <w:gridSpan w:val="3"/>
            <w:shd w:val="clear" w:color="auto" w:fill="auto"/>
            <w:tcMar>
              <w:top w:w="40" w:type="dxa"/>
              <w:left w:w="20" w:type="dxa"/>
              <w:bottom w:w="40" w:type="dxa"/>
              <w:right w:w="20" w:type="dxa"/>
            </w:tcMar>
          </w:tcPr>
          <w:p w14:paraId="5CD9098E" w14:textId="77777777" w:rsidR="00BA49F5" w:rsidRDefault="007E5E49">
            <w:pPr>
              <w:textAlignment w:val="top"/>
            </w:pPr>
            <w:r>
              <w:rPr>
                <w:rFonts w:ascii="Times New Roman" w:eastAsia="宋体" w:hAnsi="Times New Roman"/>
                <w:color w:val="000000"/>
                <w:sz w:val="20"/>
                <w:szCs w:val="20"/>
              </w:rPr>
              <w:t>10.2(H)+</w:t>
            </w:r>
          </w:p>
        </w:tc>
        <w:tc>
          <w:tcPr>
            <w:tcW w:w="0" w:type="auto"/>
            <w:gridSpan w:val="3"/>
            <w:shd w:val="clear" w:color="auto" w:fill="auto"/>
            <w:tcMar>
              <w:top w:w="0" w:type="dxa"/>
              <w:left w:w="20" w:type="dxa"/>
              <w:bottom w:w="0" w:type="dxa"/>
              <w:right w:w="20" w:type="dxa"/>
            </w:tcMar>
            <w:vAlign w:val="bottom"/>
          </w:tcPr>
          <w:p w14:paraId="5CD9098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0" w14:textId="77777777" w:rsidR="00BA49F5" w:rsidRDefault="007E5E49">
            <w:pPr>
              <w:textAlignment w:val="top"/>
            </w:pPr>
            <w:hyperlink r:id="rId372"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9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2"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9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4"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9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6"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99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8" w14:textId="77777777" w:rsidR="00BA49F5" w:rsidRDefault="007E5E49">
            <w:pPr>
              <w:textAlignment w:val="top"/>
            </w:pPr>
            <w:r>
              <w:rPr>
                <w:rFonts w:ascii="Times New Roman" w:eastAsia="宋体" w:hAnsi="Times New Roman"/>
                <w:color w:val="000000"/>
                <w:sz w:val="20"/>
                <w:szCs w:val="20"/>
              </w:rPr>
              <w:t>April 25, 2019</w:t>
            </w:r>
          </w:p>
        </w:tc>
        <w:tc>
          <w:tcPr>
            <w:tcW w:w="0" w:type="auto"/>
            <w:gridSpan w:val="3"/>
            <w:shd w:val="clear" w:color="auto" w:fill="auto"/>
            <w:tcMar>
              <w:top w:w="0" w:type="dxa"/>
              <w:left w:w="20" w:type="dxa"/>
              <w:bottom w:w="0" w:type="dxa"/>
              <w:right w:w="20" w:type="dxa"/>
            </w:tcMar>
            <w:vAlign w:val="bottom"/>
          </w:tcPr>
          <w:p w14:paraId="5CD9099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9A" w14:textId="77777777" w:rsidR="00BA49F5" w:rsidRDefault="00BA49F5">
            <w:pPr>
              <w:rPr>
                <w:rFonts w:ascii="宋体"/>
              </w:rPr>
            </w:pPr>
          </w:p>
        </w:tc>
      </w:tr>
      <w:tr w:rsidR="00BA49F5" w14:paraId="5CD909A9" w14:textId="77777777">
        <w:trPr>
          <w:jc w:val="center"/>
        </w:trPr>
        <w:tc>
          <w:tcPr>
            <w:tcW w:w="0" w:type="auto"/>
            <w:gridSpan w:val="3"/>
            <w:shd w:val="clear" w:color="auto" w:fill="auto"/>
            <w:tcMar>
              <w:top w:w="40" w:type="dxa"/>
              <w:left w:w="20" w:type="dxa"/>
              <w:bottom w:w="40" w:type="dxa"/>
              <w:right w:w="20" w:type="dxa"/>
            </w:tcMar>
          </w:tcPr>
          <w:p w14:paraId="5CD9099C" w14:textId="77777777" w:rsidR="00BA49F5" w:rsidRDefault="007E5E49">
            <w:pPr>
              <w:textAlignment w:val="top"/>
            </w:pPr>
            <w:r>
              <w:rPr>
                <w:rFonts w:ascii="Times New Roman" w:eastAsia="宋体" w:hAnsi="Times New Roman"/>
                <w:color w:val="000000"/>
                <w:sz w:val="20"/>
                <w:szCs w:val="20"/>
              </w:rPr>
              <w:t>10.2(I)+</w:t>
            </w:r>
          </w:p>
        </w:tc>
        <w:tc>
          <w:tcPr>
            <w:tcW w:w="0" w:type="auto"/>
            <w:gridSpan w:val="3"/>
            <w:shd w:val="clear" w:color="auto" w:fill="auto"/>
            <w:tcMar>
              <w:top w:w="0" w:type="dxa"/>
              <w:left w:w="20" w:type="dxa"/>
              <w:bottom w:w="0" w:type="dxa"/>
              <w:right w:w="20" w:type="dxa"/>
            </w:tcMar>
            <w:vAlign w:val="bottom"/>
          </w:tcPr>
          <w:p w14:paraId="5CD9099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9E" w14:textId="77777777" w:rsidR="00BA49F5" w:rsidRDefault="007E5E49">
            <w:pPr>
              <w:textAlignment w:val="top"/>
            </w:pPr>
            <w:hyperlink r:id="rId373" w:history="1">
              <w:r>
                <w:rPr>
                  <w:rStyle w:val="a5"/>
                  <w:rFonts w:ascii="Times New Roman" w:eastAsia="宋体" w:hAnsi="Times New Roman"/>
                  <w:sz w:val="20"/>
                  <w:szCs w:val="20"/>
                </w:rPr>
                <w:t>2012 Equity Incentive Plan forms of award agreements (Additional Forms)</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CD9099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0"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A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2"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A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4"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9A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6" w14:textId="77777777" w:rsidR="00BA49F5" w:rsidRDefault="007E5E49">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5CD909A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A8" w14:textId="77777777" w:rsidR="00BA49F5" w:rsidRDefault="00BA49F5">
            <w:pPr>
              <w:rPr>
                <w:rFonts w:ascii="宋体"/>
              </w:rPr>
            </w:pPr>
          </w:p>
        </w:tc>
      </w:tr>
      <w:tr w:rsidR="00BA49F5" w14:paraId="5CD909B7" w14:textId="77777777">
        <w:trPr>
          <w:jc w:val="center"/>
        </w:trPr>
        <w:tc>
          <w:tcPr>
            <w:tcW w:w="0" w:type="auto"/>
            <w:gridSpan w:val="3"/>
            <w:shd w:val="clear" w:color="auto" w:fill="auto"/>
            <w:tcMar>
              <w:top w:w="40" w:type="dxa"/>
              <w:left w:w="20" w:type="dxa"/>
              <w:bottom w:w="40" w:type="dxa"/>
              <w:right w:w="20" w:type="dxa"/>
            </w:tcMar>
          </w:tcPr>
          <w:p w14:paraId="5CD909AA" w14:textId="77777777" w:rsidR="00BA49F5" w:rsidRDefault="007E5E49">
            <w:pPr>
              <w:textAlignment w:val="top"/>
            </w:pPr>
            <w:r>
              <w:rPr>
                <w:rFonts w:ascii="Times New Roman" w:eastAsia="宋体" w:hAnsi="Times New Roman"/>
                <w:color w:val="000000"/>
                <w:sz w:val="20"/>
                <w:szCs w:val="20"/>
              </w:rPr>
              <w:t>10.2(J)+</w:t>
            </w:r>
          </w:p>
        </w:tc>
        <w:tc>
          <w:tcPr>
            <w:tcW w:w="0" w:type="auto"/>
            <w:gridSpan w:val="3"/>
            <w:shd w:val="clear" w:color="auto" w:fill="auto"/>
            <w:tcMar>
              <w:top w:w="0" w:type="dxa"/>
              <w:left w:w="20" w:type="dxa"/>
              <w:bottom w:w="0" w:type="dxa"/>
              <w:right w:w="20" w:type="dxa"/>
            </w:tcMar>
            <w:vAlign w:val="bottom"/>
          </w:tcPr>
          <w:p w14:paraId="5CD909A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C" w14:textId="77777777" w:rsidR="00BA49F5" w:rsidRDefault="007E5E49">
            <w:pPr>
              <w:textAlignment w:val="top"/>
            </w:pPr>
            <w:hyperlink r:id="rId374"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A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AE"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A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0"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B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2"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9B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4" w14:textId="77777777" w:rsidR="00BA49F5" w:rsidRDefault="007E5E49">
            <w:pPr>
              <w:textAlignment w:val="top"/>
            </w:pPr>
            <w:r>
              <w:rPr>
                <w:rFonts w:ascii="Times New Roman" w:eastAsia="宋体" w:hAnsi="Times New Roman"/>
                <w:color w:val="000000"/>
                <w:sz w:val="20"/>
                <w:szCs w:val="20"/>
              </w:rPr>
              <w:t>July 29, 2021</w:t>
            </w:r>
          </w:p>
        </w:tc>
        <w:tc>
          <w:tcPr>
            <w:tcW w:w="0" w:type="auto"/>
            <w:gridSpan w:val="3"/>
            <w:shd w:val="clear" w:color="auto" w:fill="auto"/>
            <w:tcMar>
              <w:top w:w="0" w:type="dxa"/>
              <w:left w:w="20" w:type="dxa"/>
              <w:bottom w:w="0" w:type="dxa"/>
              <w:right w:w="20" w:type="dxa"/>
            </w:tcMar>
            <w:vAlign w:val="bottom"/>
          </w:tcPr>
          <w:p w14:paraId="5CD909B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B6" w14:textId="77777777" w:rsidR="00BA49F5" w:rsidRDefault="00BA49F5">
            <w:pPr>
              <w:rPr>
                <w:rFonts w:ascii="宋体"/>
              </w:rPr>
            </w:pPr>
          </w:p>
        </w:tc>
      </w:tr>
      <w:tr w:rsidR="00BA49F5" w14:paraId="5CD909C5" w14:textId="77777777">
        <w:trPr>
          <w:jc w:val="center"/>
        </w:trPr>
        <w:tc>
          <w:tcPr>
            <w:tcW w:w="0" w:type="auto"/>
            <w:gridSpan w:val="3"/>
            <w:shd w:val="clear" w:color="auto" w:fill="auto"/>
            <w:tcMar>
              <w:top w:w="40" w:type="dxa"/>
              <w:left w:w="20" w:type="dxa"/>
              <w:bottom w:w="40" w:type="dxa"/>
              <w:right w:w="20" w:type="dxa"/>
            </w:tcMar>
          </w:tcPr>
          <w:p w14:paraId="5CD909B8" w14:textId="77777777" w:rsidR="00BA49F5" w:rsidRDefault="007E5E49">
            <w:pPr>
              <w:textAlignment w:val="top"/>
            </w:pPr>
            <w:r>
              <w:rPr>
                <w:rFonts w:ascii="Times New Roman" w:eastAsia="宋体" w:hAnsi="Times New Roman"/>
                <w:color w:val="000000"/>
                <w:sz w:val="20"/>
                <w:szCs w:val="20"/>
              </w:rPr>
              <w:t>10.2(K)+</w:t>
            </w:r>
          </w:p>
        </w:tc>
        <w:tc>
          <w:tcPr>
            <w:tcW w:w="0" w:type="auto"/>
            <w:gridSpan w:val="3"/>
            <w:shd w:val="clear" w:color="auto" w:fill="auto"/>
            <w:tcMar>
              <w:top w:w="0" w:type="dxa"/>
              <w:left w:w="20" w:type="dxa"/>
              <w:bottom w:w="0" w:type="dxa"/>
              <w:right w:w="20" w:type="dxa"/>
            </w:tcMar>
            <w:vAlign w:val="bottom"/>
          </w:tcPr>
          <w:p w14:paraId="5CD909B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A" w14:textId="77777777" w:rsidR="00BA49F5" w:rsidRDefault="007E5E49">
            <w:pPr>
              <w:textAlignment w:val="top"/>
            </w:pPr>
            <w:hyperlink r:id="rId375"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5CD909B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C"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B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BE"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B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0" w14:textId="77777777" w:rsidR="00BA49F5" w:rsidRDefault="007E5E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5CD909C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2" w14:textId="77777777" w:rsidR="00BA49F5" w:rsidRDefault="007E5E49">
            <w:pPr>
              <w:textAlignment w:val="top"/>
            </w:pPr>
            <w:r>
              <w:rPr>
                <w:rFonts w:ascii="Times New Roman" w:eastAsia="宋体" w:hAnsi="Times New Roman"/>
                <w:color w:val="000000"/>
                <w:sz w:val="20"/>
                <w:szCs w:val="20"/>
              </w:rPr>
              <w:t>April 28, 2022</w:t>
            </w:r>
          </w:p>
        </w:tc>
        <w:tc>
          <w:tcPr>
            <w:tcW w:w="0" w:type="auto"/>
            <w:gridSpan w:val="3"/>
            <w:shd w:val="clear" w:color="auto" w:fill="auto"/>
            <w:tcMar>
              <w:top w:w="0" w:type="dxa"/>
              <w:left w:w="20" w:type="dxa"/>
              <w:bottom w:w="0" w:type="dxa"/>
              <w:right w:w="20" w:type="dxa"/>
            </w:tcMar>
            <w:vAlign w:val="bottom"/>
          </w:tcPr>
          <w:p w14:paraId="5CD909C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C4" w14:textId="77777777" w:rsidR="00BA49F5" w:rsidRDefault="00BA49F5">
            <w:pPr>
              <w:rPr>
                <w:rFonts w:ascii="宋体"/>
              </w:rPr>
            </w:pPr>
          </w:p>
        </w:tc>
      </w:tr>
      <w:tr w:rsidR="00BA49F5" w14:paraId="5CD909D3" w14:textId="77777777">
        <w:trPr>
          <w:jc w:val="center"/>
        </w:trPr>
        <w:tc>
          <w:tcPr>
            <w:tcW w:w="0" w:type="auto"/>
            <w:gridSpan w:val="3"/>
            <w:shd w:val="clear" w:color="auto" w:fill="auto"/>
            <w:tcMar>
              <w:top w:w="40" w:type="dxa"/>
              <w:left w:w="20" w:type="dxa"/>
              <w:bottom w:w="40" w:type="dxa"/>
              <w:right w:w="20" w:type="dxa"/>
            </w:tcMar>
          </w:tcPr>
          <w:p w14:paraId="5CD909C6" w14:textId="77777777" w:rsidR="00BA49F5" w:rsidRDefault="007E5E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5CD909C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8" w14:textId="77777777" w:rsidR="00BA49F5" w:rsidRDefault="007E5E49">
            <w:pPr>
              <w:textAlignment w:val="top"/>
            </w:pPr>
            <w:hyperlink r:id="rId376" w:history="1">
              <w:r>
                <w:rPr>
                  <w:rStyle w:val="a5"/>
                  <w:rFonts w:ascii="Times New Roman" w:eastAsia="宋体" w:hAnsi="Times New Roman"/>
                  <w:sz w:val="20"/>
                  <w:szCs w:val="20"/>
                </w:rPr>
                <w:t>Bonus Plan, effective January 1, 2022.</w:t>
              </w:r>
            </w:hyperlink>
          </w:p>
        </w:tc>
        <w:tc>
          <w:tcPr>
            <w:tcW w:w="0" w:type="auto"/>
            <w:gridSpan w:val="3"/>
            <w:shd w:val="clear" w:color="auto" w:fill="auto"/>
            <w:tcMar>
              <w:top w:w="0" w:type="dxa"/>
              <w:left w:w="20" w:type="dxa"/>
              <w:bottom w:w="0" w:type="dxa"/>
              <w:right w:w="20" w:type="dxa"/>
            </w:tcMar>
            <w:vAlign w:val="bottom"/>
          </w:tcPr>
          <w:p w14:paraId="5CD909C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A" w14:textId="77777777" w:rsidR="00BA49F5" w:rsidRDefault="007E5E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5CD909C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C"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C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CE" w14:textId="77777777" w:rsidR="00BA49F5" w:rsidRDefault="007E5E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5CD909C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0" w14:textId="77777777" w:rsidR="00BA49F5" w:rsidRDefault="007E5E49">
            <w:pPr>
              <w:textAlignment w:val="top"/>
            </w:pPr>
            <w:r>
              <w:rPr>
                <w:rFonts w:ascii="Times New Roman" w:eastAsia="宋体" w:hAnsi="Times New Roman"/>
                <w:color w:val="000000"/>
                <w:sz w:val="20"/>
                <w:szCs w:val="20"/>
              </w:rPr>
              <w:t>February 3, 2022</w:t>
            </w:r>
          </w:p>
        </w:tc>
        <w:tc>
          <w:tcPr>
            <w:tcW w:w="0" w:type="auto"/>
            <w:gridSpan w:val="3"/>
            <w:shd w:val="clear" w:color="auto" w:fill="auto"/>
            <w:tcMar>
              <w:top w:w="0" w:type="dxa"/>
              <w:left w:w="20" w:type="dxa"/>
              <w:bottom w:w="0" w:type="dxa"/>
              <w:right w:w="20" w:type="dxa"/>
            </w:tcMar>
            <w:vAlign w:val="bottom"/>
          </w:tcPr>
          <w:p w14:paraId="5CD909D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D2" w14:textId="77777777" w:rsidR="00BA49F5" w:rsidRDefault="00BA49F5">
            <w:pPr>
              <w:rPr>
                <w:rFonts w:ascii="宋体"/>
              </w:rPr>
            </w:pPr>
          </w:p>
        </w:tc>
      </w:tr>
      <w:tr w:rsidR="00BA49F5" w14:paraId="5CD909E1" w14:textId="77777777">
        <w:trPr>
          <w:jc w:val="center"/>
        </w:trPr>
        <w:tc>
          <w:tcPr>
            <w:tcW w:w="0" w:type="auto"/>
            <w:gridSpan w:val="3"/>
            <w:shd w:val="clear" w:color="auto" w:fill="auto"/>
            <w:tcMar>
              <w:top w:w="40" w:type="dxa"/>
              <w:left w:w="20" w:type="dxa"/>
              <w:bottom w:w="40" w:type="dxa"/>
              <w:right w:w="20" w:type="dxa"/>
            </w:tcMar>
          </w:tcPr>
          <w:p w14:paraId="5CD909D4" w14:textId="77777777" w:rsidR="00BA49F5" w:rsidRDefault="007E5E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5CD909D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6" w14:textId="77777777" w:rsidR="00BA49F5" w:rsidRDefault="007E5E49">
            <w:pPr>
              <w:textAlignment w:val="top"/>
            </w:pPr>
            <w:hyperlink r:id="rId377" w:history="1">
              <w:r>
                <w:rPr>
                  <w:rStyle w:val="a5"/>
                  <w:rFonts w:ascii="Times New Roman" w:eastAsia="宋体" w:hAnsi="Times New Roman"/>
                  <w:sz w:val="20"/>
                  <w:szCs w:val="20"/>
                </w:rPr>
                <w:t>Amended and Restated Offer Letter, dated January 27, 2012, between Registrant and Mark Zuckerberg.</w:t>
              </w:r>
            </w:hyperlink>
          </w:p>
        </w:tc>
        <w:tc>
          <w:tcPr>
            <w:tcW w:w="0" w:type="auto"/>
            <w:gridSpan w:val="3"/>
            <w:shd w:val="clear" w:color="auto" w:fill="auto"/>
            <w:tcMar>
              <w:top w:w="0" w:type="dxa"/>
              <w:left w:w="20" w:type="dxa"/>
              <w:bottom w:w="0" w:type="dxa"/>
              <w:right w:w="20" w:type="dxa"/>
            </w:tcMar>
            <w:vAlign w:val="bottom"/>
          </w:tcPr>
          <w:p w14:paraId="5CD909D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8" w14:textId="77777777" w:rsidR="00BA49F5" w:rsidRDefault="007E5E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5CD909D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A" w14:textId="77777777" w:rsidR="00BA49F5" w:rsidRDefault="007E5E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5CD909D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C" w14:textId="77777777" w:rsidR="00BA49F5" w:rsidRDefault="007E5E49">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5CD909D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DE" w14:textId="77777777" w:rsidR="00BA49F5" w:rsidRDefault="007E5E49">
            <w:pPr>
              <w:textAlignment w:val="top"/>
            </w:pPr>
            <w:r>
              <w:rPr>
                <w:rFonts w:ascii="Times New Roman" w:eastAsia="宋体" w:hAnsi="Times New Roman"/>
                <w:color w:val="000000"/>
                <w:sz w:val="20"/>
                <w:szCs w:val="20"/>
              </w:rPr>
              <w:t xml:space="preserve">February 8, </w:t>
            </w:r>
            <w:r>
              <w:rPr>
                <w:rFonts w:ascii="Times New Roman" w:eastAsia="宋体" w:hAnsi="Times New Roman"/>
                <w:color w:val="000000"/>
                <w:sz w:val="20"/>
                <w:szCs w:val="20"/>
              </w:rPr>
              <w:t>2012</w:t>
            </w:r>
          </w:p>
        </w:tc>
        <w:tc>
          <w:tcPr>
            <w:tcW w:w="0" w:type="auto"/>
            <w:gridSpan w:val="3"/>
            <w:shd w:val="clear" w:color="auto" w:fill="auto"/>
            <w:tcMar>
              <w:top w:w="0" w:type="dxa"/>
              <w:left w:w="20" w:type="dxa"/>
              <w:bottom w:w="0" w:type="dxa"/>
              <w:right w:w="20" w:type="dxa"/>
            </w:tcMar>
            <w:vAlign w:val="bottom"/>
          </w:tcPr>
          <w:p w14:paraId="5CD909D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0" w14:textId="77777777" w:rsidR="00BA49F5" w:rsidRDefault="00BA49F5">
            <w:pPr>
              <w:rPr>
                <w:rFonts w:ascii="宋体"/>
              </w:rPr>
            </w:pPr>
          </w:p>
        </w:tc>
      </w:tr>
      <w:tr w:rsidR="00BA49F5" w14:paraId="5CD909EF" w14:textId="77777777">
        <w:trPr>
          <w:jc w:val="center"/>
        </w:trPr>
        <w:tc>
          <w:tcPr>
            <w:tcW w:w="0" w:type="auto"/>
            <w:gridSpan w:val="3"/>
            <w:shd w:val="clear" w:color="auto" w:fill="auto"/>
            <w:tcMar>
              <w:top w:w="40" w:type="dxa"/>
              <w:left w:w="20" w:type="dxa"/>
              <w:bottom w:w="40" w:type="dxa"/>
              <w:right w:w="20" w:type="dxa"/>
            </w:tcMar>
          </w:tcPr>
          <w:p w14:paraId="5CD909E2" w14:textId="77777777" w:rsidR="00BA49F5" w:rsidRDefault="007E5E49">
            <w:pPr>
              <w:textAlignment w:val="top"/>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14:paraId="5CD909E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E4" w14:textId="77777777" w:rsidR="00BA49F5" w:rsidRDefault="007E5E49">
            <w:pPr>
              <w:textAlignment w:val="top"/>
            </w:pPr>
            <w:hyperlink r:id="rId378" w:history="1">
              <w:r>
                <w:rPr>
                  <w:rStyle w:val="a5"/>
                  <w:rFonts w:ascii="Times New Roman" w:eastAsia="宋体" w:hAnsi="Times New Roman"/>
                  <w:sz w:val="20"/>
                  <w:szCs w:val="20"/>
                </w:rPr>
                <w:t>Offer Letter, dated November 15, 2022, between Registrant and David M. Wehner.</w:t>
              </w:r>
            </w:hyperlink>
          </w:p>
        </w:tc>
        <w:tc>
          <w:tcPr>
            <w:tcW w:w="0" w:type="auto"/>
            <w:gridSpan w:val="3"/>
            <w:shd w:val="clear" w:color="auto" w:fill="auto"/>
            <w:tcMar>
              <w:top w:w="0" w:type="dxa"/>
              <w:left w:w="20" w:type="dxa"/>
              <w:bottom w:w="0" w:type="dxa"/>
              <w:right w:w="20" w:type="dxa"/>
            </w:tcMar>
            <w:vAlign w:val="bottom"/>
          </w:tcPr>
          <w:p w14:paraId="5CD909E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E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EE"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9FD" w14:textId="77777777">
        <w:trPr>
          <w:jc w:val="center"/>
        </w:trPr>
        <w:tc>
          <w:tcPr>
            <w:tcW w:w="0" w:type="auto"/>
            <w:gridSpan w:val="3"/>
            <w:shd w:val="clear" w:color="auto" w:fill="auto"/>
            <w:tcMar>
              <w:top w:w="40" w:type="dxa"/>
              <w:left w:w="20" w:type="dxa"/>
              <w:bottom w:w="40" w:type="dxa"/>
              <w:right w:w="20" w:type="dxa"/>
            </w:tcMar>
          </w:tcPr>
          <w:p w14:paraId="5CD909F0" w14:textId="77777777" w:rsidR="00BA49F5" w:rsidRDefault="007E5E49">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5CD909F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F2" w14:textId="77777777" w:rsidR="00BA49F5" w:rsidRDefault="007E5E49">
            <w:pPr>
              <w:textAlignment w:val="top"/>
            </w:pPr>
            <w:hyperlink r:id="rId379" w:history="1">
              <w:r>
                <w:rPr>
                  <w:rStyle w:val="a5"/>
                  <w:rFonts w:ascii="Times New Roman" w:eastAsia="宋体" w:hAnsi="Times New Roman"/>
                  <w:sz w:val="20"/>
                  <w:szCs w:val="20"/>
                </w:rPr>
                <w:t>Offer Letter, dated June 5, 2020, between Registrant and Christopher K. Cox</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CD909F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F4"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9F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F6"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9F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F8"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9F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9FA" w14:textId="77777777" w:rsidR="00BA49F5" w:rsidRDefault="007E5E49">
            <w:pPr>
              <w:textAlignment w:val="top"/>
            </w:pPr>
            <w:r>
              <w:rPr>
                <w:rFonts w:ascii="Times New Roman" w:eastAsia="宋体" w:hAnsi="Times New Roman"/>
                <w:color w:val="000000"/>
                <w:sz w:val="20"/>
                <w:szCs w:val="20"/>
              </w:rPr>
              <w:t>April 29, 2021</w:t>
            </w:r>
          </w:p>
        </w:tc>
        <w:tc>
          <w:tcPr>
            <w:tcW w:w="0" w:type="auto"/>
            <w:gridSpan w:val="3"/>
            <w:shd w:val="clear" w:color="auto" w:fill="auto"/>
            <w:tcMar>
              <w:top w:w="0" w:type="dxa"/>
              <w:left w:w="20" w:type="dxa"/>
              <w:bottom w:w="0" w:type="dxa"/>
              <w:right w:w="20" w:type="dxa"/>
            </w:tcMar>
            <w:vAlign w:val="bottom"/>
          </w:tcPr>
          <w:p w14:paraId="5CD909F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9FC" w14:textId="77777777" w:rsidR="00BA49F5" w:rsidRDefault="00BA49F5">
            <w:pPr>
              <w:rPr>
                <w:rFonts w:ascii="宋体"/>
              </w:rPr>
            </w:pPr>
          </w:p>
        </w:tc>
      </w:tr>
      <w:tr w:rsidR="00BA49F5" w14:paraId="5CD90A0B" w14:textId="77777777">
        <w:trPr>
          <w:jc w:val="center"/>
        </w:trPr>
        <w:tc>
          <w:tcPr>
            <w:tcW w:w="0" w:type="auto"/>
            <w:gridSpan w:val="3"/>
            <w:shd w:val="clear" w:color="auto" w:fill="auto"/>
            <w:tcMar>
              <w:top w:w="40" w:type="dxa"/>
              <w:left w:w="20" w:type="dxa"/>
              <w:bottom w:w="40" w:type="dxa"/>
              <w:right w:w="20" w:type="dxa"/>
            </w:tcMar>
          </w:tcPr>
          <w:p w14:paraId="5CD909FE" w14:textId="77777777" w:rsidR="00BA49F5" w:rsidRDefault="007E5E49">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5CD909F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0" w14:textId="77777777" w:rsidR="00BA49F5" w:rsidRDefault="007E5E49">
            <w:pPr>
              <w:textAlignment w:val="top"/>
            </w:pPr>
            <w:hyperlink r:id="rId380" w:history="1">
              <w:r>
                <w:rPr>
                  <w:rStyle w:val="a5"/>
                  <w:rFonts w:ascii="Times New Roman" w:eastAsia="宋体" w:hAnsi="Times New Roman"/>
                  <w:sz w:val="20"/>
                  <w:szCs w:val="20"/>
                </w:rPr>
                <w:t>Amended and Restated Offer Letter, dated September 14, 2021, between Registrant and Marne L. Levine.</w:t>
              </w:r>
            </w:hyperlink>
          </w:p>
        </w:tc>
        <w:tc>
          <w:tcPr>
            <w:tcW w:w="0" w:type="auto"/>
            <w:gridSpan w:val="3"/>
            <w:shd w:val="clear" w:color="auto" w:fill="auto"/>
            <w:tcMar>
              <w:top w:w="0" w:type="dxa"/>
              <w:left w:w="20" w:type="dxa"/>
              <w:bottom w:w="0" w:type="dxa"/>
              <w:right w:w="20" w:type="dxa"/>
            </w:tcMar>
            <w:vAlign w:val="bottom"/>
          </w:tcPr>
          <w:p w14:paraId="5CD90A0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2"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A0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4"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A0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6"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A0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8" w14:textId="77777777" w:rsidR="00BA49F5" w:rsidRDefault="007E5E49">
            <w:pPr>
              <w:textAlignment w:val="top"/>
            </w:pPr>
            <w:r>
              <w:rPr>
                <w:rFonts w:ascii="Times New Roman" w:eastAsia="宋体" w:hAnsi="Times New Roman"/>
                <w:color w:val="000000"/>
                <w:sz w:val="20"/>
                <w:szCs w:val="20"/>
              </w:rPr>
              <w:t>April 28</w:t>
            </w:r>
            <w:r>
              <w:rPr>
                <w:rFonts w:ascii="Times New Roman" w:eastAsia="宋体" w:hAnsi="Times New Roman"/>
                <w:color w:val="000000"/>
                <w:sz w:val="20"/>
                <w:szCs w:val="20"/>
              </w:rPr>
              <w:t>, 2022</w:t>
            </w:r>
          </w:p>
        </w:tc>
        <w:tc>
          <w:tcPr>
            <w:tcW w:w="0" w:type="auto"/>
            <w:gridSpan w:val="3"/>
            <w:shd w:val="clear" w:color="auto" w:fill="auto"/>
            <w:tcMar>
              <w:top w:w="0" w:type="dxa"/>
              <w:left w:w="20" w:type="dxa"/>
              <w:bottom w:w="0" w:type="dxa"/>
              <w:right w:w="20" w:type="dxa"/>
            </w:tcMar>
            <w:vAlign w:val="bottom"/>
          </w:tcPr>
          <w:p w14:paraId="5CD90A0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0A" w14:textId="77777777" w:rsidR="00BA49F5" w:rsidRDefault="00BA49F5">
            <w:pPr>
              <w:rPr>
                <w:rFonts w:ascii="宋体"/>
              </w:rPr>
            </w:pPr>
          </w:p>
        </w:tc>
      </w:tr>
      <w:tr w:rsidR="00BA49F5" w14:paraId="5CD90A19" w14:textId="77777777">
        <w:trPr>
          <w:jc w:val="center"/>
        </w:trPr>
        <w:tc>
          <w:tcPr>
            <w:tcW w:w="0" w:type="auto"/>
            <w:gridSpan w:val="3"/>
            <w:shd w:val="clear" w:color="auto" w:fill="auto"/>
            <w:tcMar>
              <w:top w:w="40" w:type="dxa"/>
              <w:left w:w="20" w:type="dxa"/>
              <w:bottom w:w="40" w:type="dxa"/>
              <w:right w:w="20" w:type="dxa"/>
            </w:tcMar>
          </w:tcPr>
          <w:p w14:paraId="5CD90A0C" w14:textId="77777777" w:rsidR="00BA49F5" w:rsidRDefault="007E5E49">
            <w:pPr>
              <w:textAlignment w:val="top"/>
            </w:pPr>
            <w:r>
              <w:rPr>
                <w:rFonts w:ascii="Times New Roman" w:eastAsia="宋体" w:hAnsi="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14:paraId="5CD90A0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0E" w14:textId="77777777" w:rsidR="00BA49F5" w:rsidRDefault="007E5E49">
            <w:pPr>
              <w:textAlignment w:val="top"/>
            </w:pPr>
            <w:hyperlink r:id="rId381" w:history="1">
              <w:r>
                <w:rPr>
                  <w:rStyle w:val="a5"/>
                  <w:rFonts w:ascii="Times New Roman" w:eastAsia="宋体" w:hAnsi="Times New Roman"/>
                  <w:sz w:val="20"/>
                  <w:szCs w:val="20"/>
                </w:rPr>
                <w:t>Offer Letter, dated December 22, 2022, between Registrant and Javier Olivan.</w:t>
              </w:r>
            </w:hyperlink>
          </w:p>
        </w:tc>
        <w:tc>
          <w:tcPr>
            <w:tcW w:w="0" w:type="auto"/>
            <w:gridSpan w:val="3"/>
            <w:shd w:val="clear" w:color="auto" w:fill="auto"/>
            <w:tcMar>
              <w:top w:w="0" w:type="dxa"/>
              <w:left w:w="20" w:type="dxa"/>
              <w:bottom w:w="0" w:type="dxa"/>
              <w:right w:w="20" w:type="dxa"/>
            </w:tcMar>
            <w:vAlign w:val="bottom"/>
          </w:tcPr>
          <w:p w14:paraId="5CD90A0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1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18"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27" w14:textId="77777777">
        <w:trPr>
          <w:jc w:val="center"/>
        </w:trPr>
        <w:tc>
          <w:tcPr>
            <w:tcW w:w="0" w:type="auto"/>
            <w:gridSpan w:val="3"/>
            <w:shd w:val="clear" w:color="auto" w:fill="auto"/>
            <w:tcMar>
              <w:top w:w="40" w:type="dxa"/>
              <w:left w:w="20" w:type="dxa"/>
              <w:bottom w:w="40" w:type="dxa"/>
              <w:right w:w="20" w:type="dxa"/>
            </w:tcMar>
          </w:tcPr>
          <w:p w14:paraId="5CD90A1A" w14:textId="77777777" w:rsidR="00BA49F5" w:rsidRDefault="007E5E49">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14:paraId="5CD90A1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1C" w14:textId="77777777" w:rsidR="00BA49F5" w:rsidRDefault="007E5E49">
            <w:pPr>
              <w:textAlignment w:val="top"/>
            </w:pPr>
            <w:hyperlink r:id="rId382" w:history="1">
              <w:r>
                <w:rPr>
                  <w:rStyle w:val="a5"/>
                  <w:rFonts w:ascii="Times New Roman" w:eastAsia="宋体" w:hAnsi="Times New Roman"/>
                  <w:sz w:val="20"/>
                  <w:szCs w:val="20"/>
                </w:rPr>
                <w:t>Form of Executive Officer Offer Letter.</w:t>
              </w:r>
            </w:hyperlink>
          </w:p>
        </w:tc>
        <w:tc>
          <w:tcPr>
            <w:tcW w:w="0" w:type="auto"/>
            <w:gridSpan w:val="3"/>
            <w:shd w:val="clear" w:color="auto" w:fill="auto"/>
            <w:tcMar>
              <w:top w:w="0" w:type="dxa"/>
              <w:left w:w="20" w:type="dxa"/>
              <w:bottom w:w="0" w:type="dxa"/>
              <w:right w:w="20" w:type="dxa"/>
            </w:tcMar>
            <w:vAlign w:val="bottom"/>
          </w:tcPr>
          <w:p w14:paraId="5CD90A1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1E"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A1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0"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A2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2" w14:textId="77777777" w:rsidR="00BA49F5" w:rsidRDefault="007E5E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5CD90A2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4" w14:textId="77777777" w:rsidR="00BA49F5" w:rsidRDefault="007E5E49">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5CD90A2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26" w14:textId="77777777" w:rsidR="00BA49F5" w:rsidRDefault="00BA49F5">
            <w:pPr>
              <w:rPr>
                <w:rFonts w:ascii="宋体"/>
              </w:rPr>
            </w:pPr>
          </w:p>
        </w:tc>
      </w:tr>
      <w:tr w:rsidR="00BA49F5" w14:paraId="5CD90A35" w14:textId="77777777">
        <w:trPr>
          <w:jc w:val="center"/>
        </w:trPr>
        <w:tc>
          <w:tcPr>
            <w:tcW w:w="0" w:type="auto"/>
            <w:gridSpan w:val="3"/>
            <w:shd w:val="clear" w:color="auto" w:fill="auto"/>
            <w:tcMar>
              <w:top w:w="40" w:type="dxa"/>
              <w:left w:w="20" w:type="dxa"/>
              <w:bottom w:w="40" w:type="dxa"/>
              <w:right w:w="20" w:type="dxa"/>
            </w:tcMar>
          </w:tcPr>
          <w:p w14:paraId="5CD90A28" w14:textId="77777777" w:rsidR="00BA49F5" w:rsidRDefault="007E5E49">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5CD90A2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A" w14:textId="77777777" w:rsidR="00BA49F5" w:rsidRDefault="007E5E49">
            <w:pPr>
              <w:textAlignment w:val="top"/>
            </w:pPr>
            <w:hyperlink r:id="rId383" w:history="1">
              <w:r>
                <w:rPr>
                  <w:rStyle w:val="a5"/>
                  <w:rFonts w:ascii="Times New Roman" w:eastAsia="宋体" w:hAnsi="Times New Roman"/>
                  <w:sz w:val="20"/>
                  <w:szCs w:val="20"/>
                </w:rPr>
                <w:t>Executive Sales Incentive Plan.</w:t>
              </w:r>
            </w:hyperlink>
          </w:p>
        </w:tc>
        <w:tc>
          <w:tcPr>
            <w:tcW w:w="0" w:type="auto"/>
            <w:gridSpan w:val="3"/>
            <w:shd w:val="clear" w:color="auto" w:fill="auto"/>
            <w:tcMar>
              <w:top w:w="0" w:type="dxa"/>
              <w:left w:w="20" w:type="dxa"/>
              <w:bottom w:w="0" w:type="dxa"/>
              <w:right w:w="20" w:type="dxa"/>
            </w:tcMar>
            <w:vAlign w:val="bottom"/>
          </w:tcPr>
          <w:p w14:paraId="5CD90A2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C"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A2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2E"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A2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0" w14:textId="77777777" w:rsidR="00BA49F5" w:rsidRDefault="007E5E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5CD90A3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2" w14:textId="77777777" w:rsidR="00BA49F5" w:rsidRDefault="007E5E49">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5CD90A3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34" w14:textId="77777777" w:rsidR="00BA49F5" w:rsidRDefault="00BA49F5">
            <w:pPr>
              <w:rPr>
                <w:rFonts w:ascii="宋体"/>
              </w:rPr>
            </w:pPr>
          </w:p>
        </w:tc>
      </w:tr>
      <w:tr w:rsidR="00BA49F5" w14:paraId="5CD90A43" w14:textId="77777777">
        <w:trPr>
          <w:jc w:val="center"/>
        </w:trPr>
        <w:tc>
          <w:tcPr>
            <w:tcW w:w="0" w:type="auto"/>
            <w:gridSpan w:val="3"/>
            <w:shd w:val="clear" w:color="auto" w:fill="auto"/>
            <w:tcMar>
              <w:top w:w="40" w:type="dxa"/>
              <w:left w:w="20" w:type="dxa"/>
              <w:bottom w:w="40" w:type="dxa"/>
              <w:right w:w="20" w:type="dxa"/>
            </w:tcMar>
          </w:tcPr>
          <w:p w14:paraId="5CD90A36" w14:textId="77777777" w:rsidR="00BA49F5" w:rsidRDefault="007E5E49">
            <w:pPr>
              <w:textAlignment w:val="top"/>
            </w:pPr>
            <w:r>
              <w:rPr>
                <w:rFonts w:ascii="Times New Roman" w:eastAsia="宋体" w:hAnsi="Times New Roman"/>
                <w:color w:val="000000"/>
                <w:sz w:val="20"/>
                <w:szCs w:val="20"/>
              </w:rPr>
              <w:t>10.11+</w:t>
            </w:r>
          </w:p>
        </w:tc>
        <w:tc>
          <w:tcPr>
            <w:tcW w:w="0" w:type="auto"/>
            <w:gridSpan w:val="3"/>
            <w:shd w:val="clear" w:color="auto" w:fill="auto"/>
            <w:tcMar>
              <w:top w:w="0" w:type="dxa"/>
              <w:left w:w="20" w:type="dxa"/>
              <w:bottom w:w="0" w:type="dxa"/>
              <w:right w:w="20" w:type="dxa"/>
            </w:tcMar>
            <w:vAlign w:val="bottom"/>
          </w:tcPr>
          <w:p w14:paraId="5CD90A3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8" w14:textId="77777777" w:rsidR="00BA49F5" w:rsidRDefault="007E5E49">
            <w:pPr>
              <w:textAlignment w:val="top"/>
            </w:pPr>
            <w:hyperlink r:id="rId384" w:history="1">
              <w:r>
                <w:rPr>
                  <w:rStyle w:val="a5"/>
                  <w:rFonts w:ascii="Times New Roman" w:eastAsia="宋体" w:hAnsi="Times New Roman"/>
                  <w:sz w:val="20"/>
                  <w:szCs w:val="20"/>
                </w:rPr>
                <w:t>Director Compensation Policy, as amended.</w:t>
              </w:r>
            </w:hyperlink>
          </w:p>
        </w:tc>
        <w:tc>
          <w:tcPr>
            <w:tcW w:w="0" w:type="auto"/>
            <w:gridSpan w:val="3"/>
            <w:shd w:val="clear" w:color="auto" w:fill="auto"/>
            <w:tcMar>
              <w:top w:w="0" w:type="dxa"/>
              <w:left w:w="20" w:type="dxa"/>
              <w:bottom w:w="0" w:type="dxa"/>
              <w:right w:w="20" w:type="dxa"/>
            </w:tcMar>
            <w:vAlign w:val="bottom"/>
          </w:tcPr>
          <w:p w14:paraId="5CD90A3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A"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A3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C"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A3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3E" w14:textId="77777777" w:rsidR="00BA49F5" w:rsidRDefault="007E5E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5CD90A3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40" w14:textId="77777777" w:rsidR="00BA49F5" w:rsidRDefault="007E5E49">
            <w:pPr>
              <w:textAlignment w:val="top"/>
            </w:pPr>
            <w:r>
              <w:rPr>
                <w:rFonts w:ascii="Times New Roman" w:eastAsia="宋体" w:hAnsi="Times New Roman"/>
                <w:color w:val="000000"/>
                <w:sz w:val="20"/>
                <w:szCs w:val="20"/>
              </w:rPr>
              <w:t>July 29, 2021</w:t>
            </w:r>
          </w:p>
        </w:tc>
        <w:tc>
          <w:tcPr>
            <w:tcW w:w="0" w:type="auto"/>
            <w:gridSpan w:val="3"/>
            <w:shd w:val="clear" w:color="auto" w:fill="auto"/>
            <w:tcMar>
              <w:top w:w="0" w:type="dxa"/>
              <w:left w:w="20" w:type="dxa"/>
              <w:bottom w:w="0" w:type="dxa"/>
              <w:right w:w="20" w:type="dxa"/>
            </w:tcMar>
            <w:vAlign w:val="bottom"/>
          </w:tcPr>
          <w:p w14:paraId="5CD90A4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2" w14:textId="77777777" w:rsidR="00BA49F5" w:rsidRDefault="00BA49F5">
            <w:pPr>
              <w:rPr>
                <w:rFonts w:ascii="宋体"/>
              </w:rPr>
            </w:pPr>
          </w:p>
        </w:tc>
      </w:tr>
      <w:tr w:rsidR="00BA49F5" w14:paraId="5CD90A51" w14:textId="77777777">
        <w:trPr>
          <w:jc w:val="center"/>
        </w:trPr>
        <w:tc>
          <w:tcPr>
            <w:tcW w:w="0" w:type="auto"/>
            <w:gridSpan w:val="3"/>
            <w:shd w:val="clear" w:color="auto" w:fill="auto"/>
            <w:tcMar>
              <w:top w:w="40" w:type="dxa"/>
              <w:left w:w="20" w:type="dxa"/>
              <w:bottom w:w="40" w:type="dxa"/>
              <w:right w:w="20" w:type="dxa"/>
            </w:tcMar>
          </w:tcPr>
          <w:p w14:paraId="5CD90A44" w14:textId="77777777" w:rsidR="00BA49F5" w:rsidRDefault="007E5E49">
            <w:pPr>
              <w:textAlignment w:val="top"/>
            </w:pPr>
            <w:r>
              <w:rPr>
                <w:rFonts w:ascii="Times New Roman" w:eastAsia="宋体" w:hAnsi="Times New Roman"/>
                <w:color w:val="000000"/>
                <w:sz w:val="20"/>
                <w:szCs w:val="20"/>
              </w:rPr>
              <w:t>10.12+</w:t>
            </w:r>
          </w:p>
        </w:tc>
        <w:tc>
          <w:tcPr>
            <w:tcW w:w="0" w:type="auto"/>
            <w:gridSpan w:val="3"/>
            <w:shd w:val="clear" w:color="auto" w:fill="auto"/>
            <w:tcMar>
              <w:top w:w="0" w:type="dxa"/>
              <w:left w:w="20" w:type="dxa"/>
              <w:bottom w:w="0" w:type="dxa"/>
              <w:right w:w="20" w:type="dxa"/>
            </w:tcMar>
            <w:vAlign w:val="bottom"/>
          </w:tcPr>
          <w:p w14:paraId="5CD90A4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46" w14:textId="77777777" w:rsidR="00BA49F5" w:rsidRDefault="007E5E49">
            <w:pPr>
              <w:textAlignment w:val="top"/>
            </w:pPr>
            <w:hyperlink r:id="rId385" w:history="1">
              <w:r>
                <w:rPr>
                  <w:rStyle w:val="a5"/>
                  <w:rFonts w:ascii="Times New Roman" w:eastAsia="宋体" w:hAnsi="Times New Roman"/>
                  <w:sz w:val="20"/>
                  <w:szCs w:val="20"/>
                </w:rPr>
                <w:t>Deferred Compensation Plan for Non-Employee Directors</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CD90A4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4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0"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5F" w14:textId="77777777">
        <w:trPr>
          <w:jc w:val="center"/>
        </w:trPr>
        <w:tc>
          <w:tcPr>
            <w:tcW w:w="0" w:type="auto"/>
            <w:gridSpan w:val="3"/>
            <w:shd w:val="clear" w:color="auto" w:fill="auto"/>
            <w:tcMar>
              <w:top w:w="40" w:type="dxa"/>
              <w:left w:w="20" w:type="dxa"/>
              <w:bottom w:w="40" w:type="dxa"/>
              <w:right w:w="20" w:type="dxa"/>
            </w:tcMar>
          </w:tcPr>
          <w:p w14:paraId="5CD90A52" w14:textId="77777777" w:rsidR="00BA49F5" w:rsidRDefault="007E5E49">
            <w:pPr>
              <w:textAlignment w:val="top"/>
            </w:pPr>
            <w:r>
              <w:rPr>
                <w:rFonts w:ascii="Times New Roman" w:eastAsia="宋体" w:hAnsi="Times New Roman"/>
                <w:color w:val="000000"/>
                <w:sz w:val="20"/>
                <w:szCs w:val="20"/>
              </w:rPr>
              <w:t>10.13+</w:t>
            </w:r>
          </w:p>
        </w:tc>
        <w:tc>
          <w:tcPr>
            <w:tcW w:w="0" w:type="auto"/>
            <w:gridSpan w:val="3"/>
            <w:shd w:val="clear" w:color="auto" w:fill="auto"/>
            <w:tcMar>
              <w:top w:w="0" w:type="dxa"/>
              <w:left w:w="20" w:type="dxa"/>
              <w:bottom w:w="0" w:type="dxa"/>
              <w:right w:w="20" w:type="dxa"/>
            </w:tcMar>
            <w:vAlign w:val="bottom"/>
          </w:tcPr>
          <w:p w14:paraId="5CD90A5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4" w14:textId="77777777" w:rsidR="00BA49F5" w:rsidRDefault="007E5E49">
            <w:pPr>
              <w:textAlignment w:val="top"/>
            </w:pPr>
            <w:hyperlink r:id="rId386" w:history="1">
              <w:r>
                <w:rPr>
                  <w:rStyle w:val="a5"/>
                  <w:rFonts w:ascii="Times New Roman" w:eastAsia="宋体" w:hAnsi="Times New Roman"/>
                  <w:sz w:val="20"/>
                  <w:szCs w:val="20"/>
                </w:rPr>
                <w:t>Indemnification Agreement Relating to Subsidiary Operations, dated March 14, 2021, between Registrant and Mark Zuckerberg.</w:t>
              </w:r>
            </w:hyperlink>
          </w:p>
        </w:tc>
        <w:tc>
          <w:tcPr>
            <w:tcW w:w="0" w:type="auto"/>
            <w:gridSpan w:val="3"/>
            <w:shd w:val="clear" w:color="auto" w:fill="auto"/>
            <w:tcMar>
              <w:top w:w="0" w:type="dxa"/>
              <w:left w:w="20" w:type="dxa"/>
              <w:bottom w:w="0" w:type="dxa"/>
              <w:right w:w="20" w:type="dxa"/>
            </w:tcMar>
            <w:vAlign w:val="bottom"/>
          </w:tcPr>
          <w:p w14:paraId="5CD90A5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6" w14:textId="77777777" w:rsidR="00BA49F5" w:rsidRDefault="007E5E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5CD90A5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8" w14:textId="77777777" w:rsidR="00BA49F5" w:rsidRDefault="007E5E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5CD90A5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A" w14:textId="77777777" w:rsidR="00BA49F5" w:rsidRDefault="007E5E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5CD90A5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5C" w14:textId="77777777" w:rsidR="00BA49F5" w:rsidRDefault="007E5E49">
            <w:pPr>
              <w:textAlignment w:val="top"/>
            </w:pPr>
            <w:r>
              <w:rPr>
                <w:rFonts w:ascii="Times New Roman" w:eastAsia="宋体" w:hAnsi="Times New Roman"/>
                <w:color w:val="000000"/>
                <w:sz w:val="20"/>
                <w:szCs w:val="20"/>
              </w:rPr>
              <w:t>Apri</w:t>
            </w:r>
            <w:r>
              <w:rPr>
                <w:rFonts w:ascii="Times New Roman" w:eastAsia="宋体" w:hAnsi="Times New Roman"/>
                <w:color w:val="000000"/>
                <w:sz w:val="20"/>
                <w:szCs w:val="20"/>
              </w:rPr>
              <w:t>l 29, 2021</w:t>
            </w:r>
          </w:p>
        </w:tc>
        <w:tc>
          <w:tcPr>
            <w:tcW w:w="0" w:type="auto"/>
            <w:gridSpan w:val="3"/>
            <w:shd w:val="clear" w:color="auto" w:fill="auto"/>
            <w:tcMar>
              <w:top w:w="0" w:type="dxa"/>
              <w:left w:w="20" w:type="dxa"/>
              <w:bottom w:w="0" w:type="dxa"/>
              <w:right w:w="20" w:type="dxa"/>
            </w:tcMar>
            <w:vAlign w:val="bottom"/>
          </w:tcPr>
          <w:p w14:paraId="5CD90A5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5E" w14:textId="77777777" w:rsidR="00BA49F5" w:rsidRDefault="00BA49F5">
            <w:pPr>
              <w:rPr>
                <w:rFonts w:ascii="宋体"/>
              </w:rPr>
            </w:pPr>
          </w:p>
        </w:tc>
      </w:tr>
      <w:tr w:rsidR="00BA49F5" w14:paraId="5CD90A6D" w14:textId="77777777">
        <w:trPr>
          <w:jc w:val="center"/>
        </w:trPr>
        <w:tc>
          <w:tcPr>
            <w:tcW w:w="0" w:type="auto"/>
            <w:gridSpan w:val="3"/>
            <w:shd w:val="clear" w:color="auto" w:fill="auto"/>
            <w:tcMar>
              <w:top w:w="40" w:type="dxa"/>
              <w:left w:w="20" w:type="dxa"/>
              <w:bottom w:w="40" w:type="dxa"/>
              <w:right w:w="20" w:type="dxa"/>
            </w:tcMar>
          </w:tcPr>
          <w:p w14:paraId="5CD90A60" w14:textId="77777777" w:rsidR="00BA49F5" w:rsidRDefault="007E5E49">
            <w:pPr>
              <w:textAlignment w:val="top"/>
            </w:pPr>
            <w:r>
              <w:rPr>
                <w:rFonts w:ascii="Times New Roman" w:eastAsia="宋体" w:hAnsi="Times New Roman"/>
                <w:color w:val="000000"/>
                <w:sz w:val="20"/>
                <w:szCs w:val="20"/>
              </w:rPr>
              <w:t>21.1</w:t>
            </w:r>
          </w:p>
        </w:tc>
        <w:tc>
          <w:tcPr>
            <w:tcW w:w="0" w:type="auto"/>
            <w:gridSpan w:val="3"/>
            <w:shd w:val="clear" w:color="auto" w:fill="auto"/>
            <w:tcMar>
              <w:top w:w="0" w:type="dxa"/>
              <w:left w:w="20" w:type="dxa"/>
              <w:bottom w:w="0" w:type="dxa"/>
              <w:right w:w="20" w:type="dxa"/>
            </w:tcMar>
            <w:vAlign w:val="bottom"/>
          </w:tcPr>
          <w:p w14:paraId="5CD90A6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62" w14:textId="77777777" w:rsidR="00BA49F5" w:rsidRDefault="007E5E49">
            <w:pPr>
              <w:textAlignment w:val="top"/>
            </w:pPr>
            <w:hyperlink r:id="rId387" w:history="1">
              <w:r>
                <w:rPr>
                  <w:rStyle w:val="a5"/>
                  <w:rFonts w:ascii="Times New Roman" w:eastAsia="宋体" w:hAnsi="Times New Roman"/>
                  <w:sz w:val="20"/>
                  <w:szCs w:val="20"/>
                </w:rPr>
                <w:t>List of Subsidiaries.</w:t>
              </w:r>
            </w:hyperlink>
          </w:p>
        </w:tc>
        <w:tc>
          <w:tcPr>
            <w:tcW w:w="0" w:type="auto"/>
            <w:gridSpan w:val="3"/>
            <w:shd w:val="clear" w:color="auto" w:fill="auto"/>
            <w:tcMar>
              <w:top w:w="0" w:type="dxa"/>
              <w:left w:w="20" w:type="dxa"/>
              <w:bottom w:w="0" w:type="dxa"/>
              <w:right w:w="20" w:type="dxa"/>
            </w:tcMar>
            <w:vAlign w:val="bottom"/>
          </w:tcPr>
          <w:p w14:paraId="5CD90A6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6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6C"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7B" w14:textId="77777777">
        <w:trPr>
          <w:jc w:val="center"/>
        </w:trPr>
        <w:tc>
          <w:tcPr>
            <w:tcW w:w="0" w:type="auto"/>
            <w:gridSpan w:val="3"/>
            <w:shd w:val="clear" w:color="auto" w:fill="auto"/>
            <w:tcMar>
              <w:top w:w="40" w:type="dxa"/>
              <w:left w:w="20" w:type="dxa"/>
              <w:bottom w:w="40" w:type="dxa"/>
              <w:right w:w="20" w:type="dxa"/>
            </w:tcMar>
          </w:tcPr>
          <w:p w14:paraId="5CD90A6E" w14:textId="77777777" w:rsidR="00BA49F5" w:rsidRDefault="007E5E49">
            <w:pPr>
              <w:textAlignment w:val="top"/>
            </w:pPr>
            <w:r>
              <w:rPr>
                <w:rFonts w:ascii="Times New Roman" w:eastAsia="宋体" w:hAnsi="Times New Roman"/>
                <w:color w:val="000000"/>
                <w:sz w:val="20"/>
                <w:szCs w:val="20"/>
              </w:rPr>
              <w:t>23.1</w:t>
            </w:r>
          </w:p>
        </w:tc>
        <w:tc>
          <w:tcPr>
            <w:tcW w:w="0" w:type="auto"/>
            <w:gridSpan w:val="3"/>
            <w:shd w:val="clear" w:color="auto" w:fill="auto"/>
            <w:tcMar>
              <w:top w:w="0" w:type="dxa"/>
              <w:left w:w="20" w:type="dxa"/>
              <w:bottom w:w="0" w:type="dxa"/>
              <w:right w:w="20" w:type="dxa"/>
            </w:tcMar>
            <w:vAlign w:val="bottom"/>
          </w:tcPr>
          <w:p w14:paraId="5CD90A6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70" w14:textId="77777777" w:rsidR="00BA49F5" w:rsidRDefault="007E5E49">
            <w:pPr>
              <w:textAlignment w:val="top"/>
            </w:pPr>
            <w:hyperlink r:id="rId388" w:history="1">
              <w:r>
                <w:rPr>
                  <w:rStyle w:val="a5"/>
                  <w:rFonts w:ascii="Times New Roman" w:eastAsia="宋体" w:hAnsi="Times New Roman"/>
                  <w:sz w:val="20"/>
                  <w:szCs w:val="20"/>
                </w:rPr>
                <w:t>Consent of Independent Registered Public Accounting Firm.</w:t>
              </w:r>
            </w:hyperlink>
          </w:p>
        </w:tc>
        <w:tc>
          <w:tcPr>
            <w:tcW w:w="0" w:type="auto"/>
            <w:gridSpan w:val="3"/>
            <w:shd w:val="clear" w:color="auto" w:fill="auto"/>
            <w:tcMar>
              <w:top w:w="0" w:type="dxa"/>
              <w:left w:w="20" w:type="dxa"/>
              <w:bottom w:w="0" w:type="dxa"/>
              <w:right w:w="20" w:type="dxa"/>
            </w:tcMar>
            <w:vAlign w:val="bottom"/>
          </w:tcPr>
          <w:p w14:paraId="5CD90A7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7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7A"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89" w14:textId="77777777">
        <w:trPr>
          <w:jc w:val="center"/>
        </w:trPr>
        <w:tc>
          <w:tcPr>
            <w:tcW w:w="0" w:type="auto"/>
            <w:gridSpan w:val="3"/>
            <w:shd w:val="clear" w:color="auto" w:fill="auto"/>
            <w:tcMar>
              <w:top w:w="40" w:type="dxa"/>
              <w:left w:w="20" w:type="dxa"/>
              <w:bottom w:w="40" w:type="dxa"/>
              <w:right w:w="20" w:type="dxa"/>
            </w:tcMar>
          </w:tcPr>
          <w:p w14:paraId="5CD90A7C" w14:textId="77777777" w:rsidR="00BA49F5" w:rsidRDefault="007E5E49">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5CD90A7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7E" w14:textId="77777777" w:rsidR="00BA49F5" w:rsidRDefault="007E5E49">
            <w:pPr>
              <w:textAlignment w:val="top"/>
            </w:pPr>
            <w:hyperlink r:id="rId389" w:history="1">
              <w:r>
                <w:rPr>
                  <w:rStyle w:val="a5"/>
                  <w:rFonts w:ascii="Times New Roman" w:eastAsia="宋体" w:hAnsi="Times New Roman"/>
                  <w:sz w:val="20"/>
                  <w:szCs w:val="20"/>
                </w:rPr>
                <w:t>Certification of Mark Zuckerberg, Chief Executive Officer, pursuant to Rule 13a-14(a)/15d-14(a), as adopted pursuant to Section 302 of the Sa</w:t>
              </w:r>
              <w:r>
                <w:rPr>
                  <w:rStyle w:val="a5"/>
                  <w:rFonts w:ascii="Times New Roman" w:eastAsia="宋体" w:hAnsi="Times New Roman"/>
                  <w:sz w:val="20"/>
                  <w:szCs w:val="20"/>
                </w:rPr>
                <w:t>rbanes-Oxley Act of 2002.</w:t>
              </w:r>
            </w:hyperlink>
          </w:p>
        </w:tc>
        <w:tc>
          <w:tcPr>
            <w:tcW w:w="0" w:type="auto"/>
            <w:gridSpan w:val="3"/>
            <w:shd w:val="clear" w:color="auto" w:fill="auto"/>
            <w:tcMar>
              <w:top w:w="0" w:type="dxa"/>
              <w:left w:w="20" w:type="dxa"/>
              <w:bottom w:w="0" w:type="dxa"/>
              <w:right w:w="20" w:type="dxa"/>
            </w:tcMar>
            <w:vAlign w:val="bottom"/>
          </w:tcPr>
          <w:p w14:paraId="5CD90A7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88"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97" w14:textId="77777777">
        <w:trPr>
          <w:jc w:val="center"/>
        </w:trPr>
        <w:tc>
          <w:tcPr>
            <w:tcW w:w="0" w:type="auto"/>
            <w:gridSpan w:val="3"/>
            <w:shd w:val="clear" w:color="auto" w:fill="auto"/>
            <w:tcMar>
              <w:top w:w="40" w:type="dxa"/>
              <w:left w:w="20" w:type="dxa"/>
              <w:bottom w:w="40" w:type="dxa"/>
              <w:right w:w="20" w:type="dxa"/>
            </w:tcMar>
          </w:tcPr>
          <w:p w14:paraId="5CD90A8A" w14:textId="77777777" w:rsidR="00BA49F5" w:rsidRDefault="007E5E49">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5CD90A8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8C" w14:textId="77777777" w:rsidR="00BA49F5" w:rsidRDefault="007E5E49">
            <w:pPr>
              <w:textAlignment w:val="top"/>
            </w:pPr>
            <w:hyperlink r:id="rId390" w:history="1">
              <w:r>
                <w:rPr>
                  <w:rStyle w:val="a5"/>
                  <w:rFonts w:ascii="Times New Roman" w:eastAsia="宋体" w:hAnsi="Times New Roman"/>
                  <w:sz w:val="20"/>
                  <w:szCs w:val="20"/>
                </w:rPr>
                <w:t xml:space="preserve">Certification of </w:t>
              </w:r>
            </w:hyperlink>
            <w:hyperlink r:id="rId391" w:history="1">
              <w:r>
                <w:rPr>
                  <w:rStyle w:val="a5"/>
                  <w:rFonts w:ascii="Times New Roman" w:eastAsia="宋体" w:hAnsi="Times New Roman"/>
                  <w:sz w:val="20"/>
                  <w:szCs w:val="20"/>
                </w:rPr>
                <w:t>Susan Li</w:t>
              </w:r>
            </w:hyperlink>
            <w:hyperlink r:id="rId392" w:history="1">
              <w:r>
                <w:rPr>
                  <w:rStyle w:val="a5"/>
                  <w:rFonts w:ascii="Times New Roman" w:eastAsia="宋体" w:hAnsi="Times New Roman"/>
                  <w:sz w:val="20"/>
                  <w:szCs w:val="20"/>
                </w:rPr>
                <w:t>, Chief Financial Officer, pursuant to Rule 13a-14(a)/15d-14(a), as adopted pursuant to Section 302 of the Sarbanes-Oxley Act of 2</w:t>
              </w:r>
              <w:r>
                <w:rPr>
                  <w:rStyle w:val="a5"/>
                  <w:rFonts w:ascii="Times New Roman" w:eastAsia="宋体" w:hAnsi="Times New Roman"/>
                  <w:sz w:val="20"/>
                  <w:szCs w:val="20"/>
                </w:rPr>
                <w:t>002.</w:t>
              </w:r>
            </w:hyperlink>
          </w:p>
        </w:tc>
        <w:tc>
          <w:tcPr>
            <w:tcW w:w="0" w:type="auto"/>
            <w:gridSpan w:val="3"/>
            <w:shd w:val="clear" w:color="auto" w:fill="auto"/>
            <w:tcMar>
              <w:top w:w="0" w:type="dxa"/>
              <w:left w:w="20" w:type="dxa"/>
              <w:bottom w:w="0" w:type="dxa"/>
              <w:right w:w="20" w:type="dxa"/>
            </w:tcMar>
            <w:vAlign w:val="bottom"/>
          </w:tcPr>
          <w:p w14:paraId="5CD90A8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8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96"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AA5" w14:textId="77777777">
        <w:trPr>
          <w:jc w:val="center"/>
        </w:trPr>
        <w:tc>
          <w:tcPr>
            <w:tcW w:w="0" w:type="auto"/>
            <w:gridSpan w:val="3"/>
            <w:shd w:val="clear" w:color="auto" w:fill="auto"/>
            <w:tcMar>
              <w:top w:w="40" w:type="dxa"/>
              <w:left w:w="20" w:type="dxa"/>
              <w:bottom w:w="40" w:type="dxa"/>
              <w:right w:w="20" w:type="dxa"/>
            </w:tcMar>
          </w:tcPr>
          <w:p w14:paraId="5CD90A98" w14:textId="77777777" w:rsidR="00BA49F5" w:rsidRDefault="007E5E49">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5CD90A9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9A" w14:textId="77777777" w:rsidR="00BA49F5" w:rsidRDefault="007E5E49">
            <w:pPr>
              <w:textAlignment w:val="top"/>
            </w:pPr>
            <w:hyperlink r:id="rId393" w:history="1">
              <w:r>
                <w:rPr>
                  <w:rStyle w:val="a5"/>
                  <w:rFonts w:ascii="Times New Roman" w:eastAsia="宋体" w:hAnsi="Times New Roman"/>
                  <w:sz w:val="20"/>
                  <w:szCs w:val="20"/>
                </w:rPr>
                <w:t>Certification of Mark Zuckerberg, Chief Executive Officer, pursuant to 18 U.S.C. Section 1350, as adopted pursuant to Section 906 of the Sarb</w:t>
              </w:r>
              <w:r>
                <w:rPr>
                  <w:rStyle w:val="a5"/>
                  <w:rFonts w:ascii="Times New Roman" w:eastAsia="宋体" w:hAnsi="Times New Roman"/>
                  <w:sz w:val="20"/>
                  <w:szCs w:val="20"/>
                </w:rPr>
                <w:t>anes-Oxley Act of 2002.</w:t>
              </w:r>
            </w:hyperlink>
          </w:p>
        </w:tc>
        <w:tc>
          <w:tcPr>
            <w:tcW w:w="0" w:type="auto"/>
            <w:gridSpan w:val="3"/>
            <w:shd w:val="clear" w:color="auto" w:fill="auto"/>
            <w:tcMar>
              <w:top w:w="0" w:type="dxa"/>
              <w:left w:w="20" w:type="dxa"/>
              <w:bottom w:w="0" w:type="dxa"/>
              <w:right w:w="20" w:type="dxa"/>
            </w:tcMar>
            <w:vAlign w:val="bottom"/>
          </w:tcPr>
          <w:p w14:paraId="5CD90A9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9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A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A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A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A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A4" w14:textId="77777777" w:rsidR="00BA49F5" w:rsidRDefault="007E5E49">
            <w:pPr>
              <w:jc w:val="center"/>
              <w:textAlignment w:val="top"/>
            </w:pPr>
            <w:r>
              <w:rPr>
                <w:rFonts w:ascii="Times New Roman" w:eastAsia="宋体" w:hAnsi="Times New Roman"/>
                <w:color w:val="000000"/>
                <w:sz w:val="20"/>
                <w:szCs w:val="20"/>
              </w:rPr>
              <w:t>X</w:t>
            </w:r>
          </w:p>
        </w:tc>
      </w:tr>
    </w:tbl>
    <w:p w14:paraId="5CD90AA6" w14:textId="77777777" w:rsidR="00BA49F5" w:rsidRDefault="007E5E49">
      <w:pPr>
        <w:jc w:val="center"/>
      </w:pPr>
      <w:r>
        <w:rPr>
          <w:rFonts w:ascii="Times New Roman" w:eastAsia="宋体" w:hAnsi="Times New Roman"/>
          <w:color w:val="000000"/>
          <w:sz w:val="20"/>
          <w:szCs w:val="20"/>
        </w:rPr>
        <w:t>123</w:t>
      </w:r>
    </w:p>
    <w:p w14:paraId="5CD90AA7" w14:textId="77777777" w:rsidR="00BA49F5" w:rsidRDefault="007E5E49">
      <w:r>
        <w:pict w14:anchorId="5CD90D70">
          <v:rect id="_x0000_i1147" style="width:415.3pt;height:1.5pt" o:hralign="center" o:hrstd="t" o:hr="t" fillcolor="#a0a0a0" stroked="f"/>
        </w:pict>
      </w:r>
    </w:p>
    <w:p w14:paraId="5CD90AA8" w14:textId="77777777" w:rsidR="00BA49F5" w:rsidRDefault="00BA49F5"/>
    <w:p w14:paraId="5CD90AA9" w14:textId="77777777" w:rsidR="00BA49F5" w:rsidRDefault="00BA49F5"/>
    <w:p w14:paraId="5CD90AAA" w14:textId="77777777" w:rsidR="00BA49F5" w:rsidRDefault="007E5E49">
      <w:hyperlink r:id="rId394" w:anchor="i6df229dad1864210ab76200083e26819_7" w:history="1">
        <w:r>
          <w:rPr>
            <w:rStyle w:val="a5"/>
            <w:rFonts w:ascii="Times New Roman" w:eastAsia="宋体" w:hAnsi="Times New Roman"/>
            <w:sz w:val="20"/>
            <w:szCs w:val="20"/>
          </w:rPr>
          <w:t>T</w:t>
        </w:r>
      </w:hyperlink>
      <w:hyperlink r:id="rId395" w:anchor="i6df229dad1864210ab76200083e26819_7" w:history="1">
        <w:r>
          <w:rPr>
            <w:rStyle w:val="a5"/>
            <w:rFonts w:ascii="Times New Roman" w:eastAsia="宋体" w:hAnsi="Times New Roman"/>
            <w:sz w:val="20"/>
            <w:szCs w:val="20"/>
          </w:rPr>
          <w:t>able of Contents</w:t>
        </w:r>
      </w:hyperlink>
    </w:p>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1"/>
        <w:gridCol w:w="36"/>
        <w:gridCol w:w="36"/>
        <w:gridCol w:w="36"/>
        <w:gridCol w:w="36"/>
        <w:gridCol w:w="38"/>
        <w:gridCol w:w="2771"/>
        <w:gridCol w:w="37"/>
        <w:gridCol w:w="36"/>
        <w:gridCol w:w="36"/>
        <w:gridCol w:w="36"/>
        <w:gridCol w:w="54"/>
        <w:gridCol w:w="506"/>
        <w:gridCol w:w="37"/>
        <w:gridCol w:w="37"/>
        <w:gridCol w:w="37"/>
        <w:gridCol w:w="36"/>
        <w:gridCol w:w="37"/>
        <w:gridCol w:w="772"/>
        <w:gridCol w:w="37"/>
        <w:gridCol w:w="36"/>
        <w:gridCol w:w="36"/>
        <w:gridCol w:w="36"/>
        <w:gridCol w:w="70"/>
        <w:gridCol w:w="491"/>
        <w:gridCol w:w="36"/>
        <w:gridCol w:w="36"/>
        <w:gridCol w:w="36"/>
        <w:gridCol w:w="36"/>
        <w:gridCol w:w="52"/>
        <w:gridCol w:w="1146"/>
        <w:gridCol w:w="36"/>
        <w:gridCol w:w="36"/>
        <w:gridCol w:w="36"/>
        <w:gridCol w:w="36"/>
        <w:gridCol w:w="86"/>
        <w:gridCol w:w="586"/>
        <w:gridCol w:w="36"/>
      </w:tblGrid>
      <w:tr w:rsidR="00BA49F5" w14:paraId="5CD90AD2" w14:textId="77777777">
        <w:trPr>
          <w:jc w:val="center"/>
        </w:trPr>
        <w:tc>
          <w:tcPr>
            <w:tcW w:w="50" w:type="pct"/>
            <w:shd w:val="clear" w:color="auto" w:fill="auto"/>
            <w:vAlign w:val="bottom"/>
          </w:tcPr>
          <w:p w14:paraId="5CD90AAB" w14:textId="77777777" w:rsidR="00BA49F5" w:rsidRDefault="00BA49F5">
            <w:pPr>
              <w:rPr>
                <w:rFonts w:ascii="宋体"/>
              </w:rPr>
            </w:pPr>
          </w:p>
        </w:tc>
        <w:tc>
          <w:tcPr>
            <w:tcW w:w="431" w:type="pct"/>
            <w:shd w:val="clear" w:color="auto" w:fill="auto"/>
            <w:vAlign w:val="bottom"/>
          </w:tcPr>
          <w:p w14:paraId="5CD90AAC" w14:textId="77777777" w:rsidR="00BA49F5" w:rsidRDefault="00BA49F5">
            <w:pPr>
              <w:rPr>
                <w:rFonts w:ascii="宋体"/>
              </w:rPr>
            </w:pPr>
          </w:p>
        </w:tc>
        <w:tc>
          <w:tcPr>
            <w:tcW w:w="5" w:type="pct"/>
            <w:shd w:val="clear" w:color="auto" w:fill="auto"/>
            <w:vAlign w:val="bottom"/>
          </w:tcPr>
          <w:p w14:paraId="5CD90AAD" w14:textId="77777777" w:rsidR="00BA49F5" w:rsidRDefault="00BA49F5">
            <w:pPr>
              <w:rPr>
                <w:rFonts w:ascii="宋体"/>
              </w:rPr>
            </w:pPr>
          </w:p>
        </w:tc>
        <w:tc>
          <w:tcPr>
            <w:tcW w:w="5" w:type="pct"/>
            <w:shd w:val="clear" w:color="auto" w:fill="auto"/>
            <w:vAlign w:val="bottom"/>
          </w:tcPr>
          <w:p w14:paraId="5CD90AAE" w14:textId="77777777" w:rsidR="00BA49F5" w:rsidRDefault="00BA49F5">
            <w:pPr>
              <w:rPr>
                <w:rFonts w:ascii="宋体"/>
              </w:rPr>
            </w:pPr>
          </w:p>
        </w:tc>
        <w:tc>
          <w:tcPr>
            <w:tcW w:w="27" w:type="pct"/>
            <w:shd w:val="clear" w:color="auto" w:fill="auto"/>
            <w:vAlign w:val="bottom"/>
          </w:tcPr>
          <w:p w14:paraId="5CD90AAF" w14:textId="77777777" w:rsidR="00BA49F5" w:rsidRDefault="00BA49F5">
            <w:pPr>
              <w:rPr>
                <w:rFonts w:ascii="宋体"/>
              </w:rPr>
            </w:pPr>
          </w:p>
        </w:tc>
        <w:tc>
          <w:tcPr>
            <w:tcW w:w="5" w:type="pct"/>
            <w:shd w:val="clear" w:color="auto" w:fill="auto"/>
            <w:vAlign w:val="bottom"/>
          </w:tcPr>
          <w:p w14:paraId="5CD90AB0" w14:textId="77777777" w:rsidR="00BA49F5" w:rsidRDefault="00BA49F5">
            <w:pPr>
              <w:rPr>
                <w:rFonts w:ascii="宋体"/>
              </w:rPr>
            </w:pPr>
          </w:p>
        </w:tc>
        <w:tc>
          <w:tcPr>
            <w:tcW w:w="50" w:type="pct"/>
            <w:shd w:val="clear" w:color="auto" w:fill="auto"/>
            <w:vAlign w:val="bottom"/>
          </w:tcPr>
          <w:p w14:paraId="5CD90AB1" w14:textId="77777777" w:rsidR="00BA49F5" w:rsidRDefault="00BA49F5">
            <w:pPr>
              <w:rPr>
                <w:rFonts w:ascii="宋体"/>
              </w:rPr>
            </w:pPr>
          </w:p>
        </w:tc>
        <w:tc>
          <w:tcPr>
            <w:tcW w:w="1718" w:type="pct"/>
            <w:shd w:val="clear" w:color="auto" w:fill="auto"/>
            <w:vAlign w:val="bottom"/>
          </w:tcPr>
          <w:p w14:paraId="5CD90AB2" w14:textId="77777777" w:rsidR="00BA49F5" w:rsidRDefault="00BA49F5">
            <w:pPr>
              <w:rPr>
                <w:rFonts w:ascii="宋体"/>
              </w:rPr>
            </w:pPr>
          </w:p>
        </w:tc>
        <w:tc>
          <w:tcPr>
            <w:tcW w:w="5" w:type="pct"/>
            <w:shd w:val="clear" w:color="auto" w:fill="auto"/>
            <w:vAlign w:val="bottom"/>
          </w:tcPr>
          <w:p w14:paraId="5CD90AB3" w14:textId="77777777" w:rsidR="00BA49F5" w:rsidRDefault="00BA49F5">
            <w:pPr>
              <w:rPr>
                <w:rFonts w:ascii="宋体"/>
              </w:rPr>
            </w:pPr>
          </w:p>
        </w:tc>
        <w:tc>
          <w:tcPr>
            <w:tcW w:w="5" w:type="pct"/>
            <w:shd w:val="clear" w:color="auto" w:fill="auto"/>
            <w:vAlign w:val="bottom"/>
          </w:tcPr>
          <w:p w14:paraId="5CD90AB4" w14:textId="77777777" w:rsidR="00BA49F5" w:rsidRDefault="00BA49F5">
            <w:pPr>
              <w:rPr>
                <w:rFonts w:ascii="宋体"/>
              </w:rPr>
            </w:pPr>
          </w:p>
        </w:tc>
        <w:tc>
          <w:tcPr>
            <w:tcW w:w="27" w:type="pct"/>
            <w:shd w:val="clear" w:color="auto" w:fill="auto"/>
            <w:vAlign w:val="bottom"/>
          </w:tcPr>
          <w:p w14:paraId="5CD90AB5" w14:textId="77777777" w:rsidR="00BA49F5" w:rsidRDefault="00BA49F5">
            <w:pPr>
              <w:rPr>
                <w:rFonts w:ascii="宋体"/>
              </w:rPr>
            </w:pPr>
          </w:p>
        </w:tc>
        <w:tc>
          <w:tcPr>
            <w:tcW w:w="5" w:type="pct"/>
            <w:shd w:val="clear" w:color="auto" w:fill="auto"/>
            <w:vAlign w:val="bottom"/>
          </w:tcPr>
          <w:p w14:paraId="5CD90AB6" w14:textId="77777777" w:rsidR="00BA49F5" w:rsidRDefault="00BA49F5">
            <w:pPr>
              <w:rPr>
                <w:rFonts w:ascii="宋体"/>
              </w:rPr>
            </w:pPr>
          </w:p>
        </w:tc>
        <w:tc>
          <w:tcPr>
            <w:tcW w:w="50" w:type="pct"/>
            <w:shd w:val="clear" w:color="auto" w:fill="auto"/>
            <w:vAlign w:val="bottom"/>
          </w:tcPr>
          <w:p w14:paraId="5CD90AB7" w14:textId="77777777" w:rsidR="00BA49F5" w:rsidRDefault="00BA49F5">
            <w:pPr>
              <w:rPr>
                <w:rFonts w:ascii="宋体"/>
              </w:rPr>
            </w:pPr>
          </w:p>
        </w:tc>
        <w:tc>
          <w:tcPr>
            <w:tcW w:w="341" w:type="pct"/>
            <w:shd w:val="clear" w:color="auto" w:fill="auto"/>
            <w:vAlign w:val="bottom"/>
          </w:tcPr>
          <w:p w14:paraId="5CD90AB8" w14:textId="77777777" w:rsidR="00BA49F5" w:rsidRDefault="00BA49F5">
            <w:pPr>
              <w:rPr>
                <w:rFonts w:ascii="宋体"/>
              </w:rPr>
            </w:pPr>
          </w:p>
        </w:tc>
        <w:tc>
          <w:tcPr>
            <w:tcW w:w="5" w:type="pct"/>
            <w:shd w:val="clear" w:color="auto" w:fill="auto"/>
            <w:vAlign w:val="bottom"/>
          </w:tcPr>
          <w:p w14:paraId="5CD90AB9" w14:textId="77777777" w:rsidR="00BA49F5" w:rsidRDefault="00BA49F5">
            <w:pPr>
              <w:rPr>
                <w:rFonts w:ascii="宋体"/>
              </w:rPr>
            </w:pPr>
          </w:p>
        </w:tc>
        <w:tc>
          <w:tcPr>
            <w:tcW w:w="5" w:type="pct"/>
            <w:shd w:val="clear" w:color="auto" w:fill="auto"/>
            <w:vAlign w:val="bottom"/>
          </w:tcPr>
          <w:p w14:paraId="5CD90ABA" w14:textId="77777777" w:rsidR="00BA49F5" w:rsidRDefault="00BA49F5">
            <w:pPr>
              <w:rPr>
                <w:rFonts w:ascii="宋体"/>
              </w:rPr>
            </w:pPr>
          </w:p>
        </w:tc>
        <w:tc>
          <w:tcPr>
            <w:tcW w:w="27" w:type="pct"/>
            <w:shd w:val="clear" w:color="auto" w:fill="auto"/>
            <w:vAlign w:val="bottom"/>
          </w:tcPr>
          <w:p w14:paraId="5CD90ABB" w14:textId="77777777" w:rsidR="00BA49F5" w:rsidRDefault="00BA49F5">
            <w:pPr>
              <w:rPr>
                <w:rFonts w:ascii="宋体"/>
              </w:rPr>
            </w:pPr>
          </w:p>
        </w:tc>
        <w:tc>
          <w:tcPr>
            <w:tcW w:w="5" w:type="pct"/>
            <w:shd w:val="clear" w:color="auto" w:fill="auto"/>
            <w:vAlign w:val="bottom"/>
          </w:tcPr>
          <w:p w14:paraId="5CD90ABC" w14:textId="77777777" w:rsidR="00BA49F5" w:rsidRDefault="00BA49F5">
            <w:pPr>
              <w:rPr>
                <w:rFonts w:ascii="宋体"/>
              </w:rPr>
            </w:pPr>
          </w:p>
        </w:tc>
        <w:tc>
          <w:tcPr>
            <w:tcW w:w="50" w:type="pct"/>
            <w:shd w:val="clear" w:color="auto" w:fill="auto"/>
            <w:vAlign w:val="bottom"/>
          </w:tcPr>
          <w:p w14:paraId="5CD90ABD" w14:textId="77777777" w:rsidR="00BA49F5" w:rsidRDefault="00BA49F5">
            <w:pPr>
              <w:rPr>
                <w:rFonts w:ascii="宋体"/>
              </w:rPr>
            </w:pPr>
          </w:p>
        </w:tc>
        <w:tc>
          <w:tcPr>
            <w:tcW w:w="491" w:type="pct"/>
            <w:shd w:val="clear" w:color="auto" w:fill="auto"/>
            <w:vAlign w:val="bottom"/>
          </w:tcPr>
          <w:p w14:paraId="5CD90ABE" w14:textId="77777777" w:rsidR="00BA49F5" w:rsidRDefault="00BA49F5">
            <w:pPr>
              <w:rPr>
                <w:rFonts w:ascii="宋体"/>
              </w:rPr>
            </w:pPr>
          </w:p>
        </w:tc>
        <w:tc>
          <w:tcPr>
            <w:tcW w:w="5" w:type="pct"/>
            <w:shd w:val="clear" w:color="auto" w:fill="auto"/>
            <w:vAlign w:val="bottom"/>
          </w:tcPr>
          <w:p w14:paraId="5CD90ABF" w14:textId="77777777" w:rsidR="00BA49F5" w:rsidRDefault="00BA49F5">
            <w:pPr>
              <w:rPr>
                <w:rFonts w:ascii="宋体"/>
              </w:rPr>
            </w:pPr>
          </w:p>
        </w:tc>
        <w:tc>
          <w:tcPr>
            <w:tcW w:w="5" w:type="pct"/>
            <w:shd w:val="clear" w:color="auto" w:fill="auto"/>
            <w:vAlign w:val="bottom"/>
          </w:tcPr>
          <w:p w14:paraId="5CD90AC0" w14:textId="77777777" w:rsidR="00BA49F5" w:rsidRDefault="00BA49F5">
            <w:pPr>
              <w:rPr>
                <w:rFonts w:ascii="宋体"/>
              </w:rPr>
            </w:pPr>
          </w:p>
        </w:tc>
        <w:tc>
          <w:tcPr>
            <w:tcW w:w="27" w:type="pct"/>
            <w:shd w:val="clear" w:color="auto" w:fill="auto"/>
            <w:vAlign w:val="bottom"/>
          </w:tcPr>
          <w:p w14:paraId="5CD90AC1" w14:textId="77777777" w:rsidR="00BA49F5" w:rsidRDefault="00BA49F5">
            <w:pPr>
              <w:rPr>
                <w:rFonts w:ascii="宋体"/>
              </w:rPr>
            </w:pPr>
          </w:p>
        </w:tc>
        <w:tc>
          <w:tcPr>
            <w:tcW w:w="5" w:type="pct"/>
            <w:shd w:val="clear" w:color="auto" w:fill="auto"/>
            <w:vAlign w:val="bottom"/>
          </w:tcPr>
          <w:p w14:paraId="5CD90AC2" w14:textId="77777777" w:rsidR="00BA49F5" w:rsidRDefault="00BA49F5">
            <w:pPr>
              <w:rPr>
                <w:rFonts w:ascii="宋体"/>
              </w:rPr>
            </w:pPr>
          </w:p>
        </w:tc>
        <w:tc>
          <w:tcPr>
            <w:tcW w:w="50" w:type="pct"/>
            <w:shd w:val="clear" w:color="auto" w:fill="auto"/>
            <w:vAlign w:val="bottom"/>
          </w:tcPr>
          <w:p w14:paraId="5CD90AC3" w14:textId="77777777" w:rsidR="00BA49F5" w:rsidRDefault="00BA49F5">
            <w:pPr>
              <w:rPr>
                <w:rFonts w:ascii="宋体"/>
              </w:rPr>
            </w:pPr>
          </w:p>
        </w:tc>
        <w:tc>
          <w:tcPr>
            <w:tcW w:w="341" w:type="pct"/>
            <w:shd w:val="clear" w:color="auto" w:fill="auto"/>
            <w:vAlign w:val="bottom"/>
          </w:tcPr>
          <w:p w14:paraId="5CD90AC4" w14:textId="77777777" w:rsidR="00BA49F5" w:rsidRDefault="00BA49F5">
            <w:pPr>
              <w:rPr>
                <w:rFonts w:ascii="宋体"/>
              </w:rPr>
            </w:pPr>
          </w:p>
        </w:tc>
        <w:tc>
          <w:tcPr>
            <w:tcW w:w="5" w:type="pct"/>
            <w:shd w:val="clear" w:color="auto" w:fill="auto"/>
            <w:vAlign w:val="bottom"/>
          </w:tcPr>
          <w:p w14:paraId="5CD90AC5" w14:textId="77777777" w:rsidR="00BA49F5" w:rsidRDefault="00BA49F5">
            <w:pPr>
              <w:rPr>
                <w:rFonts w:ascii="宋体"/>
              </w:rPr>
            </w:pPr>
          </w:p>
        </w:tc>
        <w:tc>
          <w:tcPr>
            <w:tcW w:w="5" w:type="pct"/>
            <w:shd w:val="clear" w:color="auto" w:fill="auto"/>
            <w:vAlign w:val="bottom"/>
          </w:tcPr>
          <w:p w14:paraId="5CD90AC6" w14:textId="77777777" w:rsidR="00BA49F5" w:rsidRDefault="00BA49F5">
            <w:pPr>
              <w:rPr>
                <w:rFonts w:ascii="宋体"/>
              </w:rPr>
            </w:pPr>
          </w:p>
        </w:tc>
        <w:tc>
          <w:tcPr>
            <w:tcW w:w="27" w:type="pct"/>
            <w:shd w:val="clear" w:color="auto" w:fill="auto"/>
            <w:vAlign w:val="bottom"/>
          </w:tcPr>
          <w:p w14:paraId="5CD90AC7" w14:textId="77777777" w:rsidR="00BA49F5" w:rsidRDefault="00BA49F5">
            <w:pPr>
              <w:rPr>
                <w:rFonts w:ascii="宋体"/>
              </w:rPr>
            </w:pPr>
          </w:p>
        </w:tc>
        <w:tc>
          <w:tcPr>
            <w:tcW w:w="5" w:type="pct"/>
            <w:shd w:val="clear" w:color="auto" w:fill="auto"/>
            <w:vAlign w:val="bottom"/>
          </w:tcPr>
          <w:p w14:paraId="5CD90AC8" w14:textId="77777777" w:rsidR="00BA49F5" w:rsidRDefault="00BA49F5">
            <w:pPr>
              <w:rPr>
                <w:rFonts w:ascii="宋体"/>
              </w:rPr>
            </w:pPr>
          </w:p>
        </w:tc>
        <w:tc>
          <w:tcPr>
            <w:tcW w:w="50" w:type="pct"/>
            <w:shd w:val="clear" w:color="auto" w:fill="auto"/>
            <w:vAlign w:val="bottom"/>
          </w:tcPr>
          <w:p w14:paraId="5CD90AC9" w14:textId="77777777" w:rsidR="00BA49F5" w:rsidRDefault="00BA49F5">
            <w:pPr>
              <w:rPr>
                <w:rFonts w:ascii="宋体"/>
              </w:rPr>
            </w:pPr>
          </w:p>
        </w:tc>
        <w:tc>
          <w:tcPr>
            <w:tcW w:w="723" w:type="pct"/>
            <w:shd w:val="clear" w:color="auto" w:fill="auto"/>
            <w:vAlign w:val="bottom"/>
          </w:tcPr>
          <w:p w14:paraId="5CD90ACA" w14:textId="77777777" w:rsidR="00BA49F5" w:rsidRDefault="00BA49F5">
            <w:pPr>
              <w:rPr>
                <w:rFonts w:ascii="宋体"/>
              </w:rPr>
            </w:pPr>
          </w:p>
        </w:tc>
        <w:tc>
          <w:tcPr>
            <w:tcW w:w="5" w:type="pct"/>
            <w:shd w:val="clear" w:color="auto" w:fill="auto"/>
            <w:vAlign w:val="bottom"/>
          </w:tcPr>
          <w:p w14:paraId="5CD90ACB" w14:textId="77777777" w:rsidR="00BA49F5" w:rsidRDefault="00BA49F5">
            <w:pPr>
              <w:rPr>
                <w:rFonts w:ascii="宋体"/>
              </w:rPr>
            </w:pPr>
          </w:p>
        </w:tc>
        <w:tc>
          <w:tcPr>
            <w:tcW w:w="5" w:type="pct"/>
            <w:shd w:val="clear" w:color="auto" w:fill="auto"/>
            <w:vAlign w:val="bottom"/>
          </w:tcPr>
          <w:p w14:paraId="5CD90ACC" w14:textId="77777777" w:rsidR="00BA49F5" w:rsidRDefault="00BA49F5">
            <w:pPr>
              <w:rPr>
                <w:rFonts w:ascii="宋体"/>
              </w:rPr>
            </w:pPr>
          </w:p>
        </w:tc>
        <w:tc>
          <w:tcPr>
            <w:tcW w:w="27" w:type="pct"/>
            <w:shd w:val="clear" w:color="auto" w:fill="auto"/>
            <w:vAlign w:val="bottom"/>
          </w:tcPr>
          <w:p w14:paraId="5CD90ACD" w14:textId="77777777" w:rsidR="00BA49F5" w:rsidRDefault="00BA49F5">
            <w:pPr>
              <w:rPr>
                <w:rFonts w:ascii="宋体"/>
              </w:rPr>
            </w:pPr>
          </w:p>
        </w:tc>
        <w:tc>
          <w:tcPr>
            <w:tcW w:w="5" w:type="pct"/>
            <w:shd w:val="clear" w:color="auto" w:fill="auto"/>
            <w:vAlign w:val="bottom"/>
          </w:tcPr>
          <w:p w14:paraId="5CD90ACE" w14:textId="77777777" w:rsidR="00BA49F5" w:rsidRDefault="00BA49F5">
            <w:pPr>
              <w:rPr>
                <w:rFonts w:ascii="宋体"/>
              </w:rPr>
            </w:pPr>
          </w:p>
        </w:tc>
        <w:tc>
          <w:tcPr>
            <w:tcW w:w="50" w:type="pct"/>
            <w:shd w:val="clear" w:color="auto" w:fill="auto"/>
            <w:vAlign w:val="bottom"/>
          </w:tcPr>
          <w:p w14:paraId="5CD90ACF" w14:textId="77777777" w:rsidR="00BA49F5" w:rsidRDefault="00BA49F5">
            <w:pPr>
              <w:rPr>
                <w:rFonts w:ascii="宋体"/>
              </w:rPr>
            </w:pPr>
          </w:p>
        </w:tc>
        <w:tc>
          <w:tcPr>
            <w:tcW w:w="341" w:type="pct"/>
            <w:shd w:val="clear" w:color="auto" w:fill="auto"/>
            <w:vAlign w:val="bottom"/>
          </w:tcPr>
          <w:p w14:paraId="5CD90AD0" w14:textId="77777777" w:rsidR="00BA49F5" w:rsidRDefault="00BA49F5">
            <w:pPr>
              <w:rPr>
                <w:rFonts w:ascii="宋体"/>
              </w:rPr>
            </w:pPr>
          </w:p>
        </w:tc>
        <w:tc>
          <w:tcPr>
            <w:tcW w:w="5" w:type="pct"/>
            <w:shd w:val="clear" w:color="auto" w:fill="auto"/>
            <w:vAlign w:val="bottom"/>
          </w:tcPr>
          <w:p w14:paraId="5CD90AD1" w14:textId="77777777" w:rsidR="00BA49F5" w:rsidRDefault="00BA49F5">
            <w:pPr>
              <w:rPr>
                <w:rFonts w:ascii="宋体"/>
              </w:rPr>
            </w:pPr>
          </w:p>
        </w:tc>
      </w:tr>
      <w:tr w:rsidR="00BA49F5" w14:paraId="5CD90ADA"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AD3"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5CD90AD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D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D6" w14:textId="77777777" w:rsidR="00BA49F5" w:rsidRDefault="00BA49F5">
            <w:pPr>
              <w:rPr>
                <w:rFonts w:ascii="宋体"/>
              </w:rPr>
            </w:pPr>
          </w:p>
        </w:tc>
        <w:tc>
          <w:tcPr>
            <w:tcW w:w="0" w:type="auto"/>
            <w:gridSpan w:val="21"/>
            <w:shd w:val="clear" w:color="auto" w:fill="auto"/>
            <w:tcMar>
              <w:top w:w="40" w:type="dxa"/>
              <w:left w:w="20" w:type="dxa"/>
              <w:bottom w:w="40" w:type="dxa"/>
              <w:right w:w="20" w:type="dxa"/>
            </w:tcMar>
            <w:vAlign w:val="bottom"/>
          </w:tcPr>
          <w:p w14:paraId="5CD90AD7" w14:textId="77777777" w:rsidR="00BA49F5" w:rsidRDefault="007E5E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5CD90AD8" w14:textId="77777777" w:rsidR="00BA49F5" w:rsidRDefault="00BA49F5">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5CD90AD9" w14:textId="77777777" w:rsidR="00BA49F5" w:rsidRDefault="007E5E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A49F5" w14:paraId="5CD90AE8" w14:textId="77777777">
        <w:trPr>
          <w:trHeight w:val="300"/>
          <w:jc w:val="center"/>
        </w:trPr>
        <w:tc>
          <w:tcPr>
            <w:tcW w:w="0" w:type="auto"/>
            <w:gridSpan w:val="3"/>
            <w:shd w:val="clear" w:color="auto" w:fill="auto"/>
            <w:tcMar>
              <w:top w:w="40" w:type="dxa"/>
              <w:left w:w="20" w:type="dxa"/>
              <w:bottom w:w="40" w:type="dxa"/>
              <w:right w:w="20" w:type="dxa"/>
            </w:tcMar>
            <w:vAlign w:val="bottom"/>
          </w:tcPr>
          <w:p w14:paraId="5CD90ADB" w14:textId="77777777" w:rsidR="00BA49F5" w:rsidRDefault="007E5E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5CD90ADC" w14:textId="77777777" w:rsidR="00BA49F5" w:rsidRDefault="00BA49F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CD90ADD" w14:textId="77777777" w:rsidR="00BA49F5" w:rsidRDefault="007E5E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5CD90ADE"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ADF" w14:textId="77777777" w:rsidR="00BA49F5" w:rsidRDefault="007E5E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AE0"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AE1" w14:textId="77777777" w:rsidR="00BA49F5" w:rsidRDefault="007E5E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AE2"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AE3" w14:textId="77777777" w:rsidR="00BA49F5" w:rsidRDefault="007E5E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AE4" w14:textId="77777777" w:rsidR="00BA49F5" w:rsidRDefault="00BA49F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CD90AE5" w14:textId="77777777" w:rsidR="00BA49F5" w:rsidRDefault="007E5E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5CD90AE6" w14:textId="77777777" w:rsidR="00BA49F5" w:rsidRDefault="00BA49F5">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5CD90AE7" w14:textId="77777777" w:rsidR="00BA49F5" w:rsidRDefault="00BA49F5">
            <w:pPr>
              <w:jc w:val="center"/>
              <w:rPr>
                <w:rFonts w:ascii="宋体"/>
              </w:rPr>
            </w:pPr>
          </w:p>
        </w:tc>
      </w:tr>
      <w:tr w:rsidR="00BA49F5" w14:paraId="5CD90AF0"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AE9"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A"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B"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C"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D"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E" w14:textId="77777777" w:rsidR="00BA49F5" w:rsidRDefault="00BA49F5">
            <w:pPr>
              <w:rPr>
                <w:rFonts w:ascii="宋体"/>
              </w:rPr>
            </w:pPr>
          </w:p>
        </w:tc>
        <w:tc>
          <w:tcPr>
            <w:tcW w:w="0" w:type="auto"/>
            <w:gridSpan w:val="6"/>
            <w:shd w:val="clear" w:color="auto" w:fill="auto"/>
            <w:tcMar>
              <w:top w:w="0" w:type="dxa"/>
              <w:left w:w="20" w:type="dxa"/>
              <w:bottom w:w="0" w:type="dxa"/>
              <w:right w:w="20" w:type="dxa"/>
            </w:tcMar>
            <w:vAlign w:val="bottom"/>
          </w:tcPr>
          <w:p w14:paraId="5CD90AEF" w14:textId="77777777" w:rsidR="00BA49F5" w:rsidRDefault="00BA49F5">
            <w:pPr>
              <w:rPr>
                <w:rFonts w:ascii="宋体"/>
              </w:rPr>
            </w:pPr>
          </w:p>
        </w:tc>
      </w:tr>
      <w:tr w:rsidR="00BA49F5" w14:paraId="5CD90AFE" w14:textId="77777777">
        <w:trPr>
          <w:jc w:val="center"/>
        </w:trPr>
        <w:tc>
          <w:tcPr>
            <w:tcW w:w="0" w:type="auto"/>
            <w:gridSpan w:val="3"/>
            <w:shd w:val="clear" w:color="auto" w:fill="auto"/>
            <w:tcMar>
              <w:top w:w="40" w:type="dxa"/>
              <w:left w:w="20" w:type="dxa"/>
              <w:bottom w:w="40" w:type="dxa"/>
              <w:right w:w="20" w:type="dxa"/>
            </w:tcMar>
          </w:tcPr>
          <w:p w14:paraId="5CD90AF1" w14:textId="77777777" w:rsidR="00BA49F5" w:rsidRDefault="007E5E49">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5CD90AF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F3" w14:textId="77777777" w:rsidR="00BA49F5" w:rsidRDefault="007E5E49">
            <w:pPr>
              <w:textAlignment w:val="top"/>
            </w:pPr>
            <w:hyperlink r:id="rId396" w:history="1">
              <w:r>
                <w:rPr>
                  <w:rStyle w:val="a5"/>
                  <w:rFonts w:ascii="Times New Roman" w:eastAsia="宋体" w:hAnsi="Times New Roman"/>
                  <w:sz w:val="20"/>
                  <w:szCs w:val="20"/>
                </w:rPr>
                <w:t xml:space="preserve">Certification of </w:t>
              </w:r>
            </w:hyperlink>
            <w:hyperlink r:id="rId397" w:history="1">
              <w:r>
                <w:rPr>
                  <w:rStyle w:val="a5"/>
                  <w:rFonts w:ascii="Times New Roman" w:eastAsia="宋体" w:hAnsi="Times New Roman"/>
                  <w:sz w:val="20"/>
                  <w:szCs w:val="20"/>
                </w:rPr>
                <w:t xml:space="preserve">Susan </w:t>
              </w:r>
              <w:r>
                <w:rPr>
                  <w:rStyle w:val="a5"/>
                  <w:rFonts w:ascii="Times New Roman" w:eastAsia="宋体" w:hAnsi="Times New Roman"/>
                  <w:sz w:val="20"/>
                  <w:szCs w:val="20"/>
                </w:rPr>
                <w:t>Li</w:t>
              </w:r>
            </w:hyperlink>
            <w:hyperlink r:id="rId398" w:history="1">
              <w:r>
                <w:rPr>
                  <w:rStyle w:val="a5"/>
                  <w:rFonts w:ascii="Times New Roman" w:eastAsia="宋体" w:hAnsi="Times New Roman"/>
                  <w:sz w:val="20"/>
                  <w:szCs w:val="20"/>
                </w:rPr>
                <w:t>, Chief Financial Officer, pursuant to 18 U.S.C. Section 1350, as adopted pursuant to Section 906 of the Sarbanes-Oxley Act of 2002.</w:t>
              </w:r>
            </w:hyperlink>
          </w:p>
        </w:tc>
        <w:tc>
          <w:tcPr>
            <w:tcW w:w="0" w:type="auto"/>
            <w:gridSpan w:val="3"/>
            <w:shd w:val="clear" w:color="auto" w:fill="auto"/>
            <w:tcMar>
              <w:top w:w="0" w:type="dxa"/>
              <w:left w:w="20" w:type="dxa"/>
              <w:bottom w:w="0" w:type="dxa"/>
              <w:right w:w="20" w:type="dxa"/>
            </w:tcMar>
            <w:vAlign w:val="bottom"/>
          </w:tcPr>
          <w:p w14:paraId="5CD90AF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AF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AFD"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0C" w14:textId="77777777">
        <w:trPr>
          <w:jc w:val="center"/>
        </w:trPr>
        <w:tc>
          <w:tcPr>
            <w:tcW w:w="0" w:type="auto"/>
            <w:gridSpan w:val="3"/>
            <w:shd w:val="clear" w:color="auto" w:fill="auto"/>
            <w:tcMar>
              <w:top w:w="40" w:type="dxa"/>
              <w:left w:w="20" w:type="dxa"/>
              <w:bottom w:w="40" w:type="dxa"/>
              <w:right w:w="20" w:type="dxa"/>
            </w:tcMar>
          </w:tcPr>
          <w:p w14:paraId="5CD90AFF" w14:textId="77777777" w:rsidR="00BA49F5" w:rsidRDefault="007E5E49">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CD90B0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01" w14:textId="77777777" w:rsidR="00BA49F5" w:rsidRDefault="007E5E49">
            <w:pPr>
              <w:textAlignment w:val="top"/>
            </w:pPr>
            <w:r>
              <w:rPr>
                <w:rFonts w:ascii="Times New Roman" w:eastAsia="宋体" w:hAnsi="Times New Roman"/>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5CD90B0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0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0B"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1A" w14:textId="77777777">
        <w:trPr>
          <w:jc w:val="center"/>
        </w:trPr>
        <w:tc>
          <w:tcPr>
            <w:tcW w:w="0" w:type="auto"/>
            <w:gridSpan w:val="3"/>
            <w:shd w:val="clear" w:color="auto" w:fill="auto"/>
            <w:tcMar>
              <w:top w:w="40" w:type="dxa"/>
              <w:left w:w="20" w:type="dxa"/>
              <w:bottom w:w="40" w:type="dxa"/>
              <w:right w:w="20" w:type="dxa"/>
            </w:tcMar>
          </w:tcPr>
          <w:p w14:paraId="5CD90B0D" w14:textId="77777777" w:rsidR="00BA49F5" w:rsidRDefault="007E5E49">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CD90B0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0F" w14:textId="77777777" w:rsidR="00BA49F5" w:rsidRDefault="007E5E49">
            <w:pPr>
              <w:textAlignment w:val="top"/>
            </w:pPr>
            <w:r>
              <w:rPr>
                <w:rFonts w:ascii="Times New Roman" w:eastAsia="宋体" w:hAnsi="Times New Roman"/>
                <w:color w:val="000000"/>
                <w:sz w:val="20"/>
                <w:szCs w:val="20"/>
              </w:rPr>
              <w:t xml:space="preserve">Inline XBRL Taxonomy Extension Schema </w:t>
            </w:r>
            <w:r>
              <w:rPr>
                <w:rFonts w:ascii="Times New Roman" w:eastAsia="宋体" w:hAnsi="Times New Roman"/>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5CD90B1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19"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28" w14:textId="77777777">
        <w:trPr>
          <w:jc w:val="center"/>
        </w:trPr>
        <w:tc>
          <w:tcPr>
            <w:tcW w:w="0" w:type="auto"/>
            <w:gridSpan w:val="3"/>
            <w:shd w:val="clear" w:color="auto" w:fill="auto"/>
            <w:tcMar>
              <w:top w:w="40" w:type="dxa"/>
              <w:left w:w="20" w:type="dxa"/>
              <w:bottom w:w="40" w:type="dxa"/>
              <w:right w:w="20" w:type="dxa"/>
            </w:tcMar>
          </w:tcPr>
          <w:p w14:paraId="5CD90B1B" w14:textId="77777777" w:rsidR="00BA49F5" w:rsidRDefault="007E5E49">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CD90B1C"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1D" w14:textId="77777777" w:rsidR="00BA49F5" w:rsidRDefault="007E5E49">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5CD90B1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1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27"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36" w14:textId="77777777">
        <w:trPr>
          <w:jc w:val="center"/>
        </w:trPr>
        <w:tc>
          <w:tcPr>
            <w:tcW w:w="0" w:type="auto"/>
            <w:gridSpan w:val="3"/>
            <w:shd w:val="clear" w:color="auto" w:fill="auto"/>
            <w:tcMar>
              <w:top w:w="40" w:type="dxa"/>
              <w:left w:w="20" w:type="dxa"/>
              <w:bottom w:w="40" w:type="dxa"/>
              <w:right w:w="20" w:type="dxa"/>
            </w:tcMar>
          </w:tcPr>
          <w:p w14:paraId="5CD90B29" w14:textId="77777777" w:rsidR="00BA49F5" w:rsidRDefault="007E5E49">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CD90B2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2B" w14:textId="77777777" w:rsidR="00BA49F5" w:rsidRDefault="007E5E49">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5CD90B2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2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35"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44" w14:textId="77777777">
        <w:trPr>
          <w:jc w:val="center"/>
        </w:trPr>
        <w:tc>
          <w:tcPr>
            <w:tcW w:w="0" w:type="auto"/>
            <w:gridSpan w:val="3"/>
            <w:shd w:val="clear" w:color="auto" w:fill="auto"/>
            <w:tcMar>
              <w:top w:w="40" w:type="dxa"/>
              <w:left w:w="20" w:type="dxa"/>
              <w:bottom w:w="40" w:type="dxa"/>
              <w:right w:w="20" w:type="dxa"/>
            </w:tcMar>
          </w:tcPr>
          <w:p w14:paraId="5CD90B37" w14:textId="77777777" w:rsidR="00BA49F5" w:rsidRDefault="007E5E49">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CD90B3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39" w14:textId="77777777" w:rsidR="00BA49F5" w:rsidRDefault="007E5E49">
            <w:pPr>
              <w:textAlignment w:val="top"/>
            </w:pPr>
            <w:r>
              <w:rPr>
                <w:rFonts w:ascii="Times New Roman" w:eastAsia="宋体" w:hAnsi="Times New Roman"/>
                <w:color w:val="000000"/>
                <w:sz w:val="20"/>
                <w:szCs w:val="20"/>
              </w:rPr>
              <w:t xml:space="preserve">Inline XBRL Taxonomy Extension Labels Linkbase </w:t>
            </w:r>
            <w:r>
              <w:rPr>
                <w:rFonts w:ascii="Times New Roman" w:eastAsia="宋体" w:hAnsi="Times New Roman"/>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5CD90B3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3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2"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43"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52" w14:textId="77777777">
        <w:trPr>
          <w:jc w:val="center"/>
        </w:trPr>
        <w:tc>
          <w:tcPr>
            <w:tcW w:w="0" w:type="auto"/>
            <w:gridSpan w:val="3"/>
            <w:shd w:val="clear" w:color="auto" w:fill="auto"/>
            <w:tcMar>
              <w:top w:w="40" w:type="dxa"/>
              <w:left w:w="20" w:type="dxa"/>
              <w:bottom w:w="40" w:type="dxa"/>
              <w:right w:w="20" w:type="dxa"/>
            </w:tcMar>
          </w:tcPr>
          <w:p w14:paraId="5CD90B45" w14:textId="77777777" w:rsidR="00BA49F5" w:rsidRDefault="007E5E49">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CD90B46"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47" w14:textId="77777777" w:rsidR="00BA49F5" w:rsidRDefault="007E5E49">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5CD90B4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4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0"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51" w14:textId="77777777" w:rsidR="00BA49F5" w:rsidRDefault="007E5E49">
            <w:pPr>
              <w:jc w:val="center"/>
              <w:textAlignment w:val="top"/>
            </w:pPr>
            <w:r>
              <w:rPr>
                <w:rFonts w:ascii="Times New Roman" w:eastAsia="宋体" w:hAnsi="Times New Roman"/>
                <w:color w:val="000000"/>
                <w:sz w:val="20"/>
                <w:szCs w:val="20"/>
              </w:rPr>
              <w:t>X</w:t>
            </w:r>
          </w:p>
        </w:tc>
      </w:tr>
      <w:tr w:rsidR="00BA49F5" w14:paraId="5CD90B60" w14:textId="77777777">
        <w:trPr>
          <w:jc w:val="center"/>
        </w:trPr>
        <w:tc>
          <w:tcPr>
            <w:tcW w:w="0" w:type="auto"/>
            <w:gridSpan w:val="3"/>
            <w:shd w:val="clear" w:color="auto" w:fill="auto"/>
            <w:tcMar>
              <w:top w:w="40" w:type="dxa"/>
              <w:left w:w="20" w:type="dxa"/>
              <w:bottom w:w="40" w:type="dxa"/>
              <w:right w:w="20" w:type="dxa"/>
            </w:tcMar>
          </w:tcPr>
          <w:p w14:paraId="5CD90B53" w14:textId="77777777" w:rsidR="00BA49F5" w:rsidRDefault="007E5E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5CD90B54"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55" w14:textId="77777777" w:rsidR="00BA49F5" w:rsidRDefault="007E5E49">
            <w:pPr>
              <w:textAlignment w:val="top"/>
            </w:pPr>
            <w:r>
              <w:rPr>
                <w:rFonts w:ascii="Times New Roman" w:eastAsia="宋体" w:hAnsi="Times New Roman"/>
                <w:color w:val="000000"/>
                <w:sz w:val="20"/>
                <w:szCs w:val="20"/>
              </w:rPr>
              <w:t>Cover Page Interactive Data File (formatted as inline XBRL and contained in Exhibit 101).</w:t>
            </w:r>
          </w:p>
        </w:tc>
        <w:tc>
          <w:tcPr>
            <w:tcW w:w="0" w:type="auto"/>
            <w:gridSpan w:val="3"/>
            <w:shd w:val="clear" w:color="auto" w:fill="auto"/>
            <w:tcMar>
              <w:top w:w="0" w:type="dxa"/>
              <w:left w:w="20" w:type="dxa"/>
              <w:bottom w:w="0" w:type="dxa"/>
              <w:right w:w="20" w:type="dxa"/>
            </w:tcMar>
            <w:vAlign w:val="bottom"/>
          </w:tcPr>
          <w:p w14:paraId="5CD90B5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5E"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tcPr>
          <w:p w14:paraId="5CD90B5F" w14:textId="77777777" w:rsidR="00BA49F5" w:rsidRDefault="007E5E49">
            <w:pPr>
              <w:jc w:val="center"/>
              <w:textAlignment w:val="top"/>
            </w:pPr>
            <w:r>
              <w:rPr>
                <w:rFonts w:ascii="Times New Roman" w:eastAsia="宋体" w:hAnsi="Times New Roman"/>
                <w:color w:val="000000"/>
                <w:sz w:val="20"/>
                <w:szCs w:val="20"/>
              </w:rPr>
              <w:t>X</w:t>
            </w:r>
          </w:p>
        </w:tc>
      </w:tr>
    </w:tbl>
    <w:p w14:paraId="5CD90B61" w14:textId="77777777" w:rsidR="00BA49F5" w:rsidRDefault="00BA49F5"/>
    <w:p w14:paraId="5CD90B62" w14:textId="77777777" w:rsidR="00BA49F5" w:rsidRDefault="007E5E49">
      <w:pPr>
        <w:ind w:firstLine="540"/>
      </w:pPr>
      <w:r>
        <w:rPr>
          <w:rFonts w:ascii="Times New Roman" w:eastAsia="宋体" w:hAnsi="Times New Roman"/>
          <w:color w:val="000000"/>
          <w:sz w:val="20"/>
          <w:szCs w:val="20"/>
        </w:rPr>
        <w:t xml:space="preserve">+ Indicates a management contract or </w:t>
      </w:r>
      <w:r>
        <w:rPr>
          <w:rFonts w:ascii="Times New Roman" w:eastAsia="宋体" w:hAnsi="Times New Roman"/>
          <w:color w:val="000000"/>
          <w:sz w:val="20"/>
          <w:szCs w:val="20"/>
        </w:rPr>
        <w:t>compensatory plan.    </w:t>
      </w:r>
    </w:p>
    <w:p w14:paraId="5CD90B63" w14:textId="77777777" w:rsidR="00BA49F5" w:rsidRDefault="00BA49F5">
      <w:pPr>
        <w:ind w:firstLine="540"/>
      </w:pPr>
    </w:p>
    <w:p w14:paraId="5CD90B64" w14:textId="77777777" w:rsidR="00BA49F5" w:rsidRDefault="007E5E49">
      <w:pPr>
        <w:ind w:firstLine="540"/>
      </w:pPr>
      <w:r>
        <w:rPr>
          <w:rFonts w:ascii="Times New Roman" w:eastAsia="宋体" w:hAnsi="Times New Roman"/>
          <w:color w:val="000000"/>
          <w:sz w:val="20"/>
          <w:szCs w:val="20"/>
        </w:rPr>
        <w:t># This certification is deemed not filed for purposes of Section 18 of the Securities Exchange Act of 1934, as amended (Exchange Act), or otherwise subject to the liability of that section, nor shall it be deemed incorporated by ref</w:t>
      </w:r>
      <w:r>
        <w:rPr>
          <w:rFonts w:ascii="Times New Roman" w:eastAsia="宋体" w:hAnsi="Times New Roman"/>
          <w:color w:val="000000"/>
          <w:sz w:val="20"/>
          <w:szCs w:val="20"/>
        </w:rPr>
        <w:t>erence into any filing under the Securities Act of 1933, as amended, or the Exchange Act.</w:t>
      </w:r>
    </w:p>
    <w:p w14:paraId="5CD90B65" w14:textId="77777777" w:rsidR="00BA49F5" w:rsidRDefault="00BA49F5">
      <w:pPr>
        <w:jc w:val="both"/>
      </w:pPr>
    </w:p>
    <w:p w14:paraId="5CD90B66" w14:textId="77777777" w:rsidR="00BA49F5" w:rsidRDefault="007E5E49">
      <w:pPr>
        <w:ind w:hanging="720"/>
      </w:pPr>
      <w:r>
        <w:rPr>
          <w:rFonts w:ascii="Times New Roman" w:eastAsia="宋体" w:hAnsi="Times New Roman"/>
          <w:b/>
          <w:bCs/>
          <w:color w:val="000000"/>
          <w:sz w:val="20"/>
          <w:szCs w:val="20"/>
        </w:rPr>
        <w:t>Item 16. Form 10-K Summary</w:t>
      </w:r>
    </w:p>
    <w:p w14:paraId="5CD90B67" w14:textId="77777777" w:rsidR="00BA49F5" w:rsidRDefault="00BA49F5"/>
    <w:p w14:paraId="5CD90B68" w14:textId="77777777" w:rsidR="00BA49F5" w:rsidRDefault="007E5E49">
      <w:pPr>
        <w:ind w:firstLine="540"/>
      </w:pPr>
      <w:r>
        <w:rPr>
          <w:rFonts w:ascii="Times New Roman" w:eastAsia="宋体" w:hAnsi="Times New Roman"/>
          <w:color w:val="000000"/>
          <w:sz w:val="20"/>
          <w:szCs w:val="20"/>
        </w:rPr>
        <w:t>None.</w:t>
      </w:r>
    </w:p>
    <w:p w14:paraId="5CD90B69" w14:textId="77777777" w:rsidR="00BA49F5" w:rsidRDefault="007E5E49">
      <w:pPr>
        <w:jc w:val="center"/>
      </w:pPr>
      <w:r>
        <w:rPr>
          <w:rFonts w:ascii="Times New Roman" w:eastAsia="宋体" w:hAnsi="Times New Roman"/>
          <w:color w:val="000000"/>
          <w:sz w:val="20"/>
          <w:szCs w:val="20"/>
        </w:rPr>
        <w:t>124</w:t>
      </w:r>
    </w:p>
    <w:p w14:paraId="5CD90B6A" w14:textId="77777777" w:rsidR="00BA49F5" w:rsidRDefault="007E5E49">
      <w:r>
        <w:pict w14:anchorId="5CD90D71">
          <v:rect id="_x0000_i1148" style="width:415.3pt;height:1.5pt" o:hralign="center" o:hrstd="t" o:hr="t" fillcolor="#a0a0a0" stroked="f"/>
        </w:pict>
      </w:r>
    </w:p>
    <w:p w14:paraId="5CD90B6B" w14:textId="77777777" w:rsidR="00BA49F5" w:rsidRDefault="00BA49F5"/>
    <w:p w14:paraId="5CD90B6C" w14:textId="77777777" w:rsidR="00BA49F5" w:rsidRDefault="00BA49F5"/>
    <w:p w14:paraId="5CD90B6D" w14:textId="77777777" w:rsidR="00BA49F5" w:rsidRDefault="007E5E49">
      <w:hyperlink r:id="rId399" w:anchor="i6df229dad1864210ab76200083e26819_7" w:history="1">
        <w:r>
          <w:rPr>
            <w:rStyle w:val="a5"/>
            <w:rFonts w:ascii="Times New Roman" w:eastAsia="宋体" w:hAnsi="Times New Roman"/>
            <w:sz w:val="20"/>
            <w:szCs w:val="20"/>
          </w:rPr>
          <w:t>T</w:t>
        </w:r>
      </w:hyperlink>
      <w:hyperlink r:id="rId400" w:anchor="i6df229dad1864210ab76200083e26819_7" w:history="1">
        <w:r>
          <w:rPr>
            <w:rStyle w:val="a5"/>
            <w:rFonts w:ascii="Times New Roman" w:eastAsia="宋体" w:hAnsi="Times New Roman"/>
            <w:sz w:val="20"/>
            <w:szCs w:val="20"/>
          </w:rPr>
          <w:t>able of Contents</w:t>
        </w:r>
      </w:hyperlink>
    </w:p>
    <w:p w14:paraId="5CD90B6E" w14:textId="77777777" w:rsidR="00BA49F5" w:rsidRDefault="007E5E49">
      <w:pPr>
        <w:jc w:val="center"/>
      </w:pPr>
      <w:r>
        <w:rPr>
          <w:rFonts w:ascii="Times New Roman" w:eastAsia="宋体" w:hAnsi="Times New Roman"/>
          <w:b/>
          <w:bCs/>
          <w:color w:val="000000"/>
          <w:sz w:val="20"/>
          <w:szCs w:val="20"/>
        </w:rPr>
        <w:t>SIGNATURES</w:t>
      </w:r>
    </w:p>
    <w:p w14:paraId="5CD90B6F" w14:textId="77777777" w:rsidR="00BA49F5" w:rsidRDefault="00BA49F5">
      <w:pPr>
        <w:jc w:val="center"/>
      </w:pPr>
    </w:p>
    <w:p w14:paraId="5CD90B70" w14:textId="77777777" w:rsidR="00BA49F5" w:rsidRDefault="007E5E49">
      <w:pPr>
        <w:ind w:firstLine="540"/>
        <w:jc w:val="both"/>
      </w:pPr>
      <w:r>
        <w:rPr>
          <w:rFonts w:ascii="Times New Roman" w:eastAsia="宋体" w:hAnsi="Times New Roman"/>
          <w:color w:val="000000"/>
          <w:sz w:val="20"/>
          <w:szCs w:val="20"/>
        </w:rPr>
        <w:t>Pursuant to the requirements of Section 13 or 15(d) of the Securities Exchange Act of 1934, the Registrant has duly caused this Annual Report on Form 10-K to be signed on its b</w:t>
      </w:r>
      <w:r>
        <w:rPr>
          <w:rFonts w:ascii="Times New Roman" w:eastAsia="宋体" w:hAnsi="Times New Roman"/>
          <w:color w:val="000000"/>
          <w:sz w:val="20"/>
          <w:szCs w:val="20"/>
        </w:rPr>
        <w:t>ehalf by the undersigned, thereunto duly authorized, in the City of Menlo Park, State of California, on this 1st day of February 2023.</w:t>
      </w:r>
    </w:p>
    <w:p w14:paraId="5CD90B71" w14:textId="77777777" w:rsidR="00BA49F5" w:rsidRDefault="00BA49F5">
      <w:pPr>
        <w:ind w:firstLine="495"/>
        <w:jc w:val="both"/>
      </w:pPr>
    </w:p>
    <w:tbl>
      <w:tblPr>
        <w:tblW w:w="5000" w:type="pct"/>
        <w:tblCellMar>
          <w:top w:w="15" w:type="dxa"/>
          <w:left w:w="15" w:type="dxa"/>
          <w:bottom w:w="15" w:type="dxa"/>
          <w:right w:w="15" w:type="dxa"/>
        </w:tblCellMar>
        <w:tblLook w:val="04A0" w:firstRow="1" w:lastRow="0" w:firstColumn="1" w:lastColumn="0" w:noHBand="0" w:noVBand="1"/>
      </w:tblPr>
      <w:tblGrid>
        <w:gridCol w:w="69"/>
        <w:gridCol w:w="725"/>
        <w:gridCol w:w="36"/>
        <w:gridCol w:w="69"/>
        <w:gridCol w:w="2140"/>
        <w:gridCol w:w="36"/>
        <w:gridCol w:w="69"/>
        <w:gridCol w:w="725"/>
        <w:gridCol w:w="36"/>
        <w:gridCol w:w="70"/>
        <w:gridCol w:w="4325"/>
        <w:gridCol w:w="36"/>
      </w:tblGrid>
      <w:tr w:rsidR="00BA49F5" w14:paraId="5CD90B7E" w14:textId="77777777">
        <w:tc>
          <w:tcPr>
            <w:tcW w:w="50" w:type="pct"/>
            <w:shd w:val="clear" w:color="auto" w:fill="auto"/>
            <w:vAlign w:val="bottom"/>
          </w:tcPr>
          <w:p w14:paraId="5CD90B72" w14:textId="77777777" w:rsidR="00BA49F5" w:rsidRDefault="00BA49F5">
            <w:pPr>
              <w:rPr>
                <w:rFonts w:ascii="宋体"/>
              </w:rPr>
            </w:pPr>
          </w:p>
        </w:tc>
        <w:tc>
          <w:tcPr>
            <w:tcW w:w="443" w:type="pct"/>
            <w:shd w:val="clear" w:color="auto" w:fill="auto"/>
            <w:vAlign w:val="bottom"/>
          </w:tcPr>
          <w:p w14:paraId="5CD90B73" w14:textId="77777777" w:rsidR="00BA49F5" w:rsidRDefault="00BA49F5">
            <w:pPr>
              <w:rPr>
                <w:rFonts w:ascii="宋体"/>
              </w:rPr>
            </w:pPr>
          </w:p>
        </w:tc>
        <w:tc>
          <w:tcPr>
            <w:tcW w:w="5" w:type="pct"/>
            <w:shd w:val="clear" w:color="auto" w:fill="auto"/>
            <w:vAlign w:val="bottom"/>
          </w:tcPr>
          <w:p w14:paraId="5CD90B74" w14:textId="77777777" w:rsidR="00BA49F5" w:rsidRDefault="00BA49F5">
            <w:pPr>
              <w:rPr>
                <w:rFonts w:ascii="宋体"/>
              </w:rPr>
            </w:pPr>
          </w:p>
        </w:tc>
        <w:tc>
          <w:tcPr>
            <w:tcW w:w="50" w:type="pct"/>
            <w:shd w:val="clear" w:color="auto" w:fill="auto"/>
            <w:vAlign w:val="bottom"/>
          </w:tcPr>
          <w:p w14:paraId="5CD90B75" w14:textId="77777777" w:rsidR="00BA49F5" w:rsidRDefault="00BA49F5">
            <w:pPr>
              <w:rPr>
                <w:rFonts w:ascii="宋体"/>
              </w:rPr>
            </w:pPr>
          </w:p>
        </w:tc>
        <w:tc>
          <w:tcPr>
            <w:tcW w:w="1291" w:type="pct"/>
            <w:shd w:val="clear" w:color="auto" w:fill="auto"/>
            <w:vAlign w:val="bottom"/>
          </w:tcPr>
          <w:p w14:paraId="5CD90B76" w14:textId="77777777" w:rsidR="00BA49F5" w:rsidRDefault="00BA49F5">
            <w:pPr>
              <w:rPr>
                <w:rFonts w:ascii="宋体"/>
              </w:rPr>
            </w:pPr>
          </w:p>
        </w:tc>
        <w:tc>
          <w:tcPr>
            <w:tcW w:w="5" w:type="pct"/>
            <w:shd w:val="clear" w:color="auto" w:fill="auto"/>
            <w:vAlign w:val="bottom"/>
          </w:tcPr>
          <w:p w14:paraId="5CD90B77" w14:textId="77777777" w:rsidR="00BA49F5" w:rsidRDefault="00BA49F5">
            <w:pPr>
              <w:rPr>
                <w:rFonts w:ascii="宋体"/>
              </w:rPr>
            </w:pPr>
          </w:p>
        </w:tc>
        <w:tc>
          <w:tcPr>
            <w:tcW w:w="50" w:type="pct"/>
            <w:shd w:val="clear" w:color="auto" w:fill="auto"/>
            <w:vAlign w:val="bottom"/>
          </w:tcPr>
          <w:p w14:paraId="5CD90B78" w14:textId="77777777" w:rsidR="00BA49F5" w:rsidRDefault="00BA49F5">
            <w:pPr>
              <w:rPr>
                <w:rFonts w:ascii="宋体"/>
              </w:rPr>
            </w:pPr>
          </w:p>
        </w:tc>
        <w:tc>
          <w:tcPr>
            <w:tcW w:w="443" w:type="pct"/>
            <w:shd w:val="clear" w:color="auto" w:fill="auto"/>
            <w:vAlign w:val="bottom"/>
          </w:tcPr>
          <w:p w14:paraId="5CD90B79" w14:textId="77777777" w:rsidR="00BA49F5" w:rsidRDefault="00BA49F5">
            <w:pPr>
              <w:rPr>
                <w:rFonts w:ascii="宋体"/>
              </w:rPr>
            </w:pPr>
          </w:p>
        </w:tc>
        <w:tc>
          <w:tcPr>
            <w:tcW w:w="5" w:type="pct"/>
            <w:shd w:val="clear" w:color="auto" w:fill="auto"/>
            <w:vAlign w:val="bottom"/>
          </w:tcPr>
          <w:p w14:paraId="5CD90B7A" w14:textId="77777777" w:rsidR="00BA49F5" w:rsidRDefault="00BA49F5">
            <w:pPr>
              <w:rPr>
                <w:rFonts w:ascii="宋体"/>
              </w:rPr>
            </w:pPr>
          </w:p>
        </w:tc>
        <w:tc>
          <w:tcPr>
            <w:tcW w:w="50" w:type="pct"/>
            <w:shd w:val="clear" w:color="auto" w:fill="auto"/>
            <w:vAlign w:val="bottom"/>
          </w:tcPr>
          <w:p w14:paraId="5CD90B7B" w14:textId="77777777" w:rsidR="00BA49F5" w:rsidRDefault="00BA49F5">
            <w:pPr>
              <w:rPr>
                <w:rFonts w:ascii="宋体"/>
              </w:rPr>
            </w:pPr>
          </w:p>
        </w:tc>
        <w:tc>
          <w:tcPr>
            <w:tcW w:w="2601" w:type="pct"/>
            <w:shd w:val="clear" w:color="auto" w:fill="auto"/>
            <w:vAlign w:val="bottom"/>
          </w:tcPr>
          <w:p w14:paraId="5CD90B7C" w14:textId="77777777" w:rsidR="00BA49F5" w:rsidRDefault="00BA49F5">
            <w:pPr>
              <w:rPr>
                <w:rFonts w:ascii="宋体"/>
              </w:rPr>
            </w:pPr>
          </w:p>
        </w:tc>
        <w:tc>
          <w:tcPr>
            <w:tcW w:w="5" w:type="pct"/>
            <w:shd w:val="clear" w:color="auto" w:fill="auto"/>
            <w:vAlign w:val="bottom"/>
          </w:tcPr>
          <w:p w14:paraId="5CD90B7D" w14:textId="77777777" w:rsidR="00BA49F5" w:rsidRDefault="00BA49F5">
            <w:pPr>
              <w:rPr>
                <w:rFonts w:ascii="宋体"/>
              </w:rPr>
            </w:pPr>
          </w:p>
        </w:tc>
      </w:tr>
      <w:tr w:rsidR="00BA49F5" w14:paraId="5CD90B83" w14:textId="77777777">
        <w:tc>
          <w:tcPr>
            <w:tcW w:w="0" w:type="auto"/>
            <w:gridSpan w:val="3"/>
            <w:shd w:val="clear" w:color="auto" w:fill="auto"/>
            <w:tcMar>
              <w:top w:w="0" w:type="dxa"/>
              <w:left w:w="20" w:type="dxa"/>
              <w:bottom w:w="0" w:type="dxa"/>
              <w:right w:w="20" w:type="dxa"/>
            </w:tcMar>
            <w:vAlign w:val="bottom"/>
          </w:tcPr>
          <w:p w14:paraId="5CD90B7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8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8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82" w14:textId="77777777" w:rsidR="00BA49F5" w:rsidRDefault="007E5E49">
            <w:pPr>
              <w:textAlignment w:val="bottom"/>
            </w:pPr>
            <w:r>
              <w:rPr>
                <w:rFonts w:ascii="Times New Roman" w:eastAsia="宋体" w:hAnsi="Times New Roman"/>
                <w:b/>
                <w:bCs/>
                <w:color w:val="000000"/>
                <w:sz w:val="20"/>
                <w:szCs w:val="20"/>
              </w:rPr>
              <w:t>META PLATFORMS, INC.</w:t>
            </w:r>
          </w:p>
        </w:tc>
      </w:tr>
      <w:tr w:rsidR="00BA49F5" w14:paraId="5CD90B88" w14:textId="77777777">
        <w:trPr>
          <w:trHeight w:val="300"/>
        </w:trPr>
        <w:tc>
          <w:tcPr>
            <w:tcW w:w="0" w:type="auto"/>
            <w:gridSpan w:val="3"/>
            <w:shd w:val="clear" w:color="auto" w:fill="auto"/>
            <w:tcMar>
              <w:top w:w="0" w:type="dxa"/>
              <w:left w:w="20" w:type="dxa"/>
              <w:bottom w:w="0" w:type="dxa"/>
              <w:right w:w="20" w:type="dxa"/>
            </w:tcMar>
            <w:vAlign w:val="bottom"/>
          </w:tcPr>
          <w:p w14:paraId="5CD90B8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8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8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87" w14:textId="77777777" w:rsidR="00BA49F5" w:rsidRDefault="00BA49F5">
            <w:pPr>
              <w:rPr>
                <w:rFonts w:ascii="宋体"/>
              </w:rPr>
            </w:pPr>
          </w:p>
        </w:tc>
      </w:tr>
      <w:tr w:rsidR="00BA49F5" w14:paraId="5CD90B8D" w14:textId="77777777">
        <w:tc>
          <w:tcPr>
            <w:tcW w:w="0" w:type="auto"/>
            <w:gridSpan w:val="3"/>
            <w:shd w:val="clear" w:color="auto" w:fill="auto"/>
            <w:tcMar>
              <w:top w:w="40" w:type="dxa"/>
              <w:left w:w="20" w:type="dxa"/>
              <w:bottom w:w="40" w:type="dxa"/>
              <w:right w:w="20" w:type="dxa"/>
            </w:tcMar>
            <w:vAlign w:val="bottom"/>
          </w:tcPr>
          <w:p w14:paraId="5CD90B89" w14:textId="77777777" w:rsidR="00BA49F5" w:rsidRDefault="007E5E49">
            <w:pPr>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5CD90B8A" w14:textId="77777777" w:rsidR="00BA49F5" w:rsidRDefault="007E5E49">
            <w:pPr>
              <w:textAlignment w:val="bottom"/>
            </w:pPr>
            <w:r>
              <w:rPr>
                <w:rFonts w:ascii="Times New Roman" w:eastAsia="宋体" w:hAnsi="Times New Roman"/>
                <w:color w:val="000000"/>
                <w:sz w:val="20"/>
                <w:szCs w:val="20"/>
              </w:rPr>
              <w:t>February 1, 2023</w:t>
            </w:r>
          </w:p>
        </w:tc>
        <w:tc>
          <w:tcPr>
            <w:tcW w:w="0" w:type="auto"/>
            <w:gridSpan w:val="3"/>
            <w:shd w:val="clear" w:color="auto" w:fill="auto"/>
            <w:tcMar>
              <w:top w:w="0" w:type="dxa"/>
              <w:left w:w="20" w:type="dxa"/>
              <w:bottom w:w="0" w:type="dxa"/>
              <w:right w:w="20" w:type="dxa"/>
            </w:tcMar>
            <w:vAlign w:val="bottom"/>
          </w:tcPr>
          <w:p w14:paraId="5CD90B8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8C" w14:textId="77777777" w:rsidR="00BA49F5" w:rsidRDefault="007E5E49">
            <w:pPr>
              <w:jc w:val="both"/>
              <w:textAlignment w:val="bottom"/>
            </w:pPr>
            <w:r>
              <w:rPr>
                <w:rFonts w:ascii="Times New Roman" w:eastAsia="宋体" w:hAnsi="Times New Roman"/>
                <w:color w:val="000000"/>
                <w:sz w:val="20"/>
                <w:szCs w:val="20"/>
              </w:rPr>
              <w:t>/s/ Susan Li </w:t>
            </w:r>
          </w:p>
        </w:tc>
      </w:tr>
      <w:tr w:rsidR="00BA49F5" w14:paraId="5CD90B92" w14:textId="77777777">
        <w:tc>
          <w:tcPr>
            <w:tcW w:w="0" w:type="auto"/>
            <w:gridSpan w:val="3"/>
            <w:shd w:val="clear" w:color="auto" w:fill="auto"/>
            <w:tcMar>
              <w:top w:w="0" w:type="dxa"/>
              <w:left w:w="20" w:type="dxa"/>
              <w:bottom w:w="0" w:type="dxa"/>
              <w:right w:w="20" w:type="dxa"/>
            </w:tcMar>
            <w:vAlign w:val="bottom"/>
          </w:tcPr>
          <w:p w14:paraId="5CD90B8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8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0" w14:textId="77777777" w:rsidR="00BA49F5" w:rsidRDefault="00BA49F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B91" w14:textId="77777777" w:rsidR="00BA49F5" w:rsidRDefault="007E5E49">
            <w:pPr>
              <w:textAlignment w:val="bottom"/>
            </w:pPr>
            <w:r>
              <w:rPr>
                <w:rFonts w:ascii="Times New Roman" w:eastAsia="宋体" w:hAnsi="Times New Roman"/>
                <w:b/>
                <w:bCs/>
                <w:color w:val="000000"/>
                <w:sz w:val="14"/>
                <w:szCs w:val="14"/>
              </w:rPr>
              <w:t>Susan Li</w:t>
            </w:r>
          </w:p>
        </w:tc>
      </w:tr>
      <w:tr w:rsidR="00BA49F5" w14:paraId="5CD90B97" w14:textId="77777777">
        <w:tc>
          <w:tcPr>
            <w:tcW w:w="0" w:type="auto"/>
            <w:gridSpan w:val="3"/>
            <w:shd w:val="clear" w:color="auto" w:fill="auto"/>
            <w:tcMar>
              <w:top w:w="0" w:type="dxa"/>
              <w:left w:w="20" w:type="dxa"/>
              <w:bottom w:w="0" w:type="dxa"/>
              <w:right w:w="20" w:type="dxa"/>
            </w:tcMar>
            <w:vAlign w:val="bottom"/>
          </w:tcPr>
          <w:p w14:paraId="5CD90B9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96" w14:textId="77777777" w:rsidR="00BA49F5" w:rsidRDefault="007E5E49">
            <w:pPr>
              <w:textAlignment w:val="bottom"/>
            </w:pPr>
            <w:r>
              <w:rPr>
                <w:rFonts w:ascii="Times New Roman" w:eastAsia="宋体" w:hAnsi="Times New Roman"/>
                <w:b/>
                <w:bCs/>
                <w:color w:val="000000"/>
                <w:sz w:val="14"/>
                <w:szCs w:val="14"/>
              </w:rPr>
              <w:t xml:space="preserve">Chief </w:t>
            </w:r>
            <w:r>
              <w:rPr>
                <w:rFonts w:ascii="Times New Roman" w:eastAsia="宋体" w:hAnsi="Times New Roman"/>
                <w:b/>
                <w:bCs/>
                <w:color w:val="000000"/>
                <w:sz w:val="14"/>
                <w:szCs w:val="14"/>
              </w:rPr>
              <w:t>Financial Officer</w:t>
            </w:r>
          </w:p>
        </w:tc>
      </w:tr>
      <w:tr w:rsidR="00BA49F5" w14:paraId="5CD90B9C" w14:textId="77777777">
        <w:trPr>
          <w:trHeight w:val="300"/>
        </w:trPr>
        <w:tc>
          <w:tcPr>
            <w:tcW w:w="0" w:type="auto"/>
            <w:gridSpan w:val="3"/>
            <w:shd w:val="clear" w:color="auto" w:fill="auto"/>
            <w:tcMar>
              <w:top w:w="0" w:type="dxa"/>
              <w:left w:w="20" w:type="dxa"/>
              <w:bottom w:w="0" w:type="dxa"/>
              <w:right w:w="20" w:type="dxa"/>
            </w:tcMar>
            <w:vAlign w:val="bottom"/>
          </w:tcPr>
          <w:p w14:paraId="5CD90B9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9B" w14:textId="77777777" w:rsidR="00BA49F5" w:rsidRDefault="00BA49F5">
            <w:pPr>
              <w:rPr>
                <w:rFonts w:ascii="宋体"/>
              </w:rPr>
            </w:pPr>
          </w:p>
        </w:tc>
      </w:tr>
    </w:tbl>
    <w:p w14:paraId="5CD90B9D" w14:textId="77777777" w:rsidR="00BA49F5" w:rsidRDefault="007E5E49">
      <w:pPr>
        <w:jc w:val="both"/>
      </w:pPr>
      <w:r>
        <w:rPr>
          <w:rFonts w:ascii="Times New Roman" w:eastAsia="宋体" w:hAnsi="Times New Roman"/>
          <w:color w:val="000000"/>
          <w:sz w:val="14"/>
          <w:szCs w:val="14"/>
        </w:rPr>
        <w:t> </w:t>
      </w:r>
    </w:p>
    <w:p w14:paraId="5CD90B9E" w14:textId="77777777" w:rsidR="00BA49F5" w:rsidRDefault="007E5E49">
      <w:pPr>
        <w:jc w:val="center"/>
      </w:pPr>
      <w:r>
        <w:rPr>
          <w:rFonts w:ascii="Times New Roman" w:eastAsia="宋体" w:hAnsi="Times New Roman"/>
          <w:color w:val="000000"/>
          <w:sz w:val="20"/>
          <w:szCs w:val="20"/>
        </w:rPr>
        <w:t>125</w:t>
      </w:r>
    </w:p>
    <w:p w14:paraId="5CD90B9F" w14:textId="77777777" w:rsidR="00BA49F5" w:rsidRDefault="007E5E49">
      <w:r>
        <w:pict w14:anchorId="5CD90D72">
          <v:rect id="_x0000_i1149" style="width:415.3pt;height:1.5pt" o:hralign="center" o:hrstd="t" o:hr="t" fillcolor="#a0a0a0" stroked="f"/>
        </w:pict>
      </w:r>
    </w:p>
    <w:p w14:paraId="5CD90BA0" w14:textId="77777777" w:rsidR="00BA49F5" w:rsidRDefault="00BA49F5"/>
    <w:p w14:paraId="5CD90BA1" w14:textId="77777777" w:rsidR="00BA49F5" w:rsidRDefault="00BA49F5"/>
    <w:p w14:paraId="5CD90BA2" w14:textId="77777777" w:rsidR="00BA49F5" w:rsidRDefault="007E5E49">
      <w:hyperlink r:id="rId401" w:anchor="i6df229dad1864210ab76200083e26819_7" w:history="1">
        <w:r>
          <w:rPr>
            <w:rStyle w:val="a5"/>
            <w:rFonts w:ascii="Times New Roman" w:eastAsia="宋体" w:hAnsi="Times New Roman"/>
            <w:sz w:val="20"/>
            <w:szCs w:val="20"/>
          </w:rPr>
          <w:t>T</w:t>
        </w:r>
      </w:hyperlink>
      <w:hyperlink r:id="rId402" w:anchor="i6df229dad1864210ab76200083e26819_7" w:history="1">
        <w:r>
          <w:rPr>
            <w:rStyle w:val="a5"/>
            <w:rFonts w:ascii="Times New Roman" w:eastAsia="宋体" w:hAnsi="Times New Roman"/>
            <w:sz w:val="20"/>
            <w:szCs w:val="20"/>
          </w:rPr>
          <w:t>able of Contents</w:t>
        </w:r>
      </w:hyperlink>
    </w:p>
    <w:p w14:paraId="5CD90BA3" w14:textId="77777777" w:rsidR="00BA49F5" w:rsidRDefault="007E5E49">
      <w:pPr>
        <w:jc w:val="center"/>
      </w:pPr>
      <w:r>
        <w:rPr>
          <w:rFonts w:ascii="Times New Roman" w:eastAsia="宋体" w:hAnsi="Times New Roman"/>
          <w:b/>
          <w:bCs/>
          <w:color w:val="000000"/>
          <w:sz w:val="20"/>
          <w:szCs w:val="20"/>
        </w:rPr>
        <w:t>POWER OF ATTORNEY</w:t>
      </w:r>
    </w:p>
    <w:p w14:paraId="5CD90BA4" w14:textId="77777777" w:rsidR="00BA49F5" w:rsidRDefault="007E5E49">
      <w:pPr>
        <w:ind w:firstLine="540"/>
        <w:jc w:val="both"/>
      </w:pPr>
      <w:r>
        <w:rPr>
          <w:rFonts w:ascii="Times New Roman" w:eastAsia="宋体" w:hAnsi="Times New Roman"/>
          <w:color w:val="000000"/>
          <w:sz w:val="20"/>
          <w:szCs w:val="20"/>
        </w:rPr>
        <w:t xml:space="preserve">KNOW ALL PERSONS BY THESE PRESENTS, that each person whose signature appears below constitutes and appoints Susan Li and Katherine R. Kelly, and each of them, as his or </w:t>
      </w:r>
      <w:r>
        <w:rPr>
          <w:rFonts w:ascii="Times New Roman" w:eastAsia="宋体" w:hAnsi="Times New Roman"/>
          <w:color w:val="000000"/>
          <w:sz w:val="20"/>
          <w:szCs w:val="20"/>
        </w:rPr>
        <w:t xml:space="preserve">her true and lawful attorneys-in-fact and agents, with full power of substitution and resubstitution, for him or her and in his or her name, place and stead, in any and all capacities, to sign any and all amendments to this Annual Report on Form 10-K, and </w:t>
      </w:r>
      <w:r>
        <w:rPr>
          <w:rFonts w:ascii="Times New Roman" w:eastAsia="宋体" w:hAnsi="Times New Roman"/>
          <w:color w:val="000000"/>
          <w:sz w:val="20"/>
          <w:szCs w:val="20"/>
        </w:rPr>
        <w:t>to file the same, with all exhibits thereto, and other documents in connection therewith, with the Securities and Exchange Commission, granting unto said attorneys-in-fact and agents, and each of them, full power and authority to do and perform each and ev</w:t>
      </w:r>
      <w:r>
        <w:rPr>
          <w:rFonts w:ascii="Times New Roman" w:eastAsia="宋体" w:hAnsi="Times New Roman"/>
          <w:color w:val="000000"/>
          <w:sz w:val="20"/>
          <w:szCs w:val="20"/>
        </w:rPr>
        <w:t>ery act and thing requisite and necessary to be done in connection therewith, as fully to all intents and purposes as he or she might or could do in person, hereby ratifying and confirming that all said attorneys-in-fact and agents, or any of them or their</w:t>
      </w:r>
      <w:r>
        <w:rPr>
          <w:rFonts w:ascii="Times New Roman" w:eastAsia="宋体" w:hAnsi="Times New Roman"/>
          <w:color w:val="000000"/>
          <w:sz w:val="20"/>
          <w:szCs w:val="20"/>
        </w:rPr>
        <w:t xml:space="preserve"> or his or her substitute or substitutes, may lawfully do or cause to be done by virtue hereof.</w:t>
      </w:r>
    </w:p>
    <w:p w14:paraId="5CD90BA5" w14:textId="77777777" w:rsidR="00BA49F5" w:rsidRDefault="00BA49F5">
      <w:pPr>
        <w:ind w:firstLine="540"/>
        <w:jc w:val="both"/>
      </w:pPr>
    </w:p>
    <w:p w14:paraId="5CD90BA6" w14:textId="77777777" w:rsidR="00BA49F5" w:rsidRDefault="007E5E49">
      <w:pPr>
        <w:ind w:firstLine="540"/>
        <w:jc w:val="both"/>
      </w:pPr>
      <w:r>
        <w:rPr>
          <w:rFonts w:ascii="Times New Roman" w:eastAsia="宋体" w:hAnsi="Times New Roman"/>
          <w:color w:val="000000"/>
          <w:sz w:val="20"/>
          <w:szCs w:val="20"/>
        </w:rPr>
        <w:t xml:space="preserve">Pursuant to the requirements of the Securities Exchange Act of 1934, this Annual Report on Form 10-K has been signed by the following persons on behalf of the </w:t>
      </w:r>
      <w:r>
        <w:rPr>
          <w:rFonts w:ascii="Times New Roman" w:eastAsia="宋体" w:hAnsi="Times New Roman"/>
          <w:color w:val="000000"/>
          <w:sz w:val="20"/>
          <w:szCs w:val="20"/>
        </w:rPr>
        <w:t>Registrant and in the capacities and on the dates indicated:</w:t>
      </w:r>
      <w:r>
        <w:rPr>
          <w:rFonts w:ascii="Times New Roman" w:eastAsia="宋体" w:hAnsi="Times New Roman"/>
          <w:color w:val="000000"/>
          <w:sz w:val="14"/>
          <w:szCs w:val="14"/>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2862"/>
        <w:gridCol w:w="36"/>
        <w:gridCol w:w="36"/>
        <w:gridCol w:w="36"/>
        <w:gridCol w:w="36"/>
        <w:gridCol w:w="42"/>
        <w:gridCol w:w="2863"/>
        <w:gridCol w:w="37"/>
        <w:gridCol w:w="36"/>
        <w:gridCol w:w="36"/>
        <w:gridCol w:w="36"/>
        <w:gridCol w:w="44"/>
        <w:gridCol w:w="2130"/>
        <w:gridCol w:w="36"/>
      </w:tblGrid>
      <w:tr w:rsidR="00BA49F5" w14:paraId="5CD90BB6" w14:textId="77777777">
        <w:trPr>
          <w:jc w:val="center"/>
        </w:trPr>
        <w:tc>
          <w:tcPr>
            <w:tcW w:w="50" w:type="pct"/>
            <w:shd w:val="clear" w:color="auto" w:fill="auto"/>
            <w:vAlign w:val="bottom"/>
          </w:tcPr>
          <w:p w14:paraId="5CD90BA7" w14:textId="77777777" w:rsidR="00BA49F5" w:rsidRDefault="00BA49F5">
            <w:pPr>
              <w:rPr>
                <w:rFonts w:ascii="宋体"/>
              </w:rPr>
            </w:pPr>
          </w:p>
        </w:tc>
        <w:tc>
          <w:tcPr>
            <w:tcW w:w="1733" w:type="pct"/>
            <w:shd w:val="clear" w:color="auto" w:fill="auto"/>
            <w:vAlign w:val="bottom"/>
          </w:tcPr>
          <w:p w14:paraId="5CD90BA8" w14:textId="77777777" w:rsidR="00BA49F5" w:rsidRDefault="00BA49F5">
            <w:pPr>
              <w:rPr>
                <w:rFonts w:ascii="宋体"/>
              </w:rPr>
            </w:pPr>
          </w:p>
        </w:tc>
        <w:tc>
          <w:tcPr>
            <w:tcW w:w="5" w:type="pct"/>
            <w:shd w:val="clear" w:color="auto" w:fill="auto"/>
            <w:vAlign w:val="bottom"/>
          </w:tcPr>
          <w:p w14:paraId="5CD90BA9" w14:textId="77777777" w:rsidR="00BA49F5" w:rsidRDefault="00BA49F5">
            <w:pPr>
              <w:rPr>
                <w:rFonts w:ascii="宋体"/>
              </w:rPr>
            </w:pPr>
          </w:p>
        </w:tc>
        <w:tc>
          <w:tcPr>
            <w:tcW w:w="5" w:type="pct"/>
            <w:shd w:val="clear" w:color="auto" w:fill="auto"/>
            <w:vAlign w:val="bottom"/>
          </w:tcPr>
          <w:p w14:paraId="5CD90BAA" w14:textId="77777777" w:rsidR="00BA49F5" w:rsidRDefault="00BA49F5">
            <w:pPr>
              <w:rPr>
                <w:rFonts w:ascii="宋体"/>
              </w:rPr>
            </w:pPr>
          </w:p>
        </w:tc>
        <w:tc>
          <w:tcPr>
            <w:tcW w:w="27" w:type="pct"/>
            <w:shd w:val="clear" w:color="auto" w:fill="auto"/>
            <w:vAlign w:val="bottom"/>
          </w:tcPr>
          <w:p w14:paraId="5CD90BAB" w14:textId="77777777" w:rsidR="00BA49F5" w:rsidRDefault="00BA49F5">
            <w:pPr>
              <w:rPr>
                <w:rFonts w:ascii="宋体"/>
              </w:rPr>
            </w:pPr>
          </w:p>
        </w:tc>
        <w:tc>
          <w:tcPr>
            <w:tcW w:w="5" w:type="pct"/>
            <w:shd w:val="clear" w:color="auto" w:fill="auto"/>
            <w:vAlign w:val="bottom"/>
          </w:tcPr>
          <w:p w14:paraId="5CD90BAC" w14:textId="77777777" w:rsidR="00BA49F5" w:rsidRDefault="00BA49F5">
            <w:pPr>
              <w:rPr>
                <w:rFonts w:ascii="宋体"/>
              </w:rPr>
            </w:pPr>
          </w:p>
        </w:tc>
        <w:tc>
          <w:tcPr>
            <w:tcW w:w="50" w:type="pct"/>
            <w:shd w:val="clear" w:color="auto" w:fill="auto"/>
            <w:vAlign w:val="bottom"/>
          </w:tcPr>
          <w:p w14:paraId="5CD90BAD" w14:textId="77777777" w:rsidR="00BA49F5" w:rsidRDefault="00BA49F5">
            <w:pPr>
              <w:rPr>
                <w:rFonts w:ascii="宋体"/>
              </w:rPr>
            </w:pPr>
          </w:p>
        </w:tc>
        <w:tc>
          <w:tcPr>
            <w:tcW w:w="1733" w:type="pct"/>
            <w:shd w:val="clear" w:color="auto" w:fill="auto"/>
            <w:vAlign w:val="bottom"/>
          </w:tcPr>
          <w:p w14:paraId="5CD90BAE" w14:textId="77777777" w:rsidR="00BA49F5" w:rsidRDefault="00BA49F5">
            <w:pPr>
              <w:rPr>
                <w:rFonts w:ascii="宋体"/>
              </w:rPr>
            </w:pPr>
          </w:p>
        </w:tc>
        <w:tc>
          <w:tcPr>
            <w:tcW w:w="5" w:type="pct"/>
            <w:shd w:val="clear" w:color="auto" w:fill="auto"/>
            <w:vAlign w:val="bottom"/>
          </w:tcPr>
          <w:p w14:paraId="5CD90BAF" w14:textId="77777777" w:rsidR="00BA49F5" w:rsidRDefault="00BA49F5">
            <w:pPr>
              <w:rPr>
                <w:rFonts w:ascii="宋体"/>
              </w:rPr>
            </w:pPr>
          </w:p>
        </w:tc>
        <w:tc>
          <w:tcPr>
            <w:tcW w:w="5" w:type="pct"/>
            <w:shd w:val="clear" w:color="auto" w:fill="auto"/>
            <w:vAlign w:val="bottom"/>
          </w:tcPr>
          <w:p w14:paraId="5CD90BB0" w14:textId="77777777" w:rsidR="00BA49F5" w:rsidRDefault="00BA49F5">
            <w:pPr>
              <w:rPr>
                <w:rFonts w:ascii="宋体"/>
              </w:rPr>
            </w:pPr>
          </w:p>
        </w:tc>
        <w:tc>
          <w:tcPr>
            <w:tcW w:w="27" w:type="pct"/>
            <w:shd w:val="clear" w:color="auto" w:fill="auto"/>
            <w:vAlign w:val="bottom"/>
          </w:tcPr>
          <w:p w14:paraId="5CD90BB1" w14:textId="77777777" w:rsidR="00BA49F5" w:rsidRDefault="00BA49F5">
            <w:pPr>
              <w:rPr>
                <w:rFonts w:ascii="宋体"/>
              </w:rPr>
            </w:pPr>
          </w:p>
        </w:tc>
        <w:tc>
          <w:tcPr>
            <w:tcW w:w="5" w:type="pct"/>
            <w:shd w:val="clear" w:color="auto" w:fill="auto"/>
            <w:vAlign w:val="bottom"/>
          </w:tcPr>
          <w:p w14:paraId="5CD90BB2" w14:textId="77777777" w:rsidR="00BA49F5" w:rsidRDefault="00BA49F5">
            <w:pPr>
              <w:rPr>
                <w:rFonts w:ascii="宋体"/>
              </w:rPr>
            </w:pPr>
          </w:p>
        </w:tc>
        <w:tc>
          <w:tcPr>
            <w:tcW w:w="50" w:type="pct"/>
            <w:shd w:val="clear" w:color="auto" w:fill="auto"/>
            <w:vAlign w:val="bottom"/>
          </w:tcPr>
          <w:p w14:paraId="5CD90BB3" w14:textId="77777777" w:rsidR="00BA49F5" w:rsidRDefault="00BA49F5">
            <w:pPr>
              <w:rPr>
                <w:rFonts w:ascii="宋体"/>
              </w:rPr>
            </w:pPr>
          </w:p>
        </w:tc>
        <w:tc>
          <w:tcPr>
            <w:tcW w:w="1293" w:type="pct"/>
            <w:shd w:val="clear" w:color="auto" w:fill="auto"/>
            <w:vAlign w:val="bottom"/>
          </w:tcPr>
          <w:p w14:paraId="5CD90BB4" w14:textId="77777777" w:rsidR="00BA49F5" w:rsidRDefault="00BA49F5">
            <w:pPr>
              <w:rPr>
                <w:rFonts w:ascii="宋体"/>
              </w:rPr>
            </w:pPr>
          </w:p>
        </w:tc>
        <w:tc>
          <w:tcPr>
            <w:tcW w:w="5" w:type="pct"/>
            <w:shd w:val="clear" w:color="auto" w:fill="auto"/>
            <w:vAlign w:val="bottom"/>
          </w:tcPr>
          <w:p w14:paraId="5CD90BB5" w14:textId="77777777" w:rsidR="00BA49F5" w:rsidRDefault="00BA49F5">
            <w:pPr>
              <w:rPr>
                <w:rFonts w:ascii="宋体"/>
              </w:rPr>
            </w:pPr>
          </w:p>
        </w:tc>
      </w:tr>
      <w:tr w:rsidR="00BA49F5" w14:paraId="5CD90BBC" w14:textId="77777777">
        <w:trPr>
          <w:jc w:val="center"/>
        </w:trPr>
        <w:tc>
          <w:tcPr>
            <w:tcW w:w="0" w:type="auto"/>
            <w:gridSpan w:val="3"/>
            <w:shd w:val="clear" w:color="auto" w:fill="auto"/>
            <w:tcMar>
              <w:top w:w="40" w:type="dxa"/>
              <w:left w:w="20" w:type="dxa"/>
              <w:bottom w:w="40" w:type="dxa"/>
              <w:right w:w="20" w:type="dxa"/>
            </w:tcMar>
            <w:vAlign w:val="bottom"/>
          </w:tcPr>
          <w:p w14:paraId="5CD90BB7" w14:textId="77777777" w:rsidR="00BA49F5" w:rsidRDefault="007E5E49">
            <w:pPr>
              <w:jc w:val="center"/>
              <w:textAlignment w:val="bottom"/>
            </w:pPr>
            <w:r>
              <w:rPr>
                <w:rFonts w:ascii="Times New Roman" w:eastAsia="宋体" w:hAnsi="Times New Roman"/>
                <w:b/>
                <w:bCs/>
                <w:color w:val="000000"/>
                <w:sz w:val="18"/>
                <w:szCs w:val="18"/>
              </w:rPr>
              <w:t>Signature</w:t>
            </w:r>
          </w:p>
        </w:tc>
        <w:tc>
          <w:tcPr>
            <w:tcW w:w="0" w:type="auto"/>
            <w:gridSpan w:val="3"/>
            <w:shd w:val="clear" w:color="auto" w:fill="auto"/>
            <w:tcMar>
              <w:top w:w="0" w:type="dxa"/>
              <w:left w:w="20" w:type="dxa"/>
              <w:bottom w:w="0" w:type="dxa"/>
              <w:right w:w="20" w:type="dxa"/>
            </w:tcMar>
            <w:vAlign w:val="bottom"/>
          </w:tcPr>
          <w:p w14:paraId="5CD90BB8"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B9" w14:textId="77777777" w:rsidR="00BA49F5" w:rsidRDefault="007E5E49">
            <w:pPr>
              <w:jc w:val="center"/>
              <w:textAlignment w:val="bottom"/>
            </w:pPr>
            <w:r>
              <w:rPr>
                <w:rFonts w:ascii="Times New Roman" w:eastAsia="宋体" w:hAnsi="Times New Roman"/>
                <w:b/>
                <w:bCs/>
                <w:color w:val="000000"/>
                <w:sz w:val="18"/>
                <w:szCs w:val="18"/>
              </w:rPr>
              <w:t>Title</w:t>
            </w:r>
          </w:p>
        </w:tc>
        <w:tc>
          <w:tcPr>
            <w:tcW w:w="0" w:type="auto"/>
            <w:gridSpan w:val="3"/>
            <w:shd w:val="clear" w:color="auto" w:fill="auto"/>
            <w:tcMar>
              <w:top w:w="0" w:type="dxa"/>
              <w:left w:w="20" w:type="dxa"/>
              <w:bottom w:w="0" w:type="dxa"/>
              <w:right w:w="20" w:type="dxa"/>
            </w:tcMar>
            <w:vAlign w:val="bottom"/>
          </w:tcPr>
          <w:p w14:paraId="5CD90BB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BB" w14:textId="77777777" w:rsidR="00BA49F5" w:rsidRDefault="007E5E49">
            <w:pPr>
              <w:jc w:val="center"/>
              <w:textAlignment w:val="bottom"/>
            </w:pPr>
            <w:r>
              <w:rPr>
                <w:rFonts w:ascii="Times New Roman" w:eastAsia="宋体" w:hAnsi="Times New Roman"/>
                <w:b/>
                <w:bCs/>
                <w:color w:val="000000"/>
                <w:sz w:val="18"/>
                <w:szCs w:val="18"/>
              </w:rPr>
              <w:t>Date</w:t>
            </w:r>
          </w:p>
        </w:tc>
      </w:tr>
      <w:tr w:rsidR="00BA49F5" w14:paraId="5CD90BC2" w14:textId="77777777">
        <w:trPr>
          <w:trHeight w:val="24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B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BE"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B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C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C1" w14:textId="77777777" w:rsidR="00BA49F5" w:rsidRDefault="00BA49F5">
            <w:pPr>
              <w:rPr>
                <w:rFonts w:ascii="宋体"/>
              </w:rPr>
            </w:pPr>
          </w:p>
        </w:tc>
      </w:tr>
      <w:tr w:rsidR="00BA49F5" w14:paraId="5CD90BC9" w14:textId="77777777">
        <w:trPr>
          <w:trHeight w:val="400"/>
          <w:jc w:val="center"/>
        </w:trPr>
        <w:tc>
          <w:tcPr>
            <w:tcW w:w="0" w:type="auto"/>
            <w:gridSpan w:val="3"/>
            <w:shd w:val="clear" w:color="auto" w:fill="auto"/>
            <w:tcMar>
              <w:top w:w="40" w:type="dxa"/>
              <w:left w:w="20" w:type="dxa"/>
              <w:bottom w:w="40" w:type="dxa"/>
              <w:right w:w="20" w:type="dxa"/>
            </w:tcMar>
            <w:vAlign w:val="bottom"/>
          </w:tcPr>
          <w:p w14:paraId="5CD90BC3" w14:textId="77777777" w:rsidR="00BA49F5" w:rsidRDefault="007E5E49">
            <w:pPr>
              <w:jc w:val="center"/>
              <w:textAlignment w:val="bottom"/>
            </w:pPr>
            <w:r>
              <w:rPr>
                <w:rFonts w:ascii="Times New Roman" w:eastAsia="宋体" w:hAnsi="Times New Roman"/>
                <w:color w:val="000000"/>
                <w:sz w:val="20"/>
                <w:szCs w:val="20"/>
              </w:rPr>
              <w:t>/s/ Mark Zuckerberg</w:t>
            </w:r>
          </w:p>
        </w:tc>
        <w:tc>
          <w:tcPr>
            <w:tcW w:w="0" w:type="auto"/>
            <w:gridSpan w:val="3"/>
            <w:shd w:val="clear" w:color="auto" w:fill="auto"/>
            <w:tcMar>
              <w:top w:w="0" w:type="dxa"/>
              <w:left w:w="20" w:type="dxa"/>
              <w:bottom w:w="0" w:type="dxa"/>
              <w:right w:w="20" w:type="dxa"/>
            </w:tcMar>
            <w:vAlign w:val="bottom"/>
          </w:tcPr>
          <w:p w14:paraId="5CD90BC4"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90BC5" w14:textId="77777777" w:rsidR="00BA49F5" w:rsidRDefault="007E5E49">
            <w:pPr>
              <w:jc w:val="center"/>
              <w:textAlignment w:val="bottom"/>
            </w:pPr>
            <w:r>
              <w:rPr>
                <w:rFonts w:ascii="Times New Roman" w:eastAsia="宋体" w:hAnsi="Times New Roman"/>
                <w:color w:val="000000"/>
                <w:sz w:val="20"/>
                <w:szCs w:val="20"/>
              </w:rPr>
              <w:t>Chairman and Chief Executive Officer</w:t>
            </w:r>
          </w:p>
          <w:p w14:paraId="5CD90BC6" w14:textId="77777777" w:rsidR="00BA49F5" w:rsidRDefault="007E5E49">
            <w:pPr>
              <w:spacing w:after="15"/>
              <w:jc w:val="center"/>
              <w:textAlignment w:val="bottom"/>
            </w:pPr>
            <w:r>
              <w:rPr>
                <w:rFonts w:ascii="Times New Roman" w:eastAsia="宋体" w:hAnsi="Times New Roman"/>
                <w:i/>
                <w:iCs/>
                <w:color w:val="000000"/>
                <w:sz w:val="20"/>
                <w:szCs w:val="20"/>
              </w:rPr>
              <w:t>(Principal Executive Officer)</w:t>
            </w:r>
          </w:p>
        </w:tc>
        <w:tc>
          <w:tcPr>
            <w:tcW w:w="0" w:type="auto"/>
            <w:gridSpan w:val="3"/>
            <w:shd w:val="clear" w:color="auto" w:fill="auto"/>
            <w:tcMar>
              <w:top w:w="0" w:type="dxa"/>
              <w:left w:w="20" w:type="dxa"/>
              <w:bottom w:w="0" w:type="dxa"/>
              <w:right w:w="20" w:type="dxa"/>
            </w:tcMar>
            <w:vAlign w:val="bottom"/>
          </w:tcPr>
          <w:p w14:paraId="5CD90BC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C8"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BCF"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BCA" w14:textId="77777777" w:rsidR="00BA49F5" w:rsidRDefault="007E5E49">
            <w:pPr>
              <w:spacing w:after="15"/>
              <w:jc w:val="center"/>
              <w:textAlignment w:val="bottom"/>
            </w:pPr>
            <w:r>
              <w:rPr>
                <w:rFonts w:ascii="Times New Roman" w:eastAsia="宋体" w:hAnsi="Times New Roman"/>
                <w:b/>
                <w:bCs/>
                <w:color w:val="000000"/>
                <w:sz w:val="14"/>
                <w:szCs w:val="14"/>
              </w:rPr>
              <w:t>Mark Zuckerberg</w:t>
            </w:r>
          </w:p>
        </w:tc>
        <w:tc>
          <w:tcPr>
            <w:tcW w:w="0" w:type="auto"/>
            <w:gridSpan w:val="3"/>
            <w:shd w:val="clear" w:color="auto" w:fill="auto"/>
            <w:tcMar>
              <w:top w:w="0" w:type="dxa"/>
              <w:left w:w="20" w:type="dxa"/>
              <w:bottom w:w="0" w:type="dxa"/>
              <w:right w:w="20" w:type="dxa"/>
            </w:tcMar>
            <w:vAlign w:val="bottom"/>
          </w:tcPr>
          <w:p w14:paraId="5CD90BCB"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90BC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CD"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CE" w14:textId="77777777" w:rsidR="00BA49F5" w:rsidRDefault="00BA49F5">
            <w:pPr>
              <w:rPr>
                <w:rFonts w:ascii="宋体"/>
              </w:rPr>
            </w:pPr>
          </w:p>
        </w:tc>
      </w:tr>
      <w:tr w:rsidR="00BA49F5" w14:paraId="5CD90BD5"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BD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D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D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D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D4" w14:textId="77777777" w:rsidR="00BA49F5" w:rsidRDefault="00BA49F5">
            <w:pPr>
              <w:rPr>
                <w:rFonts w:ascii="宋体"/>
              </w:rPr>
            </w:pPr>
          </w:p>
        </w:tc>
      </w:tr>
      <w:tr w:rsidR="00BA49F5" w14:paraId="5CD90BDC" w14:textId="77777777">
        <w:trPr>
          <w:trHeight w:val="400"/>
          <w:jc w:val="center"/>
        </w:trPr>
        <w:tc>
          <w:tcPr>
            <w:tcW w:w="0" w:type="auto"/>
            <w:gridSpan w:val="3"/>
            <w:shd w:val="clear" w:color="auto" w:fill="auto"/>
            <w:tcMar>
              <w:top w:w="40" w:type="dxa"/>
              <w:left w:w="20" w:type="dxa"/>
              <w:bottom w:w="40" w:type="dxa"/>
              <w:right w:w="20" w:type="dxa"/>
            </w:tcMar>
            <w:vAlign w:val="bottom"/>
          </w:tcPr>
          <w:p w14:paraId="5CD90BD6" w14:textId="77777777" w:rsidR="00BA49F5" w:rsidRDefault="007E5E49">
            <w:pPr>
              <w:jc w:val="center"/>
              <w:textAlignment w:val="bottom"/>
            </w:pPr>
            <w:r>
              <w:rPr>
                <w:rFonts w:ascii="Times New Roman" w:eastAsia="宋体" w:hAnsi="Times New Roman"/>
                <w:color w:val="000000"/>
                <w:sz w:val="20"/>
                <w:szCs w:val="20"/>
              </w:rPr>
              <w:t>/s/ Susan Li</w:t>
            </w:r>
          </w:p>
        </w:tc>
        <w:tc>
          <w:tcPr>
            <w:tcW w:w="0" w:type="auto"/>
            <w:gridSpan w:val="3"/>
            <w:shd w:val="clear" w:color="auto" w:fill="auto"/>
            <w:tcMar>
              <w:top w:w="0" w:type="dxa"/>
              <w:left w:w="20" w:type="dxa"/>
              <w:bottom w:w="0" w:type="dxa"/>
              <w:right w:w="20" w:type="dxa"/>
            </w:tcMar>
            <w:vAlign w:val="bottom"/>
          </w:tcPr>
          <w:p w14:paraId="5CD90BD7"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90BD8" w14:textId="77777777" w:rsidR="00BA49F5" w:rsidRDefault="007E5E49">
            <w:pPr>
              <w:jc w:val="center"/>
              <w:textAlignment w:val="bottom"/>
            </w:pPr>
            <w:r>
              <w:rPr>
                <w:rFonts w:ascii="Times New Roman" w:eastAsia="宋体" w:hAnsi="Times New Roman"/>
                <w:color w:val="000000"/>
                <w:sz w:val="20"/>
                <w:szCs w:val="20"/>
              </w:rPr>
              <w:t>Chief Financial Officer</w:t>
            </w:r>
          </w:p>
          <w:p w14:paraId="5CD90BD9" w14:textId="77777777" w:rsidR="00BA49F5" w:rsidRDefault="007E5E49">
            <w:pPr>
              <w:spacing w:after="15"/>
              <w:jc w:val="center"/>
              <w:textAlignment w:val="bottom"/>
            </w:pPr>
            <w:r>
              <w:rPr>
                <w:rFonts w:ascii="Times New Roman" w:eastAsia="宋体" w:hAnsi="Times New Roman"/>
                <w:i/>
                <w:iCs/>
                <w:color w:val="000000"/>
                <w:sz w:val="20"/>
                <w:szCs w:val="20"/>
              </w:rPr>
              <w:t>(Principal Financial Officer)</w:t>
            </w:r>
          </w:p>
        </w:tc>
        <w:tc>
          <w:tcPr>
            <w:tcW w:w="0" w:type="auto"/>
            <w:gridSpan w:val="3"/>
            <w:shd w:val="clear" w:color="auto" w:fill="auto"/>
            <w:tcMar>
              <w:top w:w="0" w:type="dxa"/>
              <w:left w:w="20" w:type="dxa"/>
              <w:bottom w:w="0" w:type="dxa"/>
              <w:right w:w="20" w:type="dxa"/>
            </w:tcMar>
            <w:vAlign w:val="bottom"/>
          </w:tcPr>
          <w:p w14:paraId="5CD90BDA"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DB"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BE2"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BDD" w14:textId="77777777" w:rsidR="00BA49F5" w:rsidRDefault="007E5E49">
            <w:pPr>
              <w:spacing w:after="15"/>
              <w:jc w:val="center"/>
              <w:textAlignment w:val="bottom"/>
            </w:pPr>
            <w:r>
              <w:rPr>
                <w:rFonts w:ascii="Times New Roman" w:eastAsia="宋体" w:hAnsi="Times New Roman"/>
                <w:b/>
                <w:bCs/>
                <w:color w:val="000000"/>
                <w:sz w:val="14"/>
                <w:szCs w:val="14"/>
              </w:rPr>
              <w:t>Susan Li</w:t>
            </w:r>
          </w:p>
        </w:tc>
        <w:tc>
          <w:tcPr>
            <w:tcW w:w="0" w:type="auto"/>
            <w:gridSpan w:val="3"/>
            <w:shd w:val="clear" w:color="auto" w:fill="auto"/>
            <w:tcMar>
              <w:top w:w="0" w:type="dxa"/>
              <w:left w:w="20" w:type="dxa"/>
              <w:bottom w:w="0" w:type="dxa"/>
              <w:right w:w="20" w:type="dxa"/>
            </w:tcMar>
            <w:vAlign w:val="bottom"/>
          </w:tcPr>
          <w:p w14:paraId="5CD90BDE"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90BD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E0"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E1" w14:textId="77777777" w:rsidR="00BA49F5" w:rsidRDefault="00BA49F5">
            <w:pPr>
              <w:rPr>
                <w:rFonts w:ascii="宋体"/>
              </w:rPr>
            </w:pPr>
          </w:p>
        </w:tc>
      </w:tr>
      <w:tr w:rsidR="00BA49F5" w14:paraId="5CD90BE8"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BE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E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E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E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E7" w14:textId="77777777" w:rsidR="00BA49F5" w:rsidRDefault="00BA49F5">
            <w:pPr>
              <w:rPr>
                <w:rFonts w:ascii="宋体"/>
              </w:rPr>
            </w:pPr>
          </w:p>
        </w:tc>
      </w:tr>
      <w:tr w:rsidR="00BA49F5" w14:paraId="5CD90BEF" w14:textId="77777777">
        <w:trPr>
          <w:trHeight w:val="400"/>
          <w:jc w:val="center"/>
        </w:trPr>
        <w:tc>
          <w:tcPr>
            <w:tcW w:w="0" w:type="auto"/>
            <w:gridSpan w:val="3"/>
            <w:shd w:val="clear" w:color="auto" w:fill="auto"/>
            <w:tcMar>
              <w:top w:w="40" w:type="dxa"/>
              <w:left w:w="20" w:type="dxa"/>
              <w:bottom w:w="40" w:type="dxa"/>
              <w:right w:w="20" w:type="dxa"/>
            </w:tcMar>
            <w:vAlign w:val="bottom"/>
          </w:tcPr>
          <w:p w14:paraId="5CD90BE9" w14:textId="77777777" w:rsidR="00BA49F5" w:rsidRDefault="007E5E49">
            <w:pPr>
              <w:jc w:val="center"/>
              <w:textAlignment w:val="bottom"/>
            </w:pPr>
            <w:r>
              <w:rPr>
                <w:rFonts w:ascii="Times New Roman" w:eastAsia="宋体" w:hAnsi="Times New Roman"/>
                <w:color w:val="000000"/>
                <w:sz w:val="20"/>
                <w:szCs w:val="20"/>
              </w:rPr>
              <w:t>/</w:t>
            </w:r>
            <w:r>
              <w:rPr>
                <w:rFonts w:ascii="Times New Roman" w:eastAsia="宋体" w:hAnsi="Times New Roman"/>
                <w:color w:val="000000"/>
                <w:sz w:val="14"/>
                <w:szCs w:val="14"/>
              </w:rPr>
              <w:t>S</w:t>
            </w:r>
            <w:r>
              <w:rPr>
                <w:rFonts w:ascii="Times New Roman" w:eastAsia="宋体" w:hAnsi="Times New Roman"/>
                <w:color w:val="000000"/>
                <w:sz w:val="20"/>
                <w:szCs w:val="20"/>
              </w:rPr>
              <w:t>/ Susan J.S. Taylor</w:t>
            </w:r>
          </w:p>
        </w:tc>
        <w:tc>
          <w:tcPr>
            <w:tcW w:w="0" w:type="auto"/>
            <w:gridSpan w:val="3"/>
            <w:shd w:val="clear" w:color="auto" w:fill="auto"/>
            <w:tcMar>
              <w:top w:w="0" w:type="dxa"/>
              <w:left w:w="20" w:type="dxa"/>
              <w:bottom w:w="0" w:type="dxa"/>
              <w:right w:w="20" w:type="dxa"/>
            </w:tcMar>
            <w:vAlign w:val="bottom"/>
          </w:tcPr>
          <w:p w14:paraId="5CD90BEA" w14:textId="77777777" w:rsidR="00BA49F5" w:rsidRDefault="00BA49F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D90BEB" w14:textId="77777777" w:rsidR="00BA49F5" w:rsidRDefault="007E5E49">
            <w:pPr>
              <w:jc w:val="center"/>
              <w:textAlignment w:val="bottom"/>
            </w:pPr>
            <w:r>
              <w:rPr>
                <w:rFonts w:ascii="Times New Roman" w:eastAsia="宋体" w:hAnsi="Times New Roman"/>
                <w:color w:val="000000"/>
                <w:sz w:val="20"/>
                <w:szCs w:val="20"/>
              </w:rPr>
              <w:t>Chief Accounting Officer</w:t>
            </w:r>
          </w:p>
          <w:p w14:paraId="5CD90BEC" w14:textId="77777777" w:rsidR="00BA49F5" w:rsidRDefault="007E5E49">
            <w:pPr>
              <w:spacing w:after="15"/>
              <w:jc w:val="center"/>
              <w:textAlignment w:val="bottom"/>
            </w:pPr>
            <w:r>
              <w:rPr>
                <w:rFonts w:ascii="Times New Roman" w:eastAsia="宋体" w:hAnsi="Times New Roman"/>
                <w:i/>
                <w:iCs/>
                <w:color w:val="000000"/>
                <w:sz w:val="20"/>
                <w:szCs w:val="20"/>
              </w:rPr>
              <w:t>(Principal Accounting Officer)</w:t>
            </w:r>
          </w:p>
        </w:tc>
        <w:tc>
          <w:tcPr>
            <w:tcW w:w="0" w:type="auto"/>
            <w:gridSpan w:val="3"/>
            <w:shd w:val="clear" w:color="auto" w:fill="auto"/>
            <w:tcMar>
              <w:top w:w="0" w:type="dxa"/>
              <w:left w:w="20" w:type="dxa"/>
              <w:bottom w:w="0" w:type="dxa"/>
              <w:right w:w="20" w:type="dxa"/>
            </w:tcMar>
            <w:vAlign w:val="bottom"/>
          </w:tcPr>
          <w:p w14:paraId="5CD90BE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EE"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BF5"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BF0" w14:textId="77777777" w:rsidR="00BA49F5" w:rsidRDefault="007E5E49">
            <w:pPr>
              <w:spacing w:after="15"/>
              <w:jc w:val="center"/>
              <w:textAlignment w:val="bottom"/>
            </w:pPr>
            <w:r>
              <w:rPr>
                <w:rFonts w:ascii="Times New Roman" w:eastAsia="宋体" w:hAnsi="Times New Roman"/>
                <w:b/>
                <w:bCs/>
                <w:color w:val="000000"/>
                <w:sz w:val="14"/>
                <w:szCs w:val="14"/>
              </w:rPr>
              <w:t>Susan J.S. Taylor</w:t>
            </w:r>
          </w:p>
        </w:tc>
        <w:tc>
          <w:tcPr>
            <w:tcW w:w="0" w:type="auto"/>
            <w:gridSpan w:val="3"/>
            <w:shd w:val="clear" w:color="auto" w:fill="auto"/>
            <w:tcMar>
              <w:top w:w="0" w:type="dxa"/>
              <w:left w:w="20" w:type="dxa"/>
              <w:bottom w:w="0" w:type="dxa"/>
              <w:right w:w="20" w:type="dxa"/>
            </w:tcMar>
            <w:vAlign w:val="bottom"/>
          </w:tcPr>
          <w:p w14:paraId="5CD90BF1" w14:textId="77777777" w:rsidR="00BA49F5" w:rsidRDefault="00BA49F5">
            <w:pPr>
              <w:rPr>
                <w:rFonts w:ascii="宋体"/>
              </w:rPr>
            </w:pPr>
          </w:p>
        </w:tc>
        <w:tc>
          <w:tcPr>
            <w:tcW w:w="0" w:type="auto"/>
            <w:gridSpan w:val="3"/>
            <w:vMerge/>
            <w:shd w:val="clear" w:color="auto" w:fill="auto"/>
            <w:tcMar>
              <w:top w:w="40" w:type="dxa"/>
              <w:left w:w="20" w:type="dxa"/>
              <w:bottom w:w="40" w:type="dxa"/>
              <w:right w:w="20" w:type="dxa"/>
            </w:tcMar>
            <w:vAlign w:val="bottom"/>
          </w:tcPr>
          <w:p w14:paraId="5CD90BF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F3"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BF4" w14:textId="77777777" w:rsidR="00BA49F5" w:rsidRDefault="00BA49F5">
            <w:pPr>
              <w:rPr>
                <w:rFonts w:ascii="宋体"/>
              </w:rPr>
            </w:pPr>
          </w:p>
        </w:tc>
      </w:tr>
      <w:tr w:rsidR="00BA49F5" w14:paraId="5CD90BFB"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BF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F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F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F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BFA" w14:textId="77777777" w:rsidR="00BA49F5" w:rsidRDefault="00BA49F5">
            <w:pPr>
              <w:rPr>
                <w:rFonts w:ascii="宋体"/>
              </w:rPr>
            </w:pPr>
          </w:p>
        </w:tc>
      </w:tr>
      <w:tr w:rsidR="00BA49F5" w14:paraId="5CD90C01" w14:textId="77777777">
        <w:trPr>
          <w:jc w:val="center"/>
        </w:trPr>
        <w:tc>
          <w:tcPr>
            <w:tcW w:w="0" w:type="auto"/>
            <w:gridSpan w:val="3"/>
            <w:shd w:val="clear" w:color="auto" w:fill="auto"/>
            <w:tcMar>
              <w:top w:w="40" w:type="dxa"/>
              <w:left w:w="20" w:type="dxa"/>
              <w:bottom w:w="40" w:type="dxa"/>
              <w:right w:w="20" w:type="dxa"/>
            </w:tcMar>
            <w:vAlign w:val="bottom"/>
          </w:tcPr>
          <w:p w14:paraId="5CD90BFC" w14:textId="77777777" w:rsidR="00BA49F5" w:rsidRDefault="007E5E49">
            <w:pPr>
              <w:jc w:val="center"/>
              <w:textAlignment w:val="bottom"/>
            </w:pPr>
            <w:r>
              <w:rPr>
                <w:rFonts w:ascii="Times New Roman" w:eastAsia="宋体" w:hAnsi="Times New Roman"/>
                <w:color w:val="000000"/>
                <w:sz w:val="20"/>
                <w:szCs w:val="20"/>
              </w:rPr>
              <w:t>/s/ Peggy Alford</w:t>
            </w:r>
          </w:p>
        </w:tc>
        <w:tc>
          <w:tcPr>
            <w:tcW w:w="0" w:type="auto"/>
            <w:gridSpan w:val="3"/>
            <w:shd w:val="clear" w:color="auto" w:fill="auto"/>
            <w:tcMar>
              <w:top w:w="0" w:type="dxa"/>
              <w:left w:w="20" w:type="dxa"/>
              <w:bottom w:w="0" w:type="dxa"/>
              <w:right w:w="20" w:type="dxa"/>
            </w:tcMar>
            <w:vAlign w:val="bottom"/>
          </w:tcPr>
          <w:p w14:paraId="5CD90BF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BFE"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BF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00"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07"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02" w14:textId="77777777" w:rsidR="00BA49F5" w:rsidRDefault="007E5E49">
            <w:pPr>
              <w:spacing w:after="15"/>
              <w:jc w:val="center"/>
              <w:textAlignment w:val="bottom"/>
            </w:pPr>
            <w:r>
              <w:rPr>
                <w:rFonts w:ascii="Times New Roman" w:eastAsia="宋体" w:hAnsi="Times New Roman"/>
                <w:b/>
                <w:bCs/>
                <w:color w:val="000000"/>
                <w:sz w:val="14"/>
                <w:szCs w:val="14"/>
              </w:rPr>
              <w:t>Peggy Alford</w:t>
            </w:r>
          </w:p>
        </w:tc>
        <w:tc>
          <w:tcPr>
            <w:tcW w:w="0" w:type="auto"/>
            <w:gridSpan w:val="3"/>
            <w:shd w:val="clear" w:color="auto" w:fill="auto"/>
            <w:tcMar>
              <w:top w:w="0" w:type="dxa"/>
              <w:left w:w="20" w:type="dxa"/>
              <w:bottom w:w="0" w:type="dxa"/>
              <w:right w:w="20" w:type="dxa"/>
            </w:tcMar>
            <w:vAlign w:val="bottom"/>
          </w:tcPr>
          <w:p w14:paraId="5CD90C0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5"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06" w14:textId="77777777" w:rsidR="00BA49F5" w:rsidRDefault="00BA49F5">
            <w:pPr>
              <w:rPr>
                <w:rFonts w:ascii="宋体"/>
              </w:rPr>
            </w:pPr>
          </w:p>
        </w:tc>
      </w:tr>
      <w:tr w:rsidR="00BA49F5" w14:paraId="5CD90C0D"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0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0C" w14:textId="77777777" w:rsidR="00BA49F5" w:rsidRDefault="00BA49F5">
            <w:pPr>
              <w:rPr>
                <w:rFonts w:ascii="宋体"/>
              </w:rPr>
            </w:pPr>
          </w:p>
        </w:tc>
      </w:tr>
      <w:tr w:rsidR="00BA49F5" w14:paraId="5CD90C13" w14:textId="77777777">
        <w:trPr>
          <w:jc w:val="center"/>
        </w:trPr>
        <w:tc>
          <w:tcPr>
            <w:tcW w:w="0" w:type="auto"/>
            <w:gridSpan w:val="3"/>
            <w:shd w:val="clear" w:color="auto" w:fill="auto"/>
            <w:tcMar>
              <w:top w:w="40" w:type="dxa"/>
              <w:left w:w="20" w:type="dxa"/>
              <w:bottom w:w="40" w:type="dxa"/>
              <w:right w:w="20" w:type="dxa"/>
            </w:tcMar>
            <w:vAlign w:val="bottom"/>
          </w:tcPr>
          <w:p w14:paraId="5CD90C0E" w14:textId="77777777" w:rsidR="00BA49F5" w:rsidRDefault="007E5E49">
            <w:pPr>
              <w:jc w:val="center"/>
              <w:textAlignment w:val="bottom"/>
            </w:pPr>
            <w:r>
              <w:rPr>
                <w:rFonts w:ascii="Times New Roman" w:eastAsia="宋体" w:hAnsi="Times New Roman"/>
                <w:color w:val="000000"/>
                <w:sz w:val="20"/>
                <w:szCs w:val="20"/>
              </w:rPr>
              <w:t>/s/ Marc L. Andreessen</w:t>
            </w:r>
          </w:p>
        </w:tc>
        <w:tc>
          <w:tcPr>
            <w:tcW w:w="0" w:type="auto"/>
            <w:gridSpan w:val="3"/>
            <w:shd w:val="clear" w:color="auto" w:fill="auto"/>
            <w:tcMar>
              <w:top w:w="0" w:type="dxa"/>
              <w:left w:w="20" w:type="dxa"/>
              <w:bottom w:w="0" w:type="dxa"/>
              <w:right w:w="20" w:type="dxa"/>
            </w:tcMar>
            <w:vAlign w:val="bottom"/>
          </w:tcPr>
          <w:p w14:paraId="5CD90C0F"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10"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1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12"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1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14" w14:textId="77777777" w:rsidR="00BA49F5" w:rsidRDefault="007E5E49">
            <w:pPr>
              <w:spacing w:after="15"/>
              <w:jc w:val="center"/>
              <w:textAlignment w:val="bottom"/>
            </w:pPr>
            <w:r>
              <w:rPr>
                <w:rFonts w:ascii="Times New Roman" w:eastAsia="宋体" w:hAnsi="Times New Roman"/>
                <w:b/>
                <w:bCs/>
                <w:color w:val="000000"/>
                <w:sz w:val="14"/>
                <w:szCs w:val="14"/>
              </w:rPr>
              <w:t>Marc L. Andreessen</w:t>
            </w:r>
          </w:p>
        </w:tc>
        <w:tc>
          <w:tcPr>
            <w:tcW w:w="0" w:type="auto"/>
            <w:gridSpan w:val="3"/>
            <w:shd w:val="clear" w:color="auto" w:fill="auto"/>
            <w:tcMar>
              <w:top w:w="0" w:type="dxa"/>
              <w:left w:w="20" w:type="dxa"/>
              <w:bottom w:w="0" w:type="dxa"/>
              <w:right w:w="20" w:type="dxa"/>
            </w:tcMar>
            <w:vAlign w:val="bottom"/>
          </w:tcPr>
          <w:p w14:paraId="5CD90C1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7"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18" w14:textId="77777777" w:rsidR="00BA49F5" w:rsidRDefault="00BA49F5">
            <w:pPr>
              <w:rPr>
                <w:rFonts w:ascii="宋体"/>
              </w:rPr>
            </w:pPr>
          </w:p>
        </w:tc>
      </w:tr>
      <w:tr w:rsidR="00BA49F5" w14:paraId="5CD90C1F"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1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1E" w14:textId="77777777" w:rsidR="00BA49F5" w:rsidRDefault="00BA49F5">
            <w:pPr>
              <w:rPr>
                <w:rFonts w:ascii="宋体"/>
              </w:rPr>
            </w:pPr>
          </w:p>
        </w:tc>
      </w:tr>
      <w:tr w:rsidR="00BA49F5" w14:paraId="5CD90C25" w14:textId="77777777">
        <w:trPr>
          <w:jc w:val="center"/>
        </w:trPr>
        <w:tc>
          <w:tcPr>
            <w:tcW w:w="0" w:type="auto"/>
            <w:gridSpan w:val="3"/>
            <w:shd w:val="clear" w:color="auto" w:fill="auto"/>
            <w:tcMar>
              <w:top w:w="40" w:type="dxa"/>
              <w:left w:w="20" w:type="dxa"/>
              <w:bottom w:w="40" w:type="dxa"/>
              <w:right w:w="20" w:type="dxa"/>
            </w:tcMar>
            <w:vAlign w:val="bottom"/>
          </w:tcPr>
          <w:p w14:paraId="5CD90C20" w14:textId="77777777" w:rsidR="00BA49F5" w:rsidRDefault="007E5E49">
            <w:pPr>
              <w:jc w:val="center"/>
              <w:textAlignment w:val="bottom"/>
            </w:pPr>
            <w:r>
              <w:rPr>
                <w:rFonts w:ascii="Times New Roman" w:eastAsia="宋体" w:hAnsi="Times New Roman"/>
                <w:color w:val="000000"/>
                <w:sz w:val="20"/>
                <w:szCs w:val="20"/>
              </w:rPr>
              <w:t>/s/ Andrew W. Houston</w:t>
            </w:r>
          </w:p>
        </w:tc>
        <w:tc>
          <w:tcPr>
            <w:tcW w:w="0" w:type="auto"/>
            <w:gridSpan w:val="3"/>
            <w:shd w:val="clear" w:color="auto" w:fill="auto"/>
            <w:tcMar>
              <w:top w:w="0" w:type="dxa"/>
              <w:left w:w="20" w:type="dxa"/>
              <w:bottom w:w="0" w:type="dxa"/>
              <w:right w:w="20" w:type="dxa"/>
            </w:tcMar>
            <w:vAlign w:val="bottom"/>
          </w:tcPr>
          <w:p w14:paraId="5CD90C21"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22"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2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24"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2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26" w14:textId="77777777" w:rsidR="00BA49F5" w:rsidRDefault="007E5E49">
            <w:pPr>
              <w:spacing w:after="15"/>
              <w:jc w:val="center"/>
              <w:textAlignment w:val="bottom"/>
            </w:pPr>
            <w:r>
              <w:rPr>
                <w:rFonts w:ascii="Times New Roman" w:eastAsia="宋体" w:hAnsi="Times New Roman"/>
                <w:b/>
                <w:bCs/>
                <w:color w:val="000000"/>
                <w:sz w:val="14"/>
                <w:szCs w:val="14"/>
              </w:rPr>
              <w:t>Andrew W. Houston</w:t>
            </w:r>
          </w:p>
        </w:tc>
        <w:tc>
          <w:tcPr>
            <w:tcW w:w="0" w:type="auto"/>
            <w:gridSpan w:val="3"/>
            <w:shd w:val="clear" w:color="auto" w:fill="auto"/>
            <w:tcMar>
              <w:top w:w="0" w:type="dxa"/>
              <w:left w:w="20" w:type="dxa"/>
              <w:bottom w:w="0" w:type="dxa"/>
              <w:right w:w="20" w:type="dxa"/>
            </w:tcMar>
            <w:vAlign w:val="bottom"/>
          </w:tcPr>
          <w:p w14:paraId="5CD90C2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28"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29"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2A" w14:textId="77777777" w:rsidR="00BA49F5" w:rsidRDefault="00BA49F5">
            <w:pPr>
              <w:rPr>
                <w:rFonts w:ascii="宋体"/>
              </w:rPr>
            </w:pPr>
          </w:p>
        </w:tc>
      </w:tr>
      <w:tr w:rsidR="00BA49F5" w14:paraId="5CD90C31"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2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2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2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2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30" w14:textId="77777777" w:rsidR="00BA49F5" w:rsidRDefault="00BA49F5">
            <w:pPr>
              <w:rPr>
                <w:rFonts w:ascii="宋体"/>
              </w:rPr>
            </w:pPr>
          </w:p>
        </w:tc>
      </w:tr>
      <w:tr w:rsidR="00BA49F5" w14:paraId="5CD90C37" w14:textId="77777777">
        <w:trPr>
          <w:jc w:val="center"/>
        </w:trPr>
        <w:tc>
          <w:tcPr>
            <w:tcW w:w="0" w:type="auto"/>
            <w:gridSpan w:val="3"/>
            <w:shd w:val="clear" w:color="auto" w:fill="auto"/>
            <w:tcMar>
              <w:top w:w="40" w:type="dxa"/>
              <w:left w:w="20" w:type="dxa"/>
              <w:bottom w:w="40" w:type="dxa"/>
              <w:right w:w="20" w:type="dxa"/>
            </w:tcMar>
            <w:vAlign w:val="bottom"/>
          </w:tcPr>
          <w:p w14:paraId="5CD90C32" w14:textId="77777777" w:rsidR="00BA49F5" w:rsidRDefault="007E5E49">
            <w:pPr>
              <w:jc w:val="center"/>
              <w:textAlignment w:val="bottom"/>
            </w:pPr>
            <w:r>
              <w:rPr>
                <w:rFonts w:ascii="Times New Roman" w:eastAsia="宋体" w:hAnsi="Times New Roman"/>
                <w:color w:val="000000"/>
                <w:sz w:val="20"/>
                <w:szCs w:val="20"/>
              </w:rPr>
              <w:t>/s/ Nancy Killefer</w:t>
            </w:r>
          </w:p>
        </w:tc>
        <w:tc>
          <w:tcPr>
            <w:tcW w:w="0" w:type="auto"/>
            <w:gridSpan w:val="3"/>
            <w:shd w:val="clear" w:color="auto" w:fill="auto"/>
            <w:tcMar>
              <w:top w:w="0" w:type="dxa"/>
              <w:left w:w="20" w:type="dxa"/>
              <w:bottom w:w="0" w:type="dxa"/>
              <w:right w:w="20" w:type="dxa"/>
            </w:tcMar>
            <w:vAlign w:val="bottom"/>
          </w:tcPr>
          <w:p w14:paraId="5CD90C33"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34"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3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36"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3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38" w14:textId="77777777" w:rsidR="00BA49F5" w:rsidRDefault="007E5E49">
            <w:pPr>
              <w:spacing w:after="15"/>
              <w:jc w:val="center"/>
              <w:textAlignment w:val="bottom"/>
            </w:pPr>
            <w:r>
              <w:rPr>
                <w:rFonts w:ascii="Times New Roman" w:eastAsia="宋体" w:hAnsi="Times New Roman"/>
                <w:b/>
                <w:bCs/>
                <w:color w:val="000000"/>
                <w:sz w:val="14"/>
                <w:szCs w:val="14"/>
              </w:rPr>
              <w:t>Nancy Killefer</w:t>
            </w:r>
          </w:p>
        </w:tc>
        <w:tc>
          <w:tcPr>
            <w:tcW w:w="0" w:type="auto"/>
            <w:gridSpan w:val="3"/>
            <w:shd w:val="clear" w:color="auto" w:fill="auto"/>
            <w:tcMar>
              <w:top w:w="0" w:type="dxa"/>
              <w:left w:w="20" w:type="dxa"/>
              <w:bottom w:w="0" w:type="dxa"/>
              <w:right w:w="20" w:type="dxa"/>
            </w:tcMar>
            <w:vAlign w:val="bottom"/>
          </w:tcPr>
          <w:p w14:paraId="5CD90C39"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3A"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3B"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3C" w14:textId="77777777" w:rsidR="00BA49F5" w:rsidRDefault="00BA49F5">
            <w:pPr>
              <w:rPr>
                <w:rFonts w:ascii="宋体"/>
              </w:rPr>
            </w:pPr>
          </w:p>
        </w:tc>
      </w:tr>
      <w:tr w:rsidR="00BA49F5" w14:paraId="5CD90C43"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3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3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4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4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42" w14:textId="77777777" w:rsidR="00BA49F5" w:rsidRDefault="00BA49F5">
            <w:pPr>
              <w:rPr>
                <w:rFonts w:ascii="宋体"/>
              </w:rPr>
            </w:pPr>
          </w:p>
        </w:tc>
      </w:tr>
      <w:tr w:rsidR="00BA49F5" w14:paraId="5CD90C49" w14:textId="77777777">
        <w:trPr>
          <w:jc w:val="center"/>
        </w:trPr>
        <w:tc>
          <w:tcPr>
            <w:tcW w:w="0" w:type="auto"/>
            <w:gridSpan w:val="3"/>
            <w:shd w:val="clear" w:color="auto" w:fill="auto"/>
            <w:tcMar>
              <w:top w:w="40" w:type="dxa"/>
              <w:left w:w="20" w:type="dxa"/>
              <w:bottom w:w="40" w:type="dxa"/>
              <w:right w:w="20" w:type="dxa"/>
            </w:tcMar>
            <w:vAlign w:val="bottom"/>
          </w:tcPr>
          <w:p w14:paraId="5CD90C44" w14:textId="77777777" w:rsidR="00BA49F5" w:rsidRDefault="007E5E49">
            <w:pPr>
              <w:jc w:val="center"/>
              <w:textAlignment w:val="bottom"/>
            </w:pPr>
            <w:r>
              <w:rPr>
                <w:rFonts w:ascii="Times New Roman" w:eastAsia="宋体" w:hAnsi="Times New Roman"/>
                <w:color w:val="000000"/>
                <w:sz w:val="20"/>
                <w:szCs w:val="20"/>
              </w:rPr>
              <w:t>/s/ Robert M. Kimmitt</w:t>
            </w:r>
          </w:p>
        </w:tc>
        <w:tc>
          <w:tcPr>
            <w:tcW w:w="0" w:type="auto"/>
            <w:gridSpan w:val="3"/>
            <w:shd w:val="clear" w:color="auto" w:fill="auto"/>
            <w:tcMar>
              <w:top w:w="0" w:type="dxa"/>
              <w:left w:w="20" w:type="dxa"/>
              <w:bottom w:w="0" w:type="dxa"/>
              <w:right w:w="20" w:type="dxa"/>
            </w:tcMar>
            <w:vAlign w:val="bottom"/>
          </w:tcPr>
          <w:p w14:paraId="5CD90C45"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46"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4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48"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4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4A" w14:textId="77777777" w:rsidR="00BA49F5" w:rsidRDefault="007E5E49">
            <w:pPr>
              <w:spacing w:after="15"/>
              <w:jc w:val="center"/>
              <w:textAlignment w:val="bottom"/>
            </w:pPr>
            <w:r>
              <w:rPr>
                <w:rFonts w:ascii="Times New Roman" w:eastAsia="宋体" w:hAnsi="Times New Roman"/>
                <w:b/>
                <w:bCs/>
                <w:color w:val="000000"/>
                <w:sz w:val="14"/>
                <w:szCs w:val="14"/>
              </w:rPr>
              <w:t>Robert M. Kimmitt</w:t>
            </w:r>
          </w:p>
        </w:tc>
        <w:tc>
          <w:tcPr>
            <w:tcW w:w="0" w:type="auto"/>
            <w:gridSpan w:val="3"/>
            <w:shd w:val="clear" w:color="auto" w:fill="auto"/>
            <w:tcMar>
              <w:top w:w="0" w:type="dxa"/>
              <w:left w:w="20" w:type="dxa"/>
              <w:bottom w:w="0" w:type="dxa"/>
              <w:right w:w="20" w:type="dxa"/>
            </w:tcMar>
            <w:vAlign w:val="bottom"/>
          </w:tcPr>
          <w:p w14:paraId="5CD90C4B"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4C"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4D"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4E" w14:textId="77777777" w:rsidR="00BA49F5" w:rsidRDefault="00BA49F5">
            <w:pPr>
              <w:rPr>
                <w:rFonts w:ascii="宋体"/>
              </w:rPr>
            </w:pPr>
          </w:p>
        </w:tc>
      </w:tr>
      <w:tr w:rsidR="00BA49F5" w14:paraId="5CD90C55"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5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4" w14:textId="77777777" w:rsidR="00BA49F5" w:rsidRDefault="00BA49F5">
            <w:pPr>
              <w:rPr>
                <w:rFonts w:ascii="宋体"/>
              </w:rPr>
            </w:pPr>
          </w:p>
        </w:tc>
      </w:tr>
      <w:tr w:rsidR="00BA49F5" w14:paraId="5CD90C5B" w14:textId="77777777">
        <w:trPr>
          <w:jc w:val="center"/>
        </w:trPr>
        <w:tc>
          <w:tcPr>
            <w:tcW w:w="0" w:type="auto"/>
            <w:gridSpan w:val="3"/>
            <w:shd w:val="clear" w:color="auto" w:fill="auto"/>
            <w:tcMar>
              <w:top w:w="40" w:type="dxa"/>
              <w:left w:w="20" w:type="dxa"/>
              <w:bottom w:w="40" w:type="dxa"/>
              <w:right w:w="20" w:type="dxa"/>
            </w:tcMar>
            <w:vAlign w:val="bottom"/>
          </w:tcPr>
          <w:p w14:paraId="5CD90C56" w14:textId="77777777" w:rsidR="00BA49F5" w:rsidRDefault="007E5E49">
            <w:pPr>
              <w:jc w:val="center"/>
              <w:textAlignment w:val="bottom"/>
            </w:pPr>
            <w:r>
              <w:rPr>
                <w:rFonts w:ascii="Times New Roman" w:eastAsia="宋体" w:hAnsi="Times New Roman"/>
                <w:color w:val="000000"/>
                <w:sz w:val="20"/>
                <w:szCs w:val="20"/>
              </w:rPr>
              <w:t>/s/ Sheryl K. Sandberg</w:t>
            </w:r>
          </w:p>
        </w:tc>
        <w:tc>
          <w:tcPr>
            <w:tcW w:w="0" w:type="auto"/>
            <w:gridSpan w:val="3"/>
            <w:shd w:val="clear" w:color="auto" w:fill="auto"/>
            <w:tcMar>
              <w:top w:w="0" w:type="dxa"/>
              <w:left w:w="20" w:type="dxa"/>
              <w:bottom w:w="0" w:type="dxa"/>
              <w:right w:w="20" w:type="dxa"/>
            </w:tcMar>
            <w:vAlign w:val="bottom"/>
          </w:tcPr>
          <w:p w14:paraId="5CD90C57"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58"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5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5A"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61"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5C" w14:textId="77777777" w:rsidR="00BA49F5" w:rsidRDefault="007E5E49">
            <w:pPr>
              <w:spacing w:after="15"/>
              <w:jc w:val="center"/>
              <w:textAlignment w:val="bottom"/>
            </w:pPr>
            <w:r>
              <w:rPr>
                <w:rFonts w:ascii="Times New Roman" w:eastAsia="宋体" w:hAnsi="Times New Roman"/>
                <w:b/>
                <w:bCs/>
                <w:color w:val="000000"/>
                <w:sz w:val="14"/>
                <w:szCs w:val="14"/>
              </w:rPr>
              <w:t>Sheryl K. Sandberg</w:t>
            </w:r>
          </w:p>
        </w:tc>
        <w:tc>
          <w:tcPr>
            <w:tcW w:w="0" w:type="auto"/>
            <w:gridSpan w:val="3"/>
            <w:shd w:val="clear" w:color="auto" w:fill="auto"/>
            <w:tcMar>
              <w:top w:w="0" w:type="dxa"/>
              <w:left w:w="20" w:type="dxa"/>
              <w:bottom w:w="0" w:type="dxa"/>
              <w:right w:w="20" w:type="dxa"/>
            </w:tcMar>
            <w:vAlign w:val="bottom"/>
          </w:tcPr>
          <w:p w14:paraId="5CD90C5D"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E"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5F"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60" w14:textId="77777777" w:rsidR="00BA49F5" w:rsidRDefault="00BA49F5">
            <w:pPr>
              <w:rPr>
                <w:rFonts w:ascii="宋体"/>
              </w:rPr>
            </w:pPr>
          </w:p>
        </w:tc>
      </w:tr>
      <w:tr w:rsidR="00BA49F5" w14:paraId="5CD90C67"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6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63"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6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6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66" w14:textId="77777777" w:rsidR="00BA49F5" w:rsidRDefault="00BA49F5">
            <w:pPr>
              <w:rPr>
                <w:rFonts w:ascii="宋体"/>
              </w:rPr>
            </w:pPr>
          </w:p>
        </w:tc>
      </w:tr>
      <w:tr w:rsidR="00BA49F5" w14:paraId="5CD90C6D" w14:textId="77777777">
        <w:trPr>
          <w:jc w:val="center"/>
        </w:trPr>
        <w:tc>
          <w:tcPr>
            <w:tcW w:w="0" w:type="auto"/>
            <w:gridSpan w:val="3"/>
            <w:shd w:val="clear" w:color="auto" w:fill="auto"/>
            <w:tcMar>
              <w:top w:w="40" w:type="dxa"/>
              <w:left w:w="20" w:type="dxa"/>
              <w:bottom w:w="40" w:type="dxa"/>
              <w:right w:w="20" w:type="dxa"/>
            </w:tcMar>
            <w:vAlign w:val="bottom"/>
          </w:tcPr>
          <w:p w14:paraId="5CD90C68" w14:textId="77777777" w:rsidR="00BA49F5" w:rsidRDefault="007E5E49">
            <w:pPr>
              <w:jc w:val="center"/>
              <w:textAlignment w:val="bottom"/>
            </w:pPr>
            <w:r>
              <w:rPr>
                <w:rFonts w:ascii="Times New Roman" w:eastAsia="宋体" w:hAnsi="Times New Roman"/>
                <w:color w:val="000000"/>
                <w:sz w:val="20"/>
                <w:szCs w:val="20"/>
              </w:rPr>
              <w:t>/s/ Tracey T. Travis</w:t>
            </w:r>
          </w:p>
        </w:tc>
        <w:tc>
          <w:tcPr>
            <w:tcW w:w="0" w:type="auto"/>
            <w:gridSpan w:val="3"/>
            <w:shd w:val="clear" w:color="auto" w:fill="auto"/>
            <w:tcMar>
              <w:top w:w="0" w:type="dxa"/>
              <w:left w:w="20" w:type="dxa"/>
              <w:bottom w:w="0" w:type="dxa"/>
              <w:right w:w="20" w:type="dxa"/>
            </w:tcMar>
            <w:vAlign w:val="bottom"/>
          </w:tcPr>
          <w:p w14:paraId="5CD90C69"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6A"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6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6C"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73"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6E" w14:textId="77777777" w:rsidR="00BA49F5" w:rsidRDefault="007E5E49">
            <w:pPr>
              <w:spacing w:after="15"/>
              <w:jc w:val="center"/>
              <w:textAlignment w:val="bottom"/>
            </w:pPr>
            <w:r>
              <w:rPr>
                <w:rFonts w:ascii="Times New Roman" w:eastAsia="宋体" w:hAnsi="Times New Roman"/>
                <w:b/>
                <w:bCs/>
                <w:color w:val="000000"/>
                <w:sz w:val="14"/>
                <w:szCs w:val="14"/>
              </w:rPr>
              <w:t xml:space="preserve">Tracey T. </w:t>
            </w:r>
            <w:r>
              <w:rPr>
                <w:rFonts w:ascii="Times New Roman" w:eastAsia="宋体" w:hAnsi="Times New Roman"/>
                <w:b/>
                <w:bCs/>
                <w:color w:val="000000"/>
                <w:sz w:val="14"/>
                <w:szCs w:val="14"/>
              </w:rPr>
              <w:t>Travis</w:t>
            </w:r>
          </w:p>
        </w:tc>
        <w:tc>
          <w:tcPr>
            <w:tcW w:w="0" w:type="auto"/>
            <w:gridSpan w:val="3"/>
            <w:shd w:val="clear" w:color="auto" w:fill="auto"/>
            <w:tcMar>
              <w:top w:w="0" w:type="dxa"/>
              <w:left w:w="20" w:type="dxa"/>
              <w:bottom w:w="0" w:type="dxa"/>
              <w:right w:w="20" w:type="dxa"/>
            </w:tcMar>
            <w:vAlign w:val="bottom"/>
          </w:tcPr>
          <w:p w14:paraId="5CD90C6F"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0"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1"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72" w14:textId="77777777" w:rsidR="00BA49F5" w:rsidRDefault="00BA49F5">
            <w:pPr>
              <w:rPr>
                <w:rFonts w:ascii="宋体"/>
              </w:rPr>
            </w:pPr>
          </w:p>
        </w:tc>
      </w:tr>
      <w:tr w:rsidR="00BA49F5" w14:paraId="5CD90C79" w14:textId="77777777">
        <w:trPr>
          <w:trHeight w:val="100"/>
          <w:jc w:val="center"/>
        </w:trPr>
        <w:tc>
          <w:tcPr>
            <w:tcW w:w="0" w:type="auto"/>
            <w:gridSpan w:val="3"/>
            <w:shd w:val="clear" w:color="auto" w:fill="auto"/>
            <w:tcMar>
              <w:top w:w="0" w:type="dxa"/>
              <w:left w:w="20" w:type="dxa"/>
              <w:bottom w:w="0" w:type="dxa"/>
              <w:right w:w="20" w:type="dxa"/>
            </w:tcMar>
            <w:vAlign w:val="bottom"/>
          </w:tcPr>
          <w:p w14:paraId="5CD90C74"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5"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6"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7"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78" w14:textId="77777777" w:rsidR="00BA49F5" w:rsidRDefault="00BA49F5">
            <w:pPr>
              <w:rPr>
                <w:rFonts w:ascii="宋体"/>
              </w:rPr>
            </w:pPr>
          </w:p>
        </w:tc>
      </w:tr>
      <w:tr w:rsidR="00BA49F5" w14:paraId="5CD90C7F" w14:textId="77777777">
        <w:trPr>
          <w:jc w:val="center"/>
        </w:trPr>
        <w:tc>
          <w:tcPr>
            <w:tcW w:w="0" w:type="auto"/>
            <w:gridSpan w:val="3"/>
            <w:shd w:val="clear" w:color="auto" w:fill="auto"/>
            <w:tcMar>
              <w:top w:w="40" w:type="dxa"/>
              <w:left w:w="20" w:type="dxa"/>
              <w:bottom w:w="40" w:type="dxa"/>
              <w:right w:w="20" w:type="dxa"/>
            </w:tcMar>
            <w:vAlign w:val="bottom"/>
          </w:tcPr>
          <w:p w14:paraId="5CD90C7A" w14:textId="77777777" w:rsidR="00BA49F5" w:rsidRDefault="007E5E49">
            <w:pPr>
              <w:jc w:val="center"/>
              <w:textAlignment w:val="bottom"/>
            </w:pPr>
            <w:r>
              <w:rPr>
                <w:rFonts w:ascii="Times New Roman" w:eastAsia="宋体" w:hAnsi="Times New Roman"/>
                <w:color w:val="000000"/>
                <w:sz w:val="20"/>
                <w:szCs w:val="20"/>
              </w:rPr>
              <w:t>/s/ Tony Xu</w:t>
            </w:r>
          </w:p>
        </w:tc>
        <w:tc>
          <w:tcPr>
            <w:tcW w:w="0" w:type="auto"/>
            <w:gridSpan w:val="3"/>
            <w:shd w:val="clear" w:color="auto" w:fill="auto"/>
            <w:tcMar>
              <w:top w:w="0" w:type="dxa"/>
              <w:left w:w="20" w:type="dxa"/>
              <w:bottom w:w="0" w:type="dxa"/>
              <w:right w:w="20" w:type="dxa"/>
            </w:tcMar>
            <w:vAlign w:val="bottom"/>
          </w:tcPr>
          <w:p w14:paraId="5CD90C7B"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7C" w14:textId="77777777" w:rsidR="00BA49F5" w:rsidRDefault="007E5E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CD90C7D" w14:textId="77777777" w:rsidR="00BA49F5" w:rsidRDefault="00BA49F5">
            <w:pPr>
              <w:rPr>
                <w:rFonts w:ascii="宋体"/>
              </w:rPr>
            </w:pPr>
          </w:p>
        </w:tc>
        <w:tc>
          <w:tcPr>
            <w:tcW w:w="0" w:type="auto"/>
            <w:gridSpan w:val="3"/>
            <w:shd w:val="clear" w:color="auto" w:fill="auto"/>
            <w:tcMar>
              <w:top w:w="40" w:type="dxa"/>
              <w:left w:w="20" w:type="dxa"/>
              <w:bottom w:w="40" w:type="dxa"/>
              <w:right w:w="20" w:type="dxa"/>
            </w:tcMar>
            <w:vAlign w:val="bottom"/>
          </w:tcPr>
          <w:p w14:paraId="5CD90C7E" w14:textId="77777777" w:rsidR="00BA49F5" w:rsidRDefault="007E5E49">
            <w:pPr>
              <w:jc w:val="center"/>
              <w:textAlignment w:val="bottom"/>
            </w:pPr>
            <w:r>
              <w:rPr>
                <w:rFonts w:ascii="Times New Roman" w:eastAsia="宋体" w:hAnsi="Times New Roman"/>
                <w:color w:val="000000"/>
                <w:sz w:val="20"/>
                <w:szCs w:val="20"/>
              </w:rPr>
              <w:t>February 1, 2023</w:t>
            </w:r>
          </w:p>
        </w:tc>
      </w:tr>
      <w:tr w:rsidR="00BA49F5" w14:paraId="5CD90C85"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CD90C80" w14:textId="77777777" w:rsidR="00BA49F5" w:rsidRDefault="007E5E49">
            <w:pPr>
              <w:spacing w:after="15"/>
              <w:jc w:val="center"/>
              <w:textAlignment w:val="bottom"/>
            </w:pPr>
            <w:r>
              <w:rPr>
                <w:rFonts w:ascii="Times New Roman" w:eastAsia="宋体" w:hAnsi="Times New Roman"/>
                <w:b/>
                <w:bCs/>
                <w:color w:val="000000"/>
                <w:sz w:val="14"/>
                <w:szCs w:val="14"/>
              </w:rPr>
              <w:t>Tony Xu</w:t>
            </w:r>
          </w:p>
        </w:tc>
        <w:tc>
          <w:tcPr>
            <w:tcW w:w="0" w:type="auto"/>
            <w:gridSpan w:val="3"/>
            <w:shd w:val="clear" w:color="auto" w:fill="auto"/>
            <w:tcMar>
              <w:top w:w="0" w:type="dxa"/>
              <w:left w:w="20" w:type="dxa"/>
              <w:bottom w:w="0" w:type="dxa"/>
              <w:right w:w="20" w:type="dxa"/>
            </w:tcMar>
            <w:vAlign w:val="bottom"/>
          </w:tcPr>
          <w:p w14:paraId="5CD90C81"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82" w14:textId="77777777" w:rsidR="00BA49F5" w:rsidRDefault="00BA49F5">
            <w:pPr>
              <w:rPr>
                <w:rFonts w:ascii="宋体"/>
              </w:rPr>
            </w:pPr>
          </w:p>
        </w:tc>
        <w:tc>
          <w:tcPr>
            <w:tcW w:w="0" w:type="auto"/>
            <w:gridSpan w:val="3"/>
            <w:shd w:val="clear" w:color="auto" w:fill="auto"/>
            <w:tcMar>
              <w:top w:w="0" w:type="dxa"/>
              <w:left w:w="20" w:type="dxa"/>
              <w:bottom w:w="0" w:type="dxa"/>
              <w:right w:w="20" w:type="dxa"/>
            </w:tcMar>
            <w:vAlign w:val="bottom"/>
          </w:tcPr>
          <w:p w14:paraId="5CD90C83" w14:textId="77777777" w:rsidR="00BA49F5" w:rsidRDefault="00BA49F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CD90C84" w14:textId="77777777" w:rsidR="00BA49F5" w:rsidRDefault="00BA49F5">
            <w:pPr>
              <w:rPr>
                <w:rFonts w:ascii="宋体"/>
              </w:rPr>
            </w:pPr>
          </w:p>
        </w:tc>
      </w:tr>
    </w:tbl>
    <w:p w14:paraId="5CD90C86" w14:textId="77777777" w:rsidR="00BA49F5" w:rsidRDefault="007E5E49">
      <w:pPr>
        <w:jc w:val="center"/>
      </w:pPr>
      <w:r>
        <w:rPr>
          <w:rFonts w:ascii="Times New Roman" w:eastAsia="宋体" w:hAnsi="Times New Roman"/>
          <w:color w:val="000000"/>
          <w:sz w:val="20"/>
          <w:szCs w:val="20"/>
        </w:rPr>
        <w:t>126</w:t>
      </w:r>
    </w:p>
    <w:p w14:paraId="5CD90C87" w14:textId="77777777" w:rsidR="00BA49F5" w:rsidRDefault="007E5E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D90D73" wp14:editId="5CD90D74">
                <wp:extent cx="635" cy="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dVoZ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5MkDixN/M/3n79//WDkIHWGgDUF3Ye7mPlhuPXiAZnz1z24Tn3AQBrTHuXY6klwPuAhbddG&#10;m9OJMNsV9fcn9dUuMUHO+dtLz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dVoZ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89" w14:textId="77777777">
        <w:trPr>
          <w:tblCellSpacing w:w="15" w:type="dxa"/>
        </w:trPr>
        <w:tc>
          <w:tcPr>
            <w:tcW w:w="0" w:type="auto"/>
            <w:shd w:val="clear" w:color="auto" w:fill="auto"/>
            <w:vAlign w:val="center"/>
          </w:tcPr>
          <w:p w14:paraId="5CD90C88" w14:textId="77777777" w:rsidR="00BA49F5" w:rsidRDefault="00BA49F5">
            <w:pPr>
              <w:rPr>
                <w:rFonts w:ascii="宋体"/>
              </w:rPr>
            </w:pPr>
          </w:p>
        </w:tc>
      </w:tr>
    </w:tbl>
    <w:p w14:paraId="5CD90C8A"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8C" w14:textId="77777777">
        <w:trPr>
          <w:tblCellSpacing w:w="15" w:type="dxa"/>
        </w:trPr>
        <w:tc>
          <w:tcPr>
            <w:tcW w:w="0" w:type="auto"/>
            <w:shd w:val="clear" w:color="auto" w:fill="auto"/>
            <w:vAlign w:val="center"/>
          </w:tcPr>
          <w:p w14:paraId="5CD90C8B" w14:textId="77777777" w:rsidR="00BA49F5" w:rsidRDefault="00BA49F5">
            <w:pPr>
              <w:rPr>
                <w:rFonts w:ascii="宋体"/>
              </w:rPr>
            </w:pPr>
          </w:p>
        </w:tc>
      </w:tr>
    </w:tbl>
    <w:p w14:paraId="5CD90C8D"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8F" w14:textId="77777777">
        <w:trPr>
          <w:tblCellSpacing w:w="15" w:type="dxa"/>
        </w:trPr>
        <w:tc>
          <w:tcPr>
            <w:tcW w:w="0" w:type="auto"/>
            <w:shd w:val="clear" w:color="auto" w:fill="auto"/>
            <w:vAlign w:val="center"/>
          </w:tcPr>
          <w:p w14:paraId="5CD90C8E" w14:textId="77777777" w:rsidR="00BA49F5" w:rsidRDefault="00BA49F5">
            <w:pPr>
              <w:rPr>
                <w:rFonts w:ascii="宋体"/>
              </w:rPr>
            </w:pPr>
          </w:p>
        </w:tc>
      </w:tr>
    </w:tbl>
    <w:p w14:paraId="5CD90C90"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92" w14:textId="77777777">
        <w:trPr>
          <w:tblCellSpacing w:w="15" w:type="dxa"/>
        </w:trPr>
        <w:tc>
          <w:tcPr>
            <w:tcW w:w="0" w:type="auto"/>
            <w:shd w:val="clear" w:color="auto" w:fill="auto"/>
            <w:vAlign w:val="center"/>
          </w:tcPr>
          <w:p w14:paraId="5CD90C91" w14:textId="77777777" w:rsidR="00BA49F5" w:rsidRDefault="00BA49F5">
            <w:pPr>
              <w:rPr>
                <w:rFonts w:ascii="宋体"/>
              </w:rPr>
            </w:pPr>
          </w:p>
        </w:tc>
      </w:tr>
    </w:tbl>
    <w:p w14:paraId="5CD90C93" w14:textId="77777777" w:rsidR="00BA49F5" w:rsidRDefault="007E5E49">
      <w:r>
        <w:rPr>
          <w:rFonts w:ascii="宋体" w:eastAsia="宋体" w:hAnsi="宋体" w:cs="宋体"/>
        </w:rPr>
        <w:t xml:space="preserve">Previous Next </w:t>
      </w:r>
    </w:p>
    <w:p w14:paraId="5CD90C94" w14:textId="77777777" w:rsidR="00BA49F5" w:rsidRDefault="007E5E49">
      <w:pPr>
        <w:pStyle w:val="a3"/>
      </w:pPr>
      <w:r>
        <w:t>Settings</w:t>
      </w:r>
    </w:p>
    <w:p w14:paraId="5CD90C95" w14:textId="77777777" w:rsidR="00BA49F5" w:rsidRDefault="007E5E49">
      <w:pPr>
        <w:pStyle w:val="Style4"/>
      </w:pPr>
      <w:r>
        <w:t>窗体顶端</w:t>
      </w:r>
    </w:p>
    <w:p w14:paraId="5CD90C96" w14:textId="77777777" w:rsidR="00BA49F5" w:rsidRDefault="007E5E4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CD90D75" wp14:editId="5CD90D76">
                <wp:extent cx="635" cy="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1R+FAECAAAaBAAADgAAAGRycy9l&#10;Mm9Eb2MueG1srVPNbhMxEL4j8Q6W72TToBR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tUfhQ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CD90C97" w14:textId="77777777" w:rsidR="00BA49F5" w:rsidRDefault="007E5E4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CD90D77" wp14:editId="5CD90D78">
                <wp:extent cx="635" cy="0"/>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1rq9o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CD90C98" w14:textId="77777777" w:rsidR="00BA49F5" w:rsidRDefault="007E5E49">
      <w:r>
        <w:pict w14:anchorId="5CD90D79">
          <v:rect id="_x0000_i1150" style="width:415.3pt;height:1.5pt" o:hralign="center" o:hrstd="t" o:hr="t" fillcolor="#a0a0a0" stroked="f"/>
        </w:pict>
      </w:r>
    </w:p>
    <w:p w14:paraId="5CD90C99" w14:textId="77777777" w:rsidR="00BA49F5" w:rsidRDefault="007E5E49">
      <w:r>
        <w:rPr>
          <w:rFonts w:ascii="宋体" w:eastAsia="宋体" w:hAnsi="宋体" w:cs="宋体"/>
        </w:rPr>
        <w:t xml:space="preserve">Tagged Data </w:t>
      </w:r>
    </w:p>
    <w:p w14:paraId="5CD90C9A" w14:textId="77777777" w:rsidR="00BA49F5" w:rsidRDefault="007E5E49">
      <w:r>
        <w:rPr>
          <w:rFonts w:ascii="monospace" w:eastAsia="monospace" w:hAnsi="monospace" w:cs="monospace"/>
          <w:noProof/>
        </w:rPr>
        <mc:AlternateContent>
          <mc:Choice Requires="wps">
            <w:drawing>
              <wp:inline distT="0" distB="0" distL="114300" distR="114300" wp14:anchorId="5CD90D7A" wp14:editId="5CD90D7B">
                <wp:extent cx="635" cy="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oBFR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qe5O7A08T/ff/7+9YORg9QZAtYUdB/uYuaH4daLB2TOX/fgOvUBA2lMe5RjqyfB+YCHtF0b&#10;bU4nwmxX1N+f1Fe7xAQ5L9/OORNHfwX1MSlETJ+UtywbDY9UsGgN21tMuSzUx5Bcw/kbbUwZrHFs&#10;aPj7+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RoBFR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CD90C9B" w14:textId="77777777" w:rsidR="00BA49F5" w:rsidRDefault="007E5E49">
      <w:r>
        <w:rPr>
          <w:rFonts w:ascii="宋体" w:eastAsia="宋体" w:hAnsi="宋体" w:cs="宋体"/>
        </w:rPr>
        <w:t>Save</w:t>
      </w:r>
    </w:p>
    <w:p w14:paraId="5CD90C9C" w14:textId="77777777" w:rsidR="00BA49F5" w:rsidRDefault="007E5E49">
      <w:r>
        <w:rPr>
          <w:rFonts w:ascii="宋体" w:eastAsia="宋体" w:hAnsi="宋体" w:cs="宋体"/>
        </w:rPr>
        <w:t>Reset</w:t>
      </w:r>
    </w:p>
    <w:p w14:paraId="5CD90C9D" w14:textId="77777777" w:rsidR="00BA49F5" w:rsidRDefault="007E5E49">
      <w:r>
        <w:pict w14:anchorId="5CD90D7C">
          <v:rect id="_x0000_i1151" style="width:415.3pt;height:1.5pt" o:hralign="center" o:hrstd="t" o:hr="t" fillcolor="#a0a0a0" stroked="f"/>
        </w:pict>
      </w:r>
    </w:p>
    <w:p w14:paraId="5CD90C9E" w14:textId="77777777" w:rsidR="00BA49F5" w:rsidRDefault="007E5E49">
      <w:r>
        <w:rPr>
          <w:rFonts w:ascii="宋体" w:eastAsia="宋体" w:hAnsi="宋体" w:cs="宋体"/>
        </w:rPr>
        <w:t xml:space="preserve">Search Results </w:t>
      </w:r>
    </w:p>
    <w:p w14:paraId="5CD90C9F" w14:textId="77777777" w:rsidR="00BA49F5" w:rsidRDefault="007E5E49">
      <w:r>
        <w:rPr>
          <w:rFonts w:ascii="monospace" w:eastAsia="monospace" w:hAnsi="monospace" w:cs="monospace"/>
          <w:noProof/>
        </w:rPr>
        <mc:AlternateContent>
          <mc:Choice Requires="wps">
            <w:drawing>
              <wp:inline distT="0" distB="0" distL="114300" distR="114300" wp14:anchorId="5CD90D7D" wp14:editId="5CD90D7E">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CD90CA0" w14:textId="77777777" w:rsidR="00BA49F5" w:rsidRDefault="007E5E49">
      <w:r>
        <w:rPr>
          <w:rFonts w:ascii="宋体" w:eastAsia="宋体" w:hAnsi="宋体" w:cs="宋体"/>
        </w:rPr>
        <w:t>Save</w:t>
      </w:r>
    </w:p>
    <w:p w14:paraId="5CD90CA1" w14:textId="77777777" w:rsidR="00BA49F5" w:rsidRDefault="007E5E49">
      <w:r>
        <w:rPr>
          <w:rFonts w:ascii="宋体" w:eastAsia="宋体" w:hAnsi="宋体" w:cs="宋体"/>
        </w:rPr>
        <w:t>Reset</w:t>
      </w:r>
    </w:p>
    <w:p w14:paraId="5CD90CA2" w14:textId="77777777" w:rsidR="00BA49F5" w:rsidRDefault="007E5E49">
      <w:r>
        <w:pict w14:anchorId="5CD90D7F">
          <v:rect id="_x0000_i1152" style="width:415.3pt;height:1.5pt" o:hralign="center" o:hrstd="t" o:hr="t" fillcolor="#a0a0a0" stroked="f"/>
        </w:pict>
      </w:r>
    </w:p>
    <w:p w14:paraId="5CD90CA3" w14:textId="77777777" w:rsidR="00BA49F5" w:rsidRDefault="007E5E49">
      <w:r>
        <w:rPr>
          <w:rFonts w:ascii="宋体" w:eastAsia="宋体" w:hAnsi="宋体" w:cs="宋体"/>
        </w:rPr>
        <w:t xml:space="preserve">Selected Fact </w:t>
      </w:r>
    </w:p>
    <w:p w14:paraId="5CD90CA4" w14:textId="77777777" w:rsidR="00BA49F5" w:rsidRDefault="007E5E49">
      <w:r>
        <w:rPr>
          <w:rFonts w:ascii="monospace" w:eastAsia="monospace" w:hAnsi="monospace" w:cs="monospace"/>
          <w:noProof/>
        </w:rPr>
        <mc:AlternateContent>
          <mc:Choice Requires="wps">
            <w:drawing>
              <wp:inline distT="0" distB="0" distL="114300" distR="114300" wp14:anchorId="5CD90D80" wp14:editId="5CD90D81">
                <wp:extent cx="635" cy="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PFWDgECAAAaBAAADgAAAGRycy9l&#10;Mm9Eb2MueG1srVPNbhMxEL4j8Q6W72TTVKl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r/kzIGlif/+9uPXz++MHKTOELCmoIdwHzM/DHdefEXm/E0PrlPvMZDGtEc5tnoWnA94SNu1&#10;0eZ0Isx2Rf39SX21S0yQ8+pyzpk4+iuoj0khYvqovGXZaHikgkVr2N5hymWhPobkGs7famPKYI1j&#10;Q8P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TxVg4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CD90CA5" w14:textId="77777777" w:rsidR="00BA49F5" w:rsidRDefault="007E5E49">
      <w:r>
        <w:rPr>
          <w:rFonts w:ascii="宋体" w:eastAsia="宋体" w:hAnsi="宋体" w:cs="宋体"/>
        </w:rPr>
        <w:t>Save</w:t>
      </w:r>
    </w:p>
    <w:p w14:paraId="5CD90CA6" w14:textId="77777777" w:rsidR="00BA49F5" w:rsidRDefault="007E5E49">
      <w:r>
        <w:rPr>
          <w:rFonts w:ascii="宋体" w:eastAsia="宋体" w:hAnsi="宋体" w:cs="宋体"/>
        </w:rPr>
        <w:t>Reset</w:t>
      </w:r>
    </w:p>
    <w:p w14:paraId="5CD90CA7" w14:textId="77777777" w:rsidR="00BA49F5" w:rsidRDefault="007E5E49">
      <w:r>
        <w:pict w14:anchorId="5CD90D82">
          <v:rect id="_x0000_i1153" style="width:415.3pt;height:1.5pt" o:hralign="center" o:hrstd="t" o:hr="t" fillcolor="#a0a0a0" stroked="f"/>
        </w:pict>
      </w:r>
    </w:p>
    <w:p w14:paraId="5CD90CA8" w14:textId="77777777" w:rsidR="00BA49F5" w:rsidRDefault="007E5E49">
      <w:r>
        <w:rPr>
          <w:rFonts w:ascii="宋体" w:eastAsia="宋体" w:hAnsi="宋体" w:cs="宋体"/>
        </w:rPr>
        <w:t xml:space="preserve">Tag Shading (hover) </w:t>
      </w:r>
    </w:p>
    <w:p w14:paraId="5CD90CA9" w14:textId="77777777" w:rsidR="00BA49F5" w:rsidRDefault="007E5E49">
      <w:r>
        <w:rPr>
          <w:rFonts w:ascii="monospace" w:eastAsia="monospace" w:hAnsi="monospace" w:cs="monospace"/>
          <w:noProof/>
        </w:rPr>
        <mc:AlternateContent>
          <mc:Choice Requires="wps">
            <w:drawing>
              <wp:inline distT="0" distB="0" distL="114300" distR="114300" wp14:anchorId="5CD90D83" wp14:editId="5CD90D84">
                <wp:extent cx="635" cy="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248aQECAAAa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uPGk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CD90CAA" w14:textId="77777777" w:rsidR="00BA49F5" w:rsidRDefault="007E5E49">
      <w:r>
        <w:rPr>
          <w:rFonts w:ascii="宋体" w:eastAsia="宋体" w:hAnsi="宋体" w:cs="宋体"/>
        </w:rPr>
        <w:t>Save</w:t>
      </w:r>
    </w:p>
    <w:p w14:paraId="5CD90CAB" w14:textId="77777777" w:rsidR="00BA49F5" w:rsidRDefault="007E5E49">
      <w:r>
        <w:rPr>
          <w:rFonts w:ascii="宋体" w:eastAsia="宋体" w:hAnsi="宋体" w:cs="宋体"/>
        </w:rPr>
        <w:t>Reset</w:t>
      </w:r>
    </w:p>
    <w:p w14:paraId="5CD90CAC" w14:textId="77777777" w:rsidR="00BA49F5" w:rsidRDefault="007E5E49">
      <w:pPr>
        <w:pStyle w:val="Style5"/>
      </w:pPr>
      <w:r>
        <w:t>窗体底端</w:t>
      </w:r>
    </w:p>
    <w:p w14:paraId="5CD90CAD" w14:textId="77777777" w:rsidR="00BA49F5" w:rsidRDefault="007E5E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D90D85" wp14:editId="5CD90D86">
                <wp:extent cx="635" cy="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IXS9A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z5sDSxP98//n71w9GDlJnCFhT0H24i5kfhlsvHpA5f92D69QHDKQx7VGOrZ4E5wMe0nZt&#10;tDmdCLNdUX9/Ul/tEhPkvHxLHYi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vIXS9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AF" w14:textId="77777777">
        <w:trPr>
          <w:tblCellSpacing w:w="15" w:type="dxa"/>
        </w:trPr>
        <w:tc>
          <w:tcPr>
            <w:tcW w:w="0" w:type="auto"/>
            <w:shd w:val="clear" w:color="auto" w:fill="auto"/>
            <w:vAlign w:val="center"/>
          </w:tcPr>
          <w:p w14:paraId="5CD90CAE" w14:textId="77777777" w:rsidR="00BA49F5" w:rsidRDefault="00BA49F5">
            <w:pPr>
              <w:rPr>
                <w:rFonts w:ascii="宋体"/>
              </w:rPr>
            </w:pPr>
          </w:p>
        </w:tc>
      </w:tr>
    </w:tbl>
    <w:p w14:paraId="5CD90CB0"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B2" w14:textId="77777777">
        <w:trPr>
          <w:tblCellSpacing w:w="15" w:type="dxa"/>
        </w:trPr>
        <w:tc>
          <w:tcPr>
            <w:tcW w:w="0" w:type="auto"/>
            <w:shd w:val="clear" w:color="auto" w:fill="auto"/>
            <w:vAlign w:val="center"/>
          </w:tcPr>
          <w:p w14:paraId="5CD90CB1" w14:textId="77777777" w:rsidR="00BA49F5" w:rsidRDefault="00BA49F5">
            <w:pPr>
              <w:rPr>
                <w:rFonts w:ascii="宋体"/>
              </w:rPr>
            </w:pPr>
          </w:p>
        </w:tc>
      </w:tr>
    </w:tbl>
    <w:p w14:paraId="5CD90CB3"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B5" w14:textId="77777777">
        <w:trPr>
          <w:tblCellSpacing w:w="15" w:type="dxa"/>
        </w:trPr>
        <w:tc>
          <w:tcPr>
            <w:tcW w:w="0" w:type="auto"/>
            <w:shd w:val="clear" w:color="auto" w:fill="auto"/>
            <w:vAlign w:val="center"/>
          </w:tcPr>
          <w:p w14:paraId="5CD90CB4" w14:textId="77777777" w:rsidR="00BA49F5" w:rsidRDefault="00BA49F5">
            <w:pPr>
              <w:rPr>
                <w:rFonts w:ascii="宋体"/>
              </w:rPr>
            </w:pPr>
          </w:p>
        </w:tc>
      </w:tr>
    </w:tbl>
    <w:p w14:paraId="5CD90CB6"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B8" w14:textId="77777777">
        <w:trPr>
          <w:tblCellSpacing w:w="15" w:type="dxa"/>
        </w:trPr>
        <w:tc>
          <w:tcPr>
            <w:tcW w:w="0" w:type="auto"/>
            <w:shd w:val="clear" w:color="auto" w:fill="auto"/>
            <w:vAlign w:val="center"/>
          </w:tcPr>
          <w:p w14:paraId="5CD90CB7" w14:textId="77777777" w:rsidR="00BA49F5" w:rsidRDefault="00BA49F5">
            <w:pPr>
              <w:rPr>
                <w:rFonts w:ascii="宋体"/>
              </w:rPr>
            </w:pPr>
          </w:p>
        </w:tc>
      </w:tr>
    </w:tbl>
    <w:p w14:paraId="5CD90CB9" w14:textId="77777777" w:rsidR="00BA49F5" w:rsidRDefault="007E5E49">
      <w:r>
        <w:rPr>
          <w:rFonts w:ascii="宋体" w:eastAsia="宋体" w:hAnsi="宋体" w:cs="宋体"/>
        </w:rPr>
        <w:t xml:space="preserve">Previous Next </w:t>
      </w:r>
    </w:p>
    <w:p w14:paraId="5CD90CBA" w14:textId="77777777" w:rsidR="00BA49F5" w:rsidRDefault="007E5E49">
      <w:pPr>
        <w:pStyle w:val="a3"/>
      </w:pPr>
      <w:r>
        <w:t xml:space="preserve">Nested Facts / </w:t>
      </w:r>
    </w:p>
    <w:p w14:paraId="5CD90CBB" w14:textId="77777777" w:rsidR="00BA49F5" w:rsidRDefault="007E5E49">
      <w:r>
        <w:rPr>
          <w:rFonts w:ascii="宋体" w:eastAsia="宋体" w:hAnsi="宋体" w:cs="宋体"/>
        </w:rPr>
        <w:t xml:space="preserve">Previous Next </w:t>
      </w:r>
    </w:p>
    <w:p w14:paraId="5CD90CBC" w14:textId="77777777" w:rsidR="00BA49F5" w:rsidRDefault="007E5E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D90D87" wp14:editId="5CD90D88">
                <wp:extent cx="635" cy="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L+Qi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BE" w14:textId="77777777">
        <w:trPr>
          <w:tblCellSpacing w:w="15" w:type="dxa"/>
        </w:trPr>
        <w:tc>
          <w:tcPr>
            <w:tcW w:w="0" w:type="auto"/>
            <w:shd w:val="clear" w:color="auto" w:fill="auto"/>
            <w:vAlign w:val="center"/>
          </w:tcPr>
          <w:p w14:paraId="5CD90CBD" w14:textId="77777777" w:rsidR="00BA49F5" w:rsidRDefault="00BA49F5">
            <w:pPr>
              <w:rPr>
                <w:rFonts w:ascii="宋体"/>
              </w:rPr>
            </w:pPr>
          </w:p>
        </w:tc>
      </w:tr>
    </w:tbl>
    <w:p w14:paraId="5CD90CBF"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C1" w14:textId="77777777">
        <w:trPr>
          <w:tblCellSpacing w:w="15" w:type="dxa"/>
        </w:trPr>
        <w:tc>
          <w:tcPr>
            <w:tcW w:w="0" w:type="auto"/>
            <w:shd w:val="clear" w:color="auto" w:fill="auto"/>
            <w:vAlign w:val="center"/>
          </w:tcPr>
          <w:p w14:paraId="5CD90CC0" w14:textId="77777777" w:rsidR="00BA49F5" w:rsidRDefault="00BA49F5">
            <w:pPr>
              <w:rPr>
                <w:rFonts w:ascii="宋体"/>
              </w:rPr>
            </w:pPr>
          </w:p>
        </w:tc>
      </w:tr>
    </w:tbl>
    <w:p w14:paraId="5CD90CC2"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C4" w14:textId="77777777">
        <w:trPr>
          <w:tblCellSpacing w:w="15" w:type="dxa"/>
        </w:trPr>
        <w:tc>
          <w:tcPr>
            <w:tcW w:w="0" w:type="auto"/>
            <w:shd w:val="clear" w:color="auto" w:fill="auto"/>
            <w:vAlign w:val="center"/>
          </w:tcPr>
          <w:p w14:paraId="5CD90CC3" w14:textId="77777777" w:rsidR="00BA49F5" w:rsidRDefault="00BA49F5">
            <w:pPr>
              <w:rPr>
                <w:rFonts w:ascii="宋体"/>
              </w:rPr>
            </w:pPr>
          </w:p>
        </w:tc>
      </w:tr>
    </w:tbl>
    <w:p w14:paraId="5CD90CC5" w14:textId="77777777" w:rsidR="00BA49F5" w:rsidRDefault="00BA49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49F5" w14:paraId="5CD90CC7" w14:textId="77777777">
        <w:trPr>
          <w:tblCellSpacing w:w="15" w:type="dxa"/>
        </w:trPr>
        <w:tc>
          <w:tcPr>
            <w:tcW w:w="0" w:type="auto"/>
            <w:shd w:val="clear" w:color="auto" w:fill="auto"/>
            <w:vAlign w:val="center"/>
          </w:tcPr>
          <w:p w14:paraId="5CD90CC6" w14:textId="77777777" w:rsidR="00BA49F5" w:rsidRDefault="00BA49F5">
            <w:pPr>
              <w:rPr>
                <w:rFonts w:ascii="宋体"/>
              </w:rPr>
            </w:pPr>
          </w:p>
        </w:tc>
      </w:tr>
    </w:tbl>
    <w:p w14:paraId="5CD90CC8" w14:textId="77777777" w:rsidR="00BA49F5" w:rsidRDefault="007E5E49">
      <w:r>
        <w:rPr>
          <w:rFonts w:ascii="宋体" w:eastAsia="宋体" w:hAnsi="宋体" w:cs="宋体"/>
        </w:rPr>
        <w:t xml:space="preserve">Previous Next </w:t>
      </w:r>
    </w:p>
    <w:p w14:paraId="5CD90CC9" w14:textId="77777777" w:rsidR="00BA49F5" w:rsidRDefault="00BA49F5"/>
    <w:sectPr w:rsidR="00BA49F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18A3" w14:textId="77777777" w:rsidR="007E5E49" w:rsidRDefault="007E5E49" w:rsidP="007E5E49">
      <w:r>
        <w:separator/>
      </w:r>
    </w:p>
  </w:endnote>
  <w:endnote w:type="continuationSeparator" w:id="0">
    <w:p w14:paraId="4AF60F93" w14:textId="77777777" w:rsidR="007E5E49" w:rsidRDefault="007E5E49" w:rsidP="007E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E61D" w14:textId="77777777" w:rsidR="007E5E49" w:rsidRDefault="007E5E49" w:rsidP="007E5E49">
      <w:r>
        <w:separator/>
      </w:r>
    </w:p>
  </w:footnote>
  <w:footnote w:type="continuationSeparator" w:id="0">
    <w:p w14:paraId="5D1962BA" w14:textId="77777777" w:rsidR="007E5E49" w:rsidRDefault="007E5E49" w:rsidP="007E5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F7C5C2"/>
    <w:rsid w:val="007E5E49"/>
    <w:rsid w:val="00BA49F5"/>
    <w:rsid w:val="7BF7C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8DD9E"/>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E5E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E5E49"/>
    <w:rPr>
      <w:rFonts w:asciiTheme="minorEastAsia" w:hAnsiTheme="minorEastAsia" w:cs="Times New Roman"/>
      <w:sz w:val="18"/>
      <w:szCs w:val="18"/>
    </w:rPr>
  </w:style>
  <w:style w:type="paragraph" w:styleId="a8">
    <w:name w:val="footer"/>
    <w:basedOn w:val="a"/>
    <w:link w:val="a9"/>
    <w:rsid w:val="007E5E49"/>
    <w:pPr>
      <w:tabs>
        <w:tab w:val="center" w:pos="4153"/>
        <w:tab w:val="right" w:pos="8306"/>
      </w:tabs>
      <w:snapToGrid w:val="0"/>
    </w:pPr>
    <w:rPr>
      <w:sz w:val="18"/>
      <w:szCs w:val="18"/>
    </w:rPr>
  </w:style>
  <w:style w:type="character" w:customStyle="1" w:styleId="a9">
    <w:name w:val="页脚 字符"/>
    <w:basedOn w:val="a0"/>
    <w:link w:val="a8"/>
    <w:rsid w:val="007E5E4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3000013/meta-20221231.htm" TargetMode="External"/><Relationship Id="rId299" Type="http://schemas.openxmlformats.org/officeDocument/2006/relationships/hyperlink" Target="https://www.sec.gov/ix?doc=/Archives/edgar/data/0001326801/000132680123000013/meta-20221231.htm" TargetMode="External"/><Relationship Id="rId21" Type="http://schemas.openxmlformats.org/officeDocument/2006/relationships/hyperlink" Target="https://www.sec.gov/ix?doc=/Archives/edgar/data/0001326801/000132680123000013/meta-20221231.htm" TargetMode="External"/><Relationship Id="rId63" Type="http://schemas.openxmlformats.org/officeDocument/2006/relationships/hyperlink" Target="https://www.sec.gov/ix?doc=/Archives/edgar/data/0001326801/000132680123000013/meta-20221231.htm" TargetMode="External"/><Relationship Id="rId159" Type="http://schemas.openxmlformats.org/officeDocument/2006/relationships/hyperlink" Target="https://www.sec.gov/ix?doc=/Archives/edgar/data/0001326801/000132680123000013/meta-20221231.htm" TargetMode="External"/><Relationship Id="rId324" Type="http://schemas.openxmlformats.org/officeDocument/2006/relationships/hyperlink" Target="https://www.sec.gov/ix?doc=/Archives/edgar/data/0001326801/000132680123000013/meta-20221231.htm" TargetMode="External"/><Relationship Id="rId366" Type="http://schemas.openxmlformats.org/officeDocument/2006/relationships/hyperlink" Target="http://www.sec.gov/Archives/edgar/data/1326801/000132680117000024/fb-03312017xex101.htm" TargetMode="External"/><Relationship Id="rId170" Type="http://schemas.openxmlformats.org/officeDocument/2006/relationships/hyperlink" Target="https://www.sec.gov/ix?doc=/Archives/edgar/data/0001326801/000132680123000013/meta-20221231.htm" TargetMode="External"/><Relationship Id="rId226" Type="http://schemas.openxmlformats.org/officeDocument/2006/relationships/hyperlink" Target="https://www.sec.gov/ix?doc=/Archives/edgar/data/0001326801/000132680123000013/meta-20221231.htm" TargetMode="External"/><Relationship Id="rId268" Type="http://schemas.openxmlformats.org/officeDocument/2006/relationships/hyperlink" Target="https://www.sec.gov/ix?doc=/Archives/edgar/data/0001326801/000132680123000013/meta-20221231.htm" TargetMode="External"/><Relationship Id="rId32" Type="http://schemas.openxmlformats.org/officeDocument/2006/relationships/hyperlink" Target="https://www.sec.gov/ix?doc=/Archives/edgar/data/0001326801/000132680123000013/meta-20221231.htm" TargetMode="External"/><Relationship Id="rId74" Type="http://schemas.openxmlformats.org/officeDocument/2006/relationships/hyperlink" Target="https://www.sec.gov/ix?doc=/Archives/edgar/data/0001326801/000132680123000013/meta-20221231.htm" TargetMode="External"/><Relationship Id="rId128" Type="http://schemas.openxmlformats.org/officeDocument/2006/relationships/hyperlink" Target="https://www.sec.gov/ix?doc=/Archives/edgar/data/0001326801/000132680123000013/meta-20221231.htm" TargetMode="External"/><Relationship Id="rId335" Type="http://schemas.openxmlformats.org/officeDocument/2006/relationships/hyperlink" Target="https://www.sec.gov/ix?doc=/Archives/edgar/data/0001326801/000132680123000013/meta-20221231.htm" TargetMode="External"/><Relationship Id="rId377" Type="http://schemas.openxmlformats.org/officeDocument/2006/relationships/hyperlink" Target="http://www.sec.gov/Archives/edgar/data/1326801/000119312512046715/d287954dex106.htm" TargetMode="External"/><Relationship Id="rId5" Type="http://schemas.openxmlformats.org/officeDocument/2006/relationships/endnotes" Target="endnotes.xml"/><Relationship Id="rId181" Type="http://schemas.openxmlformats.org/officeDocument/2006/relationships/hyperlink" Target="https://www.sec.gov/ix?doc=/Archives/edgar/data/0001326801/000132680123000013/meta-20221231.htm" TargetMode="External"/><Relationship Id="rId237" Type="http://schemas.openxmlformats.org/officeDocument/2006/relationships/hyperlink" Target="https://www.sec.gov/ix?doc=/Archives/edgar/data/0001326801/000132680123000013/meta-20221231.htm" TargetMode="External"/><Relationship Id="rId402" Type="http://schemas.openxmlformats.org/officeDocument/2006/relationships/hyperlink" Target="https://www.sec.gov/ix?doc=/Archives/edgar/data/0001326801/000132680123000013/meta-20221231.htm" TargetMode="External"/><Relationship Id="rId279" Type="http://schemas.openxmlformats.org/officeDocument/2006/relationships/hyperlink" Target="https://www.sec.gov/ix?doc=/Archives/edgar/data/0001326801/000132680123000013/meta-20221231.htm" TargetMode="External"/><Relationship Id="rId43" Type="http://schemas.openxmlformats.org/officeDocument/2006/relationships/hyperlink" Target="https://www.sec.gov/ix?doc=/Archives/edgar/data/0001326801/000132680123000013/meta-20221231.htm" TargetMode="External"/><Relationship Id="rId139" Type="http://schemas.openxmlformats.org/officeDocument/2006/relationships/hyperlink" Target="https://www.sec.gov/ix?doc=/Archives/edgar/data/0001326801/000132680123000013/meta-20221231.htm" TargetMode="External"/><Relationship Id="rId290" Type="http://schemas.openxmlformats.org/officeDocument/2006/relationships/hyperlink" Target="https://www.sec.gov/ix?doc=/Archives/edgar/data/0001326801/000132680123000013/meta-20221231.htm" TargetMode="External"/><Relationship Id="rId304" Type="http://schemas.openxmlformats.org/officeDocument/2006/relationships/hyperlink" Target="https://www.sec.gov/ix?doc=/Archives/edgar/data/0001326801/000132680123000013/meta-20221231.htm" TargetMode="External"/><Relationship Id="rId346" Type="http://schemas.openxmlformats.org/officeDocument/2006/relationships/hyperlink" Target="https://www.sec.gov/ix?doc=/Archives/edgar/data/0001326801/000132680123000013/meta-20221231.htm" TargetMode="External"/><Relationship Id="rId388" Type="http://schemas.openxmlformats.org/officeDocument/2006/relationships/hyperlink" Target="https://www.sec.gov/Archives/edgar/data/0001326801/000132680123000013/meta-12312022x10kexhibit231.htm" TargetMode="External"/><Relationship Id="rId85" Type="http://schemas.openxmlformats.org/officeDocument/2006/relationships/hyperlink" Target="https://www.sec.gov/ix?doc=/Archives/edgar/data/0001326801/000132680123000013/meta-20221231.htm" TargetMode="External"/><Relationship Id="rId150" Type="http://schemas.openxmlformats.org/officeDocument/2006/relationships/hyperlink" Target="https://www.sec.gov/ix?doc=/Archives/edgar/data/0001326801/000132680123000013/meta-20221231.htm" TargetMode="External"/><Relationship Id="rId192" Type="http://schemas.openxmlformats.org/officeDocument/2006/relationships/hyperlink" Target="https://www.sec.gov/ix?doc=/Archives/edgar/data/0001326801/000132680123000013/meta-20221231.htm" TargetMode="External"/><Relationship Id="rId206" Type="http://schemas.openxmlformats.org/officeDocument/2006/relationships/hyperlink" Target="https://www.sec.gov/ix?doc=/Archives/edgar/data/0001326801/000132680123000013/meta-20221231.htm" TargetMode="External"/><Relationship Id="rId248" Type="http://schemas.openxmlformats.org/officeDocument/2006/relationships/hyperlink" Target="https://www.sec.gov/ix?doc=/Archives/edgar/data/0001326801/000132680123000013/meta-20221231.htm" TargetMode="External"/><Relationship Id="rId12" Type="http://schemas.openxmlformats.org/officeDocument/2006/relationships/hyperlink" Target="https://www.sec.gov/ix?doc=/Archives/edgar/data/0001326801/000132680123000013/meta-20221231.htm" TargetMode="External"/><Relationship Id="rId108" Type="http://schemas.openxmlformats.org/officeDocument/2006/relationships/hyperlink" Target="https://www.sec.gov/ix?doc=/Archives/edgar/data/0001326801/000132680123000013/meta-20221231.htm" TargetMode="External"/><Relationship Id="rId315" Type="http://schemas.openxmlformats.org/officeDocument/2006/relationships/hyperlink" Target="https://www.sec.gov/ix?doc=/Archives/edgar/data/0001326801/000132680123000013/meta-20221231.htm" TargetMode="External"/><Relationship Id="rId357" Type="http://schemas.openxmlformats.org/officeDocument/2006/relationships/hyperlink" Target="http://www.sec.gov/Archives/edgar/data/1326801/000119312512046715/d287954dex43.htm" TargetMode="External"/><Relationship Id="rId54" Type="http://schemas.openxmlformats.org/officeDocument/2006/relationships/hyperlink" Target="https://www.sec.gov/ix?doc=/Archives/edgar/data/0001326801/000132680123000013/meta-20221231.htm" TargetMode="External"/><Relationship Id="rId96" Type="http://schemas.openxmlformats.org/officeDocument/2006/relationships/hyperlink" Target="https://www.sec.gov/ix?doc=/Archives/edgar/data/0001326801/000132680123000013/meta-20221231.htm" TargetMode="External"/><Relationship Id="rId161" Type="http://schemas.openxmlformats.org/officeDocument/2006/relationships/hyperlink" Target="https://www.sec.gov/ix?doc=/Archives/edgar/data/0001326801/000132680123000013/meta-20221231.htm" TargetMode="External"/><Relationship Id="rId217" Type="http://schemas.openxmlformats.org/officeDocument/2006/relationships/hyperlink" Target="https://www.sec.gov/ix?doc=/Archives/edgar/data/0001326801/000132680123000013/meta-20221231.htm" TargetMode="External"/><Relationship Id="rId399" Type="http://schemas.openxmlformats.org/officeDocument/2006/relationships/hyperlink" Target="https://www.sec.gov/ix?doc=/Archives/edgar/data/0001326801/000132680123000013/meta-20221231.htm" TargetMode="External"/><Relationship Id="rId259" Type="http://schemas.openxmlformats.org/officeDocument/2006/relationships/hyperlink" Target="https://www.sec.gov/ix?doc=/Archives/edgar/data/0001326801/000132680123000013/meta-20221231.htm" TargetMode="External"/><Relationship Id="rId23" Type="http://schemas.openxmlformats.org/officeDocument/2006/relationships/hyperlink" Target="https://www.sec.gov/ix?doc=/Archives/edgar/data/0001326801/000132680123000013/meta-20221231.htm" TargetMode="External"/><Relationship Id="rId119" Type="http://schemas.openxmlformats.org/officeDocument/2006/relationships/hyperlink" Target="https://www.sec.gov/ix?doc=/Archives/edgar/data/0001326801/000132680123000013/meta-20221231.htm" TargetMode="External"/><Relationship Id="rId270" Type="http://schemas.openxmlformats.org/officeDocument/2006/relationships/hyperlink" Target="https://www.sec.gov/ix?doc=/Archives/edgar/data/0001326801/000132680123000013/meta-20221231.htm" TargetMode="External"/><Relationship Id="rId326" Type="http://schemas.openxmlformats.org/officeDocument/2006/relationships/hyperlink" Target="https://www.sec.gov/ix?doc=/Archives/edgar/data/0001326801/000132680123000013/meta-20221231.htm" TargetMode="External"/><Relationship Id="rId65" Type="http://schemas.openxmlformats.org/officeDocument/2006/relationships/hyperlink" Target="https://www.sec.gov/ix?doc=/Archives/edgar/data/0001326801/000132680123000013/meta-20221231.htm" TargetMode="External"/><Relationship Id="rId130" Type="http://schemas.openxmlformats.org/officeDocument/2006/relationships/hyperlink" Target="https://www.sec.gov/ix?doc=/Archives/edgar/data/0001326801/000132680123000013/meta-20221231.htm" TargetMode="External"/><Relationship Id="rId368" Type="http://schemas.openxmlformats.org/officeDocument/2006/relationships/hyperlink" Target="https://www.sec.gov/ix?doc=/Archives/edgar/data/0001326801/000132680123000013/meta-20221231.htm" TargetMode="External"/><Relationship Id="rId172" Type="http://schemas.openxmlformats.org/officeDocument/2006/relationships/hyperlink" Target="https://www.sec.gov/ix?doc=/Archives/edgar/data/0001326801/000132680123000013/meta-20221231.htm" TargetMode="External"/><Relationship Id="rId228" Type="http://schemas.openxmlformats.org/officeDocument/2006/relationships/hyperlink" Target="https://www.sec.gov/ix?doc=/Archives/edgar/data/0001326801/000132680123000013/meta-20221231.htm" TargetMode="External"/><Relationship Id="rId281" Type="http://schemas.openxmlformats.org/officeDocument/2006/relationships/hyperlink" Target="https://www.sec.gov/ix?doc=/Archives/edgar/data/0001326801/000132680123000013/meta-20221231.htm" TargetMode="External"/><Relationship Id="rId337" Type="http://schemas.openxmlformats.org/officeDocument/2006/relationships/hyperlink" Target="https://www.sec.gov/ix?doc=/Archives/edgar/data/0001326801/000132680123000013/meta-20221231.htm" TargetMode="External"/><Relationship Id="rId34" Type="http://schemas.openxmlformats.org/officeDocument/2006/relationships/hyperlink" Target="https://www.sec.gov/ix?doc=/Archives/edgar/data/0001326801/000132680123000013/meta-20221231.htm" TargetMode="External"/><Relationship Id="rId76" Type="http://schemas.openxmlformats.org/officeDocument/2006/relationships/hyperlink" Target="https://www.sec.gov/ix?doc=/Archives/edgar/data/0001326801/000132680123000013/meta-20221231.htm" TargetMode="External"/><Relationship Id="rId141" Type="http://schemas.openxmlformats.org/officeDocument/2006/relationships/hyperlink" Target="https://www.sec.gov/ix?doc=/Archives/edgar/data/0001326801/000132680123000013/meta-20221231.htm" TargetMode="External"/><Relationship Id="rId379" Type="http://schemas.openxmlformats.org/officeDocument/2006/relationships/hyperlink" Target="http://www.sec.gov/Archives/edgar/data/1326801/000132680121000033/fb-03312021xex101.htm" TargetMode="External"/><Relationship Id="rId7" Type="http://schemas.openxmlformats.org/officeDocument/2006/relationships/hyperlink" Target="https://www.sec.gov/ix?doc=/Archives/edgar/data/0001326801/000132680123000013/meta-20221231.htm" TargetMode="External"/><Relationship Id="rId183" Type="http://schemas.openxmlformats.org/officeDocument/2006/relationships/hyperlink" Target="https://www.sec.gov/ix?doc=/Archives/edgar/data/0001326801/000132680123000013/meta-20221231.htm" TargetMode="External"/><Relationship Id="rId239" Type="http://schemas.openxmlformats.org/officeDocument/2006/relationships/hyperlink" Target="https://www.sec.gov/ix?doc=/Archives/edgar/data/0001326801/000132680123000013/meta-20221231.htm" TargetMode="External"/><Relationship Id="rId390" Type="http://schemas.openxmlformats.org/officeDocument/2006/relationships/hyperlink" Target="https://www.sec.gov/Archives/edgar/data/0001326801/000132680123000013/meta-12312022x10kexhibit312.htm" TargetMode="External"/><Relationship Id="rId404" Type="http://schemas.openxmlformats.org/officeDocument/2006/relationships/theme" Target="theme/theme1.xml"/><Relationship Id="rId250" Type="http://schemas.openxmlformats.org/officeDocument/2006/relationships/hyperlink" Target="https://www.sec.gov/ix?doc=/Archives/edgar/data/0001326801/000132680123000013/meta-20221231.htm" TargetMode="External"/><Relationship Id="rId292" Type="http://schemas.openxmlformats.org/officeDocument/2006/relationships/hyperlink" Target="https://www.sec.gov/ix?doc=/Archives/edgar/data/0001326801/000132680123000013/meta-20221231.htm" TargetMode="External"/><Relationship Id="rId306" Type="http://schemas.openxmlformats.org/officeDocument/2006/relationships/hyperlink" Target="https://www.sec.gov/ix?doc=/Archives/edgar/data/0001326801/000132680123000013/meta-20221231.htm" TargetMode="External"/><Relationship Id="rId45" Type="http://schemas.openxmlformats.org/officeDocument/2006/relationships/hyperlink" Target="https://www.sec.gov/ix?doc=/Archives/edgar/data/0001326801/000132680123000013/meta-20221231.htm" TargetMode="External"/><Relationship Id="rId87" Type="http://schemas.openxmlformats.org/officeDocument/2006/relationships/hyperlink" Target="https://www.sec.gov/ix?doc=/Archives/edgar/data/0001326801/000132680123000013/meta-20221231.htm" TargetMode="External"/><Relationship Id="rId110" Type="http://schemas.openxmlformats.org/officeDocument/2006/relationships/hyperlink" Target="https://www.sec.gov/ix?doc=/Archives/edgar/data/0001326801/000132680123000013/meta-20221231.htm" TargetMode="External"/><Relationship Id="rId348" Type="http://schemas.openxmlformats.org/officeDocument/2006/relationships/hyperlink" Target="https://www.sec.gov/ix?doc=/Archives/edgar/data/0001326801/000132680123000013/meta-20221231.htm" TargetMode="External"/><Relationship Id="rId152" Type="http://schemas.openxmlformats.org/officeDocument/2006/relationships/hyperlink" Target="https://www.sec.gov/ix?doc=/Archives/edgar/data/0001326801/000132680123000013/meta-20221231.htm" TargetMode="External"/><Relationship Id="rId194" Type="http://schemas.openxmlformats.org/officeDocument/2006/relationships/hyperlink" Target="https://www.sec.gov/ix?doc=/Archives/edgar/data/0001326801/000132680123000013/meta-20221231.htm" TargetMode="External"/><Relationship Id="rId208" Type="http://schemas.openxmlformats.org/officeDocument/2006/relationships/hyperlink" Target="https://www.sec.gov/ix?doc=/Archives/edgar/data/0001326801/000132680123000013/meta-20221231.htm" TargetMode="External"/><Relationship Id="rId261" Type="http://schemas.openxmlformats.org/officeDocument/2006/relationships/hyperlink" Target="https://www.sec.gov/ix?doc=/Archives/edgar/data/0001326801/000132680123000013/meta-20221231.htm" TargetMode="External"/><Relationship Id="rId14" Type="http://schemas.openxmlformats.org/officeDocument/2006/relationships/hyperlink" Target="https://www.sec.gov/ix?doc=/Archives/edgar/data/0001326801/000132680123000013/meta-20221231.htm" TargetMode="External"/><Relationship Id="rId56" Type="http://schemas.openxmlformats.org/officeDocument/2006/relationships/hyperlink" Target="https://www.sec.gov/ix?doc=/Archives/edgar/data/0001326801/000132680123000013/meta-20221231.htm" TargetMode="External"/><Relationship Id="rId317" Type="http://schemas.openxmlformats.org/officeDocument/2006/relationships/hyperlink" Target="https://www.sec.gov/ix?doc=/Archives/edgar/data/0001326801/000132680123000013/meta-20221231.htm" TargetMode="External"/><Relationship Id="rId359" Type="http://schemas.openxmlformats.org/officeDocument/2006/relationships/hyperlink" Target="https://www.sec.gov/Archives/edgar/data/1326801/000095010322013830/dp178427_ex0402.htm" TargetMode="External"/><Relationship Id="rId98" Type="http://schemas.openxmlformats.org/officeDocument/2006/relationships/hyperlink" Target="https://www.sec.gov/ix?doc=/Archives/edgar/data/0001326801/000132680123000013/meta-20221231.htm" TargetMode="External"/><Relationship Id="rId121" Type="http://schemas.openxmlformats.org/officeDocument/2006/relationships/hyperlink" Target="https://www.sec.gov/ix?doc=/Archives/edgar/data/0001326801/000132680123000013/meta-20221231.htm" TargetMode="External"/><Relationship Id="rId163" Type="http://schemas.openxmlformats.org/officeDocument/2006/relationships/hyperlink" Target="https://www.sec.gov/ix?doc=/Archives/edgar/data/0001326801/000132680123000013/meta-20221231.htm" TargetMode="External"/><Relationship Id="rId219" Type="http://schemas.openxmlformats.org/officeDocument/2006/relationships/hyperlink" Target="https://www.sec.gov/ix?doc=/Archives/edgar/data/0001326801/000132680123000013/meta-20221231.htm" TargetMode="External"/><Relationship Id="rId370" Type="http://schemas.openxmlformats.org/officeDocument/2006/relationships/hyperlink" Target="http://www.sec.gov/Archives/edgar/data/1326801/000132680118000032/fb-03312018xex102.htm" TargetMode="External"/><Relationship Id="rId230" Type="http://schemas.openxmlformats.org/officeDocument/2006/relationships/hyperlink" Target="https://www.sec.gov/ix?doc=/Archives/edgar/data/0001326801/000132680123000013/meta-20221231.htm" TargetMode="External"/><Relationship Id="rId25" Type="http://schemas.openxmlformats.org/officeDocument/2006/relationships/hyperlink" Target="https://www.sec.gov/ix?doc=/Archives/edgar/data/0001326801/000132680123000013/meta-20221231.htm" TargetMode="External"/><Relationship Id="rId67" Type="http://schemas.openxmlformats.org/officeDocument/2006/relationships/hyperlink" Target="https://www.sec.gov/ix?doc=/Archives/edgar/data/0001326801/000132680123000013/meta-20221231.htm" TargetMode="External"/><Relationship Id="rId272" Type="http://schemas.openxmlformats.org/officeDocument/2006/relationships/hyperlink" Target="https://www.sec.gov/ix?doc=/Archives/edgar/data/0001326801/000132680123000013/meta-20221231.htm" TargetMode="External"/><Relationship Id="rId328" Type="http://schemas.openxmlformats.org/officeDocument/2006/relationships/hyperlink" Target="https://www.sec.gov/ix?doc=/Archives/edgar/data/0001326801/000132680123000013/meta-20221231.htm" TargetMode="External"/><Relationship Id="rId132" Type="http://schemas.openxmlformats.org/officeDocument/2006/relationships/hyperlink" Target="https://www.sec.gov/ix?doc=/Archives/edgar/data/0001326801/000132680123000013/meta-20221231.htm" TargetMode="External"/><Relationship Id="rId174" Type="http://schemas.openxmlformats.org/officeDocument/2006/relationships/hyperlink" Target="https://www.sec.gov/ix?doc=/Archives/edgar/data/0001326801/000132680123000013/meta-20221231.htm" TargetMode="External"/><Relationship Id="rId381" Type="http://schemas.openxmlformats.org/officeDocument/2006/relationships/hyperlink" Target="https://www.sec.gov/Archives/edgar/data/0001326801/000132680123000013/meta-12312022x10kexhibit108.htm" TargetMode="External"/><Relationship Id="rId241" Type="http://schemas.openxmlformats.org/officeDocument/2006/relationships/hyperlink" Target="https://www.sec.gov/ix?doc=/Archives/edgar/data/0001326801/000132680123000013/meta-20221231.htm" TargetMode="External"/><Relationship Id="rId36" Type="http://schemas.openxmlformats.org/officeDocument/2006/relationships/hyperlink" Target="https://www.sec.gov/ix?doc=/Archives/edgar/data/0001326801/000132680123000013/meta-20221231.htm" TargetMode="External"/><Relationship Id="rId283" Type="http://schemas.openxmlformats.org/officeDocument/2006/relationships/hyperlink" Target="https://www.sec.gov/ix?doc=/Archives/edgar/data/0001326801/000132680123000013/meta-20221231.htm" TargetMode="External"/><Relationship Id="rId339" Type="http://schemas.openxmlformats.org/officeDocument/2006/relationships/hyperlink" Target="https://www.sec.gov/ix?doc=/Archives/edgar/data/0001326801/000132680123000013/meta-20221231.htm" TargetMode="External"/><Relationship Id="rId78" Type="http://schemas.openxmlformats.org/officeDocument/2006/relationships/hyperlink" Target="https://www.sec.gov/ix?doc=/Archives/edgar/data/0001326801/000132680123000013/meta-20221231.htm" TargetMode="External"/><Relationship Id="rId101" Type="http://schemas.openxmlformats.org/officeDocument/2006/relationships/hyperlink" Target="https://www.sec.gov/ix?doc=/Archives/edgar/data/0001326801/000132680123000013/meta-20221231.htm" TargetMode="External"/><Relationship Id="rId143" Type="http://schemas.openxmlformats.org/officeDocument/2006/relationships/hyperlink" Target="https://www.sec.gov/ix?doc=/Archives/edgar/data/0001326801/000132680123000013/meta-20221231.htm" TargetMode="External"/><Relationship Id="rId185" Type="http://schemas.openxmlformats.org/officeDocument/2006/relationships/hyperlink" Target="https://www.sec.gov/ix?doc=/Archives/edgar/data/0001326801/000132680123000013/meta-20221231.htm" TargetMode="External"/><Relationship Id="rId350" Type="http://schemas.openxmlformats.org/officeDocument/2006/relationships/hyperlink" Target="https://www.sec.gov/ix?doc=/Archives/edgar/data/0001326801/000132680123000013/meta-20221231.htm" TargetMode="External"/><Relationship Id="rId9" Type="http://schemas.openxmlformats.org/officeDocument/2006/relationships/hyperlink" Target="https://www.sec.gov/ix?doc=/Archives/edgar/data/0001326801/000132680123000013/meta-20221231.htm" TargetMode="External"/><Relationship Id="rId210" Type="http://schemas.openxmlformats.org/officeDocument/2006/relationships/hyperlink" Target="https://www.sec.gov/ix?doc=/Archives/edgar/data/0001326801/000132680123000013/meta-20221231.htm" TargetMode="External"/><Relationship Id="rId392" Type="http://schemas.openxmlformats.org/officeDocument/2006/relationships/hyperlink" Target="https://www.sec.gov/Archives/edgar/data/0001326801/000132680123000013/meta-12312022x10kexhibit312.htm" TargetMode="External"/><Relationship Id="rId252" Type="http://schemas.openxmlformats.org/officeDocument/2006/relationships/hyperlink" Target="https://www.sec.gov/ix?doc=/Archives/edgar/data/0001326801/000132680123000013/meta-20221231.htm" TargetMode="External"/><Relationship Id="rId294" Type="http://schemas.openxmlformats.org/officeDocument/2006/relationships/hyperlink" Target="https://www.sec.gov/ix?doc=/Archives/edgar/data/0001326801/000132680123000013/meta-20221231.htm" TargetMode="External"/><Relationship Id="rId308" Type="http://schemas.openxmlformats.org/officeDocument/2006/relationships/hyperlink" Target="https://www.sec.gov/ix?doc=/Archives/edgar/data/0001326801/000132680123000013/meta-20221231.htm" TargetMode="External"/><Relationship Id="rId47" Type="http://schemas.openxmlformats.org/officeDocument/2006/relationships/hyperlink" Target="https://www.sec.gov/ix?doc=/Archives/edgar/data/0001326801/000132680123000013/meta-20221231.htm" TargetMode="External"/><Relationship Id="rId89" Type="http://schemas.openxmlformats.org/officeDocument/2006/relationships/hyperlink" Target="https://www.sec.gov/ix?doc=/Archives/edgar/data/0001326801/000132680123000013/meta-20221231.htm" TargetMode="External"/><Relationship Id="rId112" Type="http://schemas.openxmlformats.org/officeDocument/2006/relationships/hyperlink" Target="https://www.sec.gov/ix?doc=/Archives/edgar/data/0001326801/000132680123000013/meta-20221231.htm" TargetMode="External"/><Relationship Id="rId154" Type="http://schemas.openxmlformats.org/officeDocument/2006/relationships/hyperlink" Target="https://www.sec.gov/ix?doc=/Archives/edgar/data/0001326801/000132680123000013/meta-20221231.htm" TargetMode="External"/><Relationship Id="rId361" Type="http://schemas.openxmlformats.org/officeDocument/2006/relationships/hyperlink" Target="http://www.sec.gov/Archives/edgar/data/1326801/000132680119000029/a8k101.htm" TargetMode="External"/><Relationship Id="rId196" Type="http://schemas.openxmlformats.org/officeDocument/2006/relationships/hyperlink" Target="https://www.sec.gov/ix?doc=/Archives/edgar/data/0001326801/000132680123000013/meta-20221231.htm" TargetMode="External"/><Relationship Id="rId16" Type="http://schemas.openxmlformats.org/officeDocument/2006/relationships/hyperlink" Target="https://www.sec.gov/ix?doc=/Archives/edgar/data/0001326801/000132680123000013/meta-20221231.htm" TargetMode="External"/><Relationship Id="rId221" Type="http://schemas.openxmlformats.org/officeDocument/2006/relationships/hyperlink" Target="https://www.sec.gov/ix?doc=/Archives/edgar/data/0001326801/000132680123000013/meta-20221231.htm" TargetMode="External"/><Relationship Id="rId263" Type="http://schemas.openxmlformats.org/officeDocument/2006/relationships/hyperlink" Target="https://www.sec.gov/ix?doc=/Archives/edgar/data/0001326801/000132680123000013/meta-20221231.htm" TargetMode="External"/><Relationship Id="rId319" Type="http://schemas.openxmlformats.org/officeDocument/2006/relationships/hyperlink" Target="https://www.sec.gov/ix?doc=/Archives/edgar/data/0001326801/000132680123000013/meta-20221231.htm" TargetMode="External"/><Relationship Id="rId58" Type="http://schemas.openxmlformats.org/officeDocument/2006/relationships/hyperlink" Target="https://www.sec.gov/ix?doc=/Archives/edgar/data/0001326801/000132680123000013/meta-20221231.htm" TargetMode="External"/><Relationship Id="rId123" Type="http://schemas.openxmlformats.org/officeDocument/2006/relationships/hyperlink" Target="https://www.sec.gov/ix?doc=/Archives/edgar/data/0001326801/000132680123000013/meta-20221231.htm" TargetMode="External"/><Relationship Id="rId330" Type="http://schemas.openxmlformats.org/officeDocument/2006/relationships/hyperlink" Target="https://www.sec.gov/ix?doc=/Archives/edgar/data/0001326801/000132680123000013/meta-20221231.htm" TargetMode="External"/><Relationship Id="rId90" Type="http://schemas.openxmlformats.org/officeDocument/2006/relationships/hyperlink" Target="https://www.sec.gov/ix?doc=/Archives/edgar/data/0001326801/000132680123000013/meta-20221231.htm" TargetMode="External"/><Relationship Id="rId165" Type="http://schemas.openxmlformats.org/officeDocument/2006/relationships/hyperlink" Target="https://www.sec.gov/ix?doc=/Archives/edgar/data/0001326801/000132680123000013/meta-20221231.htm" TargetMode="External"/><Relationship Id="rId186" Type="http://schemas.openxmlformats.org/officeDocument/2006/relationships/hyperlink" Target="https://www.sec.gov/ix?doc=/Archives/edgar/data/0001326801/000132680123000013/meta-20221231.htm" TargetMode="External"/><Relationship Id="rId351" Type="http://schemas.openxmlformats.org/officeDocument/2006/relationships/hyperlink" Target="https://www.sec.gov/ix?doc=/Archives/edgar/data/0001326801/000132680123000013/meta-20221231.htm" TargetMode="External"/><Relationship Id="rId372" Type="http://schemas.openxmlformats.org/officeDocument/2006/relationships/hyperlink" Target="http://www.sec.gov/Archives/edgar/data/1326801/000132680119000037/fb-03312019xex102.htm" TargetMode="External"/><Relationship Id="rId393" Type="http://schemas.openxmlformats.org/officeDocument/2006/relationships/hyperlink" Target="https://www.sec.gov/Archives/edgar/data/0001326801/000132680123000013/meta-12312022x10kexhibit321.htm" TargetMode="External"/><Relationship Id="rId211" Type="http://schemas.openxmlformats.org/officeDocument/2006/relationships/hyperlink" Target="https://www.sec.gov/ix?doc=/Archives/edgar/data/0001326801/000132680123000013/meta-20221231.htm" TargetMode="External"/><Relationship Id="rId232" Type="http://schemas.openxmlformats.org/officeDocument/2006/relationships/hyperlink" Target="https://www.sec.gov/ix?doc=/Archives/edgar/data/0001326801/000132680123000013/meta-20221231.htm" TargetMode="External"/><Relationship Id="rId253" Type="http://schemas.openxmlformats.org/officeDocument/2006/relationships/hyperlink" Target="https://www.sec.gov/ix?doc=/Archives/edgar/data/0001326801/000132680123000013/meta-20221231.htm" TargetMode="External"/><Relationship Id="rId274" Type="http://schemas.openxmlformats.org/officeDocument/2006/relationships/hyperlink" Target="https://www.sec.gov/ix?doc=/Archives/edgar/data/0001326801/000132680123000013/meta-20221231.htm" TargetMode="External"/><Relationship Id="rId295" Type="http://schemas.openxmlformats.org/officeDocument/2006/relationships/hyperlink" Target="https://www.sec.gov/ix?doc=/Archives/edgar/data/0001326801/000132680123000013/meta-20221231.htm" TargetMode="External"/><Relationship Id="rId309" Type="http://schemas.openxmlformats.org/officeDocument/2006/relationships/hyperlink" Target="https://www.sec.gov/ix?doc=/Archives/edgar/data/0001326801/000132680123000013/meta-20221231.htm" TargetMode="External"/><Relationship Id="rId27" Type="http://schemas.openxmlformats.org/officeDocument/2006/relationships/hyperlink" Target="https://www.sec.gov/ix?doc=/Archives/edgar/data/0001326801/000132680123000013/meta-20221231.htm" TargetMode="External"/><Relationship Id="rId48" Type="http://schemas.openxmlformats.org/officeDocument/2006/relationships/hyperlink" Target="https://www.sec.gov/ix?doc=/Archives/edgar/data/0001326801/000132680123000013/meta-20221231.htm" TargetMode="External"/><Relationship Id="rId69" Type="http://schemas.openxmlformats.org/officeDocument/2006/relationships/hyperlink" Target="https://www.sec.gov/ix?doc=/Archives/edgar/data/0001326801/000132680123000013/meta-20221231.htm" TargetMode="External"/><Relationship Id="rId113" Type="http://schemas.openxmlformats.org/officeDocument/2006/relationships/hyperlink" Target="https://www.sec.gov/ix?doc=/Archives/edgar/data/0001326801/000132680123000013/meta-20221231.htm" TargetMode="External"/><Relationship Id="rId134" Type="http://schemas.openxmlformats.org/officeDocument/2006/relationships/hyperlink" Target="https://www.sec.gov/ix?doc=/Archives/edgar/data/0001326801/000132680123000013/meta-20221231.htm" TargetMode="External"/><Relationship Id="rId320" Type="http://schemas.openxmlformats.org/officeDocument/2006/relationships/hyperlink" Target="https://www.sec.gov/ix?doc=/Archives/edgar/data/0001326801/000132680123000013/meta-20221231.htm" TargetMode="External"/><Relationship Id="rId80" Type="http://schemas.openxmlformats.org/officeDocument/2006/relationships/hyperlink" Target="https://www.sec.gov/ix?doc=/Archives/edgar/data/0001326801/000132680123000013/meta-20221231.htm" TargetMode="External"/><Relationship Id="rId155" Type="http://schemas.openxmlformats.org/officeDocument/2006/relationships/hyperlink" Target="https://www.sec.gov/ix?doc=/Archives/edgar/data/0001326801/000132680123000013/meta-20221231.htm" TargetMode="External"/><Relationship Id="rId176" Type="http://schemas.openxmlformats.org/officeDocument/2006/relationships/hyperlink" Target="https://www.sec.gov/ix?doc=/Archives/edgar/data/0001326801/000132680123000013/meta-20221231.htm" TargetMode="External"/><Relationship Id="rId197" Type="http://schemas.openxmlformats.org/officeDocument/2006/relationships/hyperlink" Target="https://www.sec.gov/ix?doc=/Archives/edgar/data/0001326801/000132680123000013/meta-20221231.htm" TargetMode="External"/><Relationship Id="rId341" Type="http://schemas.openxmlformats.org/officeDocument/2006/relationships/hyperlink" Target="https://www.sec.gov/ix?doc=/Archives/edgar/data/0001326801/000132680123000013/meta-20221231.htm" TargetMode="External"/><Relationship Id="rId362" Type="http://schemas.openxmlformats.org/officeDocument/2006/relationships/hyperlink" Target="https://www.sec.gov/Archives/edgar/data/0001326801/000132680123000013/meta-12312022x10kex102a.htm" TargetMode="External"/><Relationship Id="rId383" Type="http://schemas.openxmlformats.org/officeDocument/2006/relationships/hyperlink" Target="http://www.sec.gov/Archives/edgar/data/1326801/000132680119000055/exhibit104executiveinc.htm" TargetMode="External"/><Relationship Id="rId201" Type="http://schemas.openxmlformats.org/officeDocument/2006/relationships/hyperlink" Target="https://www.sec.gov/ix?doc=/Archives/edgar/data/0001326801/000132680123000013/meta-20221231.htm" TargetMode="External"/><Relationship Id="rId222" Type="http://schemas.openxmlformats.org/officeDocument/2006/relationships/hyperlink" Target="https://www.sec.gov/ix?doc=/Archives/edgar/data/0001326801/000132680123000013/meta-20221231.htm" TargetMode="External"/><Relationship Id="rId243" Type="http://schemas.openxmlformats.org/officeDocument/2006/relationships/hyperlink" Target="https://www.sec.gov/ix?doc=/Archives/edgar/data/0001326801/000132680123000013/meta-20221231.htm" TargetMode="External"/><Relationship Id="rId264" Type="http://schemas.openxmlformats.org/officeDocument/2006/relationships/hyperlink" Target="https://www.sec.gov/ix?doc=/Archives/edgar/data/0001326801/000132680123000013/meta-20221231.htm" TargetMode="External"/><Relationship Id="rId285" Type="http://schemas.openxmlformats.org/officeDocument/2006/relationships/hyperlink" Target="https://www.sec.gov/ix?doc=/Archives/edgar/data/0001326801/000132680123000013/meta-20221231.htm" TargetMode="External"/><Relationship Id="rId17" Type="http://schemas.openxmlformats.org/officeDocument/2006/relationships/hyperlink" Target="https://www.sec.gov/ix?doc=/Archives/edgar/data/0001326801/000132680123000013/meta-20221231.htm" TargetMode="External"/><Relationship Id="rId38" Type="http://schemas.openxmlformats.org/officeDocument/2006/relationships/hyperlink" Target="https://www.sec.gov/ix?doc=/Archives/edgar/data/0001326801/000132680123000013/meta-20221231.htm" TargetMode="External"/><Relationship Id="rId59" Type="http://schemas.openxmlformats.org/officeDocument/2006/relationships/hyperlink" Target="https://www.sec.gov/ix?doc=/Archives/edgar/data/0001326801/000132680123000013/meta-20221231.htm" TargetMode="External"/><Relationship Id="rId103" Type="http://schemas.openxmlformats.org/officeDocument/2006/relationships/hyperlink" Target="https://www.sec.gov/ix?doc=/Archives/edgar/data/0001326801/000132680123000013/meta-20221231.htm" TargetMode="External"/><Relationship Id="rId124" Type="http://schemas.openxmlformats.org/officeDocument/2006/relationships/hyperlink" Target="https://www.sec.gov/ix?doc=/Archives/edgar/data/0001326801/000132680123000013/meta-20221231.htm" TargetMode="External"/><Relationship Id="rId310" Type="http://schemas.openxmlformats.org/officeDocument/2006/relationships/hyperlink" Target="https://www.sec.gov/ix?doc=/Archives/edgar/data/0001326801/000132680123000013/meta-20221231.htm" TargetMode="External"/><Relationship Id="rId70" Type="http://schemas.openxmlformats.org/officeDocument/2006/relationships/hyperlink" Target="https://www.sec.gov/ix?doc=/Archives/edgar/data/0001326801/000132680123000013/meta-20221231.htm" TargetMode="External"/><Relationship Id="rId91" Type="http://schemas.openxmlformats.org/officeDocument/2006/relationships/hyperlink" Target="https://www.sec.gov/ix?doc=/Archives/edgar/data/0001326801/000132680123000013/meta-20221231.htm" TargetMode="External"/><Relationship Id="rId145" Type="http://schemas.openxmlformats.org/officeDocument/2006/relationships/hyperlink" Target="https://www.sec.gov/ix?doc=/Archives/edgar/data/0001326801/000132680123000013/meta-20221231.htm" TargetMode="External"/><Relationship Id="rId166" Type="http://schemas.openxmlformats.org/officeDocument/2006/relationships/hyperlink" Target="https://www.sec.gov/ix?doc=/Archives/edgar/data/0001326801/000132680123000013/meta-20221231.htm" TargetMode="External"/><Relationship Id="rId187" Type="http://schemas.openxmlformats.org/officeDocument/2006/relationships/hyperlink" Target="https://www.sec.gov/ix?doc=/Archives/edgar/data/0001326801/000132680123000013/meta-20221231.htm" TargetMode="External"/><Relationship Id="rId331" Type="http://schemas.openxmlformats.org/officeDocument/2006/relationships/hyperlink" Target="https://www.sec.gov/ix?doc=/Archives/edgar/data/0001326801/000132680123000013/meta-20221231.htm" TargetMode="External"/><Relationship Id="rId352" Type="http://schemas.openxmlformats.org/officeDocument/2006/relationships/hyperlink" Target="https://www.sec.gov/ix?doc=/Archives/edgar/data/0001326801/000132680123000013/meta-20221231.htm" TargetMode="External"/><Relationship Id="rId373" Type="http://schemas.openxmlformats.org/officeDocument/2006/relationships/hyperlink" Target="http://www.sec.gov/Archives/edgar/data/1326801/000132680120000048/fb-03312020xex102.htm" TargetMode="External"/><Relationship Id="rId394" Type="http://schemas.openxmlformats.org/officeDocument/2006/relationships/hyperlink" Target="https://www.sec.gov/ix?doc=/Archives/edgar/data/0001326801/000132680123000013/meta-20221231.htm" TargetMode="External"/><Relationship Id="rId1" Type="http://schemas.openxmlformats.org/officeDocument/2006/relationships/styles" Target="styles.xml"/><Relationship Id="rId212" Type="http://schemas.openxmlformats.org/officeDocument/2006/relationships/hyperlink" Target="https://www.sec.gov/ix?doc=/Archives/edgar/data/0001326801/000132680123000013/meta-20221231.htm" TargetMode="External"/><Relationship Id="rId233" Type="http://schemas.openxmlformats.org/officeDocument/2006/relationships/hyperlink" Target="https://www.sec.gov/ix?doc=/Archives/edgar/data/0001326801/000132680123000013/meta-20221231.htm" TargetMode="External"/><Relationship Id="rId254" Type="http://schemas.openxmlformats.org/officeDocument/2006/relationships/hyperlink" Target="https://www.sec.gov/ix?doc=/Archives/edgar/data/0001326801/000132680123000013/meta-20221231.htm" TargetMode="External"/><Relationship Id="rId28" Type="http://schemas.openxmlformats.org/officeDocument/2006/relationships/hyperlink" Target="https://www.sec.gov/ix?doc=/Archives/edgar/data/0001326801/000132680123000013/meta-20221231.htm" TargetMode="External"/><Relationship Id="rId49" Type="http://schemas.openxmlformats.org/officeDocument/2006/relationships/hyperlink" Target="https://www.sec.gov/ix?doc=/Archives/edgar/data/0001326801/000132680123000013/meta-20221231.htm" TargetMode="External"/><Relationship Id="rId114" Type="http://schemas.openxmlformats.org/officeDocument/2006/relationships/hyperlink" Target="https://www.sec.gov/ix?doc=/Archives/edgar/data/0001326801/000132680123000013/meta-20221231.htm" TargetMode="External"/><Relationship Id="rId275" Type="http://schemas.openxmlformats.org/officeDocument/2006/relationships/hyperlink" Target="https://www.sec.gov/ix?doc=/Archives/edgar/data/0001326801/000132680123000013/meta-20221231.htm" TargetMode="External"/><Relationship Id="rId296" Type="http://schemas.openxmlformats.org/officeDocument/2006/relationships/hyperlink" Target="https://www.sec.gov/ix?doc=/Archives/edgar/data/0001326801/000132680123000013/meta-20221231.htm" TargetMode="External"/><Relationship Id="rId300" Type="http://schemas.openxmlformats.org/officeDocument/2006/relationships/hyperlink" Target="https://www.sec.gov/ix?doc=/Archives/edgar/data/0001326801/000132680123000013/meta-20221231.htm" TargetMode="External"/><Relationship Id="rId60" Type="http://schemas.openxmlformats.org/officeDocument/2006/relationships/hyperlink" Target="https://www.sec.gov/ix?doc=/Archives/edgar/data/0001326801/000132680123000013/meta-20221231.htm" TargetMode="External"/><Relationship Id="rId81" Type="http://schemas.openxmlformats.org/officeDocument/2006/relationships/hyperlink" Target="https://www.sec.gov/ix?doc=/Archives/edgar/data/0001326801/000132680123000013/meta-20221231.htm" TargetMode="External"/><Relationship Id="rId135" Type="http://schemas.openxmlformats.org/officeDocument/2006/relationships/hyperlink" Target="https://www.sec.gov/ix?doc=/Archives/edgar/data/0001326801/000132680123000013/meta-20221231.htm" TargetMode="External"/><Relationship Id="rId156" Type="http://schemas.openxmlformats.org/officeDocument/2006/relationships/hyperlink" Target="https://www.sec.gov/ix?doc=/Archives/edgar/data/0001326801/000132680123000013/meta-20221231.htm" TargetMode="External"/><Relationship Id="rId177" Type="http://schemas.openxmlformats.org/officeDocument/2006/relationships/hyperlink" Target="https://www.sec.gov/ix?doc=/Archives/edgar/data/0001326801/000132680123000013/meta-20221231.htm" TargetMode="External"/><Relationship Id="rId198" Type="http://schemas.openxmlformats.org/officeDocument/2006/relationships/hyperlink" Target="https://www.sec.gov/ix?doc=/Archives/edgar/data/0001326801/000132680123000013/meta-20221231.htm" TargetMode="External"/><Relationship Id="rId321" Type="http://schemas.openxmlformats.org/officeDocument/2006/relationships/hyperlink" Target="https://www.sec.gov/ix?doc=/Archives/edgar/data/0001326801/000132680123000013/meta-20221231.htm" TargetMode="External"/><Relationship Id="rId342" Type="http://schemas.openxmlformats.org/officeDocument/2006/relationships/hyperlink" Target="https://www.sec.gov/ix?doc=/Archives/edgar/data/0001326801/000132680123000013/meta-20221231.htm" TargetMode="External"/><Relationship Id="rId363" Type="http://schemas.openxmlformats.org/officeDocument/2006/relationships/hyperlink" Target="https://www.sec.gov/Archives/edgar/data/0001326801/000132680123000013/meta-12312022x10kex102b.htm" TargetMode="External"/><Relationship Id="rId384" Type="http://schemas.openxmlformats.org/officeDocument/2006/relationships/hyperlink" Target="https://www.sec.gov/Archives/edgar/data/1326801/000132680121000049/fb-06302021xex101.htm" TargetMode="External"/><Relationship Id="rId202" Type="http://schemas.openxmlformats.org/officeDocument/2006/relationships/hyperlink" Target="https://www.sec.gov/ix?doc=/Archives/edgar/data/0001326801/000132680123000013/meta-20221231.htm" TargetMode="External"/><Relationship Id="rId223" Type="http://schemas.openxmlformats.org/officeDocument/2006/relationships/hyperlink" Target="https://www.sec.gov/ix?doc=/Archives/edgar/data/0001326801/000132680123000013/meta-20221231.htm" TargetMode="External"/><Relationship Id="rId244" Type="http://schemas.openxmlformats.org/officeDocument/2006/relationships/hyperlink" Target="https://www.sec.gov/ix?doc=/Archives/edgar/data/0001326801/000132680123000013/meta-20221231.htm" TargetMode="External"/><Relationship Id="rId18" Type="http://schemas.openxmlformats.org/officeDocument/2006/relationships/hyperlink" Target="https://www.sec.gov/ix?doc=/Archives/edgar/data/0001326801/000132680123000013/meta-20221231.htm" TargetMode="External"/><Relationship Id="rId39" Type="http://schemas.openxmlformats.org/officeDocument/2006/relationships/hyperlink" Target="https://www.sec.gov/ix?doc=/Archives/edgar/data/0001326801/000132680123000013/meta-20221231.htm" TargetMode="External"/><Relationship Id="rId265" Type="http://schemas.openxmlformats.org/officeDocument/2006/relationships/hyperlink" Target="https://www.sec.gov/ix?doc=/Archives/edgar/data/0001326801/000132680123000013/meta-20221231.htm" TargetMode="External"/><Relationship Id="rId286" Type="http://schemas.openxmlformats.org/officeDocument/2006/relationships/hyperlink" Target="https://www.sec.gov/ix?doc=/Archives/edgar/data/0001326801/000132680123000013/meta-20221231.htm" TargetMode="External"/><Relationship Id="rId50" Type="http://schemas.openxmlformats.org/officeDocument/2006/relationships/hyperlink" Target="https://www.sec.gov/ix?doc=/Archives/edgar/data/0001326801/000132680123000013/meta-20221231.htm" TargetMode="External"/><Relationship Id="rId104" Type="http://schemas.openxmlformats.org/officeDocument/2006/relationships/hyperlink" Target="https://www.sec.gov/ix?doc=/Archives/edgar/data/0001326801/000132680123000013/meta-20221231.htm" TargetMode="External"/><Relationship Id="rId125" Type="http://schemas.openxmlformats.org/officeDocument/2006/relationships/hyperlink" Target="https://www.sec.gov/ix?doc=/Archives/edgar/data/0001326801/000132680123000013/meta-20221231.htm" TargetMode="External"/><Relationship Id="rId146" Type="http://schemas.openxmlformats.org/officeDocument/2006/relationships/hyperlink" Target="https://www.sec.gov/ix?doc=/Archives/edgar/data/0001326801/000132680123000013/meta-20221231.htm" TargetMode="External"/><Relationship Id="rId167" Type="http://schemas.openxmlformats.org/officeDocument/2006/relationships/hyperlink" Target="https://www.sec.gov/ix?doc=/Archives/edgar/data/0001326801/000132680123000013/meta-20221231.htm" TargetMode="External"/><Relationship Id="rId188" Type="http://schemas.openxmlformats.org/officeDocument/2006/relationships/hyperlink" Target="https://www.sec.gov/ix?doc=/Archives/edgar/data/0001326801/000132680123000013/meta-20221231.htm" TargetMode="External"/><Relationship Id="rId311" Type="http://schemas.openxmlformats.org/officeDocument/2006/relationships/hyperlink" Target="https://www.sec.gov/ix?doc=/Archives/edgar/data/0001326801/000132680123000013/meta-20221231.htm" TargetMode="External"/><Relationship Id="rId332" Type="http://schemas.openxmlformats.org/officeDocument/2006/relationships/hyperlink" Target="https://www.sec.gov/ix?doc=/Archives/edgar/data/0001326801/000132680123000013/meta-20221231.htm" TargetMode="External"/><Relationship Id="rId353" Type="http://schemas.openxmlformats.org/officeDocument/2006/relationships/hyperlink" Target="https://www.sec.gov/Archives/edgar/data/1326801/000132680121000071/a20211028-exhibit31.htm" TargetMode="External"/><Relationship Id="rId374" Type="http://schemas.openxmlformats.org/officeDocument/2006/relationships/hyperlink" Target="https://www.sec.gov/Archives/edgar/data/1326801/000132680121000049/fb-06302021xex102.htm" TargetMode="External"/><Relationship Id="rId395" Type="http://schemas.openxmlformats.org/officeDocument/2006/relationships/hyperlink" Target="https://www.sec.gov/ix?doc=/Archives/edgar/data/0001326801/000132680123000013/meta-20221231.htm" TargetMode="External"/><Relationship Id="rId71" Type="http://schemas.openxmlformats.org/officeDocument/2006/relationships/hyperlink" Target="https://www.sec.gov/ix?doc=/Archives/edgar/data/0001326801/000132680123000013/meta-20221231.htm" TargetMode="External"/><Relationship Id="rId92" Type="http://schemas.openxmlformats.org/officeDocument/2006/relationships/hyperlink" Target="https://www.sec.gov/ix?doc=/Archives/edgar/data/0001326801/000132680123000013/meta-20221231.htm" TargetMode="External"/><Relationship Id="rId213" Type="http://schemas.openxmlformats.org/officeDocument/2006/relationships/hyperlink" Target="https://www.sec.gov/ix?doc=/Archives/edgar/data/0001326801/000132680123000013/meta-20221231.htm" TargetMode="External"/><Relationship Id="rId234" Type="http://schemas.openxmlformats.org/officeDocument/2006/relationships/hyperlink" Target="https://www.sec.gov/ix?doc=/Archives/edgar/data/0001326801/000132680123000013/meta-20221231.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3000013/meta-20221231.htm" TargetMode="External"/><Relationship Id="rId255" Type="http://schemas.openxmlformats.org/officeDocument/2006/relationships/hyperlink" Target="https://www.sec.gov/ix?doc=/Archives/edgar/data/0001326801/000132680123000013/meta-20221231.htm" TargetMode="External"/><Relationship Id="rId276" Type="http://schemas.openxmlformats.org/officeDocument/2006/relationships/hyperlink" Target="https://www.sec.gov/ix?doc=/Archives/edgar/data/0001326801/000132680123000013/meta-20221231.htm" TargetMode="External"/><Relationship Id="rId297" Type="http://schemas.openxmlformats.org/officeDocument/2006/relationships/hyperlink" Target="https://www.sec.gov/ix?doc=/Archives/edgar/data/0001326801/000132680123000013/meta-20221231.htm" TargetMode="External"/><Relationship Id="rId40" Type="http://schemas.openxmlformats.org/officeDocument/2006/relationships/hyperlink" Target="https://www.sec.gov/ix?doc=/Archives/edgar/data/0001326801/000132680123000013/meta-20221231.htm" TargetMode="External"/><Relationship Id="rId115" Type="http://schemas.openxmlformats.org/officeDocument/2006/relationships/hyperlink" Target="https://www.sec.gov/ix?doc=/Archives/edgar/data/0001326801/000132680123000013/meta-20221231.htm" TargetMode="External"/><Relationship Id="rId136" Type="http://schemas.openxmlformats.org/officeDocument/2006/relationships/hyperlink" Target="https://www.sec.gov/ix?doc=/Archives/edgar/data/0001326801/000132680123000013/meta-20221231.htm" TargetMode="External"/><Relationship Id="rId157" Type="http://schemas.openxmlformats.org/officeDocument/2006/relationships/hyperlink" Target="https://www.sec.gov/ix?doc=/Archives/edgar/data/0001326801/000132680123000013/meta-20221231.htm" TargetMode="External"/><Relationship Id="rId178" Type="http://schemas.openxmlformats.org/officeDocument/2006/relationships/hyperlink" Target="https://www.sec.gov/ix?doc=/Archives/edgar/data/0001326801/000132680123000013/meta-20221231.htm" TargetMode="External"/><Relationship Id="rId301" Type="http://schemas.openxmlformats.org/officeDocument/2006/relationships/hyperlink" Target="https://www.sec.gov/ix?doc=/Archives/edgar/data/0001326801/000132680123000013/meta-20221231.htm" TargetMode="External"/><Relationship Id="rId322" Type="http://schemas.openxmlformats.org/officeDocument/2006/relationships/hyperlink" Target="https://www.sec.gov/ix?doc=/Archives/edgar/data/0001326801/000132680123000013/meta-20221231.htm" TargetMode="External"/><Relationship Id="rId343" Type="http://schemas.openxmlformats.org/officeDocument/2006/relationships/hyperlink" Target="https://www.sec.gov/ix?doc=/Archives/edgar/data/0001326801/000132680123000013/meta-20221231.htm" TargetMode="External"/><Relationship Id="rId364" Type="http://schemas.openxmlformats.org/officeDocument/2006/relationships/hyperlink" Target="https://www.sec.gov/Archives/edgar/data/0001326801/000132680123000013/meta-12312022x10kex102b.htm" TargetMode="External"/><Relationship Id="rId61" Type="http://schemas.openxmlformats.org/officeDocument/2006/relationships/hyperlink" Target="https://www.sec.gov/ix?doc=/Archives/edgar/data/0001326801/000132680123000013/meta-20221231.htm" TargetMode="External"/><Relationship Id="rId82" Type="http://schemas.openxmlformats.org/officeDocument/2006/relationships/hyperlink" Target="https://www.sec.gov/ix?doc=/Archives/edgar/data/0001326801/000132680123000013/meta-20221231.htm" TargetMode="External"/><Relationship Id="rId199" Type="http://schemas.openxmlformats.org/officeDocument/2006/relationships/hyperlink" Target="https://www.sec.gov/ix?doc=/Archives/edgar/data/0001326801/000132680123000013/meta-20221231.htm" TargetMode="External"/><Relationship Id="rId203" Type="http://schemas.openxmlformats.org/officeDocument/2006/relationships/hyperlink" Target="https://www.sec.gov/ix?doc=/Archives/edgar/data/0001326801/000132680123000013/meta-20221231.htm" TargetMode="External"/><Relationship Id="rId385" Type="http://schemas.openxmlformats.org/officeDocument/2006/relationships/hyperlink" Target="https://www.sec.gov/Archives/edgar/data/0001326801/000132680123000013/meta-12312022x10kex1012.htm" TargetMode="External"/><Relationship Id="rId19" Type="http://schemas.openxmlformats.org/officeDocument/2006/relationships/hyperlink" Target="https://www.sec.gov/ix?doc=/Archives/edgar/data/0001326801/000132680123000013/meta-20221231.htm" TargetMode="External"/><Relationship Id="rId224" Type="http://schemas.openxmlformats.org/officeDocument/2006/relationships/hyperlink" Target="https://www.sec.gov/ix?doc=/Archives/edgar/data/0001326801/000132680123000013/meta-20221231.htm" TargetMode="External"/><Relationship Id="rId245" Type="http://schemas.openxmlformats.org/officeDocument/2006/relationships/hyperlink" Target="https://www.sec.gov/ix?doc=/Archives/edgar/data/0001326801/000132680123000013/meta-20221231.htm" TargetMode="External"/><Relationship Id="rId266" Type="http://schemas.openxmlformats.org/officeDocument/2006/relationships/hyperlink" Target="https://www.sec.gov/ix?doc=/Archives/edgar/data/0001326801/000132680123000013/meta-20221231.htm" TargetMode="External"/><Relationship Id="rId287" Type="http://schemas.openxmlformats.org/officeDocument/2006/relationships/hyperlink" Target="https://www.sec.gov/ix?doc=/Archives/edgar/data/0001326801/000132680123000013/meta-20221231.htm" TargetMode="External"/><Relationship Id="rId30" Type="http://schemas.openxmlformats.org/officeDocument/2006/relationships/hyperlink" Target="https://www.sec.gov/ix?doc=/Archives/edgar/data/0001326801/000132680123000013/meta-20221231.htm" TargetMode="External"/><Relationship Id="rId105" Type="http://schemas.openxmlformats.org/officeDocument/2006/relationships/hyperlink" Target="https://www.sec.gov/ix?doc=/Archives/edgar/data/0001326801/000132680123000013/meta-20221231.htm" TargetMode="External"/><Relationship Id="rId126" Type="http://schemas.openxmlformats.org/officeDocument/2006/relationships/hyperlink" Target="https://www.sec.gov/ix?doc=/Archives/edgar/data/0001326801/000132680123000013/meta-20221231.htm" TargetMode="External"/><Relationship Id="rId147" Type="http://schemas.openxmlformats.org/officeDocument/2006/relationships/hyperlink" Target="https://www.sec.gov/ix?doc=/Archives/edgar/data/0001326801/000132680123000013/meta-20221231.htm" TargetMode="External"/><Relationship Id="rId168" Type="http://schemas.openxmlformats.org/officeDocument/2006/relationships/hyperlink" Target="https://www.sec.gov/ix?doc=/Archives/edgar/data/0001326801/000132680123000013/meta-20221231.htm" TargetMode="External"/><Relationship Id="rId312" Type="http://schemas.openxmlformats.org/officeDocument/2006/relationships/hyperlink" Target="https://www.sec.gov/ix?doc=/Archives/edgar/data/0001326801/000132680123000013/meta-20221231.htm" TargetMode="External"/><Relationship Id="rId333" Type="http://schemas.openxmlformats.org/officeDocument/2006/relationships/hyperlink" Target="https://www.sec.gov/ix?doc=/Archives/edgar/data/0001326801/000132680123000013/meta-20221231.htm" TargetMode="External"/><Relationship Id="rId354" Type="http://schemas.openxmlformats.org/officeDocument/2006/relationships/hyperlink" Target="https://www.sec.gov/Archives/edgar/data/1326801/000132680121000071/a20211028-exhibit32.htm" TargetMode="External"/><Relationship Id="rId51" Type="http://schemas.openxmlformats.org/officeDocument/2006/relationships/hyperlink" Target="https://www.sec.gov/ix?doc=/Archives/edgar/data/0001326801/000132680123000013/meta-20221231.htm" TargetMode="External"/><Relationship Id="rId72" Type="http://schemas.openxmlformats.org/officeDocument/2006/relationships/hyperlink" Target="https://www.sec.gov/ix?doc=/Archives/edgar/data/0001326801/000132680123000013/meta-20221231.htm" TargetMode="External"/><Relationship Id="rId93" Type="http://schemas.openxmlformats.org/officeDocument/2006/relationships/hyperlink" Target="https://www.sec.gov/ix?doc=/Archives/edgar/data/0001326801/000132680123000013/meta-20221231.htm" TargetMode="External"/><Relationship Id="rId189" Type="http://schemas.openxmlformats.org/officeDocument/2006/relationships/hyperlink" Target="https://www.sec.gov/ix?doc=/Archives/edgar/data/0001326801/000132680123000013/meta-20221231.htm" TargetMode="External"/><Relationship Id="rId375" Type="http://schemas.openxmlformats.org/officeDocument/2006/relationships/hyperlink" Target="https://www.sec.gov/Archives/edgar/data/1326801/000132680122000057/meta03312022-ex103.htm" TargetMode="External"/><Relationship Id="rId396" Type="http://schemas.openxmlformats.org/officeDocument/2006/relationships/hyperlink" Target="https://www.sec.gov/Archives/edgar/data/0001326801/000132680123000013/meta-12312022x10kexhibit322.htm" TargetMode="External"/><Relationship Id="rId3" Type="http://schemas.openxmlformats.org/officeDocument/2006/relationships/webSettings" Target="webSettings.xml"/><Relationship Id="rId214" Type="http://schemas.openxmlformats.org/officeDocument/2006/relationships/hyperlink" Target="https://www.sec.gov/ix?doc=/Archives/edgar/data/0001326801/000132680123000013/meta-20221231.htm" TargetMode="External"/><Relationship Id="rId235" Type="http://schemas.openxmlformats.org/officeDocument/2006/relationships/hyperlink" Target="https://www.sec.gov/ix?doc=/Archives/edgar/data/0001326801/000132680123000013/meta-20221231.htm" TargetMode="External"/><Relationship Id="rId256" Type="http://schemas.openxmlformats.org/officeDocument/2006/relationships/hyperlink" Target="https://www.sec.gov/ix?doc=/Archives/edgar/data/0001326801/000132680123000013/meta-20221231.htm" TargetMode="External"/><Relationship Id="rId277" Type="http://schemas.openxmlformats.org/officeDocument/2006/relationships/hyperlink" Target="https://www.sec.gov/ix?doc=/Archives/edgar/data/0001326801/000132680123000013/meta-20221231.htm" TargetMode="External"/><Relationship Id="rId298" Type="http://schemas.openxmlformats.org/officeDocument/2006/relationships/hyperlink" Target="https://www.sec.gov/ix?doc=/Archives/edgar/data/0001326801/000132680123000013/meta-20221231.htm" TargetMode="External"/><Relationship Id="rId400" Type="http://schemas.openxmlformats.org/officeDocument/2006/relationships/hyperlink" Target="https://www.sec.gov/ix?doc=/Archives/edgar/data/0001326801/000132680123000013/meta-20221231.htm" TargetMode="External"/><Relationship Id="rId116" Type="http://schemas.openxmlformats.org/officeDocument/2006/relationships/hyperlink" Target="https://www.sec.gov/ix?doc=/Archives/edgar/data/0001326801/000132680123000013/meta-20221231.htm" TargetMode="External"/><Relationship Id="rId137" Type="http://schemas.openxmlformats.org/officeDocument/2006/relationships/hyperlink" Target="https://www.sec.gov/ix?doc=/Archives/edgar/data/0001326801/000132680123000013/meta-20221231.htm" TargetMode="External"/><Relationship Id="rId158" Type="http://schemas.openxmlformats.org/officeDocument/2006/relationships/hyperlink" Target="https://www.sec.gov/ix?doc=/Archives/edgar/data/0001326801/000132680123000013/meta-20221231.htm" TargetMode="External"/><Relationship Id="rId302" Type="http://schemas.openxmlformats.org/officeDocument/2006/relationships/hyperlink" Target="https://www.sec.gov/ix?doc=/Archives/edgar/data/0001326801/000132680123000013/meta-20221231.htm" TargetMode="External"/><Relationship Id="rId323" Type="http://schemas.openxmlformats.org/officeDocument/2006/relationships/hyperlink" Target="https://www.sec.gov/ix?doc=/Archives/edgar/data/0001326801/000132680123000013/meta-20221231.htm" TargetMode="External"/><Relationship Id="rId344" Type="http://schemas.openxmlformats.org/officeDocument/2006/relationships/hyperlink" Target="https://www.sec.gov/ix?doc=/Archives/edgar/data/0001326801/000132680123000013/meta-20221231.htm" TargetMode="External"/><Relationship Id="rId20" Type="http://schemas.openxmlformats.org/officeDocument/2006/relationships/hyperlink" Target="https://www.sec.gov/ix?doc=/Archives/edgar/data/0001326801/000132680123000013/meta-20221231.htm" TargetMode="External"/><Relationship Id="rId41" Type="http://schemas.openxmlformats.org/officeDocument/2006/relationships/hyperlink" Target="https://www.sec.gov/ix?doc=/Archives/edgar/data/0001326801/000132680123000013/meta-20221231.htm" TargetMode="External"/><Relationship Id="rId62" Type="http://schemas.openxmlformats.org/officeDocument/2006/relationships/hyperlink" Target="https://www.sec.gov/ix?doc=/Archives/edgar/data/0001326801/000132680123000013/meta-20221231.htm" TargetMode="External"/><Relationship Id="rId83" Type="http://schemas.openxmlformats.org/officeDocument/2006/relationships/hyperlink" Target="https://www.sec.gov/ix?doc=/Archives/edgar/data/0001326801/000132680123000013/meta-20221231.htm" TargetMode="External"/><Relationship Id="rId179" Type="http://schemas.openxmlformats.org/officeDocument/2006/relationships/hyperlink" Target="https://www.sec.gov/ix?doc=/Archives/edgar/data/0001326801/000132680123000013/meta-20221231.htm" TargetMode="External"/><Relationship Id="rId365" Type="http://schemas.openxmlformats.org/officeDocument/2006/relationships/hyperlink" Target="http://www.sec.gov/Archives/edgar/data/1326801/000119312512325997/d371464dex102.htm" TargetMode="External"/><Relationship Id="rId386" Type="http://schemas.openxmlformats.org/officeDocument/2006/relationships/hyperlink" Target="https://www.sec.gov/Archives/edgar/data/1326801/000132680121000033/fb-03312021xex102.htm" TargetMode="External"/><Relationship Id="rId190" Type="http://schemas.openxmlformats.org/officeDocument/2006/relationships/hyperlink" Target="https://www.sec.gov/ix?doc=/Archives/edgar/data/0001326801/000132680123000013/meta-20221231.htm" TargetMode="External"/><Relationship Id="rId204" Type="http://schemas.openxmlformats.org/officeDocument/2006/relationships/hyperlink" Target="https://www.sec.gov/ix?doc=/Archives/edgar/data/0001326801/000132680123000013/meta-20221231.htm" TargetMode="External"/><Relationship Id="rId225" Type="http://schemas.openxmlformats.org/officeDocument/2006/relationships/hyperlink" Target="https://www.sec.gov/ix?doc=/Archives/edgar/data/0001326801/000132680123000013/meta-20221231.htm" TargetMode="External"/><Relationship Id="rId246" Type="http://schemas.openxmlformats.org/officeDocument/2006/relationships/hyperlink" Target="https://www.sec.gov/ix?doc=/Archives/edgar/data/0001326801/000132680123000013/meta-20221231.htm" TargetMode="External"/><Relationship Id="rId267" Type="http://schemas.openxmlformats.org/officeDocument/2006/relationships/hyperlink" Target="https://www.sec.gov/ix?doc=/Archives/edgar/data/0001326801/000132680123000013/meta-20221231.htm" TargetMode="External"/><Relationship Id="rId288" Type="http://schemas.openxmlformats.org/officeDocument/2006/relationships/hyperlink" Target="https://www.sec.gov/ix?doc=/Archives/edgar/data/0001326801/000132680123000013/meta-20221231.htm" TargetMode="External"/><Relationship Id="rId106" Type="http://schemas.openxmlformats.org/officeDocument/2006/relationships/hyperlink" Target="https://www.sec.gov/ix?doc=/Archives/edgar/data/0001326801/000132680123000013/meta-20221231.htm" TargetMode="External"/><Relationship Id="rId127" Type="http://schemas.openxmlformats.org/officeDocument/2006/relationships/hyperlink" Target="https://www.sec.gov/ix?doc=/Archives/edgar/data/0001326801/000132680123000013/meta-20221231.htm" TargetMode="External"/><Relationship Id="rId313" Type="http://schemas.openxmlformats.org/officeDocument/2006/relationships/hyperlink" Target="https://www.sec.gov/ix?doc=/Archives/edgar/data/0001326801/000132680123000013/meta-20221231.htm" TargetMode="External"/><Relationship Id="rId10" Type="http://schemas.openxmlformats.org/officeDocument/2006/relationships/hyperlink" Target="https://www.sec.gov/ix?doc=/Archives/edgar/data/0001326801/000132680123000013/meta-20221231.htm" TargetMode="External"/><Relationship Id="rId31" Type="http://schemas.openxmlformats.org/officeDocument/2006/relationships/hyperlink" Target="https://www.sec.gov/ix?doc=/Archives/edgar/data/0001326801/000132680123000013/meta-20221231.htm" TargetMode="External"/><Relationship Id="rId52" Type="http://schemas.openxmlformats.org/officeDocument/2006/relationships/hyperlink" Target="https://www.sec.gov/ix?doc=/Archives/edgar/data/0001326801/000132680123000013/meta-20221231.htm" TargetMode="External"/><Relationship Id="rId73" Type="http://schemas.openxmlformats.org/officeDocument/2006/relationships/hyperlink" Target="https://www.sec.gov/ix?doc=/Archives/edgar/data/0001326801/000132680123000013/meta-20221231.htm" TargetMode="External"/><Relationship Id="rId94" Type="http://schemas.openxmlformats.org/officeDocument/2006/relationships/hyperlink" Target="https://www.sec.gov/ix?doc=/Archives/edgar/data/0001326801/000132680123000013/meta-20221231.htm" TargetMode="External"/><Relationship Id="rId148" Type="http://schemas.openxmlformats.org/officeDocument/2006/relationships/hyperlink" Target="https://www.sec.gov/ix?doc=/Archives/edgar/data/0001326801/000132680123000013/meta-20221231.htm" TargetMode="External"/><Relationship Id="rId169" Type="http://schemas.openxmlformats.org/officeDocument/2006/relationships/hyperlink" Target="https://www.sec.gov/ix?doc=/Archives/edgar/data/0001326801/000132680123000013/meta-20221231.htm" TargetMode="External"/><Relationship Id="rId334" Type="http://schemas.openxmlformats.org/officeDocument/2006/relationships/hyperlink" Target="https://www.sec.gov/ix?doc=/Archives/edgar/data/0001326801/000132680123000013/meta-20221231.htm" TargetMode="External"/><Relationship Id="rId355" Type="http://schemas.openxmlformats.org/officeDocument/2006/relationships/hyperlink" Target="https://www.sec.gov/Archives/edgar/data/1326801/000132680122000018/fb-12312021x10kexhibit41.htm" TargetMode="External"/><Relationship Id="rId376" Type="http://schemas.openxmlformats.org/officeDocument/2006/relationships/hyperlink" Target="https://www.sec.gov/Archives/edgar/data/1326801/000132680122000018/fb-12312021x10kexhibit103.htm" TargetMode="External"/><Relationship Id="rId397" Type="http://schemas.openxmlformats.org/officeDocument/2006/relationships/hyperlink" Target="https://www.sec.gov/Archives/edgar/data/0001326801/000132680123000013/meta-12312022x10kexhibit322.htm" TargetMode="External"/><Relationship Id="rId4" Type="http://schemas.openxmlformats.org/officeDocument/2006/relationships/footnotes" Target="footnotes.xml"/><Relationship Id="rId180" Type="http://schemas.openxmlformats.org/officeDocument/2006/relationships/hyperlink" Target="https://www.sec.gov/ix?doc=/Archives/edgar/data/0001326801/000132680123000013/meta-20221231.htm" TargetMode="External"/><Relationship Id="rId215" Type="http://schemas.openxmlformats.org/officeDocument/2006/relationships/hyperlink" Target="https://www.sec.gov/ix?doc=/Archives/edgar/data/0001326801/000132680123000013/meta-20221231.htm" TargetMode="External"/><Relationship Id="rId236" Type="http://schemas.openxmlformats.org/officeDocument/2006/relationships/hyperlink" Target="https://www.sec.gov/ix?doc=/Archives/edgar/data/0001326801/000132680123000013/meta-20221231.htm" TargetMode="External"/><Relationship Id="rId257" Type="http://schemas.openxmlformats.org/officeDocument/2006/relationships/hyperlink" Target="https://www.sec.gov/ix?doc=/Archives/edgar/data/0001326801/000132680123000013/meta-20221231.htm" TargetMode="External"/><Relationship Id="rId278" Type="http://schemas.openxmlformats.org/officeDocument/2006/relationships/hyperlink" Target="https://www.sec.gov/ix?doc=/Archives/edgar/data/0001326801/000132680123000013/meta-20221231.htm" TargetMode="External"/><Relationship Id="rId401" Type="http://schemas.openxmlformats.org/officeDocument/2006/relationships/hyperlink" Target="https://www.sec.gov/ix?doc=/Archives/edgar/data/0001326801/000132680123000013/meta-20221231.htm" TargetMode="External"/><Relationship Id="rId303" Type="http://schemas.openxmlformats.org/officeDocument/2006/relationships/hyperlink" Target="https://www.sec.gov/ix?doc=/Archives/edgar/data/0001326801/000132680123000013/meta-20221231.htm" TargetMode="External"/><Relationship Id="rId42" Type="http://schemas.openxmlformats.org/officeDocument/2006/relationships/hyperlink" Target="https://www.sec.gov/ix?doc=/Archives/edgar/data/0001326801/000132680123000013/meta-20221231.htm" TargetMode="External"/><Relationship Id="rId84" Type="http://schemas.openxmlformats.org/officeDocument/2006/relationships/hyperlink" Target="https://www.sec.gov/ix?doc=/Archives/edgar/data/0001326801/000132680123000013/meta-20221231.htm" TargetMode="External"/><Relationship Id="rId138" Type="http://schemas.openxmlformats.org/officeDocument/2006/relationships/hyperlink" Target="https://www.sec.gov/ix?doc=/Archives/edgar/data/0001326801/000132680123000013/meta-20221231.htm" TargetMode="External"/><Relationship Id="rId345" Type="http://schemas.openxmlformats.org/officeDocument/2006/relationships/hyperlink" Target="https://www.sec.gov/ix?doc=/Archives/edgar/data/0001326801/000132680123000013/meta-20221231.htm" TargetMode="External"/><Relationship Id="rId387" Type="http://schemas.openxmlformats.org/officeDocument/2006/relationships/hyperlink" Target="https://www.sec.gov/Archives/edgar/data/0001326801/000132680123000013/meta-12312022x10kexhibit211.htm" TargetMode="External"/><Relationship Id="rId191" Type="http://schemas.openxmlformats.org/officeDocument/2006/relationships/hyperlink" Target="https://www.sec.gov/ix?doc=/Archives/edgar/data/0001326801/000132680123000013/meta-20221231.htm" TargetMode="External"/><Relationship Id="rId205" Type="http://schemas.openxmlformats.org/officeDocument/2006/relationships/hyperlink" Target="https://www.sec.gov/ix?doc=/Archives/edgar/data/0001326801/000132680123000013/meta-20221231.htm" TargetMode="External"/><Relationship Id="rId247" Type="http://schemas.openxmlformats.org/officeDocument/2006/relationships/hyperlink" Target="https://www.sec.gov/ix?doc=/Archives/edgar/data/0001326801/000132680123000013/meta-20221231.htm" TargetMode="External"/><Relationship Id="rId107" Type="http://schemas.openxmlformats.org/officeDocument/2006/relationships/hyperlink" Target="https://www.sec.gov/ix?doc=/Archives/edgar/data/0001326801/000132680123000013/meta-20221231.htm" TargetMode="External"/><Relationship Id="rId289" Type="http://schemas.openxmlformats.org/officeDocument/2006/relationships/hyperlink" Target="https://www.sec.gov/ix?doc=/Archives/edgar/data/0001326801/000132680123000013/meta-20221231.htm" TargetMode="External"/><Relationship Id="rId11" Type="http://schemas.openxmlformats.org/officeDocument/2006/relationships/hyperlink" Target="https://www.sec.gov/ix?doc=/Archives/edgar/data/0001326801/000132680123000013/meta-20221231.htm" TargetMode="External"/><Relationship Id="rId53" Type="http://schemas.openxmlformats.org/officeDocument/2006/relationships/hyperlink" Target="https://www.sec.gov/ix?doc=/Archives/edgar/data/0001326801/000132680123000013/meta-20221231.htm" TargetMode="External"/><Relationship Id="rId149" Type="http://schemas.openxmlformats.org/officeDocument/2006/relationships/hyperlink" Target="https://www.sec.gov/ix?doc=/Archives/edgar/data/0001326801/000132680123000013/meta-20221231.htm" TargetMode="External"/><Relationship Id="rId314" Type="http://schemas.openxmlformats.org/officeDocument/2006/relationships/hyperlink" Target="https://www.sec.gov/ix?doc=/Archives/edgar/data/0001326801/000132680123000013/meta-20221231.htm" TargetMode="External"/><Relationship Id="rId356" Type="http://schemas.openxmlformats.org/officeDocument/2006/relationships/hyperlink" Target="https://www.sec.gov/Archives/edgar/data/1326801/000132680122000018/fb-12312021x10kexhibit42.htm" TargetMode="External"/><Relationship Id="rId398" Type="http://schemas.openxmlformats.org/officeDocument/2006/relationships/hyperlink" Target="https://www.sec.gov/Archives/edgar/data/0001326801/000132680123000013/meta-12312022x10kexhibit322.htm" TargetMode="External"/><Relationship Id="rId95" Type="http://schemas.openxmlformats.org/officeDocument/2006/relationships/hyperlink" Target="https://www.sec.gov/ix?doc=/Archives/edgar/data/0001326801/000132680123000013/meta-20221231.htm" TargetMode="External"/><Relationship Id="rId160" Type="http://schemas.openxmlformats.org/officeDocument/2006/relationships/hyperlink" Target="https://www.sec.gov/ix?doc=/Archives/edgar/data/0001326801/000132680123000013/meta-20221231.htm" TargetMode="External"/><Relationship Id="rId216" Type="http://schemas.openxmlformats.org/officeDocument/2006/relationships/hyperlink" Target="https://www.sec.gov/ix?doc=/Archives/edgar/data/0001326801/000132680123000013/meta-20221231.htm" TargetMode="External"/><Relationship Id="rId258" Type="http://schemas.openxmlformats.org/officeDocument/2006/relationships/hyperlink" Target="https://www.sec.gov/ix?doc=/Archives/edgar/data/0001326801/000132680123000013/meta-20221231.htm" TargetMode="External"/><Relationship Id="rId22" Type="http://schemas.openxmlformats.org/officeDocument/2006/relationships/hyperlink" Target="https://www.sec.gov/ix?doc=/Archives/edgar/data/0001326801/000132680123000013/meta-20221231.htm" TargetMode="External"/><Relationship Id="rId64" Type="http://schemas.openxmlformats.org/officeDocument/2006/relationships/hyperlink" Target="https://www.sec.gov/ix?doc=/Archives/edgar/data/0001326801/000132680123000013/meta-20221231.htm" TargetMode="External"/><Relationship Id="rId118" Type="http://schemas.openxmlformats.org/officeDocument/2006/relationships/hyperlink" Target="https://www.sec.gov/ix?doc=/Archives/edgar/data/0001326801/000132680123000013/meta-20221231.htm" TargetMode="External"/><Relationship Id="rId325" Type="http://schemas.openxmlformats.org/officeDocument/2006/relationships/hyperlink" Target="https://www.sec.gov/ix?doc=/Archives/edgar/data/0001326801/000132680123000013/meta-20221231.htm" TargetMode="External"/><Relationship Id="rId367" Type="http://schemas.openxmlformats.org/officeDocument/2006/relationships/hyperlink" Target="http://www.sec.gov/Archives/edgar/data/1326801/000132680117000038/fb-06302017xex101.htm" TargetMode="External"/><Relationship Id="rId171" Type="http://schemas.openxmlformats.org/officeDocument/2006/relationships/hyperlink" Target="https://www.sec.gov/ix?doc=/Archives/edgar/data/0001326801/000132680123000013/meta-20221231.htm" TargetMode="External"/><Relationship Id="rId227" Type="http://schemas.openxmlformats.org/officeDocument/2006/relationships/hyperlink" Target="https://www.sec.gov/ix?doc=/Archives/edgar/data/0001326801/000132680123000013/meta-20221231.htm" TargetMode="External"/><Relationship Id="rId269" Type="http://schemas.openxmlformats.org/officeDocument/2006/relationships/hyperlink" Target="https://www.sec.gov/ix?doc=/Archives/edgar/data/0001326801/000132680123000013/meta-20221231.htm" TargetMode="External"/><Relationship Id="rId33" Type="http://schemas.openxmlformats.org/officeDocument/2006/relationships/hyperlink" Target="https://www.sec.gov/ix?doc=/Archives/edgar/data/0001326801/000132680123000013/meta-20221231.htm" TargetMode="External"/><Relationship Id="rId129" Type="http://schemas.openxmlformats.org/officeDocument/2006/relationships/hyperlink" Target="https://www.sec.gov/ix?doc=/Archives/edgar/data/0001326801/000132680123000013/meta-20221231.htm" TargetMode="External"/><Relationship Id="rId280" Type="http://schemas.openxmlformats.org/officeDocument/2006/relationships/hyperlink" Target="https://www.sec.gov/ix?doc=/Archives/edgar/data/0001326801/000132680123000013/meta-20221231.htm" TargetMode="External"/><Relationship Id="rId336" Type="http://schemas.openxmlformats.org/officeDocument/2006/relationships/hyperlink" Target="https://www.sec.gov/ix?doc=/Archives/edgar/data/0001326801/000132680123000013/meta-20221231.htm" TargetMode="External"/><Relationship Id="rId75" Type="http://schemas.openxmlformats.org/officeDocument/2006/relationships/hyperlink" Target="https://www.sec.gov/ix?doc=/Archives/edgar/data/0001326801/000132680123000013/meta-20221231.htm" TargetMode="External"/><Relationship Id="rId140" Type="http://schemas.openxmlformats.org/officeDocument/2006/relationships/hyperlink" Target="https://www.sec.gov/ix?doc=/Archives/edgar/data/0001326801/000132680123000013/meta-20221231.htm" TargetMode="External"/><Relationship Id="rId182" Type="http://schemas.openxmlformats.org/officeDocument/2006/relationships/hyperlink" Target="https://www.sec.gov/ix?doc=/Archives/edgar/data/0001326801/000132680123000013/meta-20221231.htm" TargetMode="External"/><Relationship Id="rId378" Type="http://schemas.openxmlformats.org/officeDocument/2006/relationships/hyperlink" Target="https://www.sec.gov/Archives/edgar/data/0001326801/000132680123000013/meta-12312022x10kexhibit105.htm" TargetMode="External"/><Relationship Id="rId403" Type="http://schemas.openxmlformats.org/officeDocument/2006/relationships/fontTable" Target="fontTable.xml"/><Relationship Id="rId238" Type="http://schemas.openxmlformats.org/officeDocument/2006/relationships/hyperlink" Target="https://www.sec.gov/ix?doc=/Archives/edgar/data/0001326801/000132680123000013/meta-20221231.htm" TargetMode="External"/><Relationship Id="rId291" Type="http://schemas.openxmlformats.org/officeDocument/2006/relationships/hyperlink" Target="https://www.sec.gov/ix?doc=/Archives/edgar/data/0001326801/000132680123000013/meta-20221231.htm" TargetMode="External"/><Relationship Id="rId305" Type="http://schemas.openxmlformats.org/officeDocument/2006/relationships/hyperlink" Target="https://www.sec.gov/ix?doc=/Archives/edgar/data/0001326801/000132680123000013/meta-20221231.htm" TargetMode="External"/><Relationship Id="rId347" Type="http://schemas.openxmlformats.org/officeDocument/2006/relationships/hyperlink" Target="https://www.sec.gov/ix?doc=/Archives/edgar/data/0001326801/000132680123000013/meta-20221231.htm" TargetMode="External"/><Relationship Id="rId44" Type="http://schemas.openxmlformats.org/officeDocument/2006/relationships/hyperlink" Target="https://www.sec.gov/ix?doc=/Archives/edgar/data/0001326801/000132680123000013/meta-20221231.htm" TargetMode="External"/><Relationship Id="rId86" Type="http://schemas.openxmlformats.org/officeDocument/2006/relationships/hyperlink" Target="https://www.sec.gov/ix?doc=/Archives/edgar/data/0001326801/000132680123000013/meta-20221231.htm" TargetMode="External"/><Relationship Id="rId151" Type="http://schemas.openxmlformats.org/officeDocument/2006/relationships/hyperlink" Target="https://www.sec.gov/ix?doc=/Archives/edgar/data/0001326801/000132680123000013/meta-20221231.htm" TargetMode="External"/><Relationship Id="rId389" Type="http://schemas.openxmlformats.org/officeDocument/2006/relationships/hyperlink" Target="https://www.sec.gov/Archives/edgar/data/0001326801/000132680123000013/meta-12312022x10kexhibit311.htm" TargetMode="External"/><Relationship Id="rId193" Type="http://schemas.openxmlformats.org/officeDocument/2006/relationships/hyperlink" Target="https://www.sec.gov/ix?doc=/Archives/edgar/data/0001326801/000132680123000013/meta-20221231.htm" TargetMode="External"/><Relationship Id="rId207" Type="http://schemas.openxmlformats.org/officeDocument/2006/relationships/hyperlink" Target="https://www.sec.gov/ix?doc=/Archives/edgar/data/0001326801/000132680123000013/meta-20221231.htm" TargetMode="External"/><Relationship Id="rId249" Type="http://schemas.openxmlformats.org/officeDocument/2006/relationships/hyperlink" Target="https://www.sec.gov/ix?doc=/Archives/edgar/data/0001326801/000132680123000013/meta-20221231.htm" TargetMode="External"/><Relationship Id="rId13" Type="http://schemas.openxmlformats.org/officeDocument/2006/relationships/hyperlink" Target="https://www.sec.gov/ix?doc=/Archives/edgar/data/0001326801/000132680123000013/meta-20221231.htm" TargetMode="External"/><Relationship Id="rId109" Type="http://schemas.openxmlformats.org/officeDocument/2006/relationships/hyperlink" Target="https://www.sec.gov/ix?doc=/Archives/edgar/data/0001326801/000132680123000013/meta-20221231.htm" TargetMode="External"/><Relationship Id="rId260" Type="http://schemas.openxmlformats.org/officeDocument/2006/relationships/hyperlink" Target="https://www.sec.gov/ix?doc=/Archives/edgar/data/0001326801/000132680123000013/meta-20221231.htm" TargetMode="External"/><Relationship Id="rId316" Type="http://schemas.openxmlformats.org/officeDocument/2006/relationships/hyperlink" Target="https://www.sec.gov/ix?doc=/Archives/edgar/data/0001326801/000132680123000013/meta-20221231.htm" TargetMode="External"/><Relationship Id="rId55" Type="http://schemas.openxmlformats.org/officeDocument/2006/relationships/hyperlink" Target="https://www.sec.gov/ix?doc=/Archives/edgar/data/0001326801/000132680123000013/meta-20221231.htm" TargetMode="External"/><Relationship Id="rId97" Type="http://schemas.openxmlformats.org/officeDocument/2006/relationships/hyperlink" Target="https://www.sec.gov/ix?doc=/Archives/edgar/data/0001326801/000132680123000013/meta-20221231.htm" TargetMode="External"/><Relationship Id="rId120" Type="http://schemas.openxmlformats.org/officeDocument/2006/relationships/hyperlink" Target="https://www.sec.gov/ix?doc=/Archives/edgar/data/0001326801/000132680123000013/meta-20221231.htm" TargetMode="External"/><Relationship Id="rId358" Type="http://schemas.openxmlformats.org/officeDocument/2006/relationships/hyperlink" Target="https://www.sec.gov/Archives/edgar/data/1326801/000095010322013830/dp178427_ex0401.htm" TargetMode="External"/><Relationship Id="rId162" Type="http://schemas.openxmlformats.org/officeDocument/2006/relationships/hyperlink" Target="https://www.sec.gov/ix?doc=/Archives/edgar/data/0001326801/000132680123000013/meta-20221231.htm" TargetMode="External"/><Relationship Id="rId218" Type="http://schemas.openxmlformats.org/officeDocument/2006/relationships/hyperlink" Target="https://www.sec.gov/ix?doc=/Archives/edgar/data/0001326801/000132680123000013/meta-20221231.htm" TargetMode="External"/><Relationship Id="rId271" Type="http://schemas.openxmlformats.org/officeDocument/2006/relationships/hyperlink" Target="https://www.sec.gov/ix?doc=/Archives/edgar/data/0001326801/000132680123000013/meta-20221231.htm" TargetMode="External"/><Relationship Id="rId24" Type="http://schemas.openxmlformats.org/officeDocument/2006/relationships/hyperlink" Target="https://www.sec.gov/ix?doc=/Archives/edgar/data/0001326801/000132680123000013/meta-20221231.htm" TargetMode="External"/><Relationship Id="rId66" Type="http://schemas.openxmlformats.org/officeDocument/2006/relationships/hyperlink" Target="https://www.sec.gov/ix?doc=/Archives/edgar/data/0001326801/000132680123000013/meta-20221231.htm" TargetMode="External"/><Relationship Id="rId131" Type="http://schemas.openxmlformats.org/officeDocument/2006/relationships/hyperlink" Target="https://www.sec.gov/ix?doc=/Archives/edgar/data/0001326801/000132680123000013/meta-20221231.htm" TargetMode="External"/><Relationship Id="rId327" Type="http://schemas.openxmlformats.org/officeDocument/2006/relationships/hyperlink" Target="https://www.sec.gov/ix?doc=/Archives/edgar/data/0001326801/000132680123000013/meta-20221231.htm" TargetMode="External"/><Relationship Id="rId369" Type="http://schemas.openxmlformats.org/officeDocument/2006/relationships/hyperlink" Target="https://www.sec.gov/ix?doc=/Archives/edgar/data/0001326801/000132680123000013/meta-20221231.htm" TargetMode="External"/><Relationship Id="rId173" Type="http://schemas.openxmlformats.org/officeDocument/2006/relationships/hyperlink" Target="https://www.sec.gov/ix?doc=/Archives/edgar/data/0001326801/000132680123000013/meta-20221231.htm" TargetMode="External"/><Relationship Id="rId229" Type="http://schemas.openxmlformats.org/officeDocument/2006/relationships/hyperlink" Target="https://www.sec.gov/ix?doc=/Archives/edgar/data/0001326801/000132680123000013/meta-20221231.htm" TargetMode="External"/><Relationship Id="rId380" Type="http://schemas.openxmlformats.org/officeDocument/2006/relationships/hyperlink" Target="https://www.sec.gov/Archives/edgar/data/1326801/000132680122000057/meta03312022-ex102.htm" TargetMode="External"/><Relationship Id="rId240" Type="http://schemas.openxmlformats.org/officeDocument/2006/relationships/hyperlink" Target="https://www.sec.gov/ix?doc=/Archives/edgar/data/0001326801/000132680123000013/meta-20221231.htm" TargetMode="External"/><Relationship Id="rId35" Type="http://schemas.openxmlformats.org/officeDocument/2006/relationships/hyperlink" Target="https://www.sec.gov/ix?doc=/Archives/edgar/data/0001326801/000132680123000013/meta-20221231.htm" TargetMode="External"/><Relationship Id="rId77" Type="http://schemas.openxmlformats.org/officeDocument/2006/relationships/hyperlink" Target="https://www.sec.gov/ix?doc=/Archives/edgar/data/0001326801/000132680123000013/meta-20221231.htm" TargetMode="External"/><Relationship Id="rId100" Type="http://schemas.openxmlformats.org/officeDocument/2006/relationships/hyperlink" Target="https://www.sec.gov/ix?doc=/Archives/edgar/data/0001326801/000132680123000013/meta-20221231.htm" TargetMode="External"/><Relationship Id="rId282" Type="http://schemas.openxmlformats.org/officeDocument/2006/relationships/hyperlink" Target="https://www.sec.gov/ix?doc=/Archives/edgar/data/0001326801/000132680123000013/meta-20221231.htm" TargetMode="External"/><Relationship Id="rId338" Type="http://schemas.openxmlformats.org/officeDocument/2006/relationships/hyperlink" Target="https://www.sec.gov/ix?doc=/Archives/edgar/data/0001326801/000132680123000013/meta-20221231.htm" TargetMode="External"/><Relationship Id="rId8" Type="http://schemas.openxmlformats.org/officeDocument/2006/relationships/hyperlink" Target="https://www.sec.gov/ix?doc=/Archives/edgar/data/0001326801/000132680123000013/meta-20221231.htm" TargetMode="External"/><Relationship Id="rId142" Type="http://schemas.openxmlformats.org/officeDocument/2006/relationships/hyperlink" Target="https://www.sec.gov/ix?doc=/Archives/edgar/data/0001326801/000132680123000013/meta-20221231.htm" TargetMode="External"/><Relationship Id="rId184" Type="http://schemas.openxmlformats.org/officeDocument/2006/relationships/hyperlink" Target="https://www.sec.gov/ix?doc=/Archives/edgar/data/0001326801/000132680123000013/meta-20221231.htm" TargetMode="External"/><Relationship Id="rId391" Type="http://schemas.openxmlformats.org/officeDocument/2006/relationships/hyperlink" Target="https://www.sec.gov/Archives/edgar/data/0001326801/000132680123000013/meta-12312022x10kexhibit312.htm" TargetMode="External"/><Relationship Id="rId251" Type="http://schemas.openxmlformats.org/officeDocument/2006/relationships/hyperlink" Target="https://www.sec.gov/ix?doc=/Archives/edgar/data/0001326801/000132680123000013/meta-20221231.htm" TargetMode="External"/><Relationship Id="rId46" Type="http://schemas.openxmlformats.org/officeDocument/2006/relationships/hyperlink" Target="https://www.sec.gov/ix?doc=/Archives/edgar/data/0001326801/000132680123000013/meta-20221231.htm" TargetMode="External"/><Relationship Id="rId293" Type="http://schemas.openxmlformats.org/officeDocument/2006/relationships/hyperlink" Target="https://www.sec.gov/ix?doc=/Archives/edgar/data/0001326801/000132680123000013/meta-20221231.htm" TargetMode="External"/><Relationship Id="rId307" Type="http://schemas.openxmlformats.org/officeDocument/2006/relationships/hyperlink" Target="https://www.sec.gov/ix?doc=/Archives/edgar/data/0001326801/000132680123000013/meta-20221231.htm" TargetMode="External"/><Relationship Id="rId349" Type="http://schemas.openxmlformats.org/officeDocument/2006/relationships/hyperlink" Target="https://www.sec.gov/ix?doc=/Archives/edgar/data/0001326801/000132680123000013/meta-20221231.htm" TargetMode="External"/><Relationship Id="rId88" Type="http://schemas.openxmlformats.org/officeDocument/2006/relationships/hyperlink" Target="https://www.sec.gov/ix?doc=/Archives/edgar/data/0001326801/000132680123000013/meta-20221231.htm" TargetMode="External"/><Relationship Id="rId111" Type="http://schemas.openxmlformats.org/officeDocument/2006/relationships/hyperlink" Target="https://www.sec.gov/ix?doc=/Archives/edgar/data/0001326801/000132680123000013/meta-20221231.htm" TargetMode="External"/><Relationship Id="rId153" Type="http://schemas.openxmlformats.org/officeDocument/2006/relationships/hyperlink" Target="https://www.sec.gov/ix?doc=/Archives/edgar/data/0001326801/000132680123000013/meta-20221231.htm" TargetMode="External"/><Relationship Id="rId195" Type="http://schemas.openxmlformats.org/officeDocument/2006/relationships/hyperlink" Target="https://www.sec.gov/ix?doc=/Archives/edgar/data/0001326801/000132680123000013/meta-20221231.htm" TargetMode="External"/><Relationship Id="rId209" Type="http://schemas.openxmlformats.org/officeDocument/2006/relationships/hyperlink" Target="https://www.sec.gov/ix?doc=/Archives/edgar/data/0001326801/000132680123000013/meta-20221231.htm" TargetMode="External"/><Relationship Id="rId360" Type="http://schemas.openxmlformats.org/officeDocument/2006/relationships/hyperlink" Target="https://www.sec.gov/Archives/edgar/data/0001326801/000132680123000013/meta-12312022x10kexhibit46.htm" TargetMode="External"/><Relationship Id="rId220" Type="http://schemas.openxmlformats.org/officeDocument/2006/relationships/hyperlink" Target="https://www.sec.gov/ix?doc=/Archives/edgar/data/0001326801/000132680123000013/meta-20221231.htm" TargetMode="External"/><Relationship Id="rId15" Type="http://schemas.openxmlformats.org/officeDocument/2006/relationships/hyperlink" Target="https://www.sec.gov/ix?doc=/Archives/edgar/data/0001326801/000132680123000013/meta-20221231.htm" TargetMode="External"/><Relationship Id="rId57" Type="http://schemas.openxmlformats.org/officeDocument/2006/relationships/hyperlink" Target="https://www.sec.gov/ix?doc=/Archives/edgar/data/0001326801/000132680123000013/meta-20221231.htm" TargetMode="External"/><Relationship Id="rId262" Type="http://schemas.openxmlformats.org/officeDocument/2006/relationships/hyperlink" Target="https://www.sec.gov/ix?doc=/Archives/edgar/data/0001326801/000132680123000013/meta-20221231.htm" TargetMode="External"/><Relationship Id="rId318" Type="http://schemas.openxmlformats.org/officeDocument/2006/relationships/hyperlink" Target="https://www.sec.gov/ix?doc=/Archives/edgar/data/0001326801/000132680123000013/meta-20221231.htm" TargetMode="External"/><Relationship Id="rId99" Type="http://schemas.openxmlformats.org/officeDocument/2006/relationships/hyperlink" Target="https://www.sec.gov/ix?doc=/Archives/edgar/data/0001326801/000132680123000013/meta-20221231.htm" TargetMode="External"/><Relationship Id="rId122" Type="http://schemas.openxmlformats.org/officeDocument/2006/relationships/hyperlink" Target="https://www.sec.gov/ix?doc=/Archives/edgar/data/0001326801/000132680123000013/meta-20221231.htm" TargetMode="External"/><Relationship Id="rId164" Type="http://schemas.openxmlformats.org/officeDocument/2006/relationships/hyperlink" Target="https://www.sec.gov/ix?doc=/Archives/edgar/data/0001326801/000132680123000013/meta-20221231.htm" TargetMode="External"/><Relationship Id="rId371" Type="http://schemas.openxmlformats.org/officeDocument/2006/relationships/hyperlink" Target="http://www.sec.gov/Archives/edgar/data/1326801/000132680119000009/fb-12312018x10kexhibit103.htm" TargetMode="External"/><Relationship Id="rId26" Type="http://schemas.openxmlformats.org/officeDocument/2006/relationships/hyperlink" Target="https://www.sec.gov/ix?doc=/Archives/edgar/data/0001326801/000132680123000013/meta-20221231.htm" TargetMode="External"/><Relationship Id="rId231" Type="http://schemas.openxmlformats.org/officeDocument/2006/relationships/hyperlink" Target="https://www.sec.gov/ix?doc=/Archives/edgar/data/0001326801/000132680123000013/meta-20221231.htm" TargetMode="External"/><Relationship Id="rId273" Type="http://schemas.openxmlformats.org/officeDocument/2006/relationships/hyperlink" Target="https://www.sec.gov/ix?doc=/Archives/edgar/data/0001326801/000132680123000013/meta-20221231.htm" TargetMode="External"/><Relationship Id="rId329" Type="http://schemas.openxmlformats.org/officeDocument/2006/relationships/hyperlink" Target="https://www.sec.gov/ix?doc=/Archives/edgar/data/0001326801/000132680123000013/meta-20221231.htm" TargetMode="External"/><Relationship Id="rId68" Type="http://schemas.openxmlformats.org/officeDocument/2006/relationships/hyperlink" Target="https://www.sec.gov/ix?doc=/Archives/edgar/data/0001326801/000132680123000013/meta-20221231.htm" TargetMode="External"/><Relationship Id="rId133" Type="http://schemas.openxmlformats.org/officeDocument/2006/relationships/hyperlink" Target="https://www.sec.gov/ix?doc=/Archives/edgar/data/0001326801/000132680123000013/meta-20221231.htm" TargetMode="External"/><Relationship Id="rId175" Type="http://schemas.openxmlformats.org/officeDocument/2006/relationships/hyperlink" Target="https://www.sec.gov/ix?doc=/Archives/edgar/data/0001326801/000132680123000013/meta-20221231.htm" TargetMode="External"/><Relationship Id="rId340" Type="http://schemas.openxmlformats.org/officeDocument/2006/relationships/hyperlink" Target="https://www.sec.gov/ix?doc=/Archives/edgar/data/0001326801/000132680123000013/meta-20221231.htm" TargetMode="External"/><Relationship Id="rId200" Type="http://schemas.openxmlformats.org/officeDocument/2006/relationships/hyperlink" Target="https://www.sec.gov/ix?doc=/Archives/edgar/data/0001326801/000132680123000013/meta-20221231.htm" TargetMode="External"/><Relationship Id="rId382" Type="http://schemas.openxmlformats.org/officeDocument/2006/relationships/hyperlink" Target="http://www.sec.gov/Archives/edgar/data/1326801/000132680119000055/exhibit103-formofexeco.htm" TargetMode="External"/><Relationship Id="rId242" Type="http://schemas.openxmlformats.org/officeDocument/2006/relationships/hyperlink" Target="https://www.sec.gov/ix?doc=/Archives/edgar/data/0001326801/000132680123000013/meta-20221231.htm" TargetMode="External"/><Relationship Id="rId284" Type="http://schemas.openxmlformats.org/officeDocument/2006/relationships/hyperlink" Target="https://www.sec.gov/ix?doc=/Archives/edgar/data/0001326801/000132680123000013/meta-20221231.htm" TargetMode="External"/><Relationship Id="rId37" Type="http://schemas.openxmlformats.org/officeDocument/2006/relationships/hyperlink" Target="https://www.sec.gov/ix?doc=/Archives/edgar/data/0001326801/000132680123000013/meta-20221231.htm" TargetMode="External"/><Relationship Id="rId79" Type="http://schemas.openxmlformats.org/officeDocument/2006/relationships/hyperlink" Target="https://www.sec.gov/ix?doc=/Archives/edgar/data/0001326801/000132680123000013/meta-20221231.htm" TargetMode="External"/><Relationship Id="rId102" Type="http://schemas.openxmlformats.org/officeDocument/2006/relationships/hyperlink" Target="https://www.sec.gov/ix?doc=/Archives/edgar/data/0001326801/000132680123000013/meta-20221231.htm" TargetMode="External"/><Relationship Id="rId144" Type="http://schemas.openxmlformats.org/officeDocument/2006/relationships/hyperlink" Target="https://www.sec.gov/ix?doc=/Archives/edgar/data/0001326801/000132680123000013/meta-2022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79662</Words>
  <Characters>454078</Characters>
  <Application>Microsoft Office Word</Application>
  <DocSecurity>0</DocSecurity>
  <Lines>3783</Lines>
  <Paragraphs>1065</Paragraphs>
  <ScaleCrop>false</ScaleCrop>
  <Company/>
  <LinksUpToDate>false</LinksUpToDate>
  <CharactersWithSpaces>532675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2023-02-11T20:07:00Z</dcterms:created>
  <dcterms:modified xsi:type="dcterms:W3CDTF">2023-02-13T11:20:00Z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502FD6225A357C480985E7634B01EA9A</vt:lpwstr>
  </property>
</Properties>
</file>